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4C7F2" w14:textId="77777777" w:rsidR="00B14818" w:rsidRDefault="00B14818" w:rsidP="00B14818">
      <w:pPr>
        <w:spacing w:line="240" w:lineRule="auto"/>
        <w:jc w:val="center"/>
        <w:rPr>
          <w:b/>
          <w:bCs/>
          <w:sz w:val="28"/>
        </w:rPr>
      </w:pPr>
      <w:r>
        <w:rPr>
          <w:b/>
          <w:bCs/>
          <w:sz w:val="28"/>
        </w:rPr>
        <w:t>An assessment of the c</w:t>
      </w:r>
      <w:r w:rsidRPr="009F5014">
        <w:rPr>
          <w:b/>
          <w:bCs/>
          <w:sz w:val="28"/>
        </w:rPr>
        <w:t>auses of the errors</w:t>
      </w:r>
    </w:p>
    <w:p w14:paraId="0947423E" w14:textId="7735C94E" w:rsidR="00B14818" w:rsidRPr="009F5014" w:rsidRDefault="00FB5A0F" w:rsidP="00B14818">
      <w:pPr>
        <w:spacing w:line="240" w:lineRule="auto"/>
        <w:jc w:val="center"/>
        <w:rPr>
          <w:b/>
          <w:bCs/>
          <w:sz w:val="28"/>
        </w:rPr>
      </w:pPr>
      <w:r>
        <w:rPr>
          <w:b/>
          <w:bCs/>
          <w:sz w:val="28"/>
        </w:rPr>
        <w:t>i</w:t>
      </w:r>
      <w:r w:rsidR="00B14818" w:rsidRPr="009F5014">
        <w:rPr>
          <w:b/>
          <w:bCs/>
          <w:sz w:val="28"/>
        </w:rPr>
        <w:t>n</w:t>
      </w:r>
      <w:r w:rsidR="00B14818">
        <w:rPr>
          <w:b/>
          <w:bCs/>
          <w:sz w:val="28"/>
        </w:rPr>
        <w:t xml:space="preserve"> the</w:t>
      </w:r>
      <w:r w:rsidR="00B14818" w:rsidRPr="009F5014">
        <w:rPr>
          <w:b/>
          <w:bCs/>
          <w:sz w:val="28"/>
        </w:rPr>
        <w:t xml:space="preserve"> 2015 </w:t>
      </w:r>
      <w:r w:rsidR="00B14818">
        <w:rPr>
          <w:b/>
          <w:bCs/>
          <w:sz w:val="28"/>
        </w:rPr>
        <w:t>UK General Election opinion p</w:t>
      </w:r>
      <w:r w:rsidR="00B14818" w:rsidRPr="009F5014">
        <w:rPr>
          <w:b/>
          <w:bCs/>
          <w:sz w:val="28"/>
        </w:rPr>
        <w:t>olls</w:t>
      </w:r>
    </w:p>
    <w:p w14:paraId="0DC50843" w14:textId="77777777" w:rsidR="00B14818" w:rsidRDefault="00B14818" w:rsidP="00B14818">
      <w:pPr>
        <w:rPr>
          <w:b/>
          <w:bCs/>
        </w:rPr>
      </w:pPr>
    </w:p>
    <w:p w14:paraId="5ADAAD9B" w14:textId="77777777" w:rsidR="00B14818" w:rsidRDefault="00B14818" w:rsidP="00B14818">
      <w:pPr>
        <w:spacing w:after="0" w:line="240" w:lineRule="auto"/>
        <w:jc w:val="center"/>
        <w:rPr>
          <w:bCs/>
        </w:rPr>
      </w:pPr>
      <w:r>
        <w:rPr>
          <w:bCs/>
        </w:rPr>
        <w:t>Patrick Sturgis</w:t>
      </w:r>
    </w:p>
    <w:p w14:paraId="12430727" w14:textId="77777777" w:rsidR="00B14818" w:rsidRDefault="00B14818" w:rsidP="00B14818">
      <w:pPr>
        <w:spacing w:after="0" w:line="240" w:lineRule="auto"/>
        <w:jc w:val="center"/>
        <w:rPr>
          <w:bCs/>
        </w:rPr>
      </w:pPr>
      <w:r>
        <w:rPr>
          <w:bCs/>
        </w:rPr>
        <w:t>University of Southampton, UK</w:t>
      </w:r>
      <w:r>
        <w:rPr>
          <w:rStyle w:val="FootnoteReference"/>
          <w:bCs/>
        </w:rPr>
        <w:footnoteReference w:id="1"/>
      </w:r>
    </w:p>
    <w:p w14:paraId="30760F9A" w14:textId="77777777" w:rsidR="00B14818" w:rsidRDefault="00B14818" w:rsidP="00B14818">
      <w:pPr>
        <w:spacing w:after="0" w:line="240" w:lineRule="auto"/>
        <w:jc w:val="center"/>
        <w:rPr>
          <w:bCs/>
        </w:rPr>
      </w:pPr>
    </w:p>
    <w:p w14:paraId="3C4155C5" w14:textId="77777777" w:rsidR="00B14818" w:rsidRDefault="00B14818" w:rsidP="00B14818">
      <w:pPr>
        <w:spacing w:after="0" w:line="240" w:lineRule="auto"/>
        <w:jc w:val="center"/>
        <w:rPr>
          <w:bCs/>
        </w:rPr>
      </w:pPr>
      <w:r>
        <w:rPr>
          <w:bCs/>
        </w:rPr>
        <w:t>Jouni Kuha</w:t>
      </w:r>
    </w:p>
    <w:p w14:paraId="318443B4" w14:textId="77777777" w:rsidR="00B14818" w:rsidRDefault="00B14818" w:rsidP="00B14818">
      <w:pPr>
        <w:spacing w:after="0" w:line="240" w:lineRule="auto"/>
        <w:jc w:val="center"/>
        <w:rPr>
          <w:bCs/>
        </w:rPr>
      </w:pPr>
      <w:r>
        <w:rPr>
          <w:bCs/>
        </w:rPr>
        <w:t>London School of Economics and Political Science, UK</w:t>
      </w:r>
    </w:p>
    <w:p w14:paraId="3A2621C3" w14:textId="77777777" w:rsidR="00B14818" w:rsidRDefault="00B14818" w:rsidP="00B14818">
      <w:pPr>
        <w:spacing w:after="0" w:line="240" w:lineRule="auto"/>
        <w:jc w:val="center"/>
        <w:rPr>
          <w:bCs/>
        </w:rPr>
      </w:pPr>
    </w:p>
    <w:p w14:paraId="63EA19B8" w14:textId="77777777" w:rsidR="00B14818" w:rsidRDefault="00B14818" w:rsidP="00B14818">
      <w:pPr>
        <w:spacing w:after="0" w:line="240" w:lineRule="auto"/>
        <w:jc w:val="center"/>
        <w:rPr>
          <w:bCs/>
        </w:rPr>
      </w:pPr>
      <w:r>
        <w:rPr>
          <w:bCs/>
        </w:rPr>
        <w:t>Nick Baker</w:t>
      </w:r>
    </w:p>
    <w:p w14:paraId="26E9868E" w14:textId="77777777" w:rsidR="00B14818" w:rsidRDefault="00B14818" w:rsidP="00B14818">
      <w:pPr>
        <w:spacing w:after="0" w:line="240" w:lineRule="auto"/>
        <w:jc w:val="center"/>
        <w:rPr>
          <w:bCs/>
        </w:rPr>
      </w:pPr>
      <w:r>
        <w:rPr>
          <w:bCs/>
        </w:rPr>
        <w:t>Quadrangle, UK</w:t>
      </w:r>
    </w:p>
    <w:p w14:paraId="67DBBFD6" w14:textId="77777777" w:rsidR="00B14818" w:rsidRDefault="00B14818" w:rsidP="00B14818">
      <w:pPr>
        <w:spacing w:after="0" w:line="240" w:lineRule="auto"/>
        <w:jc w:val="center"/>
        <w:rPr>
          <w:bCs/>
        </w:rPr>
      </w:pPr>
    </w:p>
    <w:p w14:paraId="745B752B" w14:textId="77777777" w:rsidR="00B14818" w:rsidRDefault="00B14818" w:rsidP="00B14818">
      <w:pPr>
        <w:spacing w:after="0" w:line="240" w:lineRule="auto"/>
        <w:jc w:val="center"/>
        <w:rPr>
          <w:bCs/>
        </w:rPr>
      </w:pPr>
      <w:r w:rsidRPr="00AD6692">
        <w:rPr>
          <w:bCs/>
        </w:rPr>
        <w:t>Mario Callegaro</w:t>
      </w:r>
    </w:p>
    <w:p w14:paraId="73AAD932" w14:textId="77777777" w:rsidR="00B14818" w:rsidRDefault="00B14818" w:rsidP="00B14818">
      <w:pPr>
        <w:spacing w:after="0" w:line="240" w:lineRule="auto"/>
        <w:jc w:val="center"/>
        <w:rPr>
          <w:bCs/>
        </w:rPr>
      </w:pPr>
      <w:r w:rsidRPr="00AD6692">
        <w:rPr>
          <w:bCs/>
        </w:rPr>
        <w:t xml:space="preserve"> Google</w:t>
      </w:r>
      <w:r>
        <w:rPr>
          <w:bCs/>
        </w:rPr>
        <w:t>, UK</w:t>
      </w:r>
    </w:p>
    <w:p w14:paraId="7C5B46A0" w14:textId="77777777" w:rsidR="00B14818" w:rsidRPr="00AD6692" w:rsidRDefault="00B14818" w:rsidP="00B14818">
      <w:pPr>
        <w:spacing w:after="0" w:line="240" w:lineRule="auto"/>
        <w:jc w:val="center"/>
        <w:rPr>
          <w:bCs/>
        </w:rPr>
      </w:pPr>
    </w:p>
    <w:p w14:paraId="54B164E1" w14:textId="77777777" w:rsidR="00B14818" w:rsidRDefault="00B14818" w:rsidP="00B14818">
      <w:pPr>
        <w:spacing w:after="0" w:line="240" w:lineRule="auto"/>
        <w:jc w:val="center"/>
        <w:rPr>
          <w:bCs/>
        </w:rPr>
      </w:pPr>
      <w:r w:rsidRPr="00AD6692">
        <w:rPr>
          <w:bCs/>
        </w:rPr>
        <w:t>Stephen Fisher</w:t>
      </w:r>
    </w:p>
    <w:p w14:paraId="3477F636" w14:textId="77777777" w:rsidR="00B14818" w:rsidRPr="00AD6692" w:rsidRDefault="00B14818" w:rsidP="00B14818">
      <w:pPr>
        <w:spacing w:after="0" w:line="240" w:lineRule="auto"/>
        <w:jc w:val="center"/>
        <w:rPr>
          <w:bCs/>
        </w:rPr>
      </w:pPr>
      <w:r w:rsidRPr="00AD6692">
        <w:rPr>
          <w:bCs/>
        </w:rPr>
        <w:t xml:space="preserve"> University of Oxford</w:t>
      </w:r>
      <w:r>
        <w:rPr>
          <w:bCs/>
        </w:rPr>
        <w:t>, UK</w:t>
      </w:r>
    </w:p>
    <w:p w14:paraId="792D53B9" w14:textId="77777777" w:rsidR="00B14818" w:rsidRDefault="00B14818" w:rsidP="00B14818">
      <w:pPr>
        <w:spacing w:after="0" w:line="240" w:lineRule="auto"/>
        <w:jc w:val="center"/>
        <w:rPr>
          <w:bCs/>
        </w:rPr>
      </w:pPr>
    </w:p>
    <w:p w14:paraId="5AF1E5CE" w14:textId="77777777" w:rsidR="00B14818" w:rsidRDefault="00B14818" w:rsidP="00B14818">
      <w:pPr>
        <w:spacing w:after="0" w:line="240" w:lineRule="auto"/>
        <w:jc w:val="center"/>
        <w:rPr>
          <w:bCs/>
        </w:rPr>
      </w:pPr>
      <w:r w:rsidRPr="00AD6692">
        <w:rPr>
          <w:bCs/>
        </w:rPr>
        <w:t>Jane Green</w:t>
      </w:r>
    </w:p>
    <w:p w14:paraId="0D09E495" w14:textId="77777777" w:rsidR="00B14818" w:rsidRPr="00AD6692" w:rsidRDefault="00B14818" w:rsidP="00B14818">
      <w:pPr>
        <w:spacing w:after="0" w:line="240" w:lineRule="auto"/>
        <w:jc w:val="center"/>
        <w:rPr>
          <w:bCs/>
        </w:rPr>
      </w:pPr>
      <w:r w:rsidRPr="00AD6692">
        <w:rPr>
          <w:bCs/>
        </w:rPr>
        <w:t xml:space="preserve"> University of Manchester</w:t>
      </w:r>
      <w:r>
        <w:rPr>
          <w:bCs/>
        </w:rPr>
        <w:t>, UK</w:t>
      </w:r>
    </w:p>
    <w:p w14:paraId="4F92EC50" w14:textId="77777777" w:rsidR="00B14818" w:rsidRDefault="00B14818" w:rsidP="00B14818">
      <w:pPr>
        <w:spacing w:after="0" w:line="240" w:lineRule="auto"/>
        <w:jc w:val="center"/>
        <w:rPr>
          <w:bCs/>
        </w:rPr>
      </w:pPr>
    </w:p>
    <w:p w14:paraId="52809E24" w14:textId="77777777" w:rsidR="00B14818" w:rsidRDefault="00B14818" w:rsidP="00B14818">
      <w:pPr>
        <w:spacing w:after="0" w:line="240" w:lineRule="auto"/>
        <w:jc w:val="center"/>
        <w:rPr>
          <w:bCs/>
        </w:rPr>
      </w:pPr>
      <w:r w:rsidRPr="00AD6692">
        <w:rPr>
          <w:bCs/>
        </w:rPr>
        <w:t>Will Jennings</w:t>
      </w:r>
      <w:r>
        <w:rPr>
          <w:bCs/>
        </w:rPr>
        <w:t xml:space="preserve"> </w:t>
      </w:r>
    </w:p>
    <w:p w14:paraId="2B3FA631" w14:textId="77777777" w:rsidR="00B14818" w:rsidRPr="00AD6692" w:rsidRDefault="00B14818" w:rsidP="00B14818">
      <w:pPr>
        <w:spacing w:after="0" w:line="240" w:lineRule="auto"/>
        <w:jc w:val="center"/>
        <w:rPr>
          <w:bCs/>
        </w:rPr>
      </w:pPr>
      <w:r w:rsidRPr="00AD6692">
        <w:rPr>
          <w:bCs/>
        </w:rPr>
        <w:t xml:space="preserve"> University of Southampton</w:t>
      </w:r>
      <w:r>
        <w:rPr>
          <w:bCs/>
        </w:rPr>
        <w:t>, UK</w:t>
      </w:r>
    </w:p>
    <w:p w14:paraId="43D77AD8" w14:textId="77777777" w:rsidR="00B14818" w:rsidRDefault="00B14818" w:rsidP="00B14818">
      <w:pPr>
        <w:spacing w:after="0" w:line="240" w:lineRule="auto"/>
        <w:jc w:val="center"/>
        <w:rPr>
          <w:bCs/>
        </w:rPr>
      </w:pPr>
    </w:p>
    <w:p w14:paraId="3C909087" w14:textId="77777777" w:rsidR="00B14818" w:rsidRDefault="00B14818" w:rsidP="00B14818">
      <w:pPr>
        <w:spacing w:after="0" w:line="240" w:lineRule="auto"/>
        <w:jc w:val="center"/>
        <w:rPr>
          <w:bCs/>
        </w:rPr>
      </w:pPr>
      <w:r w:rsidRPr="00AD6692">
        <w:rPr>
          <w:bCs/>
        </w:rPr>
        <w:t>Ben</w:t>
      </w:r>
      <w:r>
        <w:rPr>
          <w:bCs/>
        </w:rPr>
        <w:t>jamin</w:t>
      </w:r>
      <w:r w:rsidRPr="00AD6692">
        <w:rPr>
          <w:bCs/>
        </w:rPr>
        <w:t xml:space="preserve"> </w:t>
      </w:r>
      <w:r>
        <w:rPr>
          <w:bCs/>
        </w:rPr>
        <w:t xml:space="preserve">E. </w:t>
      </w:r>
      <w:r w:rsidRPr="00AD6692">
        <w:rPr>
          <w:bCs/>
        </w:rPr>
        <w:t>Lauderdale</w:t>
      </w:r>
    </w:p>
    <w:p w14:paraId="11055FA4" w14:textId="77777777" w:rsidR="00B14818" w:rsidRPr="00AD6692" w:rsidRDefault="00B14818" w:rsidP="00B14818">
      <w:pPr>
        <w:spacing w:after="0" w:line="240" w:lineRule="auto"/>
        <w:jc w:val="center"/>
        <w:rPr>
          <w:bCs/>
        </w:rPr>
      </w:pPr>
      <w:r w:rsidRPr="00AD6692">
        <w:rPr>
          <w:bCs/>
        </w:rPr>
        <w:t xml:space="preserve"> London School of Economics and Political Science</w:t>
      </w:r>
      <w:r>
        <w:rPr>
          <w:bCs/>
        </w:rPr>
        <w:t>, UK</w:t>
      </w:r>
    </w:p>
    <w:p w14:paraId="1632CCD4" w14:textId="77777777" w:rsidR="00B14818" w:rsidRDefault="00B14818" w:rsidP="00B14818">
      <w:pPr>
        <w:spacing w:after="0" w:line="240" w:lineRule="auto"/>
        <w:jc w:val="center"/>
        <w:rPr>
          <w:bCs/>
        </w:rPr>
      </w:pPr>
    </w:p>
    <w:p w14:paraId="35E8A7F9" w14:textId="77777777" w:rsidR="00B14818" w:rsidRDefault="00B14818" w:rsidP="00B14818">
      <w:pPr>
        <w:spacing w:after="0" w:line="240" w:lineRule="auto"/>
        <w:jc w:val="center"/>
        <w:rPr>
          <w:bCs/>
        </w:rPr>
      </w:pPr>
      <w:r>
        <w:rPr>
          <w:bCs/>
        </w:rPr>
        <w:t xml:space="preserve"> Patten Smith</w:t>
      </w:r>
    </w:p>
    <w:p w14:paraId="560922B3" w14:textId="413EA7DD" w:rsidR="00B14818" w:rsidRDefault="00B14818" w:rsidP="00F2724D">
      <w:pPr>
        <w:jc w:val="center"/>
        <w:rPr>
          <w:b/>
          <w:bCs/>
          <w:sz w:val="28"/>
        </w:rPr>
      </w:pPr>
      <w:proofErr w:type="spellStart"/>
      <w:r w:rsidRPr="00AD6692">
        <w:rPr>
          <w:bCs/>
        </w:rPr>
        <w:t>Ipsos</w:t>
      </w:r>
      <w:proofErr w:type="spellEnd"/>
      <w:r w:rsidRPr="00AD6692">
        <w:rPr>
          <w:bCs/>
        </w:rPr>
        <w:t>-MORI</w:t>
      </w:r>
      <w:r>
        <w:rPr>
          <w:bCs/>
        </w:rPr>
        <w:t>, UK</w:t>
      </w:r>
      <w:r>
        <w:rPr>
          <w:b/>
          <w:bCs/>
          <w:sz w:val="28"/>
        </w:rPr>
        <w:br w:type="page"/>
      </w:r>
    </w:p>
    <w:p w14:paraId="5F285421" w14:textId="75A5004B" w:rsidR="009F5014" w:rsidRPr="00F2724D" w:rsidRDefault="00E2560E" w:rsidP="009F5014">
      <w:pPr>
        <w:spacing w:line="240" w:lineRule="auto"/>
        <w:jc w:val="center"/>
        <w:rPr>
          <w:b/>
          <w:bCs/>
          <w:sz w:val="24"/>
        </w:rPr>
      </w:pPr>
      <w:r w:rsidRPr="00F2724D">
        <w:rPr>
          <w:b/>
          <w:bCs/>
          <w:sz w:val="24"/>
        </w:rPr>
        <w:lastRenderedPageBreak/>
        <w:t>An assessment of the c</w:t>
      </w:r>
      <w:r w:rsidR="00B947EC" w:rsidRPr="00F2724D">
        <w:rPr>
          <w:b/>
          <w:bCs/>
          <w:sz w:val="24"/>
        </w:rPr>
        <w:t>auses of the errors</w:t>
      </w:r>
    </w:p>
    <w:p w14:paraId="6739AE35" w14:textId="1C2FC5A6" w:rsidR="009F5014" w:rsidRPr="00F2724D" w:rsidRDefault="00903950" w:rsidP="009F5014">
      <w:pPr>
        <w:spacing w:line="240" w:lineRule="auto"/>
        <w:jc w:val="center"/>
        <w:rPr>
          <w:b/>
          <w:bCs/>
          <w:sz w:val="24"/>
        </w:rPr>
      </w:pPr>
      <w:r w:rsidRPr="00F2724D">
        <w:rPr>
          <w:b/>
          <w:bCs/>
          <w:sz w:val="24"/>
        </w:rPr>
        <w:t>I</w:t>
      </w:r>
      <w:r w:rsidR="00B947EC" w:rsidRPr="00F2724D">
        <w:rPr>
          <w:b/>
          <w:bCs/>
          <w:sz w:val="24"/>
        </w:rPr>
        <w:t>n</w:t>
      </w:r>
      <w:r w:rsidRPr="00F2724D">
        <w:rPr>
          <w:b/>
          <w:bCs/>
          <w:sz w:val="24"/>
        </w:rPr>
        <w:t xml:space="preserve"> the</w:t>
      </w:r>
      <w:r w:rsidR="00B947EC" w:rsidRPr="00F2724D">
        <w:rPr>
          <w:b/>
          <w:bCs/>
          <w:sz w:val="24"/>
        </w:rPr>
        <w:t xml:space="preserve"> 2015 </w:t>
      </w:r>
      <w:r w:rsidR="0086408B" w:rsidRPr="00F2724D">
        <w:rPr>
          <w:b/>
          <w:bCs/>
          <w:sz w:val="24"/>
        </w:rPr>
        <w:t xml:space="preserve">UK </w:t>
      </w:r>
      <w:r w:rsidR="00E2560E" w:rsidRPr="00F2724D">
        <w:rPr>
          <w:b/>
          <w:bCs/>
          <w:sz w:val="24"/>
        </w:rPr>
        <w:t>General Election opinion p</w:t>
      </w:r>
      <w:r w:rsidR="00B947EC" w:rsidRPr="00F2724D">
        <w:rPr>
          <w:b/>
          <w:bCs/>
          <w:sz w:val="24"/>
        </w:rPr>
        <w:t>olls</w:t>
      </w:r>
    </w:p>
    <w:p w14:paraId="7C1E2559" w14:textId="77777777" w:rsidR="00D34141" w:rsidRPr="009F5014" w:rsidRDefault="00D34141" w:rsidP="009F5014">
      <w:pPr>
        <w:spacing w:line="240" w:lineRule="auto"/>
        <w:jc w:val="center"/>
        <w:rPr>
          <w:b/>
          <w:bCs/>
          <w:sz w:val="28"/>
        </w:rPr>
      </w:pPr>
    </w:p>
    <w:p w14:paraId="12D68896" w14:textId="772BC076" w:rsidR="00B23D4D" w:rsidRPr="00F2724D" w:rsidRDefault="00B23D4D" w:rsidP="00F2724D">
      <w:pPr>
        <w:jc w:val="center"/>
        <w:rPr>
          <w:b/>
        </w:rPr>
      </w:pPr>
      <w:r w:rsidRPr="00F2724D">
        <w:rPr>
          <w:b/>
        </w:rPr>
        <w:t>A</w:t>
      </w:r>
      <w:r w:rsidR="00F95D73">
        <w:rPr>
          <w:b/>
        </w:rPr>
        <w:t>bstract</w:t>
      </w:r>
    </w:p>
    <w:p w14:paraId="4B42AD0C" w14:textId="7A4DFF6E" w:rsidR="00B23D4D" w:rsidRDefault="00B23D4D" w:rsidP="00B23D4D">
      <w:r>
        <w:t xml:space="preserve">The opinion polls undertaken prior to the 2015 UK General Election under-estimated the Conservative lead over Labour by an average of 7 percentage points.  This collective failure led politicians and commentators to question the validity and utility of political polling and raised concerns regarding a broader public loss of confidence in survey research.  In this paper, we assess the likely causes of the 2015 polling errors. We begin by setting out a formal account of the statistical methodology and assumptions required for valid estimation of party vote shares using quota sampling. We then describe the current approach of polling organisations for </w:t>
      </w:r>
      <w:r w:rsidR="00163EB5">
        <w:t xml:space="preserve">estimating </w:t>
      </w:r>
      <w:r>
        <w:t xml:space="preserve">sampling variability and suggest a new method based on bootstrap re-sampling. Next, we use poll micro-data to assess the plausibility of different explanations of the polling errors. Our conclusion is that the primary cause of the polling errors in 2015 was </w:t>
      </w:r>
      <w:r w:rsidRPr="00F2724D">
        <w:rPr>
          <w:iCs/>
        </w:rPr>
        <w:t>unrepresentative sampling</w:t>
      </w:r>
      <w:r>
        <w:t xml:space="preserve">. </w:t>
      </w:r>
    </w:p>
    <w:p w14:paraId="0F997D8A" w14:textId="77777777" w:rsidR="00B23D4D" w:rsidRDefault="00B23D4D">
      <w:pPr>
        <w:rPr>
          <w:b/>
          <w:bCs/>
        </w:rPr>
      </w:pPr>
    </w:p>
    <w:p w14:paraId="74143D05" w14:textId="222494B7" w:rsidR="009F5014" w:rsidRDefault="009F5014" w:rsidP="00115FB8">
      <w:pPr>
        <w:rPr>
          <w:b/>
        </w:rPr>
      </w:pPr>
      <w:r w:rsidRPr="009F5014">
        <w:rPr>
          <w:b/>
        </w:rPr>
        <w:t>1. Introduction</w:t>
      </w:r>
    </w:p>
    <w:p w14:paraId="2ADD0D75" w14:textId="08D278AB" w:rsidR="00511576" w:rsidRDefault="00511576" w:rsidP="00895354">
      <w:pPr>
        <w:spacing w:line="480" w:lineRule="auto"/>
        <w:jc w:val="both"/>
      </w:pPr>
      <w:r>
        <w:t xml:space="preserve">The result of the 2015 </w:t>
      </w:r>
      <w:r w:rsidR="0086408B">
        <w:t xml:space="preserve">UK </w:t>
      </w:r>
      <w:r>
        <w:t>General</w:t>
      </w:r>
      <w:r w:rsidR="006B61D0">
        <w:t xml:space="preserve"> </w:t>
      </w:r>
      <w:r>
        <w:t>Election</w:t>
      </w:r>
      <w:r w:rsidR="0086408B">
        <w:t xml:space="preserve"> </w:t>
      </w:r>
      <w:r>
        <w:t>came as a shock to most observers. During the</w:t>
      </w:r>
      <w:r w:rsidR="00E2560E">
        <w:t xml:space="preserve"> months and weeks leading up to </w:t>
      </w:r>
      <w:r w:rsidR="00895354">
        <w:t xml:space="preserve">election </w:t>
      </w:r>
      <w:r w:rsidR="00E2560E">
        <w:t xml:space="preserve">day </w:t>
      </w:r>
      <w:r w:rsidR="00895354">
        <w:t>on the 7</w:t>
      </w:r>
      <w:r w:rsidR="00895354" w:rsidRPr="00895354">
        <w:rPr>
          <w:vertAlign w:val="superscript"/>
        </w:rPr>
        <w:t>th</w:t>
      </w:r>
      <w:r w:rsidR="00895354">
        <w:t xml:space="preserve"> of May</w:t>
      </w:r>
      <w:r>
        <w:t>, the opinion polls consistently indicated that the outcome was too close to call and the prospect of a hung parliament</w:t>
      </w:r>
      <w:r w:rsidR="00903950">
        <w:t xml:space="preserve"> therefore</w:t>
      </w:r>
      <w:r>
        <w:t xml:space="preserve"> appeared almost inevitable. Although there was some variation across </w:t>
      </w:r>
      <w:r w:rsidR="00760CD8">
        <w:t xml:space="preserve">polling companies </w:t>
      </w:r>
      <w:r>
        <w:t>in their estimates of the party vote shares</w:t>
      </w:r>
      <w:r w:rsidR="00895354">
        <w:t xml:space="preserve">, </w:t>
      </w:r>
      <w:r w:rsidR="00740002">
        <w:t xml:space="preserve">their </w:t>
      </w:r>
      <w:r>
        <w:t>estimates of the difference between the Conservative and Labour Parties exceeded two percentage points in only 19 out of 91 polls</w:t>
      </w:r>
      <w:r w:rsidR="00895354">
        <w:t xml:space="preserve"> </w:t>
      </w:r>
      <w:r w:rsidR="00895354" w:rsidRPr="00895354">
        <w:t xml:space="preserve">during the short campaign from the 30th </w:t>
      </w:r>
      <w:r w:rsidR="00FC4486">
        <w:t xml:space="preserve">of </w:t>
      </w:r>
      <w:r w:rsidR="00895354" w:rsidRPr="00895354">
        <w:t>March</w:t>
      </w:r>
      <w:r w:rsidR="00895354">
        <w:t xml:space="preserve">, </w:t>
      </w:r>
      <w:r>
        <w:t xml:space="preserve">with zero as the modal estimate of the Conservative lead. </w:t>
      </w:r>
    </w:p>
    <w:p w14:paraId="7D5A120C" w14:textId="1C33C071" w:rsidR="00A35530" w:rsidRDefault="00511576" w:rsidP="00895354">
      <w:pPr>
        <w:spacing w:line="480" w:lineRule="auto"/>
        <w:jc w:val="both"/>
      </w:pPr>
      <w:r>
        <w:t xml:space="preserve">The poll-induced expectation of a dead heat undoubtedly informed party strategies and media coverage during </w:t>
      </w:r>
      <w:r w:rsidR="00E01072">
        <w:t>the campaign</w:t>
      </w:r>
      <w:r>
        <w:t xml:space="preserve"> and may ultimately have influenced the result itself, albeit in ways that are difficult to determine satisfactorily.  In the event, the Conservative</w:t>
      </w:r>
      <w:r w:rsidR="00BE244A">
        <w:t xml:space="preserve"> P</w:t>
      </w:r>
      <w:r w:rsidR="00B979E6">
        <w:t>arty</w:t>
      </w:r>
      <w:r>
        <w:t xml:space="preserve"> won a narrow parliamentary majority, taking 37.</w:t>
      </w:r>
      <w:r w:rsidR="001A4FFE">
        <w:t>7</w:t>
      </w:r>
      <w:r>
        <w:t>% of the popular vote in Great Britain (</w:t>
      </w:r>
      <w:r w:rsidR="009D47DE">
        <w:t xml:space="preserve">and </w:t>
      </w:r>
      <w:r>
        <w:t>33</w:t>
      </w:r>
      <w:r w:rsidR="001A4FFE">
        <w:t>0</w:t>
      </w:r>
      <w:r w:rsidR="009D47DE">
        <w:t xml:space="preserve"> of the 650 seats in the House of Commons</w:t>
      </w:r>
      <w:r>
        <w:t>), compared to 31.2% for the Labour Party (232 seats</w:t>
      </w:r>
      <w:r w:rsidR="001A4FFE">
        <w:t xml:space="preserve">; see Hawkins, et al. 2015 for the </w:t>
      </w:r>
      <w:r w:rsidR="00E43D38">
        <w:t>official</w:t>
      </w:r>
      <w:r w:rsidR="001A4FFE">
        <w:t xml:space="preserve"> results</w:t>
      </w:r>
      <w:r>
        <w:t xml:space="preserve">). </w:t>
      </w:r>
      <w:r w:rsidR="00D06973">
        <w:t xml:space="preserve"> </w:t>
      </w:r>
      <w:r w:rsidR="00D06973" w:rsidRPr="00D06973">
        <w:t>The magnitude of the error</w:t>
      </w:r>
      <w:r w:rsidR="00740002">
        <w:t>s</w:t>
      </w:r>
      <w:r w:rsidR="00D06973" w:rsidRPr="00D06973">
        <w:t xml:space="preserve"> on the Conservative lead, as well as the consistency of the error across </w:t>
      </w:r>
      <w:r w:rsidR="00760CD8">
        <w:t>polling companies (henceforth referred to as “</w:t>
      </w:r>
      <w:r w:rsidR="00D06973" w:rsidRPr="00D06973">
        <w:t>pollsters</w:t>
      </w:r>
      <w:r w:rsidR="00760CD8">
        <w:t>”)</w:t>
      </w:r>
      <w:r w:rsidR="00D06973" w:rsidRPr="00D06973">
        <w:t xml:space="preserve"> </w:t>
      </w:r>
      <w:r w:rsidR="00D06973">
        <w:t xml:space="preserve">strongly </w:t>
      </w:r>
      <w:r w:rsidR="00D06973">
        <w:lastRenderedPageBreak/>
        <w:t>suggest</w:t>
      </w:r>
      <w:r w:rsidR="00E01072">
        <w:t>s</w:t>
      </w:r>
      <w:r w:rsidR="00D06973">
        <w:t xml:space="preserve"> </w:t>
      </w:r>
      <w:r w:rsidR="00D06973" w:rsidRPr="00D06973">
        <w:t>that systematic factors, rather than sampling variability, were the primary causes of the discrepancy.</w:t>
      </w:r>
    </w:p>
    <w:p w14:paraId="389D0945" w14:textId="6F6EC725" w:rsidR="00AB50F9" w:rsidRDefault="00511576" w:rsidP="00D25C6E">
      <w:pPr>
        <w:spacing w:line="480" w:lineRule="auto"/>
        <w:jc w:val="both"/>
      </w:pPr>
      <w:r w:rsidRPr="00511576">
        <w:t>Table 1 presents the final published vote intention estimates for</w:t>
      </w:r>
      <w:r w:rsidR="00740002">
        <w:t xml:space="preserve"> the</w:t>
      </w:r>
      <w:r w:rsidRPr="00511576">
        <w:t xml:space="preserve"> nine </w:t>
      </w:r>
      <w:r w:rsidR="005A66F4">
        <w:t>poll</w:t>
      </w:r>
      <w:r w:rsidR="00D252D8">
        <w:t>sters</w:t>
      </w:r>
      <w:r w:rsidR="005A66F4">
        <w:t xml:space="preserve"> </w:t>
      </w:r>
      <w:r w:rsidR="00740002">
        <w:t>that</w:t>
      </w:r>
      <w:r w:rsidR="005A66F4">
        <w:t xml:space="preserve"> </w:t>
      </w:r>
      <w:r w:rsidR="000A7B32">
        <w:t xml:space="preserve">were </w:t>
      </w:r>
      <w:r w:rsidRPr="00511576">
        <w:t>members</w:t>
      </w:r>
      <w:r w:rsidR="00B979E6">
        <w:t xml:space="preserve"> of the British Polling Council (BPC)</w:t>
      </w:r>
      <w:r w:rsidR="000A7B32">
        <w:t xml:space="preserve"> at the time of the election</w:t>
      </w:r>
      <w:r w:rsidRPr="00511576">
        <w:t>, plus</w:t>
      </w:r>
      <w:r w:rsidR="00E24B0E">
        <w:t xml:space="preserve"> three non-members who published estimates</w:t>
      </w:r>
      <w:r w:rsidRPr="00511576">
        <w:t xml:space="preserve">. </w:t>
      </w:r>
      <w:r w:rsidR="00D87006">
        <w:t xml:space="preserve">These are estimates for Great Britain excluding Northern Ireland, which is the usual population of inference for </w:t>
      </w:r>
      <w:r w:rsidR="00D25C6E">
        <w:t>election</w:t>
      </w:r>
      <w:r w:rsidR="00D87006">
        <w:t xml:space="preserve"> polls in the UK. </w:t>
      </w:r>
      <w:r w:rsidR="00CB1744">
        <w:t>T</w:t>
      </w:r>
      <w:r w:rsidR="00CB1744" w:rsidRPr="00511576">
        <w:t>he estimates for the smaller parties are close to the election result, with mean absolute errors (MAE)</w:t>
      </w:r>
      <w:r w:rsidR="00CB1744" w:rsidRPr="00511576">
        <w:rPr>
          <w:vertAlign w:val="superscript"/>
        </w:rPr>
        <w:t xml:space="preserve"> </w:t>
      </w:r>
      <w:r w:rsidR="00CB1744" w:rsidRPr="00511576">
        <w:t xml:space="preserve">of </w:t>
      </w:r>
      <w:r w:rsidR="00CB1744">
        <w:t>0.9</w:t>
      </w:r>
      <w:r w:rsidR="00CB1744" w:rsidRPr="00511576">
        <w:t>%, 1.4%, 1.</w:t>
      </w:r>
      <w:r w:rsidR="00CB1744">
        <w:t>3</w:t>
      </w:r>
      <w:r w:rsidR="00CB1744" w:rsidRPr="00511576">
        <w:t>%</w:t>
      </w:r>
      <w:r w:rsidR="00CB1744">
        <w:t>, and 1.1%</w:t>
      </w:r>
      <w:r w:rsidR="00CB1744" w:rsidRPr="00511576">
        <w:t xml:space="preserve"> for the Lib</w:t>
      </w:r>
      <w:r w:rsidR="00CB1744">
        <w:t xml:space="preserve">eral </w:t>
      </w:r>
      <w:r w:rsidR="00CB1744" w:rsidRPr="00511576">
        <w:t>Dem</w:t>
      </w:r>
      <w:r w:rsidR="00CB1744">
        <w:t>ocrats</w:t>
      </w:r>
      <w:r w:rsidR="00CB1744" w:rsidRPr="00511576">
        <w:t>, UKIP, Greens</w:t>
      </w:r>
      <w:r w:rsidR="00CB1744">
        <w:t xml:space="preserve"> and other parties (combined) </w:t>
      </w:r>
      <w:r w:rsidR="00CB1744" w:rsidRPr="00511576">
        <w:t>respectively</w:t>
      </w:r>
      <w:r w:rsidR="00B979E6">
        <w:t xml:space="preserve">, all of which are </w:t>
      </w:r>
      <w:r w:rsidRPr="00511576">
        <w:t xml:space="preserve">within the pollsters’ notional margins of error </w:t>
      </w:r>
      <w:r w:rsidR="00B83E2F">
        <w:t xml:space="preserve">for party shares </w:t>
      </w:r>
      <w:r w:rsidRPr="00511576">
        <w:t>due to sampling variability</w:t>
      </w:r>
      <w:r w:rsidR="00B83E2F">
        <w:t xml:space="preserve"> (which are </w:t>
      </w:r>
      <w:r w:rsidR="00B83E2F" w:rsidRPr="00B83E2F">
        <w:t>usually state</w:t>
      </w:r>
      <w:r w:rsidR="00B83E2F">
        <w:t>d</w:t>
      </w:r>
      <w:r w:rsidR="00B83E2F" w:rsidRPr="00B83E2F">
        <w:t xml:space="preserve"> </w:t>
      </w:r>
      <w:r w:rsidR="00B83E2F">
        <w:t>as</w:t>
      </w:r>
      <w:r w:rsidR="00B83E2F" w:rsidRPr="00B83E2F">
        <w:t xml:space="preserve"> +/– 3%</w:t>
      </w:r>
      <w:r w:rsidR="008E7BE3">
        <w:t xml:space="preserve"> for point estimates</w:t>
      </w:r>
      <w:r w:rsidR="00B83E2F">
        <w:t>)</w:t>
      </w:r>
      <w:r w:rsidRPr="00511576">
        <w:t>.  However, for the crucial estimate of the difference between the two main parties, eleven of</w:t>
      </w:r>
      <w:r w:rsidR="00740002">
        <w:t xml:space="preserve"> the</w:t>
      </w:r>
      <w:r w:rsidRPr="00511576">
        <w:t xml:space="preserve"> twelve </w:t>
      </w:r>
      <w:r w:rsidR="00B979E6">
        <w:t xml:space="preserve">Great Britain </w:t>
      </w:r>
      <w:r w:rsidRPr="00511576">
        <w:t xml:space="preserve">polls in Table 1 were </w:t>
      </w:r>
      <w:r w:rsidR="00E24B0E">
        <w:t>some way from the true value</w:t>
      </w:r>
      <w:r w:rsidR="00E2560E">
        <w:t>,</w:t>
      </w:r>
      <w:r w:rsidRPr="00511576">
        <w:t xml:space="preserve"> and attention has</w:t>
      </w:r>
      <w:r w:rsidR="000A7B32">
        <w:t xml:space="preserve"> naturally</w:t>
      </w:r>
      <w:r w:rsidRPr="00511576">
        <w:t xml:space="preserve"> focused on this error. While the election result saw Labour trail the Conservatives by 6.</w:t>
      </w:r>
      <w:r w:rsidR="00E43D38">
        <w:t>5</w:t>
      </w:r>
      <w:r w:rsidRPr="00511576">
        <w:t xml:space="preserve"> percentage points, five polls in the final week reported a </w:t>
      </w:r>
      <w:r w:rsidR="00DA6F5E">
        <w:t>dead heat</w:t>
      </w:r>
      <w:r w:rsidRPr="00511576">
        <w:t xml:space="preserve">, three reported a 1% lead for the Conservatives, two a 1% lead for Labour, and one a 2% lead for Labour. </w:t>
      </w:r>
      <w:r w:rsidR="00637DE2">
        <w:t xml:space="preserve">For </w:t>
      </w:r>
      <w:r w:rsidR="00637DE2" w:rsidRPr="00A2150C">
        <w:t>all</w:t>
      </w:r>
      <w:r w:rsidR="00637DE2">
        <w:t xml:space="preserve"> nine BPC members</w:t>
      </w:r>
      <w:r w:rsidR="0098044D">
        <w:t xml:space="preserve">, </w:t>
      </w:r>
      <w:r w:rsidR="00D8535C">
        <w:t>the notional +/- 3% margin of error does not contain the true election result</w:t>
      </w:r>
      <w:r w:rsidR="0098044D">
        <w:t xml:space="preserve">. </w:t>
      </w:r>
      <w:r w:rsidRPr="00511576">
        <w:t xml:space="preserve">SurveyMonkey </w:t>
      </w:r>
      <w:r w:rsidR="00FD4A43">
        <w:t xml:space="preserve">published the only final </w:t>
      </w:r>
      <w:r w:rsidRPr="00511576">
        <w:t>poll to estimate the lead correctly</w:t>
      </w:r>
      <w:r w:rsidR="00CC2DDA">
        <w:t xml:space="preserve">, although </w:t>
      </w:r>
      <w:r w:rsidR="007D2284">
        <w:t xml:space="preserve">their </w:t>
      </w:r>
      <w:r w:rsidR="00CC2DDA">
        <w:t>estimates were too low for both the Conservatives and La</w:t>
      </w:r>
      <w:r w:rsidR="00D06973">
        <w:t>bour an</w:t>
      </w:r>
      <w:r w:rsidR="00CC2DDA">
        <w:t xml:space="preserve">d, indeed, had </w:t>
      </w:r>
      <w:r w:rsidR="00CC2DDA" w:rsidRPr="00CC2DDA">
        <w:t>higher MAE across all parties than the average of the other polls</w:t>
      </w:r>
      <w:r w:rsidR="00D06973">
        <w:t>.</w:t>
      </w:r>
      <w:r w:rsidR="00FD4A43">
        <w:t xml:space="preserve"> </w:t>
      </w:r>
      <w:bookmarkStart w:id="0" w:name="_Toc320348036"/>
    </w:p>
    <w:p w14:paraId="7C50B2AC" w14:textId="7B79602C" w:rsidR="00511576" w:rsidRPr="00354EA5" w:rsidRDefault="000E499D" w:rsidP="00AB50F9">
      <w:pPr>
        <w:spacing w:line="480" w:lineRule="auto"/>
        <w:jc w:val="center"/>
        <w:rPr>
          <w:bCs/>
        </w:rPr>
      </w:pPr>
      <w:r w:rsidRPr="00354EA5">
        <w:rPr>
          <w:bCs/>
        </w:rPr>
        <w:t>-----</w:t>
      </w:r>
      <w:r w:rsidR="00354EA5">
        <w:rPr>
          <w:bCs/>
        </w:rPr>
        <w:t xml:space="preserve"> </w:t>
      </w:r>
      <w:r w:rsidRPr="00354EA5">
        <w:rPr>
          <w:bCs/>
        </w:rPr>
        <w:t>[</w:t>
      </w:r>
      <w:r w:rsidR="00511576" w:rsidRPr="00354EA5">
        <w:rPr>
          <w:bCs/>
        </w:rPr>
        <w:t xml:space="preserve">Table </w:t>
      </w:r>
      <w:r w:rsidR="00511576" w:rsidRPr="00354EA5">
        <w:rPr>
          <w:bCs/>
        </w:rPr>
        <w:fldChar w:fldCharType="begin"/>
      </w:r>
      <w:r w:rsidR="00511576" w:rsidRPr="00354EA5">
        <w:rPr>
          <w:bCs/>
        </w:rPr>
        <w:instrText xml:space="preserve"> SEQ Table \* ARABIC </w:instrText>
      </w:r>
      <w:r w:rsidR="00511576" w:rsidRPr="00354EA5">
        <w:rPr>
          <w:bCs/>
        </w:rPr>
        <w:fldChar w:fldCharType="separate"/>
      </w:r>
      <w:r w:rsidR="00657E06">
        <w:rPr>
          <w:bCs/>
          <w:noProof/>
        </w:rPr>
        <w:t>1</w:t>
      </w:r>
      <w:r w:rsidR="00511576" w:rsidRPr="00354EA5">
        <w:fldChar w:fldCharType="end"/>
      </w:r>
      <w:bookmarkEnd w:id="0"/>
      <w:r w:rsidR="00511576" w:rsidRPr="00354EA5">
        <w:rPr>
          <w:bCs/>
        </w:rPr>
        <w:t xml:space="preserve"> here</w:t>
      </w:r>
      <w:r w:rsidRPr="00354EA5">
        <w:rPr>
          <w:bCs/>
        </w:rPr>
        <w:t>]</w:t>
      </w:r>
      <w:r w:rsidR="00354EA5">
        <w:rPr>
          <w:bCs/>
        </w:rPr>
        <w:t xml:space="preserve"> </w:t>
      </w:r>
      <w:r w:rsidRPr="00354EA5">
        <w:rPr>
          <w:bCs/>
        </w:rPr>
        <w:t>-----</w:t>
      </w:r>
    </w:p>
    <w:p w14:paraId="3EE36AEB" w14:textId="63AE360A" w:rsidR="00511576" w:rsidRDefault="00511576" w:rsidP="00912449">
      <w:pPr>
        <w:spacing w:line="480" w:lineRule="auto"/>
        <w:jc w:val="both"/>
      </w:pPr>
      <w:r w:rsidRPr="00511576">
        <w:t>In Scotland, the three polls conducted in the final week over-estimated the Labour vote share by an average of 2.4 and under-estimated the SNP share by 2.7</w:t>
      </w:r>
      <w:r w:rsidR="00D252D8">
        <w:t xml:space="preserve"> percentage points</w:t>
      </w:r>
      <w:r w:rsidRPr="00511576">
        <w:t xml:space="preserve">.  </w:t>
      </w:r>
      <w:r w:rsidR="00B947EC">
        <w:t>T</w:t>
      </w:r>
      <w:r w:rsidRPr="00511576">
        <w:t xml:space="preserve">he average error of 5.1 </w:t>
      </w:r>
      <w:r w:rsidR="00740002">
        <w:t xml:space="preserve">percentage </w:t>
      </w:r>
      <w:r w:rsidRPr="00511576">
        <w:t xml:space="preserve">points on the lead of the SNP over Labour in Scotland was </w:t>
      </w:r>
      <w:r w:rsidR="00B947EC">
        <w:t>only slightly</w:t>
      </w:r>
      <w:r w:rsidRPr="00511576">
        <w:t xml:space="preserve"> smaller than the average error on the lead of the Conservatives over Labour </w:t>
      </w:r>
      <w:r w:rsidR="00E2560E">
        <w:t xml:space="preserve">in the </w:t>
      </w:r>
      <w:r w:rsidRPr="00511576">
        <w:t>polls</w:t>
      </w:r>
      <w:r w:rsidR="00E2560E">
        <w:t xml:space="preserve"> for Great Britain</w:t>
      </w:r>
      <w:r w:rsidRPr="00511576">
        <w:t xml:space="preserve">. </w:t>
      </w:r>
    </w:p>
    <w:p w14:paraId="5D7CE547" w14:textId="4966CDD6" w:rsidR="00613219" w:rsidRDefault="00BB377A" w:rsidP="00912449">
      <w:pPr>
        <w:spacing w:line="480" w:lineRule="auto"/>
        <w:jc w:val="both"/>
      </w:pPr>
      <w:r>
        <w:lastRenderedPageBreak/>
        <w:t xml:space="preserve">These errors were not </w:t>
      </w:r>
      <w:r w:rsidR="00FA04F4">
        <w:t>just a cause of embarrassment</w:t>
      </w:r>
      <w:r>
        <w:t xml:space="preserve"> for</w:t>
      </w:r>
      <w:r w:rsidR="00DB1CE5">
        <w:t xml:space="preserve"> the</w:t>
      </w:r>
      <w:r>
        <w:t xml:space="preserve"> po</w:t>
      </w:r>
      <w:r w:rsidR="00FA04F4">
        <w:t>llsters. M</w:t>
      </w:r>
      <w:r w:rsidR="00FA04F4" w:rsidRPr="004A3F1B">
        <w:t xml:space="preserve">edia sponsors publicly questioned the quality and value of the </w:t>
      </w:r>
      <w:r w:rsidR="008E7BE3">
        <w:t xml:space="preserve">research </w:t>
      </w:r>
      <w:r w:rsidR="00FA04F4">
        <w:t>they had commissioned, with a</w:t>
      </w:r>
      <w:r w:rsidR="00FA04F4" w:rsidRPr="004A3F1B">
        <w:t>t least one national newspaper stat</w:t>
      </w:r>
      <w:r w:rsidR="002F438F">
        <w:t>ing</w:t>
      </w:r>
      <w:r w:rsidR="00FA04F4" w:rsidRPr="004A3F1B">
        <w:t xml:space="preserve"> that it would afford less prominence to </w:t>
      </w:r>
      <w:r w:rsidR="00DA6F5E">
        <w:t xml:space="preserve">election </w:t>
      </w:r>
      <w:r w:rsidR="00FA04F4" w:rsidRPr="004A3F1B">
        <w:t xml:space="preserve">polling in its political coverage in the future.  Politicians and peers suggested that the polling inaccuracies had affected the outcome of the election, speculating that Labour might have done better had the polls been accurate.  A private members’ bill was introduced in the House of Lords on </w:t>
      </w:r>
      <w:r w:rsidR="00FC4486">
        <w:t xml:space="preserve">the </w:t>
      </w:r>
      <w:r w:rsidR="00FA04F4" w:rsidRPr="004A3F1B">
        <w:t>28</w:t>
      </w:r>
      <w:r w:rsidR="00FA04F4" w:rsidRPr="004A3F1B">
        <w:rPr>
          <w:vertAlign w:val="superscript"/>
        </w:rPr>
        <w:t>th</w:t>
      </w:r>
      <w:r w:rsidR="00FA04F4" w:rsidRPr="004A3F1B">
        <w:t xml:space="preserve"> </w:t>
      </w:r>
      <w:r w:rsidR="00FC4486">
        <w:t xml:space="preserve">of </w:t>
      </w:r>
      <w:r w:rsidR="00FA04F4" w:rsidRPr="004A3F1B">
        <w:t>May</w:t>
      </w:r>
      <w:r w:rsidR="002949E6">
        <w:t xml:space="preserve"> 2015</w:t>
      </w:r>
      <w:r w:rsidR="00FA04F4" w:rsidRPr="004A3F1B">
        <w:t>, proposing state regulation of the polling industry</w:t>
      </w:r>
      <w:r w:rsidR="00FC4486">
        <w:t xml:space="preserve"> (</w:t>
      </w:r>
      <w:r w:rsidR="00FC4486" w:rsidRPr="00FC4486">
        <w:rPr>
          <w:i/>
        </w:rPr>
        <w:t>Regulation of Political Opinion Polling Bill [HL] 2015-16</w:t>
      </w:r>
      <w:r w:rsidR="00FC4486">
        <w:t>).</w:t>
      </w:r>
      <w:r w:rsidR="00FA04F4" w:rsidRPr="004A3F1B">
        <w:t xml:space="preserve">  Concern was also expressed by social and market research industry professionals</w:t>
      </w:r>
      <w:r w:rsidR="00B233AB">
        <w:t>;</w:t>
      </w:r>
      <w:r w:rsidR="00DB1CE5">
        <w:t xml:space="preserve"> a</w:t>
      </w:r>
      <w:r w:rsidR="00FA04F4" w:rsidRPr="004A3F1B">
        <w:t xml:space="preserve">s the most direct way the public encounters survey and opinion research, it was feared that the failure of the polls might have negative consequences for public confidence in social and market research and official statistics more generally. </w:t>
      </w:r>
      <w:r w:rsidR="00FA04F4">
        <w:t xml:space="preserve"> </w:t>
      </w:r>
    </w:p>
    <w:p w14:paraId="519E58D4" w14:textId="07DAD66C" w:rsidR="00D715B9" w:rsidRDefault="00FA04F4" w:rsidP="00F93C8C">
      <w:pPr>
        <w:spacing w:line="480" w:lineRule="auto"/>
        <w:jc w:val="both"/>
      </w:pPr>
      <w:r>
        <w:t xml:space="preserve">It is therefore important that we understand what went wrong with the general election opinion polls in 2015, in order that the risks of similar failures in the future are </w:t>
      </w:r>
      <w:r w:rsidR="00BE244A">
        <w:t>reduced</w:t>
      </w:r>
      <w:r>
        <w:t>. This is o</w:t>
      </w:r>
      <w:r w:rsidR="00BB377A">
        <w:t xml:space="preserve">ur objective </w:t>
      </w:r>
      <w:r>
        <w:t>in this paper</w:t>
      </w:r>
      <w:r w:rsidR="00B947EC">
        <w:t xml:space="preserve">. </w:t>
      </w:r>
      <w:r w:rsidR="00D715B9">
        <w:t xml:space="preserve">Similar investigations have </w:t>
      </w:r>
      <w:r w:rsidR="00F93C8C">
        <w:t>been carried out in the aftermath of previous historical polling errors, both in the UK (Market Research Society, 1994) and in the United States (</w:t>
      </w:r>
      <w:proofErr w:type="spellStart"/>
      <w:r w:rsidR="00F93C8C">
        <w:t>Crossley</w:t>
      </w:r>
      <w:proofErr w:type="spellEnd"/>
      <w:r w:rsidR="00F93C8C">
        <w:t xml:space="preserve">, 1936; </w:t>
      </w:r>
      <w:proofErr w:type="spellStart"/>
      <w:r w:rsidR="00F93C8C">
        <w:t>Mosteller</w:t>
      </w:r>
      <w:proofErr w:type="spellEnd"/>
      <w:r w:rsidR="00F93C8C">
        <w:t xml:space="preserve"> et al, 1949; </w:t>
      </w:r>
      <w:proofErr w:type="spellStart"/>
      <w:r w:rsidR="00F93C8C">
        <w:t>Traugott</w:t>
      </w:r>
      <w:proofErr w:type="spellEnd"/>
      <w:r w:rsidR="00F93C8C">
        <w:t xml:space="preserve"> et al, 2009; Kennedy et al, 2016) and have resulted in important changes to the conduct and reporting of polls (Converse, 1987).</w:t>
      </w:r>
    </w:p>
    <w:p w14:paraId="46513EB8" w14:textId="17067301" w:rsidR="00E2560E" w:rsidRPr="00C37C80" w:rsidRDefault="007B21B4">
      <w:pPr>
        <w:spacing w:line="480" w:lineRule="auto"/>
        <w:jc w:val="both"/>
      </w:pPr>
      <w:r>
        <w:t>We draw</w:t>
      </w:r>
      <w:r w:rsidR="00F93C8C">
        <w:t xml:space="preserve"> here</w:t>
      </w:r>
      <w:r>
        <w:t xml:space="preserve"> upon the findings and conclusions set out in the report of the inquiry </w:t>
      </w:r>
      <w:r w:rsidR="00E25C67">
        <w:t xml:space="preserve">into the failure of the polls in 2015 that was </w:t>
      </w:r>
      <w:r>
        <w:t>established by the British Polling Council and Market Research Society</w:t>
      </w:r>
      <w:r w:rsidR="00E25C67">
        <w:t xml:space="preserve"> (Sturgis et al 2016)</w:t>
      </w:r>
      <w:r w:rsidR="00E25C67" w:rsidRPr="00C37C80">
        <w:t xml:space="preserve">. </w:t>
      </w:r>
      <w:r w:rsidR="00C51487">
        <w:t>In addition to the material contained in</w:t>
      </w:r>
      <w:r w:rsidR="00E25C67">
        <w:t xml:space="preserve"> that report, we provide a more detailed and formal account of the methodology of vote share estimation using opinion polls</w:t>
      </w:r>
      <w:r w:rsidR="00C51487">
        <w:t>, drawing out</w:t>
      </w:r>
      <w:r w:rsidR="00E25C67">
        <w:t xml:space="preserve"> the key assumptions upon which </w:t>
      </w:r>
      <w:r w:rsidR="00C51487">
        <w:t>the methodology</w:t>
      </w:r>
      <w:r w:rsidR="00E25C67">
        <w:t xml:space="preserve"> is based</w:t>
      </w:r>
      <w:r w:rsidR="00C51487">
        <w:t xml:space="preserve"> and using this to structure our presentation and interpretation of findings. We also </w:t>
      </w:r>
      <w:r w:rsidR="000A56AA">
        <w:t>set out</w:t>
      </w:r>
      <w:r w:rsidR="00C51487">
        <w:t xml:space="preserve"> a</w:t>
      </w:r>
      <w:r w:rsidR="00740002">
        <w:t xml:space="preserve"> new</w:t>
      </w:r>
      <w:r w:rsidR="00C51487">
        <w:t xml:space="preserve"> procedure which can be used to produce estimates of the </w:t>
      </w:r>
      <w:r w:rsidR="003E7CDE">
        <w:t xml:space="preserve">sampling </w:t>
      </w:r>
      <w:r w:rsidR="00C51487">
        <w:t>variability of opinion polls collected using quota sampling</w:t>
      </w:r>
      <w:r w:rsidR="000A56AA">
        <w:t>,</w:t>
      </w:r>
      <w:r w:rsidR="00C51487">
        <w:t xml:space="preserve"> which </w:t>
      </w:r>
      <w:r w:rsidR="00C51487">
        <w:lastRenderedPageBreak/>
        <w:t>better reflect</w:t>
      </w:r>
      <w:r w:rsidR="00A92948">
        <w:t>s</w:t>
      </w:r>
      <w:r w:rsidR="00C51487">
        <w:t xml:space="preserve"> the</w:t>
      </w:r>
      <w:r w:rsidR="000A56AA">
        <w:t xml:space="preserve">ir design </w:t>
      </w:r>
      <w:r w:rsidR="003E7CDE">
        <w:t>than</w:t>
      </w:r>
      <w:r w:rsidR="000A56AA">
        <w:t xml:space="preserve"> the </w:t>
      </w:r>
      <w:r w:rsidR="003E7CDE">
        <w:t xml:space="preserve">(sample size invariant) </w:t>
      </w:r>
      <w:r w:rsidR="00F251A0">
        <w:t xml:space="preserve">+/- 3% </w:t>
      </w:r>
      <w:r w:rsidR="000A56AA">
        <w:t>rule of thumb for the ‘margin of error’.</w:t>
      </w:r>
    </w:p>
    <w:p w14:paraId="19BA13CF" w14:textId="7C107DBF" w:rsidR="00C8230C" w:rsidRDefault="00B947EC" w:rsidP="00C37C80">
      <w:pPr>
        <w:spacing w:line="480" w:lineRule="auto"/>
        <w:jc w:val="both"/>
      </w:pPr>
      <w:r w:rsidRPr="001A4F0C">
        <w:t xml:space="preserve">The remainder of the paper is </w:t>
      </w:r>
      <w:r w:rsidR="00740002">
        <w:t>structured</w:t>
      </w:r>
      <w:r w:rsidRPr="001A4F0C">
        <w:t xml:space="preserve"> as follows. </w:t>
      </w:r>
      <w:r w:rsidR="00793290">
        <w:t>In section 2 w</w:t>
      </w:r>
      <w:r w:rsidRPr="001A4F0C">
        <w:t xml:space="preserve">e </w:t>
      </w:r>
      <w:r w:rsidR="00F00DB0" w:rsidRPr="001A4F0C">
        <w:t>describe the methodology</w:t>
      </w:r>
      <w:r w:rsidR="00D8535C">
        <w:t xml:space="preserve"> </w:t>
      </w:r>
      <w:r w:rsidR="00D8535C" w:rsidRPr="001A4F0C">
        <w:t>of the 2015</w:t>
      </w:r>
      <w:r w:rsidR="00D8535C">
        <w:t xml:space="preserve"> opinion polls</w:t>
      </w:r>
      <w:r w:rsidR="00793290">
        <w:t>,</w:t>
      </w:r>
      <w:r w:rsidR="00D8535C">
        <w:t xml:space="preserve"> the assumptions required for valid point estimation</w:t>
      </w:r>
      <w:r w:rsidR="00793290">
        <w:t>,</w:t>
      </w:r>
      <w:r w:rsidR="00D8535C">
        <w:t xml:space="preserve"> </w:t>
      </w:r>
      <w:r w:rsidR="007105A4">
        <w:t>and the new methodology</w:t>
      </w:r>
      <w:r w:rsidR="00A92948">
        <w:t xml:space="preserve"> we propose</w:t>
      </w:r>
      <w:r w:rsidR="007105A4">
        <w:t xml:space="preserve"> for variance estimation. T</w:t>
      </w:r>
      <w:r w:rsidR="001A4F0C">
        <w:t xml:space="preserve">he data </w:t>
      </w:r>
      <w:r w:rsidR="00047EE8">
        <w:t xml:space="preserve">we </w:t>
      </w:r>
      <w:r w:rsidR="001A4F0C">
        <w:t>used</w:t>
      </w:r>
      <w:r w:rsidR="00E33564">
        <w:t xml:space="preserve"> to evaluate the causes of the polling errors</w:t>
      </w:r>
      <w:r w:rsidR="007105A4">
        <w:t xml:space="preserve"> </w:t>
      </w:r>
      <w:r w:rsidR="00740002">
        <w:t>is</w:t>
      </w:r>
      <w:r w:rsidR="007105A4">
        <w:t xml:space="preserve"> described in Section 3 and t</w:t>
      </w:r>
      <w:r w:rsidR="00E33564">
        <w:t>he results</w:t>
      </w:r>
      <w:r w:rsidR="00306835">
        <w:t xml:space="preserve"> and interpretation</w:t>
      </w:r>
      <w:r w:rsidR="00E33564">
        <w:t xml:space="preserve"> of our analyses are</w:t>
      </w:r>
      <w:r w:rsidR="00047EE8">
        <w:t xml:space="preserve"> </w:t>
      </w:r>
      <w:r w:rsidR="00B30382">
        <w:t xml:space="preserve">in Section 4, </w:t>
      </w:r>
      <w:r w:rsidR="001656A6">
        <w:t xml:space="preserve">where </w:t>
      </w:r>
      <w:r w:rsidR="00E33564">
        <w:t xml:space="preserve">we </w:t>
      </w:r>
      <w:r w:rsidR="00047EE8">
        <w:t>focus on</w:t>
      </w:r>
      <w:r w:rsidR="00E33564">
        <w:t xml:space="preserve"> the</w:t>
      </w:r>
      <w:r w:rsidR="00047EE8">
        <w:t xml:space="preserve"> </w:t>
      </w:r>
      <w:r w:rsidR="001656A6">
        <w:t>three</w:t>
      </w:r>
      <w:r w:rsidR="00E33564">
        <w:t xml:space="preserve"> key</w:t>
      </w:r>
      <w:r w:rsidR="001656A6">
        <w:t xml:space="preserve"> </w:t>
      </w:r>
      <w:r w:rsidR="003D7A25">
        <w:t>potential</w:t>
      </w:r>
      <w:r w:rsidR="00E33564">
        <w:t xml:space="preserve"> </w:t>
      </w:r>
      <w:r w:rsidR="001656A6">
        <w:t>factors</w:t>
      </w:r>
      <w:r w:rsidR="00B30382">
        <w:t>:</w:t>
      </w:r>
      <w:r w:rsidR="00E01072" w:rsidRPr="00E01072">
        <w:t xml:space="preserve"> late swing, turnout weighting, </w:t>
      </w:r>
      <w:r w:rsidR="00047EE8">
        <w:t xml:space="preserve">and </w:t>
      </w:r>
      <w:r w:rsidR="00E01072" w:rsidRPr="00E01072">
        <w:t>sampl</w:t>
      </w:r>
      <w:r w:rsidR="003D7A25">
        <w:t>ing</w:t>
      </w:r>
      <w:r w:rsidR="00E01072" w:rsidRPr="00E01072">
        <w:t>.</w:t>
      </w:r>
      <w:r w:rsidR="00B30382">
        <w:t xml:space="preserve"> </w:t>
      </w:r>
      <w:r w:rsidR="00B233AB">
        <w:t xml:space="preserve">Our </w:t>
      </w:r>
      <w:r w:rsidR="00B30382">
        <w:t xml:space="preserve">conclusion from these analyses </w:t>
      </w:r>
      <w:r w:rsidR="00B30382" w:rsidRPr="00C37C80">
        <w:t xml:space="preserve">is that the polling miss in 2015 </w:t>
      </w:r>
      <w:r w:rsidR="00B233AB">
        <w:t>occurred</w:t>
      </w:r>
      <w:r w:rsidR="00A92948">
        <w:t xml:space="preserve"> primarily</w:t>
      </w:r>
      <w:r w:rsidR="00B233AB">
        <w:t xml:space="preserve"> because</w:t>
      </w:r>
      <w:r w:rsidR="001656A6" w:rsidRPr="00C37C80">
        <w:t xml:space="preserve"> </w:t>
      </w:r>
      <w:r w:rsidR="00B30382" w:rsidRPr="00C37C80">
        <w:t>the</w:t>
      </w:r>
      <w:r w:rsidR="00E33564" w:rsidRPr="00C37C80">
        <w:t xml:space="preserve"> procedures used by the pollsters to recruit respondents produced </w:t>
      </w:r>
      <w:r w:rsidR="00B30382" w:rsidRPr="00C37C80">
        <w:t>samples</w:t>
      </w:r>
      <w:r w:rsidR="00FE28BB">
        <w:t xml:space="preserve"> which</w:t>
      </w:r>
      <w:r w:rsidR="00306835" w:rsidRPr="00C37C80">
        <w:t xml:space="preserve"> </w:t>
      </w:r>
      <w:r w:rsidR="001656A6" w:rsidRPr="00C37C80">
        <w:t xml:space="preserve">were </w:t>
      </w:r>
      <w:r w:rsidR="001F7E9D" w:rsidRPr="00C37C80">
        <w:t xml:space="preserve">unrepresentative of the </w:t>
      </w:r>
      <w:r w:rsidR="00E33564" w:rsidRPr="00C37C80">
        <w:t xml:space="preserve">target </w:t>
      </w:r>
      <w:r w:rsidR="001F7E9D" w:rsidRPr="00C37C80">
        <w:t>population’s voting intention</w:t>
      </w:r>
      <w:r w:rsidR="00740002">
        <w:t>s</w:t>
      </w:r>
      <w:r w:rsidR="00FE28BB">
        <w:t>.</w:t>
      </w:r>
      <w:r w:rsidR="001F7E9D" w:rsidRPr="00C37C80">
        <w:t xml:space="preserve"> </w:t>
      </w:r>
      <w:r w:rsidR="00FE28BB">
        <w:t>T</w:t>
      </w:r>
      <w:r w:rsidR="00E33564" w:rsidRPr="00C37C80">
        <w:t>hese biases</w:t>
      </w:r>
      <w:r w:rsidR="001F7E9D" w:rsidRPr="00C37C80">
        <w:t xml:space="preserve"> were not </w:t>
      </w:r>
      <w:r w:rsidR="003D7A25" w:rsidRPr="00C37C80">
        <w:t xml:space="preserve">mitigated </w:t>
      </w:r>
      <w:r w:rsidR="001F7E9D" w:rsidRPr="00C37C80">
        <w:t>by the statistical adjustments</w:t>
      </w:r>
      <w:r w:rsidR="00E33564" w:rsidRPr="00C37C80">
        <w:t xml:space="preserve"> that pollsters</w:t>
      </w:r>
      <w:r w:rsidR="001F7E9D" w:rsidRPr="00C37C80">
        <w:t xml:space="preserve"> </w:t>
      </w:r>
      <w:r w:rsidR="003D7A25" w:rsidRPr="00C37C80">
        <w:t>applied to the raw data</w:t>
      </w:r>
      <w:r w:rsidR="00740002">
        <w:t>.</w:t>
      </w:r>
      <w:r w:rsidR="001656A6" w:rsidRPr="00C37C80">
        <w:t xml:space="preserve"> </w:t>
      </w:r>
      <w:r w:rsidR="00E33564" w:rsidRPr="00C37C80">
        <w:t xml:space="preserve">Other factors made, at most, a </w:t>
      </w:r>
      <w:r w:rsidR="00E33564" w:rsidRPr="00DD60D7">
        <w:t>very</w:t>
      </w:r>
      <w:r w:rsidR="00E33564" w:rsidRPr="00C37C80">
        <w:t xml:space="preserve"> modest contribution.</w:t>
      </w:r>
      <w:r w:rsidR="00027DE6">
        <w:t xml:space="preserve"> </w:t>
      </w:r>
      <w:r w:rsidR="00047EE8" w:rsidRPr="00B233AB">
        <w:t xml:space="preserve">Concluding remarks are given in Section 5. </w:t>
      </w:r>
      <w:bookmarkStart w:id="1" w:name="_Toc320346446"/>
      <w:bookmarkStart w:id="2" w:name="_Toc320349693"/>
    </w:p>
    <w:p w14:paraId="409C8E00" w14:textId="77777777" w:rsidR="00740002" w:rsidRDefault="00740002" w:rsidP="00C37C80">
      <w:pPr>
        <w:spacing w:line="480" w:lineRule="auto"/>
        <w:jc w:val="both"/>
      </w:pPr>
    </w:p>
    <w:p w14:paraId="7091F773" w14:textId="5CA14A2F" w:rsidR="00312C4D" w:rsidRPr="001F7E9D" w:rsidRDefault="00E42E1D" w:rsidP="00D05286">
      <w:pPr>
        <w:spacing w:line="480" w:lineRule="auto"/>
        <w:rPr>
          <w:b/>
          <w:bCs/>
        </w:rPr>
      </w:pPr>
      <w:r>
        <w:rPr>
          <w:b/>
          <w:bCs/>
        </w:rPr>
        <w:t xml:space="preserve">2. </w:t>
      </w:r>
      <w:r w:rsidR="00312C4D" w:rsidRPr="00312C4D">
        <w:rPr>
          <w:b/>
          <w:bCs/>
        </w:rPr>
        <w:t>The methodology of</w:t>
      </w:r>
      <w:r w:rsidR="00E24B0E">
        <w:rPr>
          <w:b/>
          <w:bCs/>
        </w:rPr>
        <w:t xml:space="preserve"> </w:t>
      </w:r>
      <w:r w:rsidR="00B30382">
        <w:rPr>
          <w:b/>
          <w:bCs/>
        </w:rPr>
        <w:t xml:space="preserve">pre-election </w:t>
      </w:r>
      <w:r w:rsidR="00312C4D" w:rsidRPr="00312C4D">
        <w:rPr>
          <w:b/>
          <w:bCs/>
        </w:rPr>
        <w:t>polls</w:t>
      </w:r>
      <w:bookmarkEnd w:id="1"/>
      <w:bookmarkEnd w:id="2"/>
      <w:r w:rsidR="00312C4D" w:rsidRPr="00312C4D">
        <w:rPr>
          <w:b/>
          <w:bCs/>
        </w:rPr>
        <w:t xml:space="preserve"> </w:t>
      </w:r>
    </w:p>
    <w:p w14:paraId="1DAE03ED" w14:textId="77777777" w:rsidR="00D05286" w:rsidRDefault="00D05286" w:rsidP="00D05286">
      <w:pPr>
        <w:spacing w:line="480" w:lineRule="auto"/>
        <w:rPr>
          <w:b/>
        </w:rPr>
      </w:pPr>
      <w:r w:rsidRPr="00D05286">
        <w:rPr>
          <w:b/>
        </w:rPr>
        <w:t>2.1 Point estimation of vote shares</w:t>
      </w:r>
    </w:p>
    <w:p w14:paraId="5131266F" w14:textId="2466A7C1" w:rsidR="00CE517B" w:rsidRDefault="008F3828">
      <w:pPr>
        <w:spacing w:line="480" w:lineRule="auto"/>
        <w:jc w:val="both"/>
      </w:pPr>
      <w:r>
        <w:t>The</w:t>
      </w:r>
      <w:r w:rsidRPr="00312C4D">
        <w:t xml:space="preserve"> </w:t>
      </w:r>
      <w:r w:rsidR="00312C4D" w:rsidRPr="00312C4D">
        <w:t xml:space="preserve">polls conducted before the 2015 general election </w:t>
      </w:r>
      <w:r w:rsidR="00BB377A">
        <w:t>employed</w:t>
      </w:r>
      <w:r w:rsidR="00312C4D" w:rsidRPr="00312C4D">
        <w:t xml:space="preserve"> one of two data collection modes: online </w:t>
      </w:r>
      <w:r w:rsidR="003D7A25">
        <w:t>self-completion</w:t>
      </w:r>
      <w:r w:rsidR="003D7A25" w:rsidRPr="00312C4D">
        <w:t xml:space="preserve"> </w:t>
      </w:r>
      <w:r w:rsidR="00312C4D" w:rsidRPr="00312C4D">
        <w:t>or computer assist</w:t>
      </w:r>
      <w:r w:rsidR="00CF7AB0">
        <w:t>ed telephone interviewing</w:t>
      </w:r>
      <w:r w:rsidR="00312C4D" w:rsidRPr="00312C4D">
        <w:t>.</w:t>
      </w:r>
      <w:r w:rsidR="00306835">
        <w:t xml:space="preserve"> </w:t>
      </w:r>
      <w:r w:rsidR="000B039F">
        <w:t xml:space="preserve">For </w:t>
      </w:r>
      <w:r w:rsidR="00A85FA7">
        <w:t xml:space="preserve">the </w:t>
      </w:r>
      <w:r w:rsidR="000B039F">
        <w:t xml:space="preserve">selection of respondents, </w:t>
      </w:r>
      <w:r w:rsidR="004140B0">
        <w:t xml:space="preserve">all of the polls employed nonprobability (quota) rather than </w:t>
      </w:r>
      <w:r w:rsidR="000B039F">
        <w:t xml:space="preserve">probability sampling, so </w:t>
      </w:r>
      <w:r w:rsidR="00E353F8">
        <w:t xml:space="preserve">for estimation </w:t>
      </w:r>
      <w:r w:rsidR="000B039F">
        <w:t xml:space="preserve">they cannot directly apply the </w:t>
      </w:r>
      <w:r w:rsidR="00DD60D7">
        <w:t>well</w:t>
      </w:r>
      <w:r w:rsidR="00A85FA7">
        <w:t>-</w:t>
      </w:r>
      <w:r w:rsidR="00DD60D7">
        <w:t>established</w:t>
      </w:r>
      <w:r w:rsidR="000B039F">
        <w:t xml:space="preserve"> theory for </w:t>
      </w:r>
      <w:r w:rsidR="004140B0">
        <w:t xml:space="preserve">probability </w:t>
      </w:r>
      <w:r w:rsidR="000B039F">
        <w:t>sampling (Kish 1965; Groves et al. 2009)</w:t>
      </w:r>
      <w:r w:rsidR="004140B0">
        <w:t>.</w:t>
      </w:r>
      <w:r w:rsidR="000B039F">
        <w:t xml:space="preserve"> </w:t>
      </w:r>
      <w:r w:rsidR="00306835">
        <w:t>T</w:t>
      </w:r>
      <w:r w:rsidR="00E33564">
        <w:t>he operational procedures employed to recruit respondents were diverse and incorporated a range of random and purposive selection mechanisms (see Sturgis et al 2016 for a more detailed account of these procedures).</w:t>
      </w:r>
      <w:r w:rsidR="00312C4D" w:rsidRPr="00312C4D">
        <w:t xml:space="preserve"> </w:t>
      </w:r>
      <w:r>
        <w:t>A</w:t>
      </w:r>
      <w:r w:rsidR="00312C4D" w:rsidRPr="00312C4D">
        <w:t>ll GB pollsters</w:t>
      </w:r>
      <w:r>
        <w:t>, however,</w:t>
      </w:r>
      <w:r w:rsidR="00312C4D" w:rsidRPr="00312C4D">
        <w:t xml:space="preserve"> took a common</w:t>
      </w:r>
      <w:r w:rsidR="00537EF7">
        <w:t xml:space="preserve"> general</w:t>
      </w:r>
      <w:r w:rsidR="00ED4843">
        <w:t xml:space="preserve"> </w:t>
      </w:r>
      <w:r w:rsidR="00312C4D" w:rsidRPr="00312C4D">
        <w:t xml:space="preserve">approach to sampling and estimation: they assembled a quota sample of eligible individuals, </w:t>
      </w:r>
      <w:r w:rsidR="00AF52FB">
        <w:t>calculated</w:t>
      </w:r>
      <w:r w:rsidR="00ED4843">
        <w:t xml:space="preserve"> a</w:t>
      </w:r>
      <w:r w:rsidR="00AF52FB">
        <w:t xml:space="preserve"> </w:t>
      </w:r>
      <w:r w:rsidR="00312C4D" w:rsidRPr="00312C4D">
        <w:t xml:space="preserve">weight to </w:t>
      </w:r>
      <w:r w:rsidR="00AF52FB">
        <w:t>match</w:t>
      </w:r>
      <w:r>
        <w:t xml:space="preserve"> the sample to</w:t>
      </w:r>
      <w:r w:rsidR="00AF52FB">
        <w:t xml:space="preserve"> known population distributions </w:t>
      </w:r>
      <w:r>
        <w:t xml:space="preserve">for a set of </w:t>
      </w:r>
      <w:r w:rsidR="00B4325F">
        <w:t xml:space="preserve">auxiliary </w:t>
      </w:r>
      <w:r w:rsidR="00AF52FB">
        <w:lastRenderedPageBreak/>
        <w:t>variables and</w:t>
      </w:r>
      <w:r w:rsidR="00ED4843">
        <w:t xml:space="preserve"> a weight</w:t>
      </w:r>
      <w:r w:rsidR="00AF52FB">
        <w:t xml:space="preserve"> to </w:t>
      </w:r>
      <w:r>
        <w:t xml:space="preserve">account for differential likelihood of </w:t>
      </w:r>
      <w:r w:rsidR="00AF52FB">
        <w:t>voting</w:t>
      </w:r>
      <w:r w:rsidR="00FE28BB">
        <w:t>. They then</w:t>
      </w:r>
      <w:r w:rsidR="001974E2">
        <w:t xml:space="preserve"> combined these two weights and</w:t>
      </w:r>
      <w:r w:rsidR="00FE28BB">
        <w:t xml:space="preserve"> </w:t>
      </w:r>
      <w:r w:rsidR="00312C4D" w:rsidRPr="00312C4D">
        <w:t>produced weighted</w:t>
      </w:r>
      <w:r w:rsidR="00E57168">
        <w:t xml:space="preserve"> estimates of vote intention</w:t>
      </w:r>
      <w:r w:rsidR="00ED4843">
        <w:t xml:space="preserve"> for the population of voters</w:t>
      </w:r>
      <w:r w:rsidR="00E57168">
        <w:t xml:space="preserve"> f</w:t>
      </w:r>
      <w:r w:rsidR="00312C4D" w:rsidRPr="00312C4D">
        <w:t>r</w:t>
      </w:r>
      <w:r w:rsidR="00E57168">
        <w:t>om</w:t>
      </w:r>
      <w:r w:rsidR="00312C4D" w:rsidRPr="00312C4D">
        <w:t xml:space="preserve"> th</w:t>
      </w:r>
      <w:r w:rsidR="00AF52FB">
        <w:t xml:space="preserve">e </w:t>
      </w:r>
      <w:r w:rsidR="00312C4D" w:rsidRPr="00312C4D">
        <w:t>sample</w:t>
      </w:r>
      <w:r w:rsidR="00ED4843">
        <w:t xml:space="preserve"> data</w:t>
      </w:r>
      <w:r w:rsidR="00312C4D" w:rsidRPr="00312C4D">
        <w:t xml:space="preserve">. </w:t>
      </w:r>
    </w:p>
    <w:p w14:paraId="325CAE09" w14:textId="113E645E" w:rsidR="00A85FA7" w:rsidRDefault="00FE28BB" w:rsidP="00C8230C">
      <w:pPr>
        <w:spacing w:line="480" w:lineRule="auto"/>
        <w:jc w:val="both"/>
      </w:pPr>
      <w:r>
        <w:t>I</w:t>
      </w:r>
      <w:r w:rsidR="002E50CB">
        <w:t xml:space="preserve">t is useful </w:t>
      </w:r>
      <w:r w:rsidR="00CE517B">
        <w:t>for our later evaluation of the potential causes of the polling errors to describe this</w:t>
      </w:r>
      <w:r w:rsidR="00ED4843">
        <w:t xml:space="preserve"> general</w:t>
      </w:r>
      <w:r w:rsidR="00AF52FB">
        <w:t xml:space="preserve"> </w:t>
      </w:r>
      <w:r w:rsidR="00ED4843">
        <w:t xml:space="preserve">approach </w:t>
      </w:r>
      <w:r w:rsidR="002E50CB">
        <w:t xml:space="preserve">in more </w:t>
      </w:r>
      <w:r w:rsidR="00AF52FB">
        <w:t>formal</w:t>
      </w:r>
      <w:r w:rsidR="002E50CB">
        <w:t xml:space="preserve"> terms. </w:t>
      </w:r>
      <w:r w:rsidR="00CE517B">
        <w:t xml:space="preserve"> </w:t>
      </w:r>
      <w:r w:rsidR="00FF10BC">
        <w:t>Our specification</w:t>
      </w:r>
      <w:r w:rsidR="00A2150C">
        <w:t xml:space="preserve"> here</w:t>
      </w:r>
      <w:r w:rsidR="00FF10BC">
        <w:t xml:space="preserve"> </w:t>
      </w:r>
      <w:r w:rsidR="000F27BF">
        <w:t xml:space="preserve">draws </w:t>
      </w:r>
      <w:r w:rsidR="00A60F92">
        <w:t xml:space="preserve">on </w:t>
      </w:r>
      <w:r w:rsidR="00C8230C">
        <w:t>previous</w:t>
      </w:r>
      <w:r w:rsidR="00A2150C">
        <w:t xml:space="preserve"> treatments of the</w:t>
      </w:r>
      <w:r w:rsidR="00FF10BC">
        <w:t xml:space="preserve"> assumptions required for the validity of point estimation using quota sampling (Smith 1983; Deville 1991)</w:t>
      </w:r>
      <w:r w:rsidR="00537EF7">
        <w:t>,</w:t>
      </w:r>
      <w:r w:rsidR="00FF10BC">
        <w:t xml:space="preserve"> extended to accommodate the inclusion of turnout probabilities. </w:t>
      </w:r>
      <w:r w:rsidR="006C7C98">
        <w:t>It is important to note that we do not claim that this is how the pollsters explicitly motivate their methodology</w:t>
      </w:r>
      <w:r w:rsidR="00A85FA7">
        <w:t>. I</w:t>
      </w:r>
      <w:r w:rsidR="006C7C98">
        <w:t xml:space="preserve">t is, </w:t>
      </w:r>
      <w:r w:rsidR="00405603">
        <w:t>nonetheless</w:t>
      </w:r>
      <w:r w:rsidR="006C7C98">
        <w:t>, implicit in the</w:t>
      </w:r>
      <w:r w:rsidR="00405603">
        <w:t xml:space="preserve"> procedures as they are implemented.</w:t>
      </w:r>
      <w:r w:rsidR="006C7C98">
        <w:t xml:space="preserve">  </w:t>
      </w:r>
    </w:p>
    <w:p w14:paraId="39F15D66" w14:textId="2607B3C6" w:rsidR="00E50161" w:rsidRDefault="002E50CB" w:rsidP="00C8230C">
      <w:pPr>
        <w:spacing w:line="480" w:lineRule="auto"/>
        <w:jc w:val="both"/>
      </w:pPr>
      <w:r>
        <w:t>W</w:t>
      </w:r>
      <w:r w:rsidR="006271C9">
        <w:t xml:space="preserve">e </w:t>
      </w:r>
      <w:r w:rsidR="00E50161">
        <w:t xml:space="preserve">first </w:t>
      </w:r>
      <w:r w:rsidR="006271C9">
        <w:t xml:space="preserve">define </w:t>
      </w:r>
      <w:r w:rsidR="00BD1596">
        <w:t xml:space="preserve">a set of </w:t>
      </w:r>
      <w:r w:rsidR="006271C9">
        <w:t xml:space="preserve">variables which are </w:t>
      </w:r>
      <w:r w:rsidR="00BD1596">
        <w:t xml:space="preserve">relevant for </w:t>
      </w:r>
      <w:r w:rsidR="006271C9">
        <w:t>the estimation</w:t>
      </w:r>
      <w:r>
        <w:t xml:space="preserve"> of</w:t>
      </w:r>
      <w:r w:rsidR="00306835">
        <w:t xml:space="preserve"> party</w:t>
      </w:r>
      <w:r>
        <w:t xml:space="preserve"> vote shares for the target population</w:t>
      </w:r>
      <w:r w:rsidR="006271C9">
        <w:t xml:space="preserve">. </w:t>
      </w:r>
      <w:r w:rsidR="000A3C6D">
        <w:t>These</w:t>
      </w:r>
      <w:r w:rsidR="006271C9" w:rsidRPr="006271C9">
        <w:t xml:space="preserve"> are</w:t>
      </w:r>
      <w:r w:rsidR="000A3C6D">
        <w:t xml:space="preserve"> all</w:t>
      </w:r>
      <w:r w:rsidR="006271C9" w:rsidRPr="006271C9">
        <w:t xml:space="preserve"> characteristics of individual</w:t>
      </w:r>
      <w:r w:rsidR="00ED4843">
        <w:t>s</w:t>
      </w:r>
      <w:r w:rsidR="004E767A">
        <w:t xml:space="preserve"> and are</w:t>
      </w:r>
      <w:r w:rsidR="000A3C6D">
        <w:t>,</w:t>
      </w:r>
      <w:r w:rsidR="004E767A">
        <w:t xml:space="preserve"> in practice</w:t>
      </w:r>
      <w:r w:rsidR="000A3C6D">
        <w:t>,</w:t>
      </w:r>
      <w:r w:rsidR="004E767A">
        <w:t xml:space="preserve"> treated as categorical variables</w:t>
      </w:r>
      <w:r>
        <w:t>,</w:t>
      </w:r>
      <w:r w:rsidR="000A3C6D">
        <w:t xml:space="preserve"> whatever their natural metric</w:t>
      </w:r>
      <w:r w:rsidR="004E767A">
        <w:t xml:space="preserve">. </w:t>
      </w:r>
      <w:r w:rsidR="000E6537">
        <w:t xml:space="preserve">We denote by </w:t>
      </w:r>
      <w:r w:rsidR="00AF52FB" w:rsidRPr="00D252D8">
        <w:rPr>
          <w:i/>
        </w:rPr>
        <w:t>X</w:t>
      </w:r>
      <w:r w:rsidR="00AF52FB">
        <w:t xml:space="preserve"> </w:t>
      </w:r>
      <w:r w:rsidR="006159A8">
        <w:t xml:space="preserve">auxiliary </w:t>
      </w:r>
      <w:r w:rsidR="00AF52FB">
        <w:t xml:space="preserve">variables </w:t>
      </w:r>
      <w:r w:rsidR="000E6537">
        <w:t xml:space="preserve">which will be used to derive weights to match population distributions, and by </w:t>
      </w:r>
      <w:r w:rsidR="000E6537" w:rsidRPr="00D252D8">
        <w:rPr>
          <w:i/>
        </w:rPr>
        <w:t>L</w:t>
      </w:r>
      <w:r w:rsidR="000E6537">
        <w:t xml:space="preserve"> additional </w:t>
      </w:r>
      <w:r w:rsidR="000E6537" w:rsidRPr="00AF52FB">
        <w:t xml:space="preserve">variables which </w:t>
      </w:r>
      <w:r w:rsidR="000E6537">
        <w:t>will be</w:t>
      </w:r>
      <w:r w:rsidR="000E6537" w:rsidRPr="00AF52FB">
        <w:t xml:space="preserve"> used to predict the probability </w:t>
      </w:r>
      <w:r>
        <w:t>that an individual will vote in the election</w:t>
      </w:r>
      <w:r w:rsidR="000E6537">
        <w:t>.</w:t>
      </w:r>
      <w:r w:rsidR="00537EF7">
        <w:t xml:space="preserve"> </w:t>
      </w:r>
      <w:r w:rsidR="000E6537">
        <w:t xml:space="preserve"> </w:t>
      </w:r>
      <w:r w:rsidR="000E6537" w:rsidRPr="006271C9">
        <w:t xml:space="preserve">In a typical poll, </w:t>
      </w:r>
      <w:r w:rsidR="000E6537" w:rsidRPr="00D252D8">
        <w:rPr>
          <w:i/>
        </w:rPr>
        <w:t>X</w:t>
      </w:r>
      <w:r w:rsidR="000E6537" w:rsidRPr="006271C9">
        <w:t xml:space="preserve"> includes characteristics such as</w:t>
      </w:r>
      <w:r>
        <w:t xml:space="preserve"> sex,</w:t>
      </w:r>
      <w:r w:rsidR="000E6537" w:rsidRPr="006271C9">
        <w:t xml:space="preserve"> age, region</w:t>
      </w:r>
      <w:r w:rsidR="00251F1C">
        <w:t>,</w:t>
      </w:r>
      <w:r w:rsidR="000E6537" w:rsidRPr="006271C9">
        <w:t xml:space="preserve"> and social class, </w:t>
      </w:r>
      <w:r>
        <w:t xml:space="preserve">as well as </w:t>
      </w:r>
      <w:r w:rsidR="000E6537" w:rsidRPr="006271C9">
        <w:t>measures of part</w:t>
      </w:r>
      <w:r w:rsidR="000E6537">
        <w:t>y identification or</w:t>
      </w:r>
      <w:r>
        <w:t xml:space="preserve"> vote in </w:t>
      </w:r>
      <w:r w:rsidR="00E353F8">
        <w:t>a</w:t>
      </w:r>
      <w:r>
        <w:t xml:space="preserve"> previous election</w:t>
      </w:r>
      <w:r w:rsidR="000E6537">
        <w:t xml:space="preserve">, while </w:t>
      </w:r>
      <w:r w:rsidR="000E6537" w:rsidRPr="00D252D8">
        <w:rPr>
          <w:i/>
        </w:rPr>
        <w:t>L</w:t>
      </w:r>
      <w:r w:rsidR="000E6537" w:rsidRPr="00AF52FB">
        <w:t xml:space="preserve"> is </w:t>
      </w:r>
      <w:r w:rsidR="00251F1C">
        <w:t>a</w:t>
      </w:r>
      <w:r w:rsidR="00E156DA">
        <w:t>n individual</w:t>
      </w:r>
      <w:r w:rsidR="00251F1C">
        <w:t>’s self-assessment of</w:t>
      </w:r>
      <w:r w:rsidR="000E6537" w:rsidRPr="00AF52FB">
        <w:t xml:space="preserve"> </w:t>
      </w:r>
      <w:r w:rsidR="000E6537">
        <w:t>how likely he or she is to vote in the</w:t>
      </w:r>
      <w:r>
        <w:t xml:space="preserve"> </w:t>
      </w:r>
      <w:r w:rsidR="000E6537">
        <w:t xml:space="preserve">election. </w:t>
      </w:r>
      <w:r w:rsidR="00E50161">
        <w:t>Furth</w:t>
      </w:r>
      <w:r>
        <w:t>er</w:t>
      </w:r>
      <w:r w:rsidR="00AF52FB">
        <w:t xml:space="preserve">, let </w:t>
      </w:r>
      <w:r w:rsidR="00AF52FB" w:rsidRPr="00D252D8">
        <w:rPr>
          <w:i/>
        </w:rPr>
        <w:t>V</w:t>
      </w:r>
      <w:r w:rsidR="00AF52FB">
        <w:t xml:space="preserve"> denote the </w:t>
      </w:r>
      <w:r w:rsidR="00312C4D" w:rsidRPr="00312C4D">
        <w:t xml:space="preserve">party </w:t>
      </w:r>
      <w:r w:rsidR="00251F1C">
        <w:t xml:space="preserve">the </w:t>
      </w:r>
      <w:r w:rsidR="00E156DA">
        <w:t>individual</w:t>
      </w:r>
      <w:r w:rsidR="00251F1C">
        <w:t xml:space="preserve"> </w:t>
      </w:r>
      <w:r w:rsidR="00E156DA">
        <w:t>reports</w:t>
      </w:r>
      <w:r w:rsidR="00251F1C">
        <w:t xml:space="preserve"> he or she</w:t>
      </w:r>
      <w:r w:rsidR="00251F1C" w:rsidRPr="00312C4D">
        <w:t xml:space="preserve"> </w:t>
      </w:r>
      <w:r w:rsidR="00312C4D" w:rsidRPr="00312C4D">
        <w:t xml:space="preserve">intends to vote for </w:t>
      </w:r>
      <w:r w:rsidR="007D3C50">
        <w:t>(</w:t>
      </w:r>
      <w:r w:rsidR="007D3C50" w:rsidRPr="007D3C50">
        <w:t xml:space="preserve">after “Don’t know” answers </w:t>
      </w:r>
      <w:r w:rsidR="00537EF7">
        <w:t>and</w:t>
      </w:r>
      <w:r w:rsidR="007D3C50" w:rsidRPr="007D3C50">
        <w:t xml:space="preserve"> refusals have been </w:t>
      </w:r>
      <w:r w:rsidR="00E156DA">
        <w:t xml:space="preserve">dropped or </w:t>
      </w:r>
      <w:r w:rsidR="007D3C50" w:rsidRPr="007D3C50">
        <w:t>imputed to specific parties</w:t>
      </w:r>
      <w:r w:rsidR="007D3C50">
        <w:t>)</w:t>
      </w:r>
      <w:r w:rsidR="00E50161">
        <w:t xml:space="preserve">, </w:t>
      </w:r>
      <w:r w:rsidR="00E50161" w:rsidRPr="00D252D8">
        <w:rPr>
          <w:i/>
        </w:rPr>
        <w:t>T</w:t>
      </w:r>
      <w:r w:rsidR="00E50161">
        <w:t xml:space="preserve"> an indicator of whether </w:t>
      </w:r>
      <w:r w:rsidR="00E156DA">
        <w:t xml:space="preserve">the individual </w:t>
      </w:r>
      <w:r w:rsidR="006A0B54">
        <w:t xml:space="preserve">actually </w:t>
      </w:r>
      <w:r w:rsidR="00E50161">
        <w:t>voted</w:t>
      </w:r>
      <w:r w:rsidR="00E50161" w:rsidRPr="00312C4D">
        <w:t xml:space="preserve"> in the election</w:t>
      </w:r>
      <w:r w:rsidR="00E50161">
        <w:t xml:space="preserve"> (</w:t>
      </w:r>
      <w:r w:rsidR="00E50161" w:rsidRPr="00312C4D">
        <w:t xml:space="preserve">with </w:t>
      </w:r>
      <w:r w:rsidR="00E50161" w:rsidRPr="00D252D8">
        <w:rPr>
          <w:i/>
        </w:rPr>
        <w:t>T=1</w:t>
      </w:r>
      <w:r w:rsidR="00E50161" w:rsidRPr="00312C4D">
        <w:t xml:space="preserve"> for </w:t>
      </w:r>
      <w:r w:rsidR="00D252D8">
        <w:t>y</w:t>
      </w:r>
      <w:r w:rsidR="00E50161" w:rsidRPr="00312C4D">
        <w:t xml:space="preserve">es and </w:t>
      </w:r>
      <w:r w:rsidR="00E50161" w:rsidRPr="00D252D8">
        <w:rPr>
          <w:i/>
        </w:rPr>
        <w:t>T=0</w:t>
      </w:r>
      <w:r w:rsidR="00E50161" w:rsidRPr="00312C4D">
        <w:t xml:space="preserve"> for </w:t>
      </w:r>
      <w:r w:rsidR="00D252D8">
        <w:t>n</w:t>
      </w:r>
      <w:r w:rsidR="00E50161" w:rsidRPr="00312C4D">
        <w:t>o</w:t>
      </w:r>
      <w:r w:rsidR="00E50161">
        <w:t>)</w:t>
      </w:r>
      <w:r w:rsidR="00AB3AD9">
        <w:t xml:space="preserve">, </w:t>
      </w:r>
      <w:r w:rsidR="00AB3AD9" w:rsidRPr="00D252D8">
        <w:rPr>
          <w:i/>
        </w:rPr>
        <w:t>P</w:t>
      </w:r>
      <w:r w:rsidR="00AB3AD9">
        <w:t xml:space="preserve"> the party (if any) they actually voted for, </w:t>
      </w:r>
      <w:r w:rsidR="00E50161">
        <w:t xml:space="preserve">and </w:t>
      </w:r>
      <w:r w:rsidR="00E50161" w:rsidRPr="00D252D8">
        <w:rPr>
          <w:i/>
        </w:rPr>
        <w:t>S</w:t>
      </w:r>
      <w:r w:rsidR="00E50161" w:rsidRPr="00312C4D">
        <w:t xml:space="preserve"> </w:t>
      </w:r>
      <w:r w:rsidR="00E50161">
        <w:t>an indicator of whether</w:t>
      </w:r>
      <w:r>
        <w:t xml:space="preserve"> or not</w:t>
      </w:r>
      <w:r w:rsidR="00E50161">
        <w:t xml:space="preserve"> an </w:t>
      </w:r>
      <w:r w:rsidR="00E50161" w:rsidRPr="00312C4D">
        <w:t>individual is included in the sample</w:t>
      </w:r>
      <w:r w:rsidR="00E50161">
        <w:t xml:space="preserve"> (</w:t>
      </w:r>
      <w:r w:rsidR="00E50161" w:rsidRPr="00D252D8">
        <w:rPr>
          <w:i/>
        </w:rPr>
        <w:t>S=1</w:t>
      </w:r>
      <w:r w:rsidR="00E50161" w:rsidRPr="00312C4D">
        <w:t xml:space="preserve"> for </w:t>
      </w:r>
      <w:r w:rsidR="00D252D8">
        <w:t>y</w:t>
      </w:r>
      <w:r w:rsidR="00E50161" w:rsidRPr="00312C4D">
        <w:t xml:space="preserve">es and </w:t>
      </w:r>
      <w:r w:rsidR="00E50161" w:rsidRPr="00D252D8">
        <w:rPr>
          <w:i/>
        </w:rPr>
        <w:t>S=0</w:t>
      </w:r>
      <w:r w:rsidR="00E50161" w:rsidRPr="00312C4D">
        <w:t xml:space="preserve"> for </w:t>
      </w:r>
      <w:r w:rsidR="00D252D8">
        <w:t>n</w:t>
      </w:r>
      <w:r w:rsidR="00E50161" w:rsidRPr="00312C4D">
        <w:t>o</w:t>
      </w:r>
      <w:r w:rsidR="00E50161">
        <w:t>).</w:t>
      </w:r>
    </w:p>
    <w:p w14:paraId="03037389" w14:textId="59C81D07" w:rsidR="00D25601" w:rsidRDefault="00A35ED0" w:rsidP="00CF7AB0">
      <w:pPr>
        <w:spacing w:line="480" w:lineRule="auto"/>
        <w:jc w:val="both"/>
      </w:pPr>
      <w:r>
        <w:t>The target population of the poll should be such that it includes all individuals who are eligible</w:t>
      </w:r>
      <w:r w:rsidR="00BF3846">
        <w:t xml:space="preserve"> and registered</w:t>
      </w:r>
      <w:r>
        <w:t xml:space="preserve"> to vote in the election (but it can also include </w:t>
      </w:r>
      <w:r w:rsidR="00DD60D7">
        <w:t>people</w:t>
      </w:r>
      <w:r>
        <w:t xml:space="preserve"> who are not, assuming that they will be filtered out </w:t>
      </w:r>
      <w:r w:rsidR="001E4A28">
        <w:t xml:space="preserve">later </w:t>
      </w:r>
      <w:r>
        <w:t xml:space="preserve">by </w:t>
      </w:r>
      <w:r w:rsidR="00196938">
        <w:t xml:space="preserve">being assigned </w:t>
      </w:r>
      <w:r>
        <w:t>turnout probabilit</w:t>
      </w:r>
      <w:r w:rsidR="00196938">
        <w:t>ies of zero</w:t>
      </w:r>
      <w:r>
        <w:t>), and that distributions</w:t>
      </w:r>
      <w:r w:rsidR="00113D6F">
        <w:t xml:space="preserve"> of weighting variables in the population are known. In the polls considered here, this population is </w:t>
      </w:r>
      <w:r w:rsidR="00113D6F">
        <w:lastRenderedPageBreak/>
        <w:t xml:space="preserve">typically that of </w:t>
      </w:r>
      <w:r>
        <w:t>adult</w:t>
      </w:r>
      <w:r w:rsidR="00113D6F">
        <w:t xml:space="preserve"> resident</w:t>
      </w:r>
      <w:r w:rsidR="00E353F8">
        <w:t>s</w:t>
      </w:r>
      <w:r w:rsidR="00113D6F">
        <w:t xml:space="preserve"> </w:t>
      </w:r>
      <w:r w:rsidR="00E353F8">
        <w:t>of</w:t>
      </w:r>
      <w:r w:rsidR="00113D6F">
        <w:t xml:space="preserve"> </w:t>
      </w:r>
      <w:r>
        <w:t xml:space="preserve">Great Britain </w:t>
      </w:r>
      <w:r w:rsidR="00113D6F">
        <w:t>(</w:t>
      </w:r>
      <w:r w:rsidR="00196938">
        <w:t xml:space="preserve">even though this </w:t>
      </w:r>
      <w:r w:rsidR="00113D6F">
        <w:t xml:space="preserve">has the shortcoming that it omits voters who </w:t>
      </w:r>
      <w:r w:rsidR="001E4A28">
        <w:t>live</w:t>
      </w:r>
      <w:r w:rsidR="00113D6F">
        <w:t xml:space="preserve"> abroad). Consider </w:t>
      </w:r>
      <w:r w:rsidR="004E6519" w:rsidRPr="00D252D8">
        <w:rPr>
          <w:i/>
        </w:rPr>
        <w:t>X</w:t>
      </w:r>
      <w:r w:rsidR="004E6519">
        <w:t xml:space="preserve"> partitioned as </w:t>
      </w:r>
      <w:r w:rsidR="004E6519" w:rsidRPr="00D252D8">
        <w:rPr>
          <w:i/>
        </w:rPr>
        <w:t>(X</w:t>
      </w:r>
      <w:r w:rsidR="004E6519" w:rsidRPr="00D252D8">
        <w:rPr>
          <w:i/>
          <w:vertAlign w:val="subscript"/>
        </w:rPr>
        <w:t>(1)</w:t>
      </w:r>
      <w:r w:rsidR="004E6519" w:rsidRPr="00D252D8">
        <w:rPr>
          <w:i/>
        </w:rPr>
        <w:t>,…,X</w:t>
      </w:r>
      <w:r w:rsidR="004E6519" w:rsidRPr="00D252D8">
        <w:rPr>
          <w:i/>
          <w:vertAlign w:val="subscript"/>
        </w:rPr>
        <w:t>(p)</w:t>
      </w:r>
      <w:r w:rsidR="004E6519" w:rsidRPr="00D252D8">
        <w:rPr>
          <w:i/>
        </w:rPr>
        <w:t>)</w:t>
      </w:r>
      <w:r w:rsidR="004E6519">
        <w:t xml:space="preserve">, where the </w:t>
      </w:r>
      <w:r w:rsidR="00CF7AB0">
        <w:t>subsets</w:t>
      </w:r>
      <w:r w:rsidR="004E6519">
        <w:t xml:space="preserve"> </w:t>
      </w:r>
      <w:r w:rsidR="004E6519" w:rsidRPr="00D252D8">
        <w:rPr>
          <w:i/>
        </w:rPr>
        <w:t>X</w:t>
      </w:r>
      <w:r w:rsidR="004E6519" w:rsidRPr="00D252D8">
        <w:rPr>
          <w:i/>
          <w:vertAlign w:val="subscript"/>
        </w:rPr>
        <w:t>(j)</w:t>
      </w:r>
      <w:r w:rsidR="004E6519">
        <w:t xml:space="preserve"> are such </w:t>
      </w:r>
      <w:r w:rsidR="00433AE7">
        <w:t xml:space="preserve">that </w:t>
      </w:r>
      <w:r w:rsidR="004E6519">
        <w:t xml:space="preserve">their distributions </w:t>
      </w:r>
      <w:r w:rsidR="004E6519" w:rsidRPr="00D252D8">
        <w:rPr>
          <w:i/>
        </w:rPr>
        <w:t>p(X</w:t>
      </w:r>
      <w:r w:rsidR="004E6519" w:rsidRPr="00D252D8">
        <w:rPr>
          <w:i/>
          <w:vertAlign w:val="subscript"/>
        </w:rPr>
        <w:t>(j)</w:t>
      </w:r>
      <w:r w:rsidR="004E6519" w:rsidRPr="00D252D8">
        <w:rPr>
          <w:i/>
        </w:rPr>
        <w:t>)</w:t>
      </w:r>
      <w:r w:rsidR="004E6519">
        <w:t xml:space="preserve"> in </w:t>
      </w:r>
      <w:r w:rsidR="00113D6F">
        <w:t>the</w:t>
      </w:r>
      <w:r w:rsidR="004E6519">
        <w:t xml:space="preserve"> population are</w:t>
      </w:r>
      <w:r w:rsidR="002949E6">
        <w:t xml:space="preserve"> assumed</w:t>
      </w:r>
      <w:r w:rsidR="004E6519">
        <w:t xml:space="preserve"> known from </w:t>
      </w:r>
      <w:r w:rsidR="004E6519" w:rsidRPr="006271C9">
        <w:t xml:space="preserve">the </w:t>
      </w:r>
      <w:r w:rsidR="004E6519">
        <w:t>census or other sources</w:t>
      </w:r>
      <w:r w:rsidR="00D25601">
        <w:t xml:space="preserve"> (we denote marginal and conditional distributions of variables by </w:t>
      </w:r>
      <w:r w:rsidR="00D25601" w:rsidRPr="00D252D8">
        <w:rPr>
          <w:i/>
        </w:rPr>
        <w:t>p(.)</w:t>
      </w:r>
      <w:r w:rsidR="00D25601" w:rsidRPr="00B051D4">
        <w:t xml:space="preserve"> and </w:t>
      </w:r>
      <w:r w:rsidR="00D25601" w:rsidRPr="00D252D8">
        <w:rPr>
          <w:i/>
        </w:rPr>
        <w:t>p(.|.)</w:t>
      </w:r>
      <w:r w:rsidR="00D25601">
        <w:t>)</w:t>
      </w:r>
      <w:r w:rsidR="004E6519">
        <w:t xml:space="preserve">. </w:t>
      </w:r>
      <w:r w:rsidR="00AB3AD9">
        <w:t>T</w:t>
      </w:r>
      <w:r w:rsidR="004E6519">
        <w:t xml:space="preserve">he </w:t>
      </w:r>
      <w:r w:rsidR="004E6519" w:rsidRPr="00D252D8">
        <w:rPr>
          <w:i/>
        </w:rPr>
        <w:t>X</w:t>
      </w:r>
      <w:r w:rsidR="004E6519" w:rsidRPr="00D252D8">
        <w:rPr>
          <w:i/>
          <w:vertAlign w:val="subscript"/>
        </w:rPr>
        <w:t>(j)</w:t>
      </w:r>
      <w:r w:rsidR="004E6519">
        <w:t xml:space="preserve"> are typically </w:t>
      </w:r>
      <w:proofErr w:type="spellStart"/>
      <w:r w:rsidR="004E6519">
        <w:t>univariate</w:t>
      </w:r>
      <w:proofErr w:type="spellEnd"/>
      <w:r w:rsidR="004E6519">
        <w:t xml:space="preserve">, </w:t>
      </w:r>
      <w:r w:rsidR="00624857">
        <w:t>al</w:t>
      </w:r>
      <w:r w:rsidR="00714602">
        <w:t xml:space="preserve">though </w:t>
      </w:r>
      <w:r w:rsidR="00AB3AD9">
        <w:t xml:space="preserve">with some exceptions </w:t>
      </w:r>
      <w:r w:rsidR="004E6519">
        <w:t xml:space="preserve">(e.g. </w:t>
      </w:r>
      <w:r w:rsidR="00C37C80">
        <w:t xml:space="preserve">age distribution may be </w:t>
      </w:r>
      <w:r w:rsidR="00714602">
        <w:t xml:space="preserve">specified </w:t>
      </w:r>
      <w:r w:rsidR="00C37C80">
        <w:t>separately by sex</w:t>
      </w:r>
      <w:r w:rsidR="004E6519">
        <w:t xml:space="preserve">). </w:t>
      </w:r>
    </w:p>
    <w:p w14:paraId="5771A08B" w14:textId="10888C19" w:rsidR="00E2722B" w:rsidRDefault="004E6519" w:rsidP="00F64540">
      <w:pPr>
        <w:spacing w:line="480" w:lineRule="auto"/>
        <w:jc w:val="both"/>
      </w:pPr>
      <w:r>
        <w:t xml:space="preserve">When </w:t>
      </w:r>
      <w:r w:rsidR="006C763C">
        <w:t>interviews have been completed</w:t>
      </w:r>
      <w:r>
        <w:t>, weights</w:t>
      </w:r>
      <w:r w:rsidR="006C763C">
        <w:t xml:space="preserve"> are </w:t>
      </w:r>
      <w:r w:rsidR="002E50CB">
        <w:t>c</w:t>
      </w:r>
      <w:r w:rsidR="00D25601">
        <w:t xml:space="preserve">reated in </w:t>
      </w:r>
      <w:r>
        <w:t xml:space="preserve">such </w:t>
      </w:r>
      <w:r w:rsidR="00D25601">
        <w:t xml:space="preserve">a way that </w:t>
      </w:r>
      <w:r>
        <w:t xml:space="preserve">the </w:t>
      </w:r>
      <w:r w:rsidR="00D25601">
        <w:t xml:space="preserve">weighted </w:t>
      </w:r>
      <w:r>
        <w:t xml:space="preserve">distributions of all </w:t>
      </w:r>
      <w:r w:rsidRPr="00D252D8">
        <w:rPr>
          <w:i/>
        </w:rPr>
        <w:t>X</w:t>
      </w:r>
      <w:r w:rsidRPr="00D252D8">
        <w:rPr>
          <w:i/>
          <w:vertAlign w:val="subscript"/>
        </w:rPr>
        <w:t>(j)</w:t>
      </w:r>
      <w:r>
        <w:t xml:space="preserve"> in </w:t>
      </w:r>
      <w:r w:rsidR="00D25601">
        <w:t>t</w:t>
      </w:r>
      <w:r>
        <w:t>he sample match the</w:t>
      </w:r>
      <w:r w:rsidR="00D25601">
        <w:t xml:space="preserve">ir population </w:t>
      </w:r>
      <w:r>
        <w:t>distributions</w:t>
      </w:r>
      <w:r w:rsidR="00E2722B">
        <w:t xml:space="preserve"> </w:t>
      </w:r>
      <w:r w:rsidR="00E2722B" w:rsidRPr="00D252D8">
        <w:rPr>
          <w:i/>
        </w:rPr>
        <w:t>p(X</w:t>
      </w:r>
      <w:r w:rsidR="00E2722B" w:rsidRPr="00D252D8">
        <w:rPr>
          <w:i/>
          <w:vertAlign w:val="subscript"/>
        </w:rPr>
        <w:t>(j)</w:t>
      </w:r>
      <w:r w:rsidR="00E2722B" w:rsidRPr="00D252D8">
        <w:rPr>
          <w:i/>
        </w:rPr>
        <w:t>)</w:t>
      </w:r>
      <w:r w:rsidR="00D25601">
        <w:t xml:space="preserve">. </w:t>
      </w:r>
      <w:r>
        <w:t xml:space="preserve"> </w:t>
      </w:r>
      <w:r w:rsidR="0025279A">
        <w:t xml:space="preserve">This step is similar to calibration weighting of probability samples (Deville and </w:t>
      </w:r>
      <w:proofErr w:type="spellStart"/>
      <w:r w:rsidR="0025279A">
        <w:t>Särndal</w:t>
      </w:r>
      <w:proofErr w:type="spellEnd"/>
      <w:r w:rsidR="0025279A">
        <w:t xml:space="preserve"> 1992)</w:t>
      </w:r>
      <w:r w:rsidR="00E2722B">
        <w:t xml:space="preserve">, so we refer to the resulting weights as </w:t>
      </w:r>
      <w:r w:rsidR="00E2722B" w:rsidRPr="00F2724D">
        <w:rPr>
          <w:i/>
        </w:rPr>
        <w:t>calibration weights</w:t>
      </w:r>
      <w:r w:rsidR="00E2722B">
        <w:t xml:space="preserve">. In the election polls considered </w:t>
      </w:r>
      <w:r w:rsidR="00A85FA7">
        <w:t xml:space="preserve">below </w:t>
      </w:r>
      <w:r w:rsidR="00E2722B">
        <w:t xml:space="preserve">all the weighting variables </w:t>
      </w:r>
      <w:r w:rsidR="00E2722B" w:rsidRPr="00D252D8">
        <w:rPr>
          <w:i/>
        </w:rPr>
        <w:t>X</w:t>
      </w:r>
      <w:r w:rsidR="00E2722B" w:rsidRPr="00D252D8">
        <w:rPr>
          <w:i/>
          <w:vertAlign w:val="subscript"/>
        </w:rPr>
        <w:t>(j)</w:t>
      </w:r>
      <w:r w:rsidR="00196938">
        <w:t xml:space="preserve"> we</w:t>
      </w:r>
      <w:r w:rsidR="00E2722B">
        <w:t xml:space="preserve">re categorical, in which case calibration </w:t>
      </w:r>
      <w:r w:rsidR="00DD60D7">
        <w:t>is equivalent to</w:t>
      </w:r>
      <w:r w:rsidR="00E2722B">
        <w:t xml:space="preserve"> raking and it can be carried out using, for example, the iterative proportional fitting algorithm (Deming and Stephan 1940). </w:t>
      </w:r>
    </w:p>
    <w:p w14:paraId="42F00405" w14:textId="0147CA8E" w:rsidR="00287C01" w:rsidRDefault="00287C01">
      <w:pPr>
        <w:spacing w:line="480" w:lineRule="auto"/>
        <w:jc w:val="both"/>
      </w:pPr>
      <w:r>
        <w:t xml:space="preserve">By way of illustration, suppose that </w:t>
      </w:r>
      <w:r w:rsidRPr="00D252D8">
        <w:rPr>
          <w:i/>
        </w:rPr>
        <w:t>X</w:t>
      </w:r>
      <w:r>
        <w:rPr>
          <w:i/>
        </w:rPr>
        <w:t xml:space="preserve"> </w:t>
      </w:r>
      <w:r>
        <w:t xml:space="preserve">consists of age by sex </w:t>
      </w:r>
      <w:r w:rsidRPr="00D252D8">
        <w:rPr>
          <w:i/>
        </w:rPr>
        <w:t>(X</w:t>
      </w:r>
      <w:r w:rsidRPr="00D252D8">
        <w:rPr>
          <w:i/>
          <w:vertAlign w:val="subscript"/>
        </w:rPr>
        <w:t>(1)</w:t>
      </w:r>
      <w:r w:rsidRPr="00D252D8">
        <w:rPr>
          <w:i/>
        </w:rPr>
        <w:t>)</w:t>
      </w:r>
      <w:r>
        <w:rPr>
          <w:i/>
        </w:rPr>
        <w:t xml:space="preserve">, </w:t>
      </w:r>
      <w:r>
        <w:t>region</w:t>
      </w:r>
      <w:r w:rsidR="00A51C23">
        <w:t xml:space="preserve"> of residence </w:t>
      </w:r>
      <w:r w:rsidRPr="00D252D8">
        <w:rPr>
          <w:i/>
        </w:rPr>
        <w:t>(X</w:t>
      </w:r>
      <w:r w:rsidRPr="00D252D8">
        <w:rPr>
          <w:i/>
          <w:vertAlign w:val="subscript"/>
        </w:rPr>
        <w:t>(</w:t>
      </w:r>
      <w:r>
        <w:rPr>
          <w:i/>
          <w:vertAlign w:val="subscript"/>
        </w:rPr>
        <w:t>2</w:t>
      </w:r>
      <w:r w:rsidRPr="00D252D8">
        <w:rPr>
          <w:i/>
          <w:vertAlign w:val="subscript"/>
        </w:rPr>
        <w:t>)</w:t>
      </w:r>
      <w:r w:rsidRPr="00D252D8">
        <w:rPr>
          <w:i/>
        </w:rPr>
        <w:t>)</w:t>
      </w:r>
      <w:r>
        <w:rPr>
          <w:i/>
        </w:rPr>
        <w:t xml:space="preserve"> </w:t>
      </w:r>
      <w:r>
        <w:t xml:space="preserve">and vote in the most recent previous election </w:t>
      </w:r>
      <w:r w:rsidRPr="00D252D8">
        <w:rPr>
          <w:i/>
        </w:rPr>
        <w:t>(X</w:t>
      </w:r>
      <w:r w:rsidRPr="00D252D8">
        <w:rPr>
          <w:i/>
          <w:vertAlign w:val="subscript"/>
        </w:rPr>
        <w:t>(</w:t>
      </w:r>
      <w:r>
        <w:rPr>
          <w:i/>
          <w:vertAlign w:val="subscript"/>
        </w:rPr>
        <w:t>3</w:t>
      </w:r>
      <w:r w:rsidRPr="00D252D8">
        <w:rPr>
          <w:i/>
          <w:vertAlign w:val="subscript"/>
        </w:rPr>
        <w:t>)</w:t>
      </w:r>
      <w:r w:rsidRPr="00D252D8">
        <w:rPr>
          <w:i/>
        </w:rPr>
        <w:t>)</w:t>
      </w:r>
      <w:r>
        <w:t xml:space="preserve">, and that </w:t>
      </w:r>
      <w:r w:rsidRPr="00D252D8">
        <w:rPr>
          <w:i/>
        </w:rPr>
        <w:t>X</w:t>
      </w:r>
      <w:r w:rsidRPr="00D252D8">
        <w:rPr>
          <w:i/>
          <w:vertAlign w:val="subscript"/>
        </w:rPr>
        <w:t>(1)</w:t>
      </w:r>
      <w:r w:rsidRPr="00CA09E8">
        <w:t xml:space="preserve"> and</w:t>
      </w:r>
      <w:r>
        <w:rPr>
          <w:i/>
        </w:rPr>
        <w:t xml:space="preserve"> </w:t>
      </w:r>
      <w:r w:rsidRPr="00D252D8">
        <w:rPr>
          <w:i/>
        </w:rPr>
        <w:t>X</w:t>
      </w:r>
      <w:r w:rsidRPr="00D252D8">
        <w:rPr>
          <w:i/>
          <w:vertAlign w:val="subscript"/>
        </w:rPr>
        <w:t>(</w:t>
      </w:r>
      <w:r>
        <w:rPr>
          <w:i/>
          <w:vertAlign w:val="subscript"/>
        </w:rPr>
        <w:t>2</w:t>
      </w:r>
      <w:r w:rsidRPr="00D252D8">
        <w:rPr>
          <w:i/>
          <w:vertAlign w:val="subscript"/>
        </w:rPr>
        <w:t>)</w:t>
      </w:r>
      <w:r>
        <w:t xml:space="preserve"> are used also as quota variables</w:t>
      </w:r>
      <w:r w:rsidR="00A51C23">
        <w:t xml:space="preserve">, with  </w:t>
      </w:r>
      <w:r w:rsidR="00A51C23" w:rsidRPr="00D252D8">
        <w:rPr>
          <w:i/>
        </w:rPr>
        <w:t>p(X</w:t>
      </w:r>
      <w:r w:rsidR="00A51C23" w:rsidRPr="00D252D8">
        <w:rPr>
          <w:i/>
          <w:vertAlign w:val="subscript"/>
        </w:rPr>
        <w:t>(</w:t>
      </w:r>
      <w:r w:rsidR="00A51C23">
        <w:rPr>
          <w:i/>
          <w:vertAlign w:val="subscript"/>
        </w:rPr>
        <w:t>1</w:t>
      </w:r>
      <w:r w:rsidR="00A51C23" w:rsidRPr="00D252D8">
        <w:rPr>
          <w:i/>
          <w:vertAlign w:val="subscript"/>
        </w:rPr>
        <w:t>)</w:t>
      </w:r>
      <w:r w:rsidR="00A51C23" w:rsidRPr="00D252D8">
        <w:rPr>
          <w:i/>
        </w:rPr>
        <w:t>)</w:t>
      </w:r>
      <w:r w:rsidR="00A51C23">
        <w:t xml:space="preserve">  and </w:t>
      </w:r>
      <w:r w:rsidR="00A51C23" w:rsidRPr="00D252D8">
        <w:rPr>
          <w:i/>
        </w:rPr>
        <w:t>p(X</w:t>
      </w:r>
      <w:r w:rsidR="00A51C23" w:rsidRPr="00D252D8">
        <w:rPr>
          <w:i/>
          <w:vertAlign w:val="subscript"/>
        </w:rPr>
        <w:t>(</w:t>
      </w:r>
      <w:r w:rsidR="00A51C23">
        <w:rPr>
          <w:i/>
          <w:vertAlign w:val="subscript"/>
        </w:rPr>
        <w:t>2</w:t>
      </w:r>
      <w:r w:rsidR="00A51C23" w:rsidRPr="00D252D8">
        <w:rPr>
          <w:i/>
          <w:vertAlign w:val="subscript"/>
        </w:rPr>
        <w:t>)</w:t>
      </w:r>
      <w:r w:rsidR="00A51C23" w:rsidRPr="00D252D8">
        <w:rPr>
          <w:i/>
        </w:rPr>
        <w:t>)</w:t>
      </w:r>
      <w:r w:rsidR="00A51C23">
        <w:t xml:space="preserve"> as their target distributions</w:t>
      </w:r>
      <w:r>
        <w:t xml:space="preserve">. In quota sampling, the aim is then to obtain a sample </w:t>
      </w:r>
      <w:r w:rsidR="00A51C23">
        <w:t xml:space="preserve">where the distribution of age by sex and the marginal distribution of region of the </w:t>
      </w:r>
      <w:r w:rsidR="00DD60D7">
        <w:t>sample</w:t>
      </w:r>
      <w:r w:rsidR="00A51C23">
        <w:t xml:space="preserve"> match the target distributions, at least to a close approximation (an exact match is often not achieved in practice). Next, a raking algorithm is applied to th</w:t>
      </w:r>
      <w:r w:rsidR="000337AA">
        <w:t>is</w:t>
      </w:r>
      <w:r w:rsidR="00A51C23">
        <w:t xml:space="preserve"> sample</w:t>
      </w:r>
      <w:r w:rsidR="000337AA">
        <w:t xml:space="preserve">, with </w:t>
      </w:r>
      <w:r w:rsidR="000337AA" w:rsidRPr="00F2724D">
        <w:rPr>
          <w:i/>
        </w:rPr>
        <w:t>X</w:t>
      </w:r>
      <w:r w:rsidR="000337AA">
        <w:t xml:space="preserve"> as the weighting variables. </w:t>
      </w:r>
      <w:r w:rsidR="00A51C23">
        <w:t xml:space="preserve"> </w:t>
      </w:r>
      <w:r w:rsidR="000337AA">
        <w:t>The resulting calibration weights will be such that the weighted distributions of age by sex, region</w:t>
      </w:r>
      <w:r w:rsidR="00DD60D7">
        <w:t>,</w:t>
      </w:r>
      <w:r w:rsidR="000337AA">
        <w:t xml:space="preserve"> and past vote match their population distributions </w:t>
      </w:r>
      <w:r w:rsidR="000337AA" w:rsidRPr="00D252D8">
        <w:rPr>
          <w:i/>
        </w:rPr>
        <w:t>p(X</w:t>
      </w:r>
      <w:r w:rsidR="000337AA" w:rsidRPr="00D252D8">
        <w:rPr>
          <w:i/>
          <w:vertAlign w:val="subscript"/>
        </w:rPr>
        <w:t>(</w:t>
      </w:r>
      <w:r w:rsidR="000337AA">
        <w:rPr>
          <w:i/>
          <w:vertAlign w:val="subscript"/>
        </w:rPr>
        <w:t>1</w:t>
      </w:r>
      <w:r w:rsidR="000337AA" w:rsidRPr="00D252D8">
        <w:rPr>
          <w:i/>
          <w:vertAlign w:val="subscript"/>
        </w:rPr>
        <w:t>)</w:t>
      </w:r>
      <w:r w:rsidR="000337AA" w:rsidRPr="00D252D8">
        <w:rPr>
          <w:i/>
        </w:rPr>
        <w:t>)</w:t>
      </w:r>
      <w:r w:rsidR="000337AA">
        <w:rPr>
          <w:i/>
        </w:rPr>
        <w:t>,</w:t>
      </w:r>
      <w:r w:rsidR="000337AA">
        <w:t xml:space="preserve">  </w:t>
      </w:r>
      <w:r w:rsidR="000337AA" w:rsidRPr="00D252D8">
        <w:rPr>
          <w:i/>
        </w:rPr>
        <w:t>p(X</w:t>
      </w:r>
      <w:r w:rsidR="000337AA" w:rsidRPr="00D252D8">
        <w:rPr>
          <w:i/>
          <w:vertAlign w:val="subscript"/>
        </w:rPr>
        <w:t>(</w:t>
      </w:r>
      <w:r w:rsidR="000337AA">
        <w:rPr>
          <w:i/>
          <w:vertAlign w:val="subscript"/>
        </w:rPr>
        <w:t>2</w:t>
      </w:r>
      <w:r w:rsidR="000337AA" w:rsidRPr="00D252D8">
        <w:rPr>
          <w:i/>
          <w:vertAlign w:val="subscript"/>
        </w:rPr>
        <w:t>)</w:t>
      </w:r>
      <w:r w:rsidR="000337AA" w:rsidRPr="00D252D8">
        <w:rPr>
          <w:i/>
        </w:rPr>
        <w:t>)</w:t>
      </w:r>
      <w:r w:rsidR="000337AA">
        <w:t xml:space="preserve">  and </w:t>
      </w:r>
      <w:r w:rsidR="000337AA" w:rsidRPr="00D252D8">
        <w:rPr>
          <w:i/>
        </w:rPr>
        <w:t>p(X</w:t>
      </w:r>
      <w:r w:rsidR="000337AA" w:rsidRPr="00D252D8">
        <w:rPr>
          <w:i/>
          <w:vertAlign w:val="subscript"/>
        </w:rPr>
        <w:t>(</w:t>
      </w:r>
      <w:r w:rsidR="000337AA">
        <w:rPr>
          <w:i/>
          <w:vertAlign w:val="subscript"/>
        </w:rPr>
        <w:t>3</w:t>
      </w:r>
      <w:r w:rsidR="000337AA" w:rsidRPr="00D252D8">
        <w:rPr>
          <w:i/>
          <w:vertAlign w:val="subscript"/>
        </w:rPr>
        <w:t>)</w:t>
      </w:r>
      <w:r w:rsidR="000337AA" w:rsidRPr="00D252D8">
        <w:rPr>
          <w:i/>
        </w:rPr>
        <w:t>)</w:t>
      </w:r>
      <w:r w:rsidR="00A51C23">
        <w:t xml:space="preserve"> </w:t>
      </w:r>
      <w:r w:rsidR="000337AA">
        <w:t xml:space="preserve">exactly. </w:t>
      </w:r>
      <w:r w:rsidR="00A51C23">
        <w:t xml:space="preserve">  </w:t>
      </w:r>
    </w:p>
    <w:p w14:paraId="6E1A0B60" w14:textId="17BAF5CA" w:rsidR="00433AE7" w:rsidRDefault="00433AE7" w:rsidP="00F64540">
      <w:pPr>
        <w:spacing w:line="480" w:lineRule="auto"/>
        <w:jc w:val="both"/>
      </w:pPr>
      <w:r w:rsidRPr="00055781">
        <w:t>The goal of a</w:t>
      </w:r>
      <w:r w:rsidR="0066249B">
        <w:t xml:space="preserve"> vote intention</w:t>
      </w:r>
      <w:r w:rsidRPr="00055781">
        <w:t xml:space="preserve"> poll is to estimate </w:t>
      </w:r>
      <w:r w:rsidRPr="00F64540">
        <w:rPr>
          <w:i/>
        </w:rPr>
        <w:t>p(V|T=1)</w:t>
      </w:r>
      <w:r>
        <w:t xml:space="preserve"> in the population</w:t>
      </w:r>
      <w:r w:rsidRPr="00055781">
        <w:t xml:space="preserve">, i.e. the distribution of </w:t>
      </w:r>
      <w:r w:rsidR="009C72CA">
        <w:t>responses</w:t>
      </w:r>
      <w:r w:rsidR="009C72CA" w:rsidRPr="00055781">
        <w:t xml:space="preserve"> </w:t>
      </w:r>
      <w:r w:rsidRPr="00055781">
        <w:t xml:space="preserve">to the question on </w:t>
      </w:r>
      <w:r w:rsidR="004371BD">
        <w:t>party choice</w:t>
      </w:r>
      <w:r w:rsidRPr="00055781">
        <w:t xml:space="preserve"> among those members of the</w:t>
      </w:r>
      <w:r w:rsidR="009C72CA">
        <w:t xml:space="preserve"> </w:t>
      </w:r>
      <w:r w:rsidRPr="00055781">
        <w:t>population who will turn out to vote.</w:t>
      </w:r>
      <w:r>
        <w:t xml:space="preserve"> This can be expressed as </w:t>
      </w:r>
    </w:p>
    <w:p w14:paraId="78334706" w14:textId="61B415BB" w:rsidR="00433AE7" w:rsidRDefault="00F64540" w:rsidP="00433AE7">
      <w:pPr>
        <w:spacing w:line="480" w:lineRule="auto"/>
      </w:pPr>
      <w:r>
        <w:t xml:space="preserve">                                 </w:t>
      </w:r>
      <m:oMath>
        <m:r>
          <w:rPr>
            <w:rFonts w:ascii="Cambria Math" w:hAnsi="Cambria Math"/>
          </w:rPr>
          <m:t>p</m:t>
        </m:r>
        <m:d>
          <m:dPr>
            <m:ctrlPr>
              <w:rPr>
                <w:rFonts w:ascii="Cambria Math" w:hAnsi="Cambria Math"/>
                <w:i/>
              </w:rPr>
            </m:ctrlPr>
          </m:dPr>
          <m:e>
            <m:r>
              <w:rPr>
                <w:rFonts w:ascii="Cambria Math" w:hAnsi="Cambria Math"/>
              </w:rPr>
              <m:t>V</m:t>
            </m:r>
          </m:e>
          <m:e>
            <m:r>
              <w:rPr>
                <w:rFonts w:ascii="Cambria Math" w:hAnsi="Cambria Math"/>
              </w:rPr>
              <m:t>T=1</m:t>
            </m:r>
          </m:e>
        </m:d>
        <m:r>
          <w:rPr>
            <w:rFonts w:ascii="Cambria Math" w:hAnsi="Cambria Math"/>
          </w:rPr>
          <m:t xml:space="preserve">= </m:t>
        </m:r>
        <m:f>
          <m:fPr>
            <m:ctrlPr>
              <w:rPr>
                <w:rFonts w:ascii="Cambria Math" w:hAnsi="Cambria Math"/>
                <w:i/>
              </w:rPr>
            </m:ctrlPr>
          </m:fPr>
          <m:num>
            <m:nary>
              <m:naryPr>
                <m:chr m:val="∑"/>
                <m:limLoc m:val="subSup"/>
                <m:supHide m:val="1"/>
                <m:ctrlPr>
                  <w:rPr>
                    <w:rFonts w:ascii="Cambria Math" w:hAnsi="Cambria Math"/>
                    <w:i/>
                  </w:rPr>
                </m:ctrlPr>
              </m:naryPr>
              <m:sub>
                <m:r>
                  <w:rPr>
                    <w:rFonts w:ascii="Cambria Math" w:hAnsi="Cambria Math"/>
                  </w:rPr>
                  <m:t>X,L</m:t>
                </m:r>
              </m:sub>
              <m:sup/>
              <m:e>
                <m:r>
                  <w:rPr>
                    <w:rFonts w:ascii="Cambria Math" w:hAnsi="Cambria Math"/>
                  </w:rPr>
                  <m:t>p</m:t>
                </m:r>
                <m:d>
                  <m:dPr>
                    <m:ctrlPr>
                      <w:rPr>
                        <w:rFonts w:ascii="Cambria Math" w:hAnsi="Cambria Math"/>
                        <w:i/>
                      </w:rPr>
                    </m:ctrlPr>
                  </m:dPr>
                  <m:e>
                    <m:r>
                      <w:rPr>
                        <w:rFonts w:ascii="Cambria Math" w:hAnsi="Cambria Math"/>
                      </w:rPr>
                      <m:t>T=1</m:t>
                    </m:r>
                  </m:e>
                  <m:e>
                    <m:r>
                      <w:rPr>
                        <w:rFonts w:ascii="Cambria Math" w:hAnsi="Cambria Math"/>
                      </w:rPr>
                      <m:t>V,L,X</m:t>
                    </m:r>
                  </m:e>
                </m:d>
                <m:r>
                  <w:rPr>
                    <w:rFonts w:ascii="Cambria Math" w:hAnsi="Cambria Math"/>
                  </w:rPr>
                  <m:t xml:space="preserve"> p</m:t>
                </m:r>
                <m:d>
                  <m:dPr>
                    <m:ctrlPr>
                      <w:rPr>
                        <w:rFonts w:ascii="Cambria Math" w:hAnsi="Cambria Math"/>
                        <w:i/>
                      </w:rPr>
                    </m:ctrlPr>
                  </m:dPr>
                  <m:e>
                    <m:r>
                      <w:rPr>
                        <w:rFonts w:ascii="Cambria Math" w:hAnsi="Cambria Math"/>
                      </w:rPr>
                      <m:t>V,L</m:t>
                    </m:r>
                  </m:e>
                  <m:e>
                    <m:r>
                      <w:rPr>
                        <w:rFonts w:ascii="Cambria Math" w:hAnsi="Cambria Math"/>
                      </w:rPr>
                      <m:t>X) p(X</m:t>
                    </m:r>
                  </m:e>
                </m:d>
              </m:e>
            </m:nary>
          </m:num>
          <m:den>
            <m:r>
              <w:rPr>
                <w:rFonts w:ascii="Cambria Math" w:hAnsi="Cambria Math"/>
              </w:rPr>
              <m:t>p(T=1)</m:t>
            </m:r>
          </m:den>
        </m:f>
        <m:r>
          <w:rPr>
            <w:rFonts w:ascii="Cambria Math" w:hAnsi="Cambria Math"/>
          </w:rPr>
          <m:t xml:space="preserve">                                        (1)</m:t>
        </m:r>
      </m:oMath>
      <w:r w:rsidR="00433AE7" w:rsidRPr="00312C4D">
        <w:t xml:space="preserve">                     </w:t>
      </w:r>
    </w:p>
    <w:p w14:paraId="39637BEC" w14:textId="56DDCF10" w:rsidR="00AB371D" w:rsidRDefault="00433AE7" w:rsidP="00F64540">
      <w:pPr>
        <w:spacing w:line="480" w:lineRule="auto"/>
        <w:jc w:val="both"/>
      </w:pPr>
      <w:r>
        <w:lastRenderedPageBreak/>
        <w:t xml:space="preserve">where the sum is over the possible values of </w:t>
      </w:r>
      <w:r w:rsidRPr="00F64540">
        <w:rPr>
          <w:i/>
        </w:rPr>
        <w:t>L</w:t>
      </w:r>
      <w:r>
        <w:t xml:space="preserve"> and </w:t>
      </w:r>
      <w:r w:rsidRPr="00F64540">
        <w:rPr>
          <w:i/>
        </w:rPr>
        <w:t>X</w:t>
      </w:r>
      <w:r>
        <w:t xml:space="preserve">. </w:t>
      </w:r>
      <w:r w:rsidR="0039139A">
        <w:t xml:space="preserve">Here </w:t>
      </w:r>
      <w:r w:rsidR="0039139A" w:rsidRPr="00326FD9">
        <w:rPr>
          <w:i/>
        </w:rPr>
        <w:t>p(X)</w:t>
      </w:r>
      <w:r w:rsidR="0039139A">
        <w:t xml:space="preserve">, </w:t>
      </w:r>
      <w:r w:rsidR="0039139A" w:rsidRPr="00326FD9">
        <w:rPr>
          <w:i/>
        </w:rPr>
        <w:t>p(V,L|X)</w:t>
      </w:r>
      <w:r w:rsidR="0039139A">
        <w:t xml:space="preserve"> and </w:t>
      </w:r>
      <w:r w:rsidR="0039139A" w:rsidRPr="00326FD9">
        <w:rPr>
          <w:i/>
        </w:rPr>
        <w:t>p(T=1|V,L,X)</w:t>
      </w:r>
      <w:r w:rsidR="0039139A">
        <w:t xml:space="preserve"> describe the population distribution of the weighting variables, distribution of voting intention and </w:t>
      </w:r>
      <w:r w:rsidR="00800805">
        <w:t xml:space="preserve">stated </w:t>
      </w:r>
      <w:r w:rsidR="0039139A">
        <w:t>likelihood</w:t>
      </w:r>
      <w:r w:rsidR="00800805">
        <w:t xml:space="preserve"> to vote</w:t>
      </w:r>
      <w:r w:rsidR="0039139A">
        <w:t xml:space="preserve">, and probability of turnout respectively. </w:t>
      </w:r>
      <w:r>
        <w:t>To estimate this</w:t>
      </w:r>
      <w:r w:rsidR="009C72CA">
        <w:t xml:space="preserve"> quantity</w:t>
      </w:r>
      <w:r>
        <w:t xml:space="preserve">, a </w:t>
      </w:r>
      <w:r w:rsidR="00B051D4">
        <w:t xml:space="preserve">poll </w:t>
      </w:r>
      <w:r w:rsidR="00055781">
        <w:t xml:space="preserve">draws a </w:t>
      </w:r>
      <w:r w:rsidR="00055781" w:rsidRPr="00055781">
        <w:t>sample of respondents (</w:t>
      </w:r>
      <w:r w:rsidR="00055781" w:rsidRPr="00F64540">
        <w:rPr>
          <w:i/>
        </w:rPr>
        <w:t>S=1</w:t>
      </w:r>
      <w:r w:rsidR="00055781" w:rsidRPr="00055781">
        <w:t>), selected through quota sampling with quota t</w:t>
      </w:r>
      <w:r w:rsidR="00055781">
        <w:t xml:space="preserve">argets defined by a subset of </w:t>
      </w:r>
      <w:r w:rsidR="00055781" w:rsidRPr="00F64540">
        <w:rPr>
          <w:i/>
        </w:rPr>
        <w:t>X</w:t>
      </w:r>
      <w:r w:rsidR="00055781">
        <w:t xml:space="preserve">, and </w:t>
      </w:r>
      <w:r w:rsidR="002F7768">
        <w:t>elicits</w:t>
      </w:r>
      <w:r w:rsidR="002F7768" w:rsidRPr="00055781">
        <w:t xml:space="preserve"> </w:t>
      </w:r>
      <w:r w:rsidR="00055781" w:rsidRPr="00055781">
        <w:t xml:space="preserve">values of </w:t>
      </w:r>
      <w:r w:rsidR="00055781" w:rsidRPr="00F64540">
        <w:rPr>
          <w:i/>
        </w:rPr>
        <w:t>(X, L, V)</w:t>
      </w:r>
      <w:r w:rsidR="00055781">
        <w:t xml:space="preserve"> </w:t>
      </w:r>
      <w:r w:rsidR="002F7768">
        <w:t xml:space="preserve">from </w:t>
      </w:r>
      <w:r w:rsidR="00055781">
        <w:t>the sampled respondents</w:t>
      </w:r>
      <w:r w:rsidR="002F7768">
        <w:t xml:space="preserve"> </w:t>
      </w:r>
      <w:r w:rsidR="009C72CA">
        <w:t>via</w:t>
      </w:r>
      <w:r w:rsidR="002F7768">
        <w:t xml:space="preserve"> questionnaire</w:t>
      </w:r>
      <w:r w:rsidR="00055781">
        <w:t xml:space="preserve">. </w:t>
      </w:r>
      <w:r w:rsidR="00055781" w:rsidRPr="00055781">
        <w:t xml:space="preserve">Turnout </w:t>
      </w:r>
      <w:r w:rsidR="00055781" w:rsidRPr="00F64540">
        <w:rPr>
          <w:i/>
        </w:rPr>
        <w:t>T</w:t>
      </w:r>
      <w:r w:rsidR="00055781" w:rsidRPr="00055781">
        <w:t xml:space="preserve"> </w:t>
      </w:r>
      <w:r w:rsidR="008F1C62">
        <w:t>is</w:t>
      </w:r>
      <w:r w:rsidR="00055781" w:rsidRPr="00055781">
        <w:t xml:space="preserve"> not known at the time of the poll</w:t>
      </w:r>
      <w:r w:rsidR="00055781">
        <w:t xml:space="preserve">, except for respondents who have already voted by post.  </w:t>
      </w:r>
      <w:r w:rsidR="00DC605F">
        <w:t xml:space="preserve">Letting </w:t>
      </w:r>
      <m:oMath>
        <m:r>
          <w:rPr>
            <w:rFonts w:ascii="Cambria Math" w:hAnsi="Cambria Math"/>
          </w:rPr>
          <m:t>i=1, …, n</m:t>
        </m:r>
      </m:oMath>
      <w:r w:rsidR="00DC605F" w:rsidRPr="00312C4D">
        <w:t xml:space="preserve"> in</w:t>
      </w:r>
      <w:r w:rsidR="00DC605F">
        <w:t xml:space="preserve">dex the </w:t>
      </w:r>
      <w:r w:rsidR="00AB3AD9">
        <w:t xml:space="preserve">sampled </w:t>
      </w:r>
      <w:r w:rsidR="00DC605F">
        <w:t xml:space="preserve">respondents, </w:t>
      </w:r>
      <w:r>
        <w:t xml:space="preserve">the </w:t>
      </w:r>
      <w:r w:rsidR="00E2722B">
        <w:t xml:space="preserve">calibration </w:t>
      </w:r>
      <w:r>
        <w:t xml:space="preserve">weights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rsidR="00DC605F">
        <w:t xml:space="preserve"> </w:t>
      </w:r>
      <w:r>
        <w:t>are then calculated.</w:t>
      </w:r>
      <w:r w:rsidR="00DC605F">
        <w:t xml:space="preserve"> The </w:t>
      </w:r>
      <w:r w:rsidR="005C5B3F">
        <w:t xml:space="preserve">distribution of </w:t>
      </w:r>
      <m:oMath>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005C5B3F">
        <w:t xml:space="preserve"> </w:t>
      </w:r>
      <w:r w:rsidR="00BB518C">
        <w:t>in the sample, w</w:t>
      </w:r>
      <w:r w:rsidR="005C5B3F">
        <w:t xml:space="preserve">ith weights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rsidR="005C5B3F">
        <w:t xml:space="preserve">, </w:t>
      </w:r>
      <w:r w:rsidR="00BB518C">
        <w:t xml:space="preserve">is used as an estimate of </w:t>
      </w:r>
      <w:r w:rsidR="00BB518C" w:rsidRPr="00F64540">
        <w:rPr>
          <w:i/>
        </w:rPr>
        <w:t>p(V,L,X)</w:t>
      </w:r>
      <w:r w:rsidR="0039139A">
        <w:rPr>
          <w:i/>
        </w:rPr>
        <w:t>=p(V,L|X)p(X)</w:t>
      </w:r>
      <w:r w:rsidR="00BB518C">
        <w:t xml:space="preserve"> in the population. Next, </w:t>
      </w:r>
      <w:r w:rsidR="00AB371D" w:rsidRPr="00312C4D">
        <w:t xml:space="preserve">let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rsidR="00AB371D" w:rsidRPr="00312C4D">
        <w:t xml:space="preserve"> denote values of </w:t>
      </w:r>
      <m:oMath>
        <m:r>
          <w:rPr>
            <w:rFonts w:ascii="Cambria Math" w:hAnsi="Cambria Math"/>
          </w:rPr>
          <m:t>p(</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00AB371D" w:rsidRPr="00312C4D">
        <w:t xml:space="preserve"> </w:t>
      </w:r>
      <w:r w:rsidR="006A0B54">
        <w:t xml:space="preserve">assigned </w:t>
      </w:r>
      <w:r w:rsidR="00AB371D" w:rsidRPr="00312C4D">
        <w:t xml:space="preserve">for each respondent from </w:t>
      </w:r>
      <w:r w:rsidR="00AB371D">
        <w:t>a</w:t>
      </w:r>
      <w:r w:rsidR="00800805">
        <w:t>n assumed</w:t>
      </w:r>
      <w:r w:rsidR="00AB371D" w:rsidRPr="00312C4D">
        <w:t xml:space="preserve"> model for the turnout probabilities</w:t>
      </w:r>
      <w:r w:rsidR="006A0B54">
        <w:t>,</w:t>
      </w:r>
      <w:r w:rsidR="00AB371D" w:rsidRPr="00312C4D">
        <w:t xml:space="preserve"> and define </w:t>
      </w: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Ti</m:t>
            </m:r>
          </m:sub>
        </m:sSub>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rsidR="00AB371D" w:rsidRPr="00312C4D">
        <w:t>. Let</w:t>
      </w:r>
      <w:r w:rsidR="00BB518C">
        <w:t>ting</w:t>
      </w:r>
      <w:r w:rsidR="00AB371D" w:rsidRPr="00312C4D">
        <w:t xml:space="preserve">  </w:t>
      </w:r>
      <m:oMath>
        <m:r>
          <w:rPr>
            <w:rFonts w:ascii="Cambria Math" w:hAnsi="Cambria Math"/>
          </w:rPr>
          <m:t>I(</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=v)</m:t>
        </m:r>
      </m:oMath>
      <w:r w:rsidR="009F74F1">
        <w:t xml:space="preserve"> be an indicator variable for</w:t>
      </w:r>
      <w:r w:rsidR="00AB371D" w:rsidRPr="00312C4D">
        <w:t xml:space="preserve"> </w:t>
      </w:r>
      <w:r w:rsidR="009F74F1">
        <w:t xml:space="preserve">any </w:t>
      </w:r>
      <w:r w:rsidR="00AB371D" w:rsidRPr="00312C4D">
        <w:t xml:space="preserve">particular party </w:t>
      </w:r>
      <m:oMath>
        <m:r>
          <w:rPr>
            <w:rFonts w:ascii="Cambria Math" w:hAnsi="Cambria Math"/>
          </w:rPr>
          <m:t>v</m:t>
        </m:r>
      </m:oMath>
      <w:r w:rsidR="00AB371D" w:rsidRPr="00312C4D">
        <w:t xml:space="preserve"> which is 1 if</w:t>
      </w:r>
      <w:r w:rsidR="00800805">
        <w:t xml:space="preserve"> a respondent’s stated vote intention is</w:t>
      </w:r>
      <w:r w:rsidR="00AB371D" w:rsidRPr="00312C4D">
        <w:t xml:space="preserve">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=v</m:t>
        </m:r>
      </m:oMath>
      <w:r w:rsidR="00AB371D" w:rsidRPr="00312C4D">
        <w:t xml:space="preserve"> and 0 otherwise</w:t>
      </w:r>
      <w:r w:rsidR="00BB518C">
        <w:t xml:space="preserve">, </w:t>
      </w:r>
      <w:r w:rsidR="009804DB">
        <w:t>the</w:t>
      </w:r>
      <w:r w:rsidR="00473A5C">
        <w:t xml:space="preserve"> vote intention</w:t>
      </w:r>
      <w:r w:rsidR="009804DB">
        <w:t xml:space="preserve"> proportion</w:t>
      </w:r>
      <w:r w:rsidR="00473A5C">
        <w:t xml:space="preserve">s </w:t>
      </w:r>
      <w:r w:rsidR="009804DB">
        <w:t xml:space="preserve">for the parties are estimated by </w:t>
      </w:r>
      <w:r w:rsidR="009F74F1">
        <w:t xml:space="preserve">the </w:t>
      </w:r>
      <w:r w:rsidR="00AB371D" w:rsidRPr="00312C4D">
        <w:t>weighted proportion</w:t>
      </w:r>
      <w:r w:rsidR="009F74F1">
        <w:t>s</w:t>
      </w:r>
    </w:p>
    <w:p w14:paraId="3895F064" w14:textId="65A78EAD" w:rsidR="00AB371D" w:rsidRPr="00312C4D" w:rsidRDefault="00F64540" w:rsidP="00AB371D">
      <w:pPr>
        <w:spacing w:line="480" w:lineRule="auto"/>
      </w:pPr>
      <m:oMathPara>
        <m:oMath>
          <m:r>
            <w:rPr>
              <w:rFonts w:ascii="Cambria Math" w:hAnsi="Cambria Math"/>
            </w:rPr>
            <m:t xml:space="preserve">      </m:t>
          </m:r>
          <m:acc>
            <m:accPr>
              <m:ctrlPr>
                <w:rPr>
                  <w:rFonts w:ascii="Cambria Math" w:hAnsi="Cambria Math"/>
                  <w:i/>
                </w:rPr>
              </m:ctrlPr>
            </m:accPr>
            <m:e>
              <m:r>
                <w:rPr>
                  <w:rFonts w:ascii="Cambria Math" w:hAnsi="Cambria Math"/>
                </w:rPr>
                <m:t>p</m:t>
              </m:r>
            </m:e>
          </m:acc>
          <m:r>
            <w:rPr>
              <w:rFonts w:ascii="Cambria Math" w:hAnsi="Cambria Math"/>
            </w:rPr>
            <m:t>(V=v|T=1)=</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=v)</m:t>
                  </m:r>
                  <m:sSub>
                    <m:sSubPr>
                      <m:ctrlPr>
                        <w:rPr>
                          <w:rFonts w:ascii="Cambria Math" w:hAnsi="Cambria Math"/>
                          <w:i/>
                        </w:rPr>
                      </m:ctrlPr>
                    </m:sSubPr>
                    <m:e>
                      <m:r>
                        <w:rPr>
                          <w:rFonts w:ascii="Cambria Math" w:hAnsi="Cambria Math"/>
                        </w:rPr>
                        <m:t>w</m:t>
                      </m:r>
                    </m:e>
                    <m:sub>
                      <m:r>
                        <w:rPr>
                          <w:rFonts w:ascii="Cambria Math" w:hAnsi="Cambria Math"/>
                        </w:rPr>
                        <m:t>i</m:t>
                      </m:r>
                    </m:sub>
                  </m:sSub>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w</m:t>
                      </m:r>
                    </m:e>
                    <m:sub>
                      <m:r>
                        <w:rPr>
                          <w:rFonts w:ascii="Cambria Math" w:hAnsi="Cambria Math"/>
                        </w:rPr>
                        <m:t>i</m:t>
                      </m:r>
                    </m:sub>
                  </m:sSub>
                </m:e>
              </m:nary>
            </m:den>
          </m:f>
          <m:r>
            <w:rPr>
              <w:rFonts w:ascii="Cambria Math" w:hAnsi="Cambria Math"/>
            </w:rPr>
            <m:t>.                                     (2)</m:t>
          </m:r>
        </m:oMath>
      </m:oMathPara>
    </w:p>
    <w:p w14:paraId="3226D6BC" w14:textId="3296FB46" w:rsidR="000E7D0A" w:rsidRDefault="00D851B5" w:rsidP="00AB72EE">
      <w:pPr>
        <w:spacing w:line="480" w:lineRule="auto"/>
        <w:jc w:val="both"/>
      </w:pPr>
      <w:r>
        <w:t xml:space="preserve">Using </w:t>
      </w:r>
      <w:r w:rsidR="00473A5C">
        <w:t xml:space="preserve">(2) </w:t>
      </w:r>
      <w:r>
        <w:t xml:space="preserve">to </w:t>
      </w:r>
      <w:r w:rsidR="009804DB">
        <w:t xml:space="preserve">estimate </w:t>
      </w:r>
      <w:r w:rsidR="009804DB" w:rsidRPr="00F64540">
        <w:rPr>
          <w:i/>
        </w:rPr>
        <w:t>p(V=</w:t>
      </w:r>
      <w:proofErr w:type="spellStart"/>
      <w:r w:rsidR="00F64540" w:rsidRPr="00F64540">
        <w:rPr>
          <w:i/>
        </w:rPr>
        <w:t>v</w:t>
      </w:r>
      <w:r w:rsidR="009804DB" w:rsidRPr="00F64540">
        <w:rPr>
          <w:i/>
        </w:rPr>
        <w:t>|T</w:t>
      </w:r>
      <w:proofErr w:type="spellEnd"/>
      <w:r w:rsidR="009804DB" w:rsidRPr="00F64540">
        <w:rPr>
          <w:i/>
        </w:rPr>
        <w:t>=1)</w:t>
      </w:r>
      <w:r>
        <w:t xml:space="preserve"> implies a number of assumptions about the quantities on the right-hand side of (1). First, it is assumed that</w:t>
      </w:r>
      <w:r w:rsidR="009C72CA">
        <w:t xml:space="preserve"> the</w:t>
      </w:r>
      <w:r>
        <w:t xml:space="preserve">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t xml:space="preserve"> </w:t>
      </w:r>
      <w:r w:rsidR="00EB482F">
        <w:t>assigned to</w:t>
      </w:r>
      <w:r w:rsidR="00624857">
        <w:t xml:space="preserve"> </w:t>
      </w:r>
      <w:r w:rsidR="00EB482F">
        <w:t xml:space="preserve">respondents </w:t>
      </w:r>
      <w:r>
        <w:t>are equal to</w:t>
      </w:r>
      <w:r w:rsidR="00EB482F">
        <w:t xml:space="preserve"> the probabilities </w:t>
      </w:r>
      <m:oMath>
        <m:r>
          <w:rPr>
            <w:rFonts w:ascii="Cambria Math" w:hAnsi="Cambria Math"/>
          </w:rPr>
          <m:t>p(</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00EB482F">
        <w:t xml:space="preserve"> under the conditional distribution of turnout given </w:t>
      </w:r>
      <w:r w:rsidR="00EB482F" w:rsidRPr="00F64540">
        <w:rPr>
          <w:i/>
        </w:rPr>
        <w:t>(V,L,X)</w:t>
      </w:r>
      <w:r w:rsidR="00EB482F">
        <w:rPr>
          <w:i/>
        </w:rPr>
        <w:t xml:space="preserve"> </w:t>
      </w:r>
      <w:r w:rsidR="00EB482F">
        <w:t>in the population.</w:t>
      </w:r>
      <w:r>
        <w:t xml:space="preserve"> </w:t>
      </w:r>
      <w:r w:rsidR="003F1861">
        <w:t xml:space="preserve"> </w:t>
      </w:r>
      <w:r>
        <w:t xml:space="preserve">Second, it </w:t>
      </w:r>
      <w:r w:rsidR="00D01D6B">
        <w:t xml:space="preserve">is </w:t>
      </w:r>
      <w:r>
        <w:t xml:space="preserve">assumed that </w:t>
      </w:r>
      <m:oMath>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X,S=1</m:t>
            </m:r>
          </m:e>
        </m:d>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m:t>
            </m:r>
          </m:e>
        </m:d>
      </m:oMath>
      <w:r w:rsidR="00757965">
        <w:t xml:space="preserve">, i.e. </w:t>
      </w:r>
      <w:r w:rsidR="00AB72EE">
        <w:t xml:space="preserve">that the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oMath>
      <w:r w:rsidR="00AB72EE">
        <w:t xml:space="preserve"> in the sample </w:t>
      </w:r>
      <w:r w:rsidR="00757965">
        <w:t>(</w:t>
      </w:r>
      <w:proofErr w:type="spellStart"/>
      <w:r w:rsidR="00757965">
        <w:t>unweighted</w:t>
      </w:r>
      <w:proofErr w:type="spellEnd"/>
      <w:r w:rsidR="00757965">
        <w:t xml:space="preserve">, since the weights </w:t>
      </w:r>
      <m:oMath>
        <m:sSubSup>
          <m:sSubSupPr>
            <m:ctrlPr>
              <w:rPr>
                <w:rFonts w:ascii="Cambria Math" w:hAnsi="Cambria Math"/>
                <w:i/>
              </w:rPr>
            </m:ctrlPr>
          </m:sSubSupPr>
          <m:e>
            <m:r>
              <w:rPr>
                <w:rFonts w:ascii="Cambria Math" w:hAnsi="Cambria Math"/>
              </w:rPr>
              <m:t>w</m:t>
            </m:r>
          </m:e>
          <m:sub>
            <m:r>
              <w:rPr>
                <w:rFonts w:ascii="Cambria Math" w:hAnsi="Cambria Math"/>
              </w:rPr>
              <m:t>i</m:t>
            </m:r>
          </m:sub>
          <m:sup>
            <m:r>
              <w:rPr>
                <w:rFonts w:ascii="Cambria Math" w:hAnsi="Cambria Math"/>
              </w:rPr>
              <m:t>*</m:t>
            </m:r>
          </m:sup>
        </m:sSubSup>
      </m:oMath>
      <w:r w:rsidR="00757965">
        <w:t xml:space="preserve"> are constant given </w:t>
      </w:r>
      <w:r w:rsidR="00757965" w:rsidRPr="00F64540">
        <w:rPr>
          <w:i/>
        </w:rPr>
        <w:t>X</w:t>
      </w:r>
      <w:r w:rsidR="00757965">
        <w:t xml:space="preserve">) </w:t>
      </w:r>
      <w:r w:rsidR="00AB72EE">
        <w:t xml:space="preserve">can be treated as random variables drawn from their </w:t>
      </w:r>
      <w:r w:rsidR="00537EF7">
        <w:t>distribution in the population,</w:t>
      </w:r>
      <w:r w:rsidR="000E7D0A">
        <w:t xml:space="preserve"> at each level of the variables </w:t>
      </w:r>
      <w:r w:rsidR="000E7D0A" w:rsidRPr="00F64540">
        <w:rPr>
          <w:i/>
        </w:rPr>
        <w:t>X</w:t>
      </w:r>
      <w:r w:rsidR="000E7D0A">
        <w:t xml:space="preserve"> which are used to derive the </w:t>
      </w:r>
      <w:r w:rsidR="00E2722B">
        <w:t>calibration</w:t>
      </w:r>
      <w:r w:rsidR="000E7D0A">
        <w:t xml:space="preserve"> weights. </w:t>
      </w:r>
      <w:r w:rsidR="00757965">
        <w:t>We refer to this as the assumption of representative sampling</w:t>
      </w:r>
      <w:r w:rsidR="000E7D0A">
        <w:t xml:space="preserve">. It is weaker than the requirement of representativeness given only the quota variables, which are typically </w:t>
      </w:r>
      <w:r w:rsidR="007F53E8">
        <w:t xml:space="preserve">only </w:t>
      </w:r>
      <w:r w:rsidR="000E7D0A">
        <w:t xml:space="preserve">a subset of </w:t>
      </w:r>
      <w:r w:rsidR="000E7D0A" w:rsidRPr="00F64540">
        <w:rPr>
          <w:i/>
        </w:rPr>
        <w:t>X</w:t>
      </w:r>
      <w:r w:rsidR="000E7D0A">
        <w:t xml:space="preserve">. </w:t>
      </w:r>
    </w:p>
    <w:p w14:paraId="3365D006" w14:textId="6CD9706C" w:rsidR="00B66040" w:rsidRDefault="000E7D0A" w:rsidP="00B66040">
      <w:pPr>
        <w:spacing w:line="480" w:lineRule="auto"/>
        <w:jc w:val="both"/>
      </w:pPr>
      <w:r>
        <w:lastRenderedPageBreak/>
        <w:t xml:space="preserve">These two assumptions are still not sufficient for valid estimation of </w:t>
      </w:r>
      <w:r w:rsidRPr="000D3070">
        <w:rPr>
          <w:i/>
        </w:rPr>
        <w:t>p(V=1|T=1)</w:t>
      </w:r>
      <w:r w:rsidR="00EA4FF9">
        <w:t xml:space="preserve"> because the </w:t>
      </w:r>
      <w:r w:rsidR="00E2722B">
        <w:t xml:space="preserve">calibration </w:t>
      </w:r>
      <w:r w:rsidR="009C72CA">
        <w:t xml:space="preserve">weights </w:t>
      </w:r>
      <w:r w:rsidR="00EA4FF9">
        <w:t xml:space="preserve">ensure </w:t>
      </w:r>
      <w:r w:rsidR="000D3070">
        <w:t xml:space="preserve">only </w:t>
      </w:r>
      <w:r w:rsidR="00EA4FF9">
        <w:t>that</w:t>
      </w:r>
      <w:r w:rsidR="00E2722B">
        <w:t xml:space="preserve"> the weighted distributions in the sample </w:t>
      </w:r>
      <w:r w:rsidR="00DD60D7">
        <w:t>match</w:t>
      </w:r>
      <w:r w:rsidR="00E2722B">
        <w:t xml:space="preserve"> the population distributions </w:t>
      </w:r>
      <w:r w:rsidR="00EA4FF9">
        <w:t xml:space="preserve">for the marginal distributions of </w:t>
      </w:r>
      <w:r w:rsidR="00EA4FF9" w:rsidRPr="000D3070">
        <w:rPr>
          <w:i/>
        </w:rPr>
        <w:t>X</w:t>
      </w:r>
      <w:r w:rsidR="00EA4FF9" w:rsidRPr="000D3070">
        <w:rPr>
          <w:i/>
          <w:vertAlign w:val="subscript"/>
        </w:rPr>
        <w:t>(j)</w:t>
      </w:r>
      <w:r w:rsidR="00EA4FF9">
        <w:rPr>
          <w:vertAlign w:val="subscript"/>
        </w:rPr>
        <w:t xml:space="preserve">  </w:t>
      </w:r>
      <w:r w:rsidR="00EA4FF9">
        <w:t xml:space="preserve">but not for the joint distribution </w:t>
      </w:r>
      <w:r w:rsidR="00EA4FF9" w:rsidRPr="000D3070">
        <w:rPr>
          <w:i/>
        </w:rPr>
        <w:t>p</w:t>
      </w:r>
      <w:bookmarkStart w:id="3" w:name="_GoBack"/>
      <w:bookmarkEnd w:id="3"/>
      <w:r w:rsidR="00EA4FF9" w:rsidRPr="000D3070">
        <w:rPr>
          <w:i/>
        </w:rPr>
        <w:t>(X)</w:t>
      </w:r>
      <w:r w:rsidR="00EA4FF9">
        <w:t xml:space="preserve"> in (1). </w:t>
      </w:r>
      <w:r w:rsidR="00DC40CF">
        <w:t xml:space="preserve">This </w:t>
      </w:r>
      <w:r w:rsidR="00E353F8">
        <w:t xml:space="preserve">weighted joint distribution of X in the sample </w:t>
      </w:r>
      <w:r w:rsidR="00DD60D7">
        <w:t>matches</w:t>
      </w:r>
      <w:r w:rsidR="00E353F8">
        <w:t xml:space="preserve"> the full </w:t>
      </w:r>
      <m:oMath>
        <m:r>
          <w:rPr>
            <w:rFonts w:ascii="Cambria Math" w:hAnsi="Cambria Math"/>
          </w:rPr>
          <m:t>p(X)</m:t>
        </m:r>
      </m:oMath>
      <w:r w:rsidR="00CA5075">
        <w:t>,</w:t>
      </w:r>
      <w:r w:rsidR="00E353F8">
        <w:t xml:space="preserve"> only if </w:t>
      </w:r>
      <w:r w:rsidR="00DC40CF">
        <w:t xml:space="preserve">the sample is </w:t>
      </w:r>
      <w:r w:rsidR="00867B9E">
        <w:t>(</w:t>
      </w:r>
      <w:r w:rsidR="00DC40CF">
        <w:t>fortuitously</w:t>
      </w:r>
      <w:r w:rsidR="00867B9E">
        <w:t>)</w:t>
      </w:r>
      <w:r w:rsidR="00DC40CF">
        <w:t xml:space="preserve"> representative in the higher-order associations among the </w:t>
      </w:r>
      <w:r w:rsidR="00DC40CF" w:rsidRPr="000D3070">
        <w:rPr>
          <w:i/>
        </w:rPr>
        <w:t>X</w:t>
      </w:r>
      <w:r w:rsidR="00DC40CF">
        <w:t xml:space="preserve"> which have not been</w:t>
      </w:r>
      <w:r w:rsidR="009C72CA">
        <w:t xml:space="preserve"> fixed to</w:t>
      </w:r>
      <w:r w:rsidR="00DC40CF">
        <w:t xml:space="preserve"> match population </w:t>
      </w:r>
      <w:r w:rsidR="009265F5">
        <w:t>totals</w:t>
      </w:r>
      <w:r w:rsidR="00DC40CF">
        <w:t xml:space="preserve">. Alternatively, estimation with (2) is </w:t>
      </w:r>
      <w:r w:rsidR="00867B9E" w:rsidRPr="00867B9E">
        <w:t xml:space="preserve">also </w:t>
      </w:r>
      <w:r w:rsidR="00DC40CF">
        <w:t xml:space="preserve">valid if the </w:t>
      </w:r>
      <w:r w:rsidR="00C5387D">
        <w:t xml:space="preserve">true </w:t>
      </w:r>
      <w:r w:rsidR="00DC40CF">
        <w:t xml:space="preserve">conditional distributions of </w:t>
      </w:r>
      <w:r w:rsidR="00DC40CF" w:rsidRPr="000D3070">
        <w:rPr>
          <w:i/>
        </w:rPr>
        <w:t>(V,L)</w:t>
      </w:r>
      <w:r w:rsidR="00DC40CF">
        <w:t xml:space="preserve"> and </w:t>
      </w:r>
      <w:r w:rsidR="00DC40CF" w:rsidRPr="000D3070">
        <w:rPr>
          <w:i/>
        </w:rPr>
        <w:t>T</w:t>
      </w:r>
      <w:r w:rsidR="00DC40CF">
        <w:t xml:space="preserve"> are such that only the </w:t>
      </w:r>
      <m:oMath>
        <m:r>
          <w:rPr>
            <w:rFonts w:ascii="Cambria Math" w:hAnsi="Cambria Math"/>
          </w:rPr>
          <m:t>p(</m:t>
        </m:r>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oMath>
      <w:r w:rsidR="00DC40CF">
        <w:t xml:space="preserve"> actually contribute to (1). </w:t>
      </w:r>
      <w:r w:rsidR="007F53E8">
        <w:t xml:space="preserve">This is the case, for example, if both </w:t>
      </w:r>
      <m:oMath>
        <m:r>
          <w:rPr>
            <w:rFonts w:ascii="Cambria Math" w:hAnsi="Cambria Math"/>
          </w:rPr>
          <m:t>p</m:t>
        </m:r>
        <m:d>
          <m:dPr>
            <m:ctrlPr>
              <w:rPr>
                <w:rFonts w:ascii="Cambria Math" w:hAnsi="Cambria Math"/>
                <w:i/>
              </w:rPr>
            </m:ctrlPr>
          </m:dPr>
          <m:e>
            <m:r>
              <w:rPr>
                <w:rFonts w:ascii="Cambria Math" w:hAnsi="Cambria Math"/>
              </w:rPr>
              <m:t>T=1</m:t>
            </m:r>
          </m:e>
          <m:e>
            <m:r>
              <w:rPr>
                <w:rFonts w:ascii="Cambria Math" w:hAnsi="Cambria Math"/>
              </w:rPr>
              <m:t>V,L,X</m:t>
            </m:r>
          </m:e>
        </m:d>
        <m:r>
          <w:rPr>
            <w:rFonts w:ascii="Cambria Math" w:hAnsi="Cambria Math"/>
          </w:rPr>
          <m:t xml:space="preserve"> </m:t>
        </m:r>
      </m:oMath>
      <w:r w:rsidR="007F53E8">
        <w:t xml:space="preserve">and </w:t>
      </w:r>
      <m:oMath>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m:t>
            </m:r>
          </m:e>
        </m:d>
      </m:oMath>
      <w:r w:rsidR="007F53E8">
        <w:t xml:space="preserve"> are linear functions of their explanatory variables and the product of these functions does not involve any products of </w:t>
      </w:r>
      <w:r w:rsidR="007F53E8" w:rsidRPr="000D3070">
        <w:rPr>
          <w:i/>
        </w:rPr>
        <w:t>X</w:t>
      </w:r>
      <w:r w:rsidR="007F53E8" w:rsidRPr="000D3070">
        <w:rPr>
          <w:i/>
          <w:vertAlign w:val="subscript"/>
        </w:rPr>
        <w:t>(j)</w:t>
      </w:r>
      <w:r w:rsidR="007F53E8">
        <w:rPr>
          <w:vertAlign w:val="subscript"/>
        </w:rPr>
        <w:t xml:space="preserve"> </w:t>
      </w:r>
      <w:r w:rsidR="007F53E8">
        <w:t xml:space="preserve">and </w:t>
      </w:r>
      <w:r w:rsidR="007F53E8" w:rsidRPr="000D3070">
        <w:rPr>
          <w:i/>
        </w:rPr>
        <w:t>X</w:t>
      </w:r>
      <w:r w:rsidR="007F53E8" w:rsidRPr="000D3070">
        <w:rPr>
          <w:i/>
          <w:vertAlign w:val="subscript"/>
        </w:rPr>
        <w:t>(k)</w:t>
      </w:r>
      <w:r w:rsidR="007F53E8">
        <w:t xml:space="preserve"> </w:t>
      </w:r>
      <w:r w:rsidR="000D3070">
        <w:t>(</w:t>
      </w:r>
      <m:oMath>
        <m:r>
          <w:rPr>
            <w:rFonts w:ascii="Cambria Math" w:hAnsi="Cambria Math"/>
          </w:rPr>
          <m:t>j≠k</m:t>
        </m:r>
      </m:oMath>
      <w:r w:rsidR="000D3070">
        <w:t>)</w:t>
      </w:r>
      <w:r w:rsidR="007F53E8">
        <w:t xml:space="preserve">. This is true, for instance, </w:t>
      </w:r>
      <w:r w:rsidR="009C72CA">
        <w:t xml:space="preserve">in cases where </w:t>
      </w:r>
      <m:oMath>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m:t>
            </m:r>
          </m:e>
        </m:d>
      </m:oMath>
      <w:r w:rsidR="007F53E8">
        <w:t xml:space="preserve"> does not depend on interactions among the </w:t>
      </w:r>
      <w:r w:rsidR="007F53E8" w:rsidRPr="000D3070">
        <w:rPr>
          <w:i/>
        </w:rPr>
        <w:t>X</w:t>
      </w:r>
      <w:r w:rsidR="007F53E8" w:rsidRPr="000D3070">
        <w:rPr>
          <w:i/>
          <w:vertAlign w:val="subscript"/>
        </w:rPr>
        <w:t>(j)</w:t>
      </w:r>
      <w:r w:rsidR="007F53E8">
        <w:rPr>
          <w:vertAlign w:val="subscript"/>
        </w:rPr>
        <w:t xml:space="preserve"> </w:t>
      </w:r>
      <w:r w:rsidR="007F53E8">
        <w:t xml:space="preserve">and </w:t>
      </w:r>
      <m:oMath>
        <m:r>
          <w:rPr>
            <w:rFonts w:ascii="Cambria Math" w:hAnsi="Cambria Math"/>
          </w:rPr>
          <m:t>p</m:t>
        </m:r>
        <m:d>
          <m:dPr>
            <m:ctrlPr>
              <w:rPr>
                <w:rFonts w:ascii="Cambria Math" w:hAnsi="Cambria Math"/>
                <w:i/>
              </w:rPr>
            </m:ctrlPr>
          </m:dPr>
          <m:e>
            <m:r>
              <w:rPr>
                <w:rFonts w:ascii="Cambria Math" w:hAnsi="Cambria Math"/>
              </w:rPr>
              <m:t>T=1</m:t>
            </m:r>
          </m:e>
          <m:e>
            <m:r>
              <w:rPr>
                <w:rFonts w:ascii="Cambria Math" w:hAnsi="Cambria Math"/>
              </w:rPr>
              <m:t>V,L,X</m:t>
            </m:r>
          </m:e>
        </m:d>
        <m:r>
          <w:rPr>
            <w:rFonts w:ascii="Cambria Math" w:hAnsi="Cambria Math"/>
          </w:rPr>
          <m:t>=</m:t>
        </m:r>
      </m:oMath>
      <w:r w:rsidR="00485BAC">
        <w:t xml:space="preserve"> </w:t>
      </w:r>
      <m:oMath>
        <m:r>
          <w:rPr>
            <w:rFonts w:ascii="Cambria Math" w:hAnsi="Cambria Math"/>
          </w:rPr>
          <m:t>p</m:t>
        </m:r>
        <m:d>
          <m:dPr>
            <m:ctrlPr>
              <w:rPr>
                <w:rFonts w:ascii="Cambria Math" w:hAnsi="Cambria Math"/>
                <w:i/>
              </w:rPr>
            </m:ctrlPr>
          </m:dPr>
          <m:e>
            <m:r>
              <w:rPr>
                <w:rFonts w:ascii="Cambria Math" w:hAnsi="Cambria Math"/>
              </w:rPr>
              <m:t>T=1</m:t>
            </m:r>
          </m:e>
          <m:e>
            <m:r>
              <w:rPr>
                <w:rFonts w:ascii="Cambria Math" w:hAnsi="Cambria Math"/>
              </w:rPr>
              <m:t>V,L</m:t>
            </m:r>
          </m:e>
        </m:d>
      </m:oMath>
      <w:r w:rsidR="00485BAC">
        <w:t xml:space="preserve"> </w:t>
      </w:r>
      <w:r w:rsidR="00AB72EE">
        <w:t xml:space="preserve">does not depend on </w:t>
      </w:r>
      <w:r w:rsidR="00485BAC">
        <w:t xml:space="preserve"> </w:t>
      </w:r>
      <w:r w:rsidR="00485BAC" w:rsidRPr="000D3070">
        <w:rPr>
          <w:i/>
        </w:rPr>
        <w:t>X</w:t>
      </w:r>
      <w:r w:rsidR="00485BAC">
        <w:t xml:space="preserve">. </w:t>
      </w:r>
      <w:r w:rsidR="00B66040">
        <w:t xml:space="preserve"> </w:t>
      </w:r>
    </w:p>
    <w:p w14:paraId="3DBAE770" w14:textId="61735467" w:rsidR="007E56D7" w:rsidRDefault="0051046B" w:rsidP="00FF10BC">
      <w:pPr>
        <w:spacing w:line="480" w:lineRule="auto"/>
        <w:jc w:val="both"/>
      </w:pPr>
      <w:r>
        <w:t xml:space="preserve">If </w:t>
      </w:r>
      <w:r w:rsidR="00FF10BC">
        <w:t>these assumptions</w:t>
      </w:r>
      <w:r>
        <w:t xml:space="preserve"> hold, </w:t>
      </w:r>
      <w:r w:rsidR="00C757E0">
        <w:t xml:space="preserve">it is possible to estimate </w:t>
      </w:r>
      <w:r w:rsidR="007E56D7">
        <w:t xml:space="preserve">the distribution of stated vote intentions </w:t>
      </w:r>
      <w:r w:rsidR="007E56D7" w:rsidRPr="004A7ECE">
        <w:rPr>
          <w:i/>
        </w:rPr>
        <w:t>V</w:t>
      </w:r>
      <w:r w:rsidR="007E56D7">
        <w:t xml:space="preserve"> amo</w:t>
      </w:r>
      <w:r w:rsidR="00681B96">
        <w:t>ng eventual voters</w:t>
      </w:r>
      <w:r w:rsidR="007E56D7">
        <w:t>. What</w:t>
      </w:r>
      <w:r w:rsidR="004008E4">
        <w:t xml:space="preserve"> </w:t>
      </w:r>
      <w:r w:rsidR="009C72CA">
        <w:t xml:space="preserve">commissioners and consumers </w:t>
      </w:r>
      <w:r w:rsidR="00D01D6B">
        <w:t xml:space="preserve">of polls </w:t>
      </w:r>
      <w:r w:rsidR="00E863FB">
        <w:t>really want to know</w:t>
      </w:r>
      <w:r w:rsidR="00D01D6B">
        <w:t>, however, is</w:t>
      </w:r>
      <w:r w:rsidR="00A95D9A">
        <w:t xml:space="preserve"> not the distribution of </w:t>
      </w:r>
      <w:r w:rsidR="00A95D9A" w:rsidRPr="00AB72EE">
        <w:rPr>
          <w:i/>
        </w:rPr>
        <w:t>V</w:t>
      </w:r>
      <w:r w:rsidR="00A95D9A">
        <w:t xml:space="preserve"> but</w:t>
      </w:r>
      <w:r w:rsidR="00D01D6B">
        <w:t xml:space="preserve"> the distribution of </w:t>
      </w:r>
      <w:r w:rsidR="007E56D7">
        <w:t>actual votes in the election</w:t>
      </w:r>
      <w:r w:rsidR="00012B5D">
        <w:t>, which we denote by</w:t>
      </w:r>
      <w:r w:rsidR="00A95D9A" w:rsidRPr="00A95D9A">
        <w:rPr>
          <w:i/>
        </w:rPr>
        <w:t xml:space="preserve"> </w:t>
      </w:r>
      <w:r w:rsidR="00A95D9A" w:rsidRPr="004A7ECE">
        <w:rPr>
          <w:i/>
        </w:rPr>
        <w:t>P</w:t>
      </w:r>
      <w:r w:rsidR="007E56D7">
        <w:t xml:space="preserve">. </w:t>
      </w:r>
      <w:r w:rsidR="004008E4">
        <w:t xml:space="preserve">A </w:t>
      </w:r>
      <w:r w:rsidR="007E56D7">
        <w:t xml:space="preserve">pre-election poll </w:t>
      </w:r>
      <w:r w:rsidR="00681B96">
        <w:t>cannot</w:t>
      </w:r>
      <w:r w:rsidR="00A95D9A">
        <w:t xml:space="preserve">, </w:t>
      </w:r>
      <w:r w:rsidR="00CA5075">
        <w:t>however</w:t>
      </w:r>
      <w:r w:rsidR="00A95D9A">
        <w:t>,</w:t>
      </w:r>
      <w:r w:rsidR="00681B96">
        <w:t xml:space="preserve"> provide direct information about </w:t>
      </w:r>
      <w:r w:rsidR="00681B96" w:rsidRPr="004A7ECE">
        <w:rPr>
          <w:i/>
        </w:rPr>
        <w:t>P</w:t>
      </w:r>
      <w:r w:rsidR="00681B96">
        <w:t xml:space="preserve"> because </w:t>
      </w:r>
      <w:r w:rsidR="005D5864" w:rsidRPr="005D5864">
        <w:rPr>
          <w:i/>
        </w:rPr>
        <w:t>P</w:t>
      </w:r>
      <w:r w:rsidR="00681B96">
        <w:t xml:space="preserve"> </w:t>
      </w:r>
      <w:r w:rsidR="00A95D9A">
        <w:t>does not exist</w:t>
      </w:r>
      <w:r w:rsidR="00681B96">
        <w:t xml:space="preserve"> (except for postal voters) </w:t>
      </w:r>
      <w:r w:rsidR="00A95D9A">
        <w:t>until election day</w:t>
      </w:r>
      <w:r w:rsidR="00681B96">
        <w:t>. To interpret the poll estimates</w:t>
      </w:r>
      <w:r w:rsidR="0043077D">
        <w:t xml:space="preserve"> using (2)</w:t>
      </w:r>
      <w:r w:rsidR="00681B96">
        <w:t xml:space="preserve"> as actual vot</w:t>
      </w:r>
      <w:r w:rsidR="0043077D">
        <w:t>e shares</w:t>
      </w:r>
      <w:r w:rsidR="00681B96">
        <w:t xml:space="preserve">, it </w:t>
      </w:r>
      <w:r w:rsidR="00A95D9A">
        <w:t>must also</w:t>
      </w:r>
      <w:r w:rsidR="009C72CA">
        <w:t xml:space="preserve"> </w:t>
      </w:r>
      <w:r w:rsidR="00A95D9A">
        <w:t>be</w:t>
      </w:r>
      <w:r w:rsidR="00681B96">
        <w:t xml:space="preserve"> </w:t>
      </w:r>
      <w:r w:rsidR="00C757E0">
        <w:t xml:space="preserve">assumed that </w:t>
      </w:r>
      <m:oMath>
        <m:r>
          <w:rPr>
            <w:rFonts w:ascii="Cambria Math" w:hAnsi="Cambria Math"/>
          </w:rPr>
          <m:t>p</m:t>
        </m:r>
        <m:d>
          <m:dPr>
            <m:ctrlPr>
              <w:rPr>
                <w:rFonts w:ascii="Cambria Math" w:hAnsi="Cambria Math"/>
                <w:i/>
              </w:rPr>
            </m:ctrlPr>
          </m:dPr>
          <m:e>
            <m:r>
              <w:rPr>
                <w:rFonts w:ascii="Cambria Math" w:hAnsi="Cambria Math"/>
              </w:rPr>
              <m:t>V</m:t>
            </m:r>
          </m:e>
          <m:e>
            <m:r>
              <w:rPr>
                <w:rFonts w:ascii="Cambria Math" w:hAnsi="Cambria Math"/>
              </w:rPr>
              <m:t>T=1</m:t>
            </m:r>
          </m:e>
        </m:d>
        <m:r>
          <w:rPr>
            <w:rFonts w:ascii="Cambria Math" w:hAnsi="Cambria Math"/>
          </w:rPr>
          <m:t>=p</m:t>
        </m:r>
        <m:d>
          <m:dPr>
            <m:ctrlPr>
              <w:rPr>
                <w:rFonts w:ascii="Cambria Math" w:hAnsi="Cambria Math"/>
                <w:i/>
              </w:rPr>
            </m:ctrlPr>
          </m:dPr>
          <m:e>
            <m:r>
              <w:rPr>
                <w:rFonts w:ascii="Cambria Math" w:hAnsi="Cambria Math"/>
              </w:rPr>
              <m:t>P</m:t>
            </m:r>
          </m:e>
          <m:e>
            <m:r>
              <w:rPr>
                <w:rFonts w:ascii="Cambria Math" w:hAnsi="Cambria Math"/>
              </w:rPr>
              <m:t>T=1</m:t>
            </m:r>
          </m:e>
        </m:d>
      </m:oMath>
      <w:r w:rsidR="00681B96">
        <w:t xml:space="preserve">. This </w:t>
      </w:r>
      <w:r w:rsidR="0043077D">
        <w:t xml:space="preserve">will be </w:t>
      </w:r>
      <w:r w:rsidR="00681B96">
        <w:t xml:space="preserve">true if </w:t>
      </w:r>
      <m:oMath>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oMath>
      <w:r w:rsidR="00681B96">
        <w:t xml:space="preserve"> for every individual, but also if </w:t>
      </w:r>
      <w:r w:rsidR="0050181B">
        <w:t>individual</w:t>
      </w:r>
      <w:r w:rsidR="009265F5">
        <w:t xml:space="preserve">-level </w:t>
      </w:r>
      <w:r w:rsidR="0050181B">
        <w:t xml:space="preserve">changes between </w:t>
      </w:r>
      <m:oMath>
        <m:sSub>
          <m:sSubPr>
            <m:ctrlPr>
              <w:rPr>
                <w:rFonts w:ascii="Cambria Math" w:hAnsi="Cambria Math"/>
                <w:i/>
              </w:rPr>
            </m:ctrlPr>
          </m:sSubPr>
          <m:e>
            <m:r>
              <w:rPr>
                <w:rFonts w:ascii="Cambria Math" w:hAnsi="Cambria Math"/>
              </w:rPr>
              <m:t>V</m:t>
            </m:r>
          </m:e>
          <m:sub>
            <m:r>
              <w:rPr>
                <w:rFonts w:ascii="Cambria Math" w:hAnsi="Cambria Math"/>
              </w:rPr>
              <m:t>i</m:t>
            </m:r>
          </m:sub>
        </m:sSub>
      </m:oMath>
      <w:r w:rsidR="0050181B">
        <w:t xml:space="preserve"> and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50181B">
        <w:t xml:space="preserve"> are </w:t>
      </w:r>
      <w:r w:rsidR="0043077D">
        <w:t>self-cancelling</w:t>
      </w:r>
      <w:r w:rsidR="00AD03CD">
        <w:t xml:space="preserve"> in </w:t>
      </w:r>
      <w:r w:rsidR="00CA5075">
        <w:t xml:space="preserve">the </w:t>
      </w:r>
      <w:r w:rsidR="00AD03CD">
        <w:t>aggregate</w:t>
      </w:r>
      <w:r w:rsidR="004A7ECE">
        <w:t xml:space="preserve">. </w:t>
      </w:r>
      <w:r w:rsidR="0050181B">
        <w:t xml:space="preserve"> </w:t>
      </w:r>
    </w:p>
    <w:p w14:paraId="32471172" w14:textId="3096D43B" w:rsidR="00681B96" w:rsidRDefault="00681B96" w:rsidP="00B1401C">
      <w:pPr>
        <w:spacing w:line="480" w:lineRule="auto"/>
      </w:pPr>
      <w:r>
        <w:t xml:space="preserve">In summary, the key assumptions which underlie the estimates </w:t>
      </w:r>
      <w:r w:rsidR="009C72CA">
        <w:t xml:space="preserve">of </w:t>
      </w:r>
      <w:r w:rsidR="004008E4">
        <w:t xml:space="preserve">pre-election polls as they were conducted </w:t>
      </w:r>
      <w:r w:rsidR="0043077D">
        <w:t xml:space="preserve">for the </w:t>
      </w:r>
      <w:r>
        <w:t>2015</w:t>
      </w:r>
      <w:r w:rsidR="0043077D">
        <w:t xml:space="preserve"> UK General Election</w:t>
      </w:r>
      <w:r>
        <w:t xml:space="preserve"> are </w:t>
      </w:r>
      <w:r w:rsidR="0050181B">
        <w:t>the following:</w:t>
      </w:r>
    </w:p>
    <w:p w14:paraId="6B751EE0" w14:textId="2BB40807" w:rsidR="00681B96" w:rsidRDefault="00681B96" w:rsidP="00B1401C">
      <w:pPr>
        <w:spacing w:line="480" w:lineRule="auto"/>
      </w:pPr>
      <w:r>
        <w:t xml:space="preserve">(A1) </w:t>
      </w:r>
      <w:r w:rsidR="0050181B" w:rsidRPr="0050181B">
        <w:rPr>
          <w:i/>
        </w:rPr>
        <w:t>Representative sampling</w:t>
      </w:r>
      <w:r w:rsidR="0050181B">
        <w:t xml:space="preserve">: Given any value of </w:t>
      </w:r>
      <w:r w:rsidR="003721D9">
        <w:t xml:space="preserve">the weighting variables </w:t>
      </w:r>
      <w:r w:rsidR="0050181B" w:rsidRPr="003721D9">
        <w:rPr>
          <w:i/>
        </w:rPr>
        <w:t>X</w:t>
      </w:r>
      <w:r w:rsidR="0050181B">
        <w:t>,</w:t>
      </w:r>
      <w:r w:rsidR="00527DE8">
        <w:t xml:space="preserve"> observations</w:t>
      </w:r>
      <w:r w:rsidR="0050181B">
        <w:t xml:space="preserve"> </w:t>
      </w:r>
      <m:oMath>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oMath>
      <w:r w:rsidR="0050181B">
        <w:t xml:space="preserve"> in the poll </w:t>
      </w:r>
      <w:r w:rsidR="00287F0C">
        <w:t>can be treated as</w:t>
      </w:r>
      <w:r w:rsidR="0050181B">
        <w:t xml:space="preserve"> a random sample (with equal </w:t>
      </w:r>
      <w:r w:rsidR="00527DE8">
        <w:t xml:space="preserve">inclusion </w:t>
      </w:r>
      <w:r w:rsidR="0050181B">
        <w:t xml:space="preserve">probabilities) from </w:t>
      </w:r>
      <m:oMath>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m:t>
            </m:r>
          </m:e>
        </m:d>
      </m:oMath>
      <w:r w:rsidR="00527DE8">
        <w:t xml:space="preserve"> in the population;</w:t>
      </w:r>
      <w:r w:rsidR="0050181B">
        <w:t xml:space="preserve"> </w:t>
      </w:r>
    </w:p>
    <w:p w14:paraId="20EA306D" w14:textId="34A4CE62" w:rsidR="0050181B" w:rsidRDefault="0050181B" w:rsidP="00B1401C">
      <w:pPr>
        <w:spacing w:line="480" w:lineRule="auto"/>
      </w:pPr>
      <w:r>
        <w:lastRenderedPageBreak/>
        <w:t xml:space="preserve">(A2) </w:t>
      </w:r>
      <w:r>
        <w:rPr>
          <w:i/>
        </w:rPr>
        <w:t xml:space="preserve">Correct </w:t>
      </w:r>
      <w:r w:rsidR="00EB482F">
        <w:rPr>
          <w:i/>
        </w:rPr>
        <w:t xml:space="preserve">model for </w:t>
      </w:r>
      <w:r>
        <w:rPr>
          <w:i/>
        </w:rPr>
        <w:t>turnout probabilities</w:t>
      </w:r>
      <w:r>
        <w:t xml:space="preserve">: The </w:t>
      </w:r>
      <w:r w:rsidR="004008E4">
        <w:t xml:space="preserve">assigned </w:t>
      </w:r>
      <w:r>
        <w:t xml:space="preserve">turnout weights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t xml:space="preserve"> are equal to</w:t>
      </w:r>
      <w:r w:rsidR="00EB482F">
        <w:t xml:space="preserve"> the probabilities</w:t>
      </w:r>
      <w:r>
        <w:t xml:space="preserve"> </w:t>
      </w:r>
      <m:oMath>
        <m:r>
          <w:rPr>
            <w:rFonts w:ascii="Cambria Math" w:hAnsi="Cambria Math"/>
          </w:rPr>
          <m:t>p(</m:t>
        </m:r>
        <m:sSub>
          <m:sSubPr>
            <m:ctrlPr>
              <w:rPr>
                <w:rFonts w:ascii="Cambria Math" w:hAnsi="Cambria Math"/>
                <w:i/>
              </w:rPr>
            </m:ctrlPr>
          </m:sSubPr>
          <m:e>
            <m:r>
              <w:rPr>
                <w:rFonts w:ascii="Cambria Math" w:hAnsi="Cambria Math"/>
              </w:rPr>
              <m:t>T</m:t>
            </m:r>
          </m:e>
          <m:sub>
            <m:r>
              <w:rPr>
                <w:rFonts w:ascii="Cambria Math" w:hAnsi="Cambria Math"/>
              </w:rPr>
              <m:t>i</m:t>
            </m:r>
          </m:sub>
        </m:sSub>
        <m:r>
          <w:rPr>
            <w:rFonts w:ascii="Cambria Math" w:hAnsi="Cambria Math"/>
          </w:rPr>
          <m:t>=1|</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oMath>
      <w:r w:rsidR="00EB482F">
        <w:t xml:space="preserve"> from the conditional distribution of </w:t>
      </w:r>
      <w:r w:rsidR="00EB482F" w:rsidRPr="00EB482F">
        <w:rPr>
          <w:i/>
        </w:rPr>
        <w:t>T</w:t>
      </w:r>
      <w:r w:rsidR="00EB482F">
        <w:t xml:space="preserve"> which holds in the population</w:t>
      </w:r>
      <w:r w:rsidR="00527DE8">
        <w:t>;</w:t>
      </w:r>
      <w:r>
        <w:t xml:space="preserve"> </w:t>
      </w:r>
    </w:p>
    <w:p w14:paraId="45ABBC96" w14:textId="3110B3B9" w:rsidR="0050181B" w:rsidRDefault="0050181B" w:rsidP="00B1401C">
      <w:pPr>
        <w:spacing w:line="480" w:lineRule="auto"/>
      </w:pPr>
      <w:r>
        <w:t xml:space="preserve">(A3) </w:t>
      </w:r>
      <w:r w:rsidR="003721D9" w:rsidRPr="003721D9">
        <w:rPr>
          <w:i/>
        </w:rPr>
        <w:t xml:space="preserve">Agreement between </w:t>
      </w:r>
      <w:r w:rsidR="003721D9">
        <w:t>s</w:t>
      </w:r>
      <w:r w:rsidR="003721D9">
        <w:rPr>
          <w:i/>
        </w:rPr>
        <w:t xml:space="preserve">tated </w:t>
      </w:r>
      <w:r w:rsidRPr="0050181B">
        <w:rPr>
          <w:i/>
        </w:rPr>
        <w:t>vote intention and actual vote</w:t>
      </w:r>
      <w:r>
        <w:t xml:space="preserve">:  </w:t>
      </w:r>
      <m:oMath>
        <m:r>
          <w:rPr>
            <w:rFonts w:ascii="Cambria Math" w:hAnsi="Cambria Math"/>
          </w:rPr>
          <m:t>p</m:t>
        </m:r>
        <m:d>
          <m:dPr>
            <m:ctrlPr>
              <w:rPr>
                <w:rFonts w:ascii="Cambria Math" w:hAnsi="Cambria Math"/>
                <w:i/>
              </w:rPr>
            </m:ctrlPr>
          </m:dPr>
          <m:e>
            <m:r>
              <w:rPr>
                <w:rFonts w:ascii="Cambria Math" w:hAnsi="Cambria Math"/>
              </w:rPr>
              <m:t>V</m:t>
            </m:r>
          </m:e>
          <m:e>
            <m:r>
              <w:rPr>
                <w:rFonts w:ascii="Cambria Math" w:hAnsi="Cambria Math"/>
              </w:rPr>
              <m:t>T=1</m:t>
            </m:r>
          </m:e>
        </m:d>
        <m:r>
          <w:rPr>
            <w:rFonts w:ascii="Cambria Math" w:hAnsi="Cambria Math"/>
          </w:rPr>
          <m:t>=p</m:t>
        </m:r>
        <m:d>
          <m:dPr>
            <m:ctrlPr>
              <w:rPr>
                <w:rFonts w:ascii="Cambria Math" w:hAnsi="Cambria Math"/>
                <w:i/>
              </w:rPr>
            </m:ctrlPr>
          </m:dPr>
          <m:e>
            <m:r>
              <w:rPr>
                <w:rFonts w:ascii="Cambria Math" w:hAnsi="Cambria Math"/>
              </w:rPr>
              <m:t>P</m:t>
            </m:r>
          </m:e>
          <m:e>
            <m:r>
              <w:rPr>
                <w:rFonts w:ascii="Cambria Math" w:hAnsi="Cambria Math"/>
              </w:rPr>
              <m:t>T=1</m:t>
            </m:r>
          </m:e>
        </m:d>
      </m:oMath>
      <w:r w:rsidR="00B71029">
        <w:t xml:space="preserve"> </w:t>
      </w:r>
      <w:r w:rsidR="00343C6A">
        <w:t xml:space="preserve">, i.e. </w:t>
      </w:r>
      <w:r w:rsidR="00D43739">
        <w:t>there is no difference</w:t>
      </w:r>
      <w:r w:rsidR="00C35038">
        <w:t xml:space="preserve"> between the stated vote intention in the final poll</w:t>
      </w:r>
      <w:r w:rsidR="00B71029">
        <w:t xml:space="preserve"> and the</w:t>
      </w:r>
      <w:r w:rsidR="00C35038">
        <w:t xml:space="preserve"> choice made in the</w:t>
      </w:r>
      <w:r w:rsidR="00B71029">
        <w:t xml:space="preserve"> election, or </w:t>
      </w:r>
      <w:r w:rsidR="00C35038">
        <w:t>where such discrepancies do exist they</w:t>
      </w:r>
      <w:r w:rsidR="00B71029">
        <w:t xml:space="preserve"> are self-cancelling</w:t>
      </w:r>
      <w:r w:rsidR="009265F5">
        <w:t xml:space="preserve"> in the aggregate</w:t>
      </w:r>
      <w:r w:rsidR="00527DE8">
        <w:t>;</w:t>
      </w:r>
    </w:p>
    <w:p w14:paraId="3A0A9B9E" w14:textId="2079CB89" w:rsidR="002877ED" w:rsidRDefault="0050181B" w:rsidP="003721D9">
      <w:pPr>
        <w:spacing w:line="480" w:lineRule="auto"/>
        <w:jc w:val="both"/>
      </w:pPr>
      <w:r>
        <w:t xml:space="preserve">together with the </w:t>
      </w:r>
      <w:r w:rsidR="00657E06">
        <w:t>additional conditions on the distribution</w:t>
      </w:r>
      <w:r w:rsidR="00C757E0">
        <w:t>s</w:t>
      </w:r>
      <w:r w:rsidR="00657E06">
        <w:t xml:space="preserve"> of </w:t>
      </w:r>
      <w:r w:rsidR="00657E06" w:rsidRPr="003721D9">
        <w:rPr>
          <w:i/>
        </w:rPr>
        <w:t>X</w:t>
      </w:r>
      <w:r w:rsidR="00C757E0">
        <w:rPr>
          <w:i/>
        </w:rPr>
        <w:t xml:space="preserve">, </w:t>
      </w:r>
      <w:r w:rsidR="00657E06" w:rsidRPr="003721D9">
        <w:rPr>
          <w:i/>
        </w:rPr>
        <w:t>(V,L)</w:t>
      </w:r>
      <w:r w:rsidR="00C757E0">
        <w:rPr>
          <w:i/>
        </w:rPr>
        <w:t>,</w:t>
      </w:r>
      <w:r w:rsidR="00657E06">
        <w:t xml:space="preserve"> and </w:t>
      </w:r>
      <w:r w:rsidR="00657E06" w:rsidRPr="003721D9">
        <w:rPr>
          <w:i/>
        </w:rPr>
        <w:t>T</w:t>
      </w:r>
      <w:r w:rsidR="00657E06">
        <w:t xml:space="preserve"> that were discussed above. </w:t>
      </w:r>
      <w:r w:rsidR="00C757E0">
        <w:t>If assumptions (A1) and (A2</w:t>
      </w:r>
      <w:r w:rsidR="00EF2A74">
        <w:t xml:space="preserve">) </w:t>
      </w:r>
      <w:r w:rsidR="002877ED">
        <w:t>hold</w:t>
      </w:r>
      <w:r w:rsidR="00EF2A74">
        <w:t>, (2) provide</w:t>
      </w:r>
      <w:r w:rsidR="003721D9">
        <w:t>s</w:t>
      </w:r>
      <w:r w:rsidR="00EF2A74">
        <w:t xml:space="preserve"> consistent estimates of </w:t>
      </w:r>
      <w:r w:rsidR="00F118D8">
        <w:t>the vote</w:t>
      </w:r>
      <w:r w:rsidR="00C757E0">
        <w:t xml:space="preserve"> intentions </w:t>
      </w:r>
      <w:r w:rsidR="00C757E0" w:rsidRPr="004008E4">
        <w:rPr>
          <w:i/>
        </w:rPr>
        <w:t>p(</w:t>
      </w:r>
      <w:r w:rsidR="004008E4" w:rsidRPr="004008E4">
        <w:rPr>
          <w:i/>
        </w:rPr>
        <w:t>V</w:t>
      </w:r>
      <w:r w:rsidR="00C757E0" w:rsidRPr="004008E4">
        <w:rPr>
          <w:i/>
        </w:rPr>
        <w:t>|T=1)</w:t>
      </w:r>
      <w:r w:rsidR="00C757E0">
        <w:t xml:space="preserve">, and </w:t>
      </w:r>
      <w:r w:rsidR="004008E4">
        <w:t xml:space="preserve">if </w:t>
      </w:r>
      <w:r w:rsidR="00C757E0">
        <w:t xml:space="preserve">(A3) </w:t>
      </w:r>
      <w:r w:rsidR="004008E4">
        <w:t>holds as well</w:t>
      </w:r>
      <w:r w:rsidR="00C757E0">
        <w:t xml:space="preserve">, of the </w:t>
      </w:r>
      <w:r w:rsidR="002877ED">
        <w:t xml:space="preserve">actual vote shares </w:t>
      </w:r>
      <w:r w:rsidR="00EF2A74" w:rsidRPr="003721D9">
        <w:rPr>
          <w:i/>
        </w:rPr>
        <w:t>p(P|T=1)</w:t>
      </w:r>
      <w:r w:rsidR="00EF2A74">
        <w:t xml:space="preserve">. </w:t>
      </w:r>
      <w:r w:rsidR="00557E9F">
        <w:t>I</w:t>
      </w:r>
      <w:r w:rsidR="002877ED">
        <w:t xml:space="preserve">t is unlikely </w:t>
      </w:r>
      <w:r w:rsidR="009B7D76">
        <w:t xml:space="preserve">in practice </w:t>
      </w:r>
      <w:r w:rsidR="002877ED">
        <w:t>that the</w:t>
      </w:r>
      <w:r w:rsidR="00557E9F">
        <w:t>se</w:t>
      </w:r>
      <w:r w:rsidR="002877ED">
        <w:t xml:space="preserve"> assumptions </w:t>
      </w:r>
      <w:r w:rsidR="00557E9F">
        <w:t xml:space="preserve">will be </w:t>
      </w:r>
      <w:r w:rsidR="002877ED">
        <w:t xml:space="preserve">exactly satisfied, so it is better to regard them as </w:t>
      </w:r>
      <w:r w:rsidR="003721D9">
        <w:t xml:space="preserve">ideal </w:t>
      </w:r>
      <w:r w:rsidR="002877ED">
        <w:t xml:space="preserve">conditions </w:t>
      </w:r>
      <w:r w:rsidR="007E4A61">
        <w:t xml:space="preserve">that </w:t>
      </w:r>
      <w:r w:rsidR="002877ED">
        <w:t xml:space="preserve">the polls should aim to </w:t>
      </w:r>
      <w:r w:rsidR="009B7D76">
        <w:t>be as close to as possible</w:t>
      </w:r>
      <w:r w:rsidR="002877ED">
        <w:t xml:space="preserve"> in order to produce reasonable estimates. </w:t>
      </w:r>
    </w:p>
    <w:p w14:paraId="4894A55C" w14:textId="062CD5D7" w:rsidR="00A94752" w:rsidRDefault="002877ED">
      <w:pPr>
        <w:spacing w:line="480" w:lineRule="auto"/>
        <w:jc w:val="both"/>
      </w:pPr>
      <w:r>
        <w:t>These assumptions are stringent</w:t>
      </w:r>
      <w:r w:rsidR="00527DE8">
        <w:t>.</w:t>
      </w:r>
      <w:r w:rsidR="007B5482">
        <w:t xml:space="preserve"> </w:t>
      </w:r>
      <w:r w:rsidR="00A94752">
        <w:t>(A1) requires that the samples are representative given the weighting variables</w:t>
      </w:r>
      <w:r w:rsidR="00527DE8">
        <w:t>,</w:t>
      </w:r>
      <w:r w:rsidR="00A94752">
        <w:t xml:space="preserve"> even though </w:t>
      </w:r>
      <w:r w:rsidR="00532F9D">
        <w:t xml:space="preserve">in quota sampling the sampling probabilities are not known and </w:t>
      </w:r>
      <w:r w:rsidR="005D5864">
        <w:t>will likely</w:t>
      </w:r>
      <w:r w:rsidR="00532F9D">
        <w:t xml:space="preserve"> be zero for some members of the population, </w:t>
      </w:r>
      <w:r w:rsidR="00A94752">
        <w:t>and robust</w:t>
      </w:r>
      <w:r w:rsidR="00424CA2">
        <w:t xml:space="preserve"> population</w:t>
      </w:r>
      <w:r w:rsidR="00A94752">
        <w:t xml:space="preserve"> data for weighting is limited.</w:t>
      </w:r>
      <w:r w:rsidR="00D25C6E">
        <w:t xml:space="preserve"> </w:t>
      </w:r>
      <w:r w:rsidR="0045029A">
        <w:t xml:space="preserve">Assumption </w:t>
      </w:r>
      <w:r w:rsidR="00F811C4">
        <w:t>(</w:t>
      </w:r>
      <w:r w:rsidR="00D25C6E">
        <w:t>A1</w:t>
      </w:r>
      <w:r w:rsidR="00F811C4">
        <w:t>)</w:t>
      </w:r>
      <w:r w:rsidR="00D25C6E">
        <w:t xml:space="preserve"> </w:t>
      </w:r>
      <w:r w:rsidR="0045029A">
        <w:t>will be violated i</w:t>
      </w:r>
      <w:r w:rsidR="00D25C6E">
        <w:t>f</w:t>
      </w:r>
      <w:r w:rsidR="00336729">
        <w:t>, over hypothetical repetitions of the sampling process,</w:t>
      </w:r>
      <w:r w:rsidR="00D25C6E">
        <w:t xml:space="preserve"> </w:t>
      </w:r>
      <w:r w:rsidR="00B23D4D">
        <w:t>the distribution of vote intention</w:t>
      </w:r>
      <w:r w:rsidR="007E4A61">
        <w:t>,</w:t>
      </w:r>
      <w:r w:rsidR="00B23D4D">
        <w:t xml:space="preserve"> given </w:t>
      </w:r>
      <w:r w:rsidR="00336729">
        <w:t>the weighting variables</w:t>
      </w:r>
      <w:r w:rsidR="007E4A61">
        <w:t>,</w:t>
      </w:r>
      <w:r w:rsidR="00336729">
        <w:t xml:space="preserve"> </w:t>
      </w:r>
      <w:r w:rsidR="00DD60D7">
        <w:t>is</w:t>
      </w:r>
      <w:r w:rsidR="00B23D4D">
        <w:t xml:space="preserve"> </w:t>
      </w:r>
      <w:r w:rsidR="00336729">
        <w:t>different from the corresponding population distribution</w:t>
      </w:r>
      <w:r w:rsidR="0045029A">
        <w:t xml:space="preserve">. For instance, in the example that we introduced earlier this would occur </w:t>
      </w:r>
      <w:r w:rsidR="00336729">
        <w:t>if</w:t>
      </w:r>
      <w:r w:rsidR="0045029A">
        <w:t>,</w:t>
      </w:r>
      <w:r w:rsidR="00336729">
        <w:t xml:space="preserve"> for some combinations of </w:t>
      </w:r>
      <w:r w:rsidR="0045029A">
        <w:t xml:space="preserve">the weighting variables age-by-sex, </w:t>
      </w:r>
      <w:r w:rsidR="00336729">
        <w:t xml:space="preserve">region </w:t>
      </w:r>
      <w:r w:rsidR="0045029A">
        <w:t xml:space="preserve">and </w:t>
      </w:r>
      <w:r w:rsidR="0068327F">
        <w:t xml:space="preserve">past </w:t>
      </w:r>
      <w:r w:rsidR="0045029A">
        <w:t xml:space="preserve">vote, </w:t>
      </w:r>
      <w:r w:rsidR="00336729">
        <w:t xml:space="preserve">the respondents </w:t>
      </w:r>
      <w:r w:rsidR="00DD60D7">
        <w:t>are</w:t>
      </w:r>
      <w:r w:rsidR="00336729">
        <w:t xml:space="preserve"> </w:t>
      </w:r>
      <w:r w:rsidR="00536B9A">
        <w:t xml:space="preserve">more </w:t>
      </w:r>
      <w:r w:rsidR="0068327F">
        <w:t xml:space="preserve">educated </w:t>
      </w:r>
      <w:r w:rsidR="00336729">
        <w:t>than the</w:t>
      </w:r>
      <w:r w:rsidR="00DD60D7">
        <w:t xml:space="preserve"> target</w:t>
      </w:r>
      <w:r w:rsidR="00336729">
        <w:t xml:space="preserve"> population,</w:t>
      </w:r>
      <w:r w:rsidR="0068327F">
        <w:t xml:space="preserve"> and </w:t>
      </w:r>
      <w:r w:rsidR="00336729">
        <w:t xml:space="preserve">education </w:t>
      </w:r>
      <w:r w:rsidR="00DD60D7">
        <w:t>is</w:t>
      </w:r>
      <w:r w:rsidR="00336729">
        <w:t xml:space="preserve"> associated with vote</w:t>
      </w:r>
      <w:r w:rsidR="0068327F">
        <w:t xml:space="preserve"> even given the weighting variables</w:t>
      </w:r>
      <w:r w:rsidR="00336729">
        <w:t xml:space="preserve">. </w:t>
      </w:r>
      <w:r w:rsidR="0068327F">
        <w:t xml:space="preserve">Assumption </w:t>
      </w:r>
      <w:r w:rsidR="00A94752">
        <w:t xml:space="preserve">(A2) </w:t>
      </w:r>
      <w:r>
        <w:t>requires that turnout</w:t>
      </w:r>
      <w:r w:rsidR="009B7D76">
        <w:t xml:space="preserve"> probabilit</w:t>
      </w:r>
      <w:r w:rsidR="00424CA2">
        <w:t>ies</w:t>
      </w:r>
      <w:r>
        <w:t xml:space="preserve"> can be </w:t>
      </w:r>
      <w:r w:rsidR="003721D9">
        <w:t>modelled t</w:t>
      </w:r>
      <w:r>
        <w:t>o a high degree of accuracy</w:t>
      </w:r>
      <w:r w:rsidR="00A94752">
        <w:t xml:space="preserve">, even though </w:t>
      </w:r>
      <w:r>
        <w:t xml:space="preserve">there is little in the way of evidence on which to </w:t>
      </w:r>
      <w:r w:rsidR="000F27BF">
        <w:t xml:space="preserve">base </w:t>
      </w:r>
      <w:r w:rsidR="00D55DC4">
        <w:t>such</w:t>
      </w:r>
      <w:r>
        <w:t xml:space="preserve"> </w:t>
      </w:r>
      <w:r w:rsidR="007B5482">
        <w:t xml:space="preserve">a </w:t>
      </w:r>
      <w:r>
        <w:t xml:space="preserve">prediction.  </w:t>
      </w:r>
      <w:r w:rsidR="00527DE8">
        <w:t xml:space="preserve">(A3) requires that </w:t>
      </w:r>
      <w:r w:rsidR="00A53803">
        <w:t xml:space="preserve">respondents’ </w:t>
      </w:r>
      <w:r w:rsidR="00634D3E">
        <w:t xml:space="preserve">reported </w:t>
      </w:r>
      <w:r w:rsidR="00680422">
        <w:t xml:space="preserve">pre-election vote intentions </w:t>
      </w:r>
      <w:r w:rsidR="00527DE8">
        <w:t xml:space="preserve">accurately represent </w:t>
      </w:r>
      <w:r w:rsidR="00680422">
        <w:t>the</w:t>
      </w:r>
      <w:r w:rsidR="004F3857">
        <w:t>ir</w:t>
      </w:r>
      <w:r w:rsidR="00680422">
        <w:t xml:space="preserve"> actual votes</w:t>
      </w:r>
      <w:r w:rsidR="00634D3E">
        <w:t xml:space="preserve">, so </w:t>
      </w:r>
      <w:r w:rsidR="00DD60D7">
        <w:t>this</w:t>
      </w:r>
      <w:r w:rsidR="00634D3E">
        <w:t xml:space="preserve"> can fail if there is missing data or measurement error in the stated vote intention</w:t>
      </w:r>
      <w:r w:rsidR="00DD60D7">
        <w:t>,</w:t>
      </w:r>
      <w:r w:rsidR="00634D3E">
        <w:t xml:space="preserve"> or if </w:t>
      </w:r>
      <w:r w:rsidR="00DD60D7">
        <w:t>reported</w:t>
      </w:r>
      <w:r w:rsidR="00634D3E">
        <w:t xml:space="preserve"> </w:t>
      </w:r>
      <w:r w:rsidR="00DD60D7">
        <w:t>vote</w:t>
      </w:r>
      <w:r w:rsidR="00634D3E">
        <w:t xml:space="preserve"> intentions change </w:t>
      </w:r>
      <w:r w:rsidR="00DD60D7">
        <w:t>between the poll and</w:t>
      </w:r>
      <w:r w:rsidR="00634D3E">
        <w:t xml:space="preserve"> the election</w:t>
      </w:r>
      <w:r w:rsidR="00680422">
        <w:t xml:space="preserve">. </w:t>
      </w:r>
      <w:r w:rsidR="00527DE8">
        <w:t xml:space="preserve"> </w:t>
      </w:r>
      <w:r w:rsidR="003721D9">
        <w:t>A</w:t>
      </w:r>
      <w:r w:rsidR="00680422">
        <w:t xml:space="preserve">ll of these conditions are prone to violation at any given election and </w:t>
      </w:r>
      <w:r w:rsidR="00A94752">
        <w:t xml:space="preserve">may fail in ways </w:t>
      </w:r>
      <w:r w:rsidR="001A6E80">
        <w:t xml:space="preserve">that </w:t>
      </w:r>
      <w:r w:rsidR="00A94752">
        <w:t xml:space="preserve">cause large </w:t>
      </w:r>
      <w:r w:rsidR="00A94752">
        <w:lastRenderedPageBreak/>
        <w:t xml:space="preserve">errors in estimated vote shares. </w:t>
      </w:r>
      <w:r w:rsidR="00680422">
        <w:t xml:space="preserve">In section 4 we </w:t>
      </w:r>
      <w:r w:rsidR="003721D9">
        <w:t xml:space="preserve">examine </w:t>
      </w:r>
      <w:r w:rsidR="00680422">
        <w:t>evidence o</w:t>
      </w:r>
      <w:r w:rsidR="003721D9">
        <w:t>f</w:t>
      </w:r>
      <w:r w:rsidR="00680422">
        <w:t xml:space="preserve"> such failures</w:t>
      </w:r>
      <w:r w:rsidR="004F3857">
        <w:t xml:space="preserve"> in</w:t>
      </w:r>
      <w:r w:rsidR="00A53803">
        <w:t xml:space="preserve"> the</w:t>
      </w:r>
      <w:r w:rsidR="004F3857">
        <w:t xml:space="preserve"> 2015</w:t>
      </w:r>
      <w:r w:rsidR="00A53803">
        <w:t xml:space="preserve"> polls</w:t>
      </w:r>
      <w:r w:rsidR="00680422">
        <w:t xml:space="preserve"> for each of the assumptions.  </w:t>
      </w:r>
    </w:p>
    <w:p w14:paraId="1A7695C5" w14:textId="77777777" w:rsidR="00536B9A" w:rsidRDefault="00536B9A" w:rsidP="00152BA9">
      <w:pPr>
        <w:spacing w:line="480" w:lineRule="auto"/>
        <w:rPr>
          <w:b/>
        </w:rPr>
      </w:pPr>
    </w:p>
    <w:p w14:paraId="7906397C" w14:textId="77777777" w:rsidR="00152BA9" w:rsidRDefault="00152BA9" w:rsidP="00152BA9">
      <w:pPr>
        <w:spacing w:line="480" w:lineRule="auto"/>
        <w:rPr>
          <w:b/>
        </w:rPr>
      </w:pPr>
      <w:r w:rsidRPr="00AA5D98">
        <w:rPr>
          <w:b/>
        </w:rPr>
        <w:t xml:space="preserve">2.2 </w:t>
      </w:r>
      <w:r>
        <w:rPr>
          <w:b/>
        </w:rPr>
        <w:t>Sampling variability of point</w:t>
      </w:r>
      <w:r w:rsidRPr="00AA5D98">
        <w:rPr>
          <w:b/>
        </w:rPr>
        <w:t xml:space="preserve"> estimates</w:t>
      </w:r>
    </w:p>
    <w:p w14:paraId="4888E34F" w14:textId="11958B02" w:rsidR="00152BA9" w:rsidRDefault="00152BA9" w:rsidP="00152BA9">
      <w:pPr>
        <w:spacing w:line="480" w:lineRule="auto"/>
        <w:jc w:val="both"/>
      </w:pPr>
      <w:r>
        <w:t>We concluded from Table 1 that the 2015 polling miss was not due to random sampling error. However, this conclusion is based on the rather unsatisfactory notion of a +/- 3% ‘margin of error’ applied to any point estimate for a proportion</w:t>
      </w:r>
      <w:r w:rsidR="009E5BEA">
        <w:t>,</w:t>
      </w:r>
      <w:r>
        <w:t xml:space="preserve"> which is currently used by UK pollsters.  This rule of thumb is derived under an “as if” assumption of simple random sampling for a sample of size of 1000, a common sample size for opinion polls</w:t>
      </w:r>
      <w:r w:rsidR="0016268C">
        <w:t xml:space="preserve">. This heuristic </w:t>
      </w:r>
      <w:r w:rsidR="00326FD9">
        <w:t xml:space="preserve">is clearly not appropriate </w:t>
      </w:r>
      <w:r w:rsidR="0016268C">
        <w:t>for</w:t>
      </w:r>
      <w:r w:rsidR="00326FD9">
        <w:t xml:space="preserve"> the sample designs </w:t>
      </w:r>
      <w:r w:rsidR="0016268C">
        <w:t>of</w:t>
      </w:r>
      <w:r w:rsidR="00326FD9">
        <w:t xml:space="preserve"> the 2015 polls</w:t>
      </w:r>
      <w:r>
        <w:t xml:space="preserve">. </w:t>
      </w:r>
      <w:r w:rsidR="00D243C8">
        <w:t>Yet, ignoring the</w:t>
      </w:r>
      <w:r w:rsidR="0016268C">
        <w:t>ir</w:t>
      </w:r>
      <w:r w:rsidR="00D243C8">
        <w:t xml:space="preserve"> sampling variability is clearly unsatisfactory and, indeed, the recent American Association of Public Opinion Research (AAPOR) Task Force on non-probability sampling recommended that “… users of non-probability samples should be encouraged to report measures of the precision of their estimates” (Baker, et al. 2013). </w:t>
      </w:r>
      <w:r w:rsidR="00326FD9">
        <w:t>Here, w</w:t>
      </w:r>
      <w:r w:rsidR="009E5BEA">
        <w:t>e propose</w:t>
      </w:r>
      <w:r w:rsidR="009316F0">
        <w:t xml:space="preserve"> </w:t>
      </w:r>
      <w:r w:rsidR="009E5BEA">
        <w:t xml:space="preserve">a </w:t>
      </w:r>
      <w:r>
        <w:t>method of calculating the precision of poll estimates from quota samples, which better reflects the</w:t>
      </w:r>
      <w:r w:rsidR="00163EB5">
        <w:t xml:space="preserve"> nature of the sampling and estimation </w:t>
      </w:r>
      <w:r w:rsidR="0047435F">
        <w:t>procedure</w:t>
      </w:r>
      <w:r w:rsidR="00DD60D7">
        <w:t>s</w:t>
      </w:r>
      <w:r w:rsidR="0047435F">
        <w:t xml:space="preserve"> </w:t>
      </w:r>
      <w:r w:rsidR="00163EB5">
        <w:t xml:space="preserve">in the election polls. </w:t>
      </w:r>
      <w:r>
        <w:t xml:space="preserve"> </w:t>
      </w:r>
    </w:p>
    <w:p w14:paraId="468535A0" w14:textId="28C4B2FB" w:rsidR="00152BA9" w:rsidRDefault="007E4A61" w:rsidP="00152BA9">
      <w:pPr>
        <w:spacing w:line="480" w:lineRule="auto"/>
        <w:jc w:val="both"/>
      </w:pPr>
      <w:r>
        <w:t>We propose</w:t>
      </w:r>
      <w:r w:rsidR="00152BA9">
        <w:t xml:space="preserve"> a bootstrap re-sampling method which involves the following three steps: (</w:t>
      </w:r>
      <w:proofErr w:type="spellStart"/>
      <w:r w:rsidR="00152BA9">
        <w:t>i</w:t>
      </w:r>
      <w:proofErr w:type="spellEnd"/>
      <w:r w:rsidR="00152BA9">
        <w:t xml:space="preserve">) draw </w:t>
      </w:r>
      <w:r w:rsidR="00152BA9" w:rsidRPr="009F3FE7">
        <w:rPr>
          <w:i/>
        </w:rPr>
        <w:t>M</w:t>
      </w:r>
      <w:r w:rsidR="00152BA9">
        <w:t xml:space="preserve"> independent samples by sampling respondents from the full achieved sample, with replacement and in a way which matches the quota sampling design; (ii) for each sample thus drawn, calculate the point estimates of interest in the same way as for the original sample, including </w:t>
      </w:r>
      <w:r w:rsidR="00E2722B">
        <w:t xml:space="preserve">calibration </w:t>
      </w:r>
      <w:r w:rsidR="00152BA9">
        <w:t xml:space="preserve">and turnout weighting; and (iii) use the distribution of the estimates from the </w:t>
      </w:r>
      <w:r w:rsidR="00152BA9" w:rsidRPr="009B0148">
        <w:rPr>
          <w:i/>
        </w:rPr>
        <w:t>M</w:t>
      </w:r>
      <w:r w:rsidR="00152BA9">
        <w:t xml:space="preserve"> re</w:t>
      </w:r>
      <w:r>
        <w:t>-</w:t>
      </w:r>
      <w:r w:rsidR="00152BA9">
        <w:t xml:space="preserve">samples to quantify the uncertainty in the poll estimates. This draws on the basic ideas of bootstrap estimation in general (Davison and </w:t>
      </w:r>
      <w:proofErr w:type="spellStart"/>
      <w:r w:rsidR="00152BA9">
        <w:t>Hinkley</w:t>
      </w:r>
      <w:proofErr w:type="spellEnd"/>
      <w:r w:rsidR="00152BA9">
        <w:t xml:space="preserve"> 1997) and for probability samples in particular (</w:t>
      </w:r>
      <w:proofErr w:type="spellStart"/>
      <w:r w:rsidR="00152BA9">
        <w:t>Wolter</w:t>
      </w:r>
      <w:proofErr w:type="spellEnd"/>
      <w:r w:rsidR="00152BA9">
        <w:t xml:space="preserve"> 2007)</w:t>
      </w:r>
      <w:r w:rsidR="00DD60D7">
        <w:t xml:space="preserve"> and i</w:t>
      </w:r>
      <w:r w:rsidR="00B61D1D">
        <w:t xml:space="preserve">t is worth emphasising that a key part of the procedure is that the calibration weights are calculated afresh for each bootstrap sample in step (ii) (Rust and </w:t>
      </w:r>
      <w:proofErr w:type="spellStart"/>
      <w:r w:rsidR="00B61D1D">
        <w:t>Rao</w:t>
      </w:r>
      <w:proofErr w:type="spellEnd"/>
      <w:r w:rsidR="00B61D1D">
        <w:t xml:space="preserve"> 1996). </w:t>
      </w:r>
      <w:r w:rsidR="00152BA9">
        <w:t xml:space="preserve">For non-probability samples, a </w:t>
      </w:r>
      <w:r w:rsidR="00152BA9">
        <w:lastRenderedPageBreak/>
        <w:t xml:space="preserve">comparable approach has been proposed by de </w:t>
      </w:r>
      <w:proofErr w:type="spellStart"/>
      <w:r w:rsidR="00152BA9">
        <w:t>Munnik</w:t>
      </w:r>
      <w:proofErr w:type="spellEnd"/>
      <w:r w:rsidR="00152BA9">
        <w:t xml:space="preserve"> et al. (2013), although they used it to assess the quality of a sampling design by re</w:t>
      </w:r>
      <w:r>
        <w:t>-</w:t>
      </w:r>
      <w:r w:rsidR="00152BA9">
        <w:t>sampling from a simulated population, rather than the sample itself.  An alternative approach to estimating uncertainty would be to adapt variance formulas that are used with probability sampling under appro</w:t>
      </w:r>
      <w:r w:rsidR="00FF03F3">
        <w:t>ximate</w:t>
      </w:r>
      <w:r w:rsidR="00152BA9">
        <w:t xml:space="preserve"> assumptions about the nature of the quota samples (Deville 1991</w:t>
      </w:r>
      <w:r w:rsidR="00FF03F3">
        <w:t>; Rivers 2013</w:t>
      </w:r>
      <w:r w:rsidR="00152BA9">
        <w:t>).</w:t>
      </w:r>
      <w:r w:rsidR="00CC0F25">
        <w:t xml:space="preserve"> I</w:t>
      </w:r>
      <w:r w:rsidR="00152BA9">
        <w:t xml:space="preserve">t would be </w:t>
      </w:r>
      <w:r w:rsidR="00DD60D7">
        <w:t>more difficult</w:t>
      </w:r>
      <w:r w:rsidR="00152BA9">
        <w:t xml:space="preserve"> </w:t>
      </w:r>
      <w:r w:rsidR="00CC0F25">
        <w:t xml:space="preserve">using this approach, however, </w:t>
      </w:r>
      <w:r w:rsidR="00152BA9">
        <w:t>to accommodate specific features of the poll</w:t>
      </w:r>
      <w:r w:rsidR="00FF03F3">
        <w:t xml:space="preserve"> </w:t>
      </w:r>
      <w:r w:rsidR="00152BA9">
        <w:t xml:space="preserve">estimation, such as </w:t>
      </w:r>
      <w:r w:rsidR="00E2722B">
        <w:t>calibration</w:t>
      </w:r>
      <w:r w:rsidR="00152BA9">
        <w:t xml:space="preserve"> and turnout weighting, which are easily accounted for in the bootstrap </w:t>
      </w:r>
      <w:r w:rsidR="00CC0F25">
        <w:t>method</w:t>
      </w:r>
      <w:r w:rsidR="00152BA9">
        <w:t xml:space="preserve">. </w:t>
      </w:r>
    </w:p>
    <w:p w14:paraId="7F67127D" w14:textId="75AB7D56" w:rsidR="00152BA9" w:rsidRDefault="002356F6" w:rsidP="00152BA9">
      <w:pPr>
        <w:spacing w:line="480" w:lineRule="auto"/>
        <w:jc w:val="both"/>
      </w:pPr>
      <w:r>
        <w:t xml:space="preserve">The intuitive idea of the bootstrap </w:t>
      </w:r>
      <w:r w:rsidR="002E488B">
        <w:t xml:space="preserve">method </w:t>
      </w:r>
      <w:r>
        <w:t>is that the samples from step (</w:t>
      </w:r>
      <w:proofErr w:type="spellStart"/>
      <w:r>
        <w:t>i</w:t>
      </w:r>
      <w:proofErr w:type="spellEnd"/>
      <w:r>
        <w:t xml:space="preserve">) are used to represent the variation from one sample to the next that </w:t>
      </w:r>
      <w:r w:rsidR="00DD60D7">
        <w:t>would be observed</w:t>
      </w:r>
      <w:r>
        <w:t xml:space="preserve"> if the quota sampling procedure </w:t>
      </w:r>
      <w:r w:rsidR="00DD60D7">
        <w:t>were implemented</w:t>
      </w:r>
      <w:r>
        <w:t xml:space="preserve"> repeatedly</w:t>
      </w:r>
      <w:r w:rsidR="002E488B">
        <w:t xml:space="preserve">. Applying the estimation procedure to each of the bootstrap samples then represents the sample-to-sample variation in the resulting estimates. </w:t>
      </w:r>
      <w:r w:rsidR="00152BA9">
        <w:t xml:space="preserve">It is important to note </w:t>
      </w:r>
      <w:r w:rsidR="00F16C28">
        <w:t xml:space="preserve">that </w:t>
      </w:r>
      <w:r w:rsidR="00837EB9">
        <w:t xml:space="preserve">bootstrapping </w:t>
      </w:r>
      <w:r w:rsidR="002E488B">
        <w:t xml:space="preserve">thus </w:t>
      </w:r>
      <w:r w:rsidR="00837EB9">
        <w:t>produces an estimate of sampling variance and not of the variability of estimates</w:t>
      </w:r>
      <w:r w:rsidR="00152BA9">
        <w:t xml:space="preserve"> around their true values (i.e. mean squared errors), unless the assumptions stated in Section 2.1 are satisfied and the estimates are thus approximately unbiased. </w:t>
      </w:r>
    </w:p>
    <w:p w14:paraId="303D3DAC" w14:textId="069038C8" w:rsidR="00152BA9" w:rsidRDefault="003C106C" w:rsidP="00152BA9">
      <w:pPr>
        <w:spacing w:line="480" w:lineRule="auto"/>
        <w:jc w:val="both"/>
      </w:pPr>
      <w:r>
        <w:t xml:space="preserve">A challenge for </w:t>
      </w:r>
      <w:r w:rsidR="00152BA9">
        <w:t>the resampling step (</w:t>
      </w:r>
      <w:proofErr w:type="spellStart"/>
      <w:r w:rsidR="00152BA9">
        <w:t>i</w:t>
      </w:r>
      <w:proofErr w:type="spellEnd"/>
      <w:r w:rsidR="00152BA9">
        <w:t>)</w:t>
      </w:r>
      <w:r>
        <w:t xml:space="preserve"> is that the sampling quota do not define a partitioning</w:t>
      </w:r>
      <w:r w:rsidR="00DD60D7">
        <w:t xml:space="preserve"> of</w:t>
      </w:r>
      <w:r>
        <w:t xml:space="preserve"> the population</w:t>
      </w:r>
      <w:r w:rsidR="00DC7C00">
        <w:t xml:space="preserve">, so </w:t>
      </w:r>
      <w:r w:rsidR="00A962F3">
        <w:t xml:space="preserve">the </w:t>
      </w:r>
      <w:r>
        <w:t>re-sample</w:t>
      </w:r>
      <w:r w:rsidR="00DD60D7">
        <w:t xml:space="preserve"> cannot be implemented</w:t>
      </w:r>
      <w:r>
        <w:t xml:space="preserve"> within the quota as if they were sampling strata. Instead, the quota form a set of separate targets for different variables, all of which should</w:t>
      </w:r>
      <w:r w:rsidR="00DD60D7">
        <w:t xml:space="preserve"> have</w:t>
      </w:r>
      <w:r>
        <w:t xml:space="preserve"> be</w:t>
      </w:r>
      <w:r w:rsidR="00DD60D7">
        <w:t>en</w:t>
      </w:r>
      <w:r>
        <w:t xml:space="preserve"> reached </w:t>
      </w:r>
      <w:r w:rsidR="00DD60D7">
        <w:t>when</w:t>
      </w:r>
      <w:r>
        <w:t xml:space="preserve"> the sampling</w:t>
      </w:r>
      <w:r w:rsidR="00DD60D7">
        <w:t xml:space="preserve"> has been completed</w:t>
      </w:r>
      <w:r>
        <w:t>. To implement the re</w:t>
      </w:r>
      <w:r w:rsidR="00A962F3">
        <w:t>-</w:t>
      </w:r>
      <w:r>
        <w:t xml:space="preserve">sampling in this situation, </w:t>
      </w:r>
      <w:r w:rsidR="00152BA9">
        <w:t xml:space="preserve">the analyst would ideally know the exact procedures through which the quota sampling was implemented, but these specific details are not available to us. In our calculations for the 2015 polls, we have therefore used the following algorithm which represents the generic features of quota sampling.  First, we set the quota targets to be the realised sample distributions of the quota variables that were used by a given pollster. In the first iteration of the resampling, the pool of potential respondents is the full observed sample, from which we draw a sample of the same size as the full sample, but with replacement. We then drop from this first iteration sample any </w:t>
      </w:r>
      <w:r w:rsidR="00152BA9">
        <w:lastRenderedPageBreak/>
        <w:t xml:space="preserve">observations which overfill a quota category, and retain the rest. For the next iteration of the sampling, the pool of potential respondents now consists only of those that are in quota categories which remain to be filled. The sample size of the second iteration is now the number of observations that need to be added in order to reach the original sample size. In other words, at each iteration the retained sample is ‘topped up’ through a resample drawn from the quota categories which are not yet full. Additional iterations continue until all the quotas are full, or until there are no respondents in the original sample who belong to all the incomplete quota categories at once. In the latter case we could run the algorithm again, or use the sample obtained at this point, even though it is slightly smaller than the observed sample. For the estimates presented </w:t>
      </w:r>
      <w:r w:rsidR="00716FCB">
        <w:t>here,</w:t>
      </w:r>
      <w:r w:rsidR="00152BA9">
        <w:t xml:space="preserve"> we used the latter strategy. A more detailed statement of the algorithm, computer code and an example are included in the supplementary materials to this article.  </w:t>
      </w:r>
    </w:p>
    <w:p w14:paraId="58ED8614" w14:textId="74314EC8" w:rsidR="00716FCB" w:rsidRDefault="00716FCB" w:rsidP="00326FD9">
      <w:pPr>
        <w:spacing w:before="100" w:beforeAutospacing="1" w:line="480" w:lineRule="auto"/>
        <w:jc w:val="both"/>
        <w:rPr>
          <w:bCs/>
        </w:rPr>
      </w:pPr>
      <w:r>
        <w:rPr>
          <w:bCs/>
        </w:rPr>
        <w:t>Results from</w:t>
      </w:r>
      <w:r w:rsidR="009E5BEA">
        <w:rPr>
          <w:bCs/>
        </w:rPr>
        <w:t xml:space="preserve"> the</w:t>
      </w:r>
      <w:r>
        <w:rPr>
          <w:bCs/>
        </w:rPr>
        <w:t xml:space="preserve"> bootstrap estimation of sampling variability in the final poll</w:t>
      </w:r>
      <w:r w:rsidR="009E5BEA">
        <w:rPr>
          <w:bCs/>
        </w:rPr>
        <w:t>s</w:t>
      </w:r>
      <w:r>
        <w:rPr>
          <w:bCs/>
        </w:rPr>
        <w:t xml:space="preserve"> are </w:t>
      </w:r>
      <w:r w:rsidR="004A04BC">
        <w:rPr>
          <w:bCs/>
        </w:rPr>
        <w:t>presented</w:t>
      </w:r>
      <w:r>
        <w:rPr>
          <w:bCs/>
        </w:rPr>
        <w:t xml:space="preserve"> in Table 2</w:t>
      </w:r>
      <w:r w:rsidR="00F95D73">
        <w:rPr>
          <w:bCs/>
        </w:rPr>
        <w:t>, based on 10,000 bootstrap samples</w:t>
      </w:r>
      <w:r>
        <w:rPr>
          <w:bCs/>
        </w:rPr>
        <w:t>. It shows</w:t>
      </w:r>
      <w:r w:rsidR="009316F0">
        <w:rPr>
          <w:bCs/>
        </w:rPr>
        <w:t xml:space="preserve"> </w:t>
      </w:r>
      <w:r>
        <w:rPr>
          <w:bCs/>
        </w:rPr>
        <w:t>point estimates and 95% interval estimates of the Conservative-Labour difference in vote shares. The</w:t>
      </w:r>
      <w:r w:rsidR="009E5BEA">
        <w:rPr>
          <w:bCs/>
        </w:rPr>
        <w:t>se</w:t>
      </w:r>
      <w:r>
        <w:rPr>
          <w:bCs/>
        </w:rPr>
        <w:t xml:space="preserve"> are adjusted percentile intervals (Davison and </w:t>
      </w:r>
      <w:proofErr w:type="spellStart"/>
      <w:r>
        <w:rPr>
          <w:bCs/>
        </w:rPr>
        <w:t>Hinkley</w:t>
      </w:r>
      <w:proofErr w:type="spellEnd"/>
      <w:r>
        <w:rPr>
          <w:bCs/>
        </w:rPr>
        <w:t>, 1997</w:t>
      </w:r>
      <w:r w:rsidR="004A04BC">
        <w:rPr>
          <w:bCs/>
        </w:rPr>
        <w:t>),</w:t>
      </w:r>
      <w:r>
        <w:rPr>
          <w:bCs/>
        </w:rPr>
        <w:t xml:space="preserve"> </w:t>
      </w:r>
      <w:r w:rsidR="00BE244A">
        <w:rPr>
          <w:bCs/>
        </w:rPr>
        <w:t xml:space="preserve">although </w:t>
      </w:r>
      <w:r>
        <w:rPr>
          <w:bCs/>
        </w:rPr>
        <w:t>standard percentile intervals and symmetric normal intervals giv</w:t>
      </w:r>
      <w:r w:rsidR="004A04BC">
        <w:rPr>
          <w:bCs/>
        </w:rPr>
        <w:t>e similar results</w:t>
      </w:r>
      <w:r w:rsidR="009316F0">
        <w:rPr>
          <w:bCs/>
        </w:rPr>
        <w:t>. None of the intervals in Table 2</w:t>
      </w:r>
      <w:r>
        <w:rPr>
          <w:bCs/>
        </w:rPr>
        <w:t xml:space="preserve"> include</w:t>
      </w:r>
      <w:r w:rsidR="009316F0">
        <w:rPr>
          <w:bCs/>
        </w:rPr>
        <w:t>s</w:t>
      </w:r>
      <w:r>
        <w:rPr>
          <w:bCs/>
        </w:rPr>
        <w:t xml:space="preserve"> the election result of a 6.5-point Conservative </w:t>
      </w:r>
      <w:r w:rsidR="009316F0">
        <w:rPr>
          <w:bCs/>
        </w:rPr>
        <w:t>lead. We can therefore be confident in our initial conclusion that the polling miss was not due to sampling variability</w:t>
      </w:r>
      <w:r>
        <w:rPr>
          <w:bCs/>
        </w:rPr>
        <w:t xml:space="preserve">. </w:t>
      </w:r>
    </w:p>
    <w:p w14:paraId="5B5B5E5A" w14:textId="2DAD848A" w:rsidR="00716FCB" w:rsidRDefault="00716FCB" w:rsidP="00326FD9">
      <w:pPr>
        <w:spacing w:line="480" w:lineRule="auto"/>
        <w:jc w:val="center"/>
        <w:rPr>
          <w:bCs/>
        </w:rPr>
      </w:pPr>
      <w:r w:rsidRPr="00354EA5">
        <w:rPr>
          <w:bCs/>
        </w:rPr>
        <w:t>-----</w:t>
      </w:r>
      <w:r>
        <w:rPr>
          <w:bCs/>
        </w:rPr>
        <w:t xml:space="preserve"> </w:t>
      </w:r>
      <w:r w:rsidRPr="00354EA5">
        <w:rPr>
          <w:bCs/>
        </w:rPr>
        <w:t xml:space="preserve">[Table </w:t>
      </w:r>
      <w:r w:rsidRPr="00354EA5">
        <w:rPr>
          <w:bCs/>
        </w:rPr>
        <w:fldChar w:fldCharType="begin"/>
      </w:r>
      <w:r w:rsidRPr="00354EA5">
        <w:rPr>
          <w:bCs/>
        </w:rPr>
        <w:instrText xml:space="preserve"> SEQ Table \* ARABIC </w:instrText>
      </w:r>
      <w:r w:rsidRPr="00354EA5">
        <w:rPr>
          <w:bCs/>
        </w:rPr>
        <w:fldChar w:fldCharType="separate"/>
      </w:r>
      <w:r>
        <w:rPr>
          <w:bCs/>
          <w:noProof/>
        </w:rPr>
        <w:t>2</w:t>
      </w:r>
      <w:r w:rsidRPr="00354EA5">
        <w:fldChar w:fldCharType="end"/>
      </w:r>
      <w:r w:rsidRPr="00354EA5">
        <w:rPr>
          <w:bCs/>
        </w:rPr>
        <w:t xml:space="preserve"> here]</w:t>
      </w:r>
      <w:r>
        <w:rPr>
          <w:bCs/>
        </w:rPr>
        <w:t xml:space="preserve"> </w:t>
      </w:r>
      <w:r w:rsidRPr="00354EA5">
        <w:rPr>
          <w:bCs/>
        </w:rPr>
        <w:t>-----</w:t>
      </w:r>
    </w:p>
    <w:p w14:paraId="0945A0A9" w14:textId="245875C3" w:rsidR="00CB1744" w:rsidRPr="00326FD9" w:rsidRDefault="00716FCB" w:rsidP="00326FD9">
      <w:pPr>
        <w:spacing w:before="100" w:beforeAutospacing="1" w:line="480" w:lineRule="auto"/>
        <w:jc w:val="both"/>
        <w:rPr>
          <w:bCs/>
        </w:rPr>
      </w:pPr>
      <w:r>
        <w:rPr>
          <w:bCs/>
        </w:rPr>
        <w:t>Table 2 also shows bootstrap standard errors of the estimated vote shares for</w:t>
      </w:r>
      <w:r w:rsidR="007B3024">
        <w:rPr>
          <w:bCs/>
        </w:rPr>
        <w:t xml:space="preserve"> the</w:t>
      </w:r>
      <w:r>
        <w:rPr>
          <w:bCs/>
        </w:rPr>
        <w:t xml:space="preserve"> Conservatives and </w:t>
      </w:r>
      <w:r w:rsidR="00207D37">
        <w:rPr>
          <w:bCs/>
        </w:rPr>
        <w:t xml:space="preserve">for </w:t>
      </w:r>
      <w:r>
        <w:rPr>
          <w:bCs/>
        </w:rPr>
        <w:t xml:space="preserve">Labour. We can compare these with </w:t>
      </w:r>
      <w:r w:rsidR="00977EC7">
        <w:rPr>
          <w:bCs/>
        </w:rPr>
        <w:t>the</w:t>
      </w:r>
      <w:r w:rsidR="007B3024">
        <w:rPr>
          <w:bCs/>
        </w:rPr>
        <w:t xml:space="preserve"> notional “margin</w:t>
      </w:r>
      <w:r>
        <w:rPr>
          <w:bCs/>
        </w:rPr>
        <w:t xml:space="preserve"> of error” obtained if </w:t>
      </w:r>
      <w:r w:rsidR="008A17B6">
        <w:rPr>
          <w:bCs/>
        </w:rPr>
        <w:t>the</w:t>
      </w:r>
      <w:r>
        <w:rPr>
          <w:bCs/>
        </w:rPr>
        <w:t xml:space="preserve"> poll sample</w:t>
      </w:r>
      <w:r w:rsidR="008A17B6">
        <w:rPr>
          <w:bCs/>
        </w:rPr>
        <w:t xml:space="preserve"> is treated</w:t>
      </w:r>
      <w:r>
        <w:rPr>
          <w:bCs/>
        </w:rPr>
        <w:t xml:space="preserve"> as a simple random sample (SRS), </w:t>
      </w:r>
      <w:r w:rsidR="00053B23">
        <w:rPr>
          <w:bCs/>
        </w:rPr>
        <w:t>where</w:t>
      </w:r>
      <w:r>
        <w:rPr>
          <w:bCs/>
        </w:rPr>
        <w:t xml:space="preserve"> the sampling variance </w:t>
      </w:r>
      <w:r w:rsidR="008A17B6">
        <w:rPr>
          <w:bCs/>
        </w:rPr>
        <w:t>for an</w:t>
      </w:r>
      <w:r>
        <w:rPr>
          <w:bCs/>
        </w:rPr>
        <w:t xml:space="preserve"> estimated vote share </w:t>
      </w:r>
      <w:r w:rsidRPr="008E031A">
        <w:rPr>
          <w:bCs/>
          <w:i/>
        </w:rPr>
        <w:t>p</w:t>
      </w:r>
      <w:r>
        <w:rPr>
          <w:bCs/>
        </w:rPr>
        <w:t xml:space="preserve"> from a sample of size </w:t>
      </w:r>
      <w:r w:rsidR="00C23A83">
        <w:rPr>
          <w:bCs/>
          <w:i/>
        </w:rPr>
        <w:t>n</w:t>
      </w:r>
      <w:r w:rsidR="00D915A4">
        <w:rPr>
          <w:bCs/>
          <w:i/>
        </w:rPr>
        <w:t xml:space="preserve"> </w:t>
      </w:r>
      <w:r>
        <w:rPr>
          <w:bCs/>
        </w:rPr>
        <w:t xml:space="preserve"> is</w:t>
      </w:r>
      <w:r w:rsidR="00053B23">
        <w:rPr>
          <w:bCs/>
        </w:rPr>
        <w:t xml:space="preserve"> given by</w:t>
      </w:r>
      <w:r>
        <w:rPr>
          <w:bCs/>
        </w:rPr>
        <w:t xml:space="preserve"> </w:t>
      </w:r>
      <w:r w:rsidRPr="008E031A">
        <w:rPr>
          <w:bCs/>
          <w:i/>
        </w:rPr>
        <w:t>p(1</w:t>
      </w:r>
      <w:r>
        <w:rPr>
          <w:bCs/>
          <w:i/>
        </w:rPr>
        <w:t>00</w:t>
      </w:r>
      <w:r w:rsidRPr="008E031A">
        <w:rPr>
          <w:bCs/>
          <w:i/>
        </w:rPr>
        <w:t>-p)/</w:t>
      </w:r>
      <w:r w:rsidR="00D915A4">
        <w:rPr>
          <w:bCs/>
          <w:i/>
        </w:rPr>
        <w:t>n</w:t>
      </w:r>
      <w:r>
        <w:rPr>
          <w:bCs/>
        </w:rPr>
        <w:t>. Table 2 shows estimated design effects (</w:t>
      </w:r>
      <w:r w:rsidRPr="002B0E3A">
        <w:rPr>
          <w:bCs/>
          <w:i/>
        </w:rPr>
        <w:t>d</w:t>
      </w:r>
      <w:r w:rsidRPr="002B0E3A">
        <w:rPr>
          <w:bCs/>
          <w:i/>
          <w:vertAlign w:val="superscript"/>
        </w:rPr>
        <w:t>2</w:t>
      </w:r>
      <w:r>
        <w:rPr>
          <w:bCs/>
        </w:rPr>
        <w:t xml:space="preserve">) for the vote shares, calculated by dividing the bootstrap variance by the variance under SRS, with </w:t>
      </w:r>
      <w:r w:rsidRPr="00E35336">
        <w:rPr>
          <w:bCs/>
          <w:i/>
        </w:rPr>
        <w:t>p</w:t>
      </w:r>
      <w:r>
        <w:rPr>
          <w:bCs/>
        </w:rPr>
        <w:t xml:space="preserve"> as the estimated share and </w:t>
      </w:r>
      <w:r w:rsidR="00D915A4">
        <w:rPr>
          <w:bCs/>
          <w:i/>
        </w:rPr>
        <w:t>n</w:t>
      </w:r>
      <w:r>
        <w:rPr>
          <w:bCs/>
        </w:rPr>
        <w:t xml:space="preserve"> the number </w:t>
      </w:r>
      <w:r w:rsidR="008A17B6">
        <w:rPr>
          <w:bCs/>
        </w:rPr>
        <w:t>of respondents who gave a vote</w:t>
      </w:r>
      <w:r>
        <w:rPr>
          <w:bCs/>
        </w:rPr>
        <w:t xml:space="preserve"> intention (this </w:t>
      </w:r>
      <w:r w:rsidR="00D915A4">
        <w:rPr>
          <w:bCs/>
          <w:i/>
        </w:rPr>
        <w:t>n</w:t>
      </w:r>
      <w:r>
        <w:rPr>
          <w:bCs/>
        </w:rPr>
        <w:t xml:space="preserve"> ignores the </w:t>
      </w:r>
      <w:r>
        <w:rPr>
          <w:bCs/>
        </w:rPr>
        <w:lastRenderedPageBreak/>
        <w:t>variability in t</w:t>
      </w:r>
      <w:r w:rsidR="008A17B6">
        <w:rPr>
          <w:bCs/>
        </w:rPr>
        <w:t xml:space="preserve">he turnout probabilities, so likely underestimates </w:t>
      </w:r>
      <w:r>
        <w:rPr>
          <w:bCs/>
        </w:rPr>
        <w:t xml:space="preserve">the design effect). Most of the design effects are less than 1, indicating that the sampling variability is smaller than would be expected under simple random sampling.  When this is the case, the conventional margins of error somewhat overestimate the sampling variability in the poll estimates. The </w:t>
      </w:r>
      <w:r w:rsidR="00053B23">
        <w:rPr>
          <w:bCs/>
        </w:rPr>
        <w:t xml:space="preserve">increased efficiency </w:t>
      </w:r>
      <w:r>
        <w:rPr>
          <w:bCs/>
        </w:rPr>
        <w:t>of the estimates is mainly due to c</w:t>
      </w:r>
      <w:r w:rsidR="00A21E93">
        <w:rPr>
          <w:bCs/>
        </w:rPr>
        <w:t xml:space="preserve">alibration on </w:t>
      </w:r>
      <w:r>
        <w:rPr>
          <w:bCs/>
        </w:rPr>
        <w:t xml:space="preserve">variables </w:t>
      </w:r>
      <w:r w:rsidR="00053B23">
        <w:rPr>
          <w:bCs/>
        </w:rPr>
        <w:t>measuring</w:t>
      </w:r>
      <w:r>
        <w:rPr>
          <w:bCs/>
        </w:rPr>
        <w:t xml:space="preserve"> party affiliation or past voting, which are strongly correlat</w:t>
      </w:r>
      <w:r w:rsidR="00E243A9">
        <w:rPr>
          <w:bCs/>
        </w:rPr>
        <w:t>ed with current vote intention (a</w:t>
      </w:r>
      <w:r>
        <w:rPr>
          <w:bCs/>
        </w:rPr>
        <w:t xml:space="preserve">ll pollsters except </w:t>
      </w:r>
      <w:proofErr w:type="spellStart"/>
      <w:r>
        <w:rPr>
          <w:bCs/>
        </w:rPr>
        <w:t>Ipsos</w:t>
      </w:r>
      <w:proofErr w:type="spellEnd"/>
      <w:r>
        <w:rPr>
          <w:bCs/>
        </w:rPr>
        <w:t xml:space="preserve">-MORI used </w:t>
      </w:r>
      <w:r w:rsidR="00E243A9">
        <w:rPr>
          <w:bCs/>
        </w:rPr>
        <w:t>this type of variable in their</w:t>
      </w:r>
      <w:r>
        <w:rPr>
          <w:bCs/>
        </w:rPr>
        <w:t xml:space="preserve"> </w:t>
      </w:r>
      <w:r w:rsidR="00E2722B">
        <w:rPr>
          <w:bCs/>
        </w:rPr>
        <w:t>calibration</w:t>
      </w:r>
      <w:r>
        <w:rPr>
          <w:bCs/>
        </w:rPr>
        <w:t xml:space="preserve"> weighting</w:t>
      </w:r>
      <w:r w:rsidR="00E243A9">
        <w:rPr>
          <w:bCs/>
        </w:rPr>
        <w:t>)</w:t>
      </w:r>
      <w:r>
        <w:rPr>
          <w:bCs/>
        </w:rPr>
        <w:t xml:space="preserve">. If </w:t>
      </w:r>
      <w:r w:rsidR="00E243A9">
        <w:rPr>
          <w:bCs/>
        </w:rPr>
        <w:t>these</w:t>
      </w:r>
      <w:r>
        <w:rPr>
          <w:bCs/>
        </w:rPr>
        <w:t xml:space="preserve"> variables are omitted from t</w:t>
      </w:r>
      <w:r w:rsidR="00E243A9">
        <w:rPr>
          <w:bCs/>
        </w:rPr>
        <w:t xml:space="preserve">he quotas and weighting, all </w:t>
      </w:r>
      <w:r>
        <w:rPr>
          <w:bCs/>
        </w:rPr>
        <w:t xml:space="preserve">design effects in Table 2 </w:t>
      </w:r>
      <w:r w:rsidR="00E243A9">
        <w:rPr>
          <w:bCs/>
        </w:rPr>
        <w:t>are</w:t>
      </w:r>
      <w:r>
        <w:rPr>
          <w:bCs/>
        </w:rPr>
        <w:t xml:space="preserve"> greater than 1, with values between 1.04 and 1.68. </w:t>
      </w:r>
    </w:p>
    <w:p w14:paraId="2C802B38" w14:textId="18B58518" w:rsidR="00E2560E" w:rsidRDefault="00E2560E" w:rsidP="00E2560E">
      <w:pPr>
        <w:spacing w:line="480" w:lineRule="auto"/>
        <w:rPr>
          <w:b/>
          <w:bCs/>
        </w:rPr>
      </w:pPr>
      <w:r>
        <w:rPr>
          <w:b/>
          <w:bCs/>
        </w:rPr>
        <w:t xml:space="preserve">3. </w:t>
      </w:r>
      <w:r w:rsidRPr="00BA390C">
        <w:rPr>
          <w:b/>
          <w:bCs/>
        </w:rPr>
        <w:t>Data</w:t>
      </w:r>
      <w:r w:rsidR="006A3657">
        <w:rPr>
          <w:b/>
          <w:bCs/>
        </w:rPr>
        <w:t xml:space="preserve"> </w:t>
      </w:r>
    </w:p>
    <w:p w14:paraId="231EDF38" w14:textId="578E276D" w:rsidR="00025DB3" w:rsidRDefault="00DC1B20" w:rsidP="00CF3CD7">
      <w:pPr>
        <w:spacing w:line="480" w:lineRule="auto"/>
        <w:jc w:val="both"/>
        <w:rPr>
          <w:bCs/>
        </w:rPr>
      </w:pPr>
      <w:r>
        <w:rPr>
          <w:bCs/>
        </w:rPr>
        <w:t xml:space="preserve">Our </w:t>
      </w:r>
      <w:r w:rsidR="006A3657">
        <w:rPr>
          <w:bCs/>
        </w:rPr>
        <w:t>main evidence for assess</w:t>
      </w:r>
      <w:r>
        <w:rPr>
          <w:bCs/>
        </w:rPr>
        <w:t>ing the source of the polling errors in 2015 is</w:t>
      </w:r>
      <w:r w:rsidR="006A3657">
        <w:rPr>
          <w:bCs/>
        </w:rPr>
        <w:t xml:space="preserve"> data from the polls themselves.  </w:t>
      </w:r>
      <w:r w:rsidR="00025DB3" w:rsidRPr="00025DB3">
        <w:rPr>
          <w:bCs/>
        </w:rPr>
        <w:t>Each of the nine BPC members</w:t>
      </w:r>
      <w:r w:rsidR="000F7D64">
        <w:rPr>
          <w:bCs/>
        </w:rPr>
        <w:t xml:space="preserve"> </w:t>
      </w:r>
      <w:r w:rsidR="00025DB3" w:rsidRPr="00025DB3">
        <w:rPr>
          <w:bCs/>
        </w:rPr>
        <w:t xml:space="preserve">provided </w:t>
      </w:r>
      <w:r w:rsidR="00025DB3">
        <w:rPr>
          <w:bCs/>
        </w:rPr>
        <w:t xml:space="preserve">respondent-level </w:t>
      </w:r>
      <w:r w:rsidR="00767D72">
        <w:rPr>
          <w:bCs/>
        </w:rPr>
        <w:t>micro-</w:t>
      </w:r>
      <w:r w:rsidR="00025DB3" w:rsidRPr="00025DB3">
        <w:rPr>
          <w:bCs/>
        </w:rPr>
        <w:t>data</w:t>
      </w:r>
      <w:r w:rsidR="00025DB3">
        <w:rPr>
          <w:bCs/>
        </w:rPr>
        <w:t xml:space="preserve">, together with documentation on </w:t>
      </w:r>
      <w:r w:rsidR="00063C09">
        <w:rPr>
          <w:bCs/>
        </w:rPr>
        <w:t>the</w:t>
      </w:r>
      <w:r w:rsidR="00B70C19">
        <w:rPr>
          <w:bCs/>
        </w:rPr>
        <w:t xml:space="preserve">ir methodology, </w:t>
      </w:r>
      <w:r w:rsidR="00063C09">
        <w:rPr>
          <w:bCs/>
        </w:rPr>
        <w:t xml:space="preserve">including </w:t>
      </w:r>
      <w:r w:rsidR="00025DB3" w:rsidRPr="00025DB3">
        <w:rPr>
          <w:bCs/>
        </w:rPr>
        <w:t xml:space="preserve">fieldwork procedures, </w:t>
      </w:r>
      <w:r w:rsidR="00025DB3">
        <w:rPr>
          <w:bCs/>
        </w:rPr>
        <w:t xml:space="preserve">quota </w:t>
      </w:r>
      <w:r w:rsidR="005421E0">
        <w:rPr>
          <w:bCs/>
        </w:rPr>
        <w:t xml:space="preserve">targets and </w:t>
      </w:r>
      <w:r w:rsidR="00025DB3">
        <w:rPr>
          <w:bCs/>
        </w:rPr>
        <w:t>weighti</w:t>
      </w:r>
      <w:r w:rsidR="00063C09">
        <w:rPr>
          <w:bCs/>
        </w:rPr>
        <w:t>ng</w:t>
      </w:r>
      <w:r w:rsidR="005421E0">
        <w:rPr>
          <w:bCs/>
        </w:rPr>
        <w:t xml:space="preserve">. </w:t>
      </w:r>
      <w:r w:rsidR="00025DB3">
        <w:rPr>
          <w:bCs/>
        </w:rPr>
        <w:t xml:space="preserve"> </w:t>
      </w:r>
      <w:r w:rsidR="00767D72">
        <w:rPr>
          <w:bCs/>
        </w:rPr>
        <w:t>The</w:t>
      </w:r>
      <w:r w:rsidR="00A53803">
        <w:rPr>
          <w:bCs/>
        </w:rPr>
        <w:t>se</w:t>
      </w:r>
      <w:r w:rsidR="00767D72">
        <w:rPr>
          <w:bCs/>
        </w:rPr>
        <w:t xml:space="preserve"> data were provided for the </w:t>
      </w:r>
      <w:r w:rsidR="00767D72" w:rsidRPr="00025DB3">
        <w:rPr>
          <w:bCs/>
        </w:rPr>
        <w:t>first, penultimate, and final polls cond</w:t>
      </w:r>
      <w:r w:rsidR="00767D72">
        <w:rPr>
          <w:bCs/>
        </w:rPr>
        <w:t xml:space="preserve">ucted during the short campaign but almost all of the analyses reported in this article use the final polls (i.e. the nine </w:t>
      </w:r>
      <w:r w:rsidR="00A53803">
        <w:rPr>
          <w:bCs/>
        </w:rPr>
        <w:t>polls conducted by</w:t>
      </w:r>
      <w:r w:rsidR="00767D72">
        <w:rPr>
          <w:bCs/>
        </w:rPr>
        <w:t xml:space="preserve"> the BPC members in Table 1).  </w:t>
      </w:r>
      <w:r w:rsidR="00767D72" w:rsidRPr="00C12BB0">
        <w:rPr>
          <w:bCs/>
        </w:rPr>
        <w:t xml:space="preserve">The six pollsters who carried out </w:t>
      </w:r>
      <w:r w:rsidR="00767D72">
        <w:rPr>
          <w:bCs/>
        </w:rPr>
        <w:t xml:space="preserve">surveys where respondents were re-contacted after the election </w:t>
      </w:r>
      <w:r w:rsidR="00767D72" w:rsidRPr="00C12BB0">
        <w:rPr>
          <w:bCs/>
        </w:rPr>
        <w:t>also provided these data sets</w:t>
      </w:r>
      <w:r w:rsidR="00767D72">
        <w:rPr>
          <w:bCs/>
        </w:rPr>
        <w:t xml:space="preserve"> </w:t>
      </w:r>
      <w:r w:rsidR="00767D72" w:rsidRPr="00C12BB0">
        <w:rPr>
          <w:bCs/>
        </w:rPr>
        <w:t>(the</w:t>
      </w:r>
      <w:r w:rsidR="00767D72">
        <w:rPr>
          <w:bCs/>
        </w:rPr>
        <w:t xml:space="preserve">se are discussed in Section 4.2). </w:t>
      </w:r>
      <w:r w:rsidR="00207D37">
        <w:rPr>
          <w:bCs/>
        </w:rPr>
        <w:t>W</w:t>
      </w:r>
      <w:r w:rsidR="00025DB3" w:rsidRPr="00025DB3">
        <w:rPr>
          <w:bCs/>
        </w:rPr>
        <w:t>e were able to replicate all published estimates for the</w:t>
      </w:r>
      <w:r w:rsidR="00BA0CC5">
        <w:rPr>
          <w:bCs/>
        </w:rPr>
        <w:t>se</w:t>
      </w:r>
      <w:r w:rsidR="00767D72">
        <w:rPr>
          <w:bCs/>
        </w:rPr>
        <w:t xml:space="preserve"> 27</w:t>
      </w:r>
      <w:r w:rsidR="00A53803">
        <w:rPr>
          <w:bCs/>
        </w:rPr>
        <w:t xml:space="preserve"> pre-election</w:t>
      </w:r>
      <w:r w:rsidR="00025DB3" w:rsidRPr="00025DB3">
        <w:rPr>
          <w:bCs/>
        </w:rPr>
        <w:t xml:space="preserve"> polls</w:t>
      </w:r>
      <w:r w:rsidR="00BA0CC5">
        <w:rPr>
          <w:bCs/>
        </w:rPr>
        <w:t>,</w:t>
      </w:r>
      <w:r w:rsidR="00025DB3" w:rsidRPr="00025DB3">
        <w:rPr>
          <w:bCs/>
        </w:rPr>
        <w:t xml:space="preserve"> </w:t>
      </w:r>
      <w:r w:rsidR="00767D72">
        <w:rPr>
          <w:bCs/>
        </w:rPr>
        <w:t>enabling us to</w:t>
      </w:r>
      <w:r w:rsidR="00025DB3" w:rsidRPr="00025DB3">
        <w:rPr>
          <w:bCs/>
        </w:rPr>
        <w:t xml:space="preserve"> exclude the possibility that flawed analysis</w:t>
      </w:r>
      <w:r w:rsidR="00BA0CC5">
        <w:rPr>
          <w:bCs/>
        </w:rPr>
        <w:t xml:space="preserve"> or </w:t>
      </w:r>
      <w:r w:rsidR="00025DB3" w:rsidRPr="00025DB3">
        <w:rPr>
          <w:bCs/>
        </w:rPr>
        <w:t>use of inaccurate weighting targets</w:t>
      </w:r>
      <w:r w:rsidR="00BA0CC5">
        <w:rPr>
          <w:bCs/>
        </w:rPr>
        <w:t xml:space="preserve"> c</w:t>
      </w:r>
      <w:r w:rsidR="00025DB3" w:rsidRPr="00025DB3">
        <w:rPr>
          <w:bCs/>
        </w:rPr>
        <w:t>ontributed to the polling miss.</w:t>
      </w:r>
      <w:r w:rsidR="00CF3CD7">
        <w:rPr>
          <w:bCs/>
        </w:rPr>
        <w:t xml:space="preserve"> </w:t>
      </w:r>
    </w:p>
    <w:p w14:paraId="24696C96" w14:textId="038B6B73" w:rsidR="003435ED" w:rsidRDefault="00767D72" w:rsidP="00A27CA1">
      <w:pPr>
        <w:spacing w:line="480" w:lineRule="auto"/>
        <w:jc w:val="both"/>
      </w:pPr>
      <w:r>
        <w:t>W</w:t>
      </w:r>
      <w:r w:rsidR="00F51419">
        <w:t xml:space="preserve">e also analysed data from the </w:t>
      </w:r>
      <w:r w:rsidR="003120F0">
        <w:t xml:space="preserve">2015 rounds of the </w:t>
      </w:r>
      <w:r w:rsidR="00F51419">
        <w:t xml:space="preserve">British Election Study (BES) and </w:t>
      </w:r>
      <w:r w:rsidR="00B70C19">
        <w:t xml:space="preserve">the British Social Attitudes Survey (BSA) </w:t>
      </w:r>
      <w:r w:rsidR="003120F0">
        <w:t xml:space="preserve">in order to benchmark the poll estimates against surveys </w:t>
      </w:r>
      <w:r w:rsidR="009C0F51">
        <w:t>which use</w:t>
      </w:r>
      <w:r w:rsidR="003120F0">
        <w:t xml:space="preserve"> random probability sample designs</w:t>
      </w:r>
      <w:r w:rsidR="007B5482">
        <w:t>.</w:t>
      </w:r>
      <w:r w:rsidR="00B70C19">
        <w:t xml:space="preserve"> </w:t>
      </w:r>
      <w:r w:rsidR="00E2560E" w:rsidRPr="004A3F1B">
        <w:t>The methodology</w:t>
      </w:r>
      <w:r w:rsidR="003120F0">
        <w:t xml:space="preserve"> of these surveys</w:t>
      </w:r>
      <w:r w:rsidR="00E2560E" w:rsidRPr="004A3F1B">
        <w:t xml:space="preserve"> is described in detail elsewhere</w:t>
      </w:r>
      <w:r w:rsidR="00B70C19">
        <w:t xml:space="preserve"> (</w:t>
      </w:r>
      <w:r w:rsidR="00683D4E">
        <w:t>Fieldhouse, et al. 2015</w:t>
      </w:r>
      <w:r w:rsidR="00B70C19">
        <w:t xml:space="preserve">; </w:t>
      </w:r>
      <w:proofErr w:type="spellStart"/>
      <w:r w:rsidR="00B7577E">
        <w:t>Clery</w:t>
      </w:r>
      <w:proofErr w:type="spellEnd"/>
      <w:r w:rsidR="00B7577E">
        <w:t xml:space="preserve"> et al. 201</w:t>
      </w:r>
      <w:r w:rsidR="00BB6C10">
        <w:t>6</w:t>
      </w:r>
      <w:r w:rsidR="00B70C19">
        <w:t>)</w:t>
      </w:r>
      <w:r w:rsidR="00683D4E">
        <w:t xml:space="preserve">, </w:t>
      </w:r>
      <w:r w:rsidR="00E2560E" w:rsidRPr="004A3F1B">
        <w:t>but, in brief</w:t>
      </w:r>
      <w:r w:rsidR="003120F0">
        <w:t xml:space="preserve"> (and for both surveys)</w:t>
      </w:r>
      <w:r w:rsidR="00E2560E" w:rsidRPr="004A3F1B">
        <w:t xml:space="preserve">, a multi-stage, stratified probability sample of addresses is drawn from the Post Office Address File and an interview is attempted with a randomly selected eligible adult at each eligible address.  Multiple calls </w:t>
      </w:r>
      <w:r w:rsidR="00E2560E" w:rsidRPr="004A3F1B">
        <w:lastRenderedPageBreak/>
        <w:t xml:space="preserve">are made to each selected address at different times of day and on different days of the week in order to achieve an interview.  Substitutions for sampled respondents who were not reached or who declined to be interviewed are not permitted. Interviews are carried out face-to-face by trained interviewers via questionnaires loaded </w:t>
      </w:r>
      <w:r w:rsidR="000F7D64">
        <w:t xml:space="preserve">onto laptop computers. The BES and </w:t>
      </w:r>
      <w:r w:rsidR="00E2560E" w:rsidRPr="004A3F1B">
        <w:t>BSA attained response rates of 56% and 51%</w:t>
      </w:r>
      <w:r w:rsidR="003120F0">
        <w:t xml:space="preserve"> (AAPOR Response Rate 1)</w:t>
      </w:r>
      <w:r w:rsidR="00E2560E" w:rsidRPr="004A3F1B">
        <w:t xml:space="preserve">, respectively, which though not especially high in historical terms, are good by contemporary standards. </w:t>
      </w:r>
      <w:r w:rsidR="00A27CA1">
        <w:t>The interviews were carried out after the election, in May-</w:t>
      </w:r>
      <w:r w:rsidR="000F7D64">
        <w:t>October</w:t>
      </w:r>
      <w:r w:rsidR="00A27CA1">
        <w:t xml:space="preserve"> 2015</w:t>
      </w:r>
      <w:r w:rsidR="000F7D64">
        <w:t>.</w:t>
      </w:r>
      <w:r w:rsidR="00E2560E" w:rsidRPr="004A3F1B">
        <w:t xml:space="preserve"> </w:t>
      </w:r>
    </w:p>
    <w:p w14:paraId="7B778191" w14:textId="77777777" w:rsidR="003435ED" w:rsidRDefault="003435ED" w:rsidP="00A27CA1">
      <w:pPr>
        <w:spacing w:line="480" w:lineRule="auto"/>
        <w:jc w:val="both"/>
      </w:pPr>
    </w:p>
    <w:p w14:paraId="6B5AF5D7" w14:textId="4A1AFDBB" w:rsidR="00FB0B28" w:rsidRDefault="00B91627" w:rsidP="00F00DB0">
      <w:pPr>
        <w:spacing w:line="480" w:lineRule="auto"/>
        <w:rPr>
          <w:b/>
          <w:bCs/>
        </w:rPr>
      </w:pPr>
      <w:r>
        <w:rPr>
          <w:b/>
          <w:bCs/>
        </w:rPr>
        <w:t xml:space="preserve">4. </w:t>
      </w:r>
      <w:r w:rsidR="00FB6CDB">
        <w:rPr>
          <w:b/>
          <w:bCs/>
        </w:rPr>
        <w:t>Assessment of potential</w:t>
      </w:r>
      <w:r>
        <w:rPr>
          <w:b/>
          <w:bCs/>
        </w:rPr>
        <w:t xml:space="preserve"> causes of the polling e</w:t>
      </w:r>
      <w:r w:rsidR="00FB0B28" w:rsidRPr="00FB0B28">
        <w:rPr>
          <w:b/>
          <w:bCs/>
        </w:rPr>
        <w:t>rrors</w:t>
      </w:r>
    </w:p>
    <w:p w14:paraId="2E9E594C" w14:textId="70AA76FB" w:rsidR="005B3DA2" w:rsidRPr="00D815C4" w:rsidRDefault="005B3DA2" w:rsidP="0018248F">
      <w:pPr>
        <w:spacing w:line="480" w:lineRule="auto"/>
        <w:jc w:val="both"/>
        <w:rPr>
          <w:bCs/>
        </w:rPr>
      </w:pPr>
      <w:r w:rsidRPr="00D815C4">
        <w:rPr>
          <w:bCs/>
        </w:rPr>
        <w:t xml:space="preserve">In this section we </w:t>
      </w:r>
      <w:r w:rsidR="0018248F" w:rsidRPr="00D815C4">
        <w:rPr>
          <w:bCs/>
        </w:rPr>
        <w:t xml:space="preserve">assess the evidence </w:t>
      </w:r>
      <w:r w:rsidR="0018248F" w:rsidRPr="00C37C80">
        <w:t xml:space="preserve">in support of the different potential causes of the errors in the 2015 polls. The discussion is structured around the three core assumptions </w:t>
      </w:r>
      <w:r w:rsidR="003435ED" w:rsidRPr="00C37C80">
        <w:t xml:space="preserve">set out </w:t>
      </w:r>
      <w:r w:rsidR="0018248F" w:rsidRPr="00C37C80">
        <w:t xml:space="preserve">in Section 2, with assumption (A3) considered in Section 4.1, turnout weighting (A2) in Section 4.2, and representative sampling (A1) in Section 4.3. </w:t>
      </w:r>
    </w:p>
    <w:p w14:paraId="3A7FD953" w14:textId="659DE716" w:rsidR="00674E31" w:rsidRDefault="004C779D" w:rsidP="0018248F">
      <w:pPr>
        <w:spacing w:line="480" w:lineRule="auto"/>
        <w:jc w:val="both"/>
      </w:pPr>
      <w:r>
        <w:rPr>
          <w:bCs/>
        </w:rPr>
        <w:t>In the polling inquiry report, t</w:t>
      </w:r>
      <w:r w:rsidR="00FA6215">
        <w:rPr>
          <w:bCs/>
        </w:rPr>
        <w:t>he following</w:t>
      </w:r>
      <w:r>
        <w:rPr>
          <w:bCs/>
        </w:rPr>
        <w:t xml:space="preserve"> more minor</w:t>
      </w:r>
      <w:r w:rsidR="00A80091">
        <w:rPr>
          <w:bCs/>
        </w:rPr>
        <w:t xml:space="preserve"> </w:t>
      </w:r>
      <w:r w:rsidR="00C42C79">
        <w:rPr>
          <w:bCs/>
        </w:rPr>
        <w:t xml:space="preserve">factors </w:t>
      </w:r>
      <w:r w:rsidR="00FA6215">
        <w:rPr>
          <w:bCs/>
        </w:rPr>
        <w:t>were also considered</w:t>
      </w:r>
      <w:r w:rsidR="00C42C79">
        <w:rPr>
          <w:bCs/>
        </w:rPr>
        <w:t xml:space="preserve"> and dismissed as contributory causes of the polling errors</w:t>
      </w:r>
      <w:r w:rsidR="00FA6215">
        <w:rPr>
          <w:bCs/>
        </w:rPr>
        <w:t>:</w:t>
      </w:r>
      <w:r w:rsidR="0018248F">
        <w:rPr>
          <w:bCs/>
        </w:rPr>
        <w:t xml:space="preserve"> treatment of postal voters</w:t>
      </w:r>
      <w:r w:rsidR="0018248F" w:rsidRPr="0018248F">
        <w:rPr>
          <w:bCs/>
        </w:rPr>
        <w:t xml:space="preserve">, </w:t>
      </w:r>
      <w:r w:rsidR="0018248F" w:rsidRPr="0018248F">
        <w:t>overseas vot</w:t>
      </w:r>
      <w:r w:rsidR="00D815C4">
        <w:t>ers</w:t>
      </w:r>
      <w:r w:rsidR="0018248F" w:rsidRPr="0018248F">
        <w:t xml:space="preserve">, voter registration, question wording and </w:t>
      </w:r>
      <w:r>
        <w:t>order</w:t>
      </w:r>
      <w:r w:rsidR="0018248F" w:rsidRPr="0018248F">
        <w:t>,</w:t>
      </w:r>
      <w:r w:rsidR="002D3882">
        <w:t xml:space="preserve"> and</w:t>
      </w:r>
      <w:r w:rsidR="0018248F" w:rsidRPr="0018248F">
        <w:t xml:space="preserve"> mode of interview</w:t>
      </w:r>
      <w:r w:rsidR="0018248F" w:rsidRPr="00334037">
        <w:t xml:space="preserve">. </w:t>
      </w:r>
      <w:r w:rsidR="003435ED">
        <w:t>While we do not consider these factors directly</w:t>
      </w:r>
      <w:r>
        <w:t xml:space="preserve"> </w:t>
      </w:r>
      <w:r w:rsidR="00BD6BAD">
        <w:t>in this paper</w:t>
      </w:r>
      <w:r w:rsidR="003435ED">
        <w:t xml:space="preserve">, it should be noted that each can be </w:t>
      </w:r>
      <w:r w:rsidR="00D1240C">
        <w:t>understood as</w:t>
      </w:r>
      <w:r w:rsidR="003435ED">
        <w:t xml:space="preserve"> violations of the three key assumptions that are covered in the following sections. For instance, errors due to omission of overseas and postal voters would be violations of assumption A1 on representative sampling</w:t>
      </w:r>
      <w:r w:rsidR="008F06B6">
        <w:t>. E</w:t>
      </w:r>
      <w:r w:rsidR="003435ED">
        <w:t>rrors due to question wording</w:t>
      </w:r>
      <w:r>
        <w:t xml:space="preserve"> or measurement mode</w:t>
      </w:r>
      <w:r w:rsidR="003435ED">
        <w:t xml:space="preserve"> would fall under violation of assumption A3</w:t>
      </w:r>
      <w:r w:rsidR="007C1170">
        <w:t xml:space="preserve"> </w:t>
      </w:r>
      <w:r w:rsidR="008F06B6">
        <w:t xml:space="preserve">which </w:t>
      </w:r>
      <w:r w:rsidR="007C1170">
        <w:t>stated</w:t>
      </w:r>
      <w:r w:rsidR="008F06B6">
        <w:t xml:space="preserve"> that</w:t>
      </w:r>
      <w:r w:rsidR="007C1170">
        <w:t xml:space="preserve"> vote intention is equal to the actual vote</w:t>
      </w:r>
      <w:r w:rsidR="00921275">
        <w:t>. Likewise, u</w:t>
      </w:r>
      <w:r w:rsidR="00BD6BAD">
        <w:t>n-registered voters would be a particular violation of assumption A2</w:t>
      </w:r>
      <w:r w:rsidR="00921275">
        <w:t>,</w:t>
      </w:r>
      <w:r w:rsidR="00BD6BAD">
        <w:t xml:space="preserve"> that the turnout probabilities are correct</w:t>
      </w:r>
      <w:r w:rsidR="007C1170">
        <w:t>. More detail on t</w:t>
      </w:r>
      <w:r w:rsidR="00C42C79">
        <w:t>he</w:t>
      </w:r>
      <w:r w:rsidR="007C1170">
        <w:t xml:space="preserve"> specific</w:t>
      </w:r>
      <w:r w:rsidR="00FA6215" w:rsidRPr="00334037">
        <w:t xml:space="preserve"> </w:t>
      </w:r>
      <w:r w:rsidR="00334037" w:rsidRPr="00334037">
        <w:t xml:space="preserve">reasons for </w:t>
      </w:r>
      <w:r w:rsidR="00A80091">
        <w:t>ruling out</w:t>
      </w:r>
      <w:r w:rsidR="00A80091" w:rsidRPr="00334037">
        <w:t xml:space="preserve"> </w:t>
      </w:r>
      <w:r w:rsidR="00334037" w:rsidRPr="00334037">
        <w:t>these</w:t>
      </w:r>
      <w:r w:rsidR="007C1170">
        <w:t xml:space="preserve"> </w:t>
      </w:r>
      <w:r w:rsidR="00A80091">
        <w:t>factors</w:t>
      </w:r>
      <w:r w:rsidR="00334037" w:rsidRPr="00334037">
        <w:t xml:space="preserve"> </w:t>
      </w:r>
      <w:r w:rsidR="007C1170">
        <w:t>is provided</w:t>
      </w:r>
      <w:r w:rsidR="00334037" w:rsidRPr="00334037">
        <w:t xml:space="preserve"> in Sturgis et al (2016).</w:t>
      </w:r>
      <w:r w:rsidR="00334037">
        <w:t xml:space="preserve"> </w:t>
      </w:r>
      <w:r w:rsidR="00921275">
        <w:t>Neither do we</w:t>
      </w:r>
      <w:r w:rsidR="00F60FD2">
        <w:t xml:space="preserve"> discuss here the phenomenon of ‘herding’</w:t>
      </w:r>
      <w:r w:rsidR="002C239A">
        <w:t>,</w:t>
      </w:r>
      <w:r w:rsidR="00B57A28">
        <w:t xml:space="preserve"> wh</w:t>
      </w:r>
      <w:r w:rsidR="007C1170">
        <w:t xml:space="preserve">ich is when </w:t>
      </w:r>
      <w:r w:rsidR="00DD60D7">
        <w:t>there is more</w:t>
      </w:r>
      <w:r w:rsidR="002C239A">
        <w:t xml:space="preserve"> consensus </w:t>
      </w:r>
      <w:r w:rsidR="002C239A">
        <w:lastRenderedPageBreak/>
        <w:t>across</w:t>
      </w:r>
      <w:r w:rsidR="00F60FD2">
        <w:t xml:space="preserve"> poll</w:t>
      </w:r>
      <w:r w:rsidR="002C239A">
        <w:t xml:space="preserve"> estimate</w:t>
      </w:r>
      <w:r w:rsidR="00F60FD2">
        <w:t>s</w:t>
      </w:r>
      <w:r w:rsidR="002C239A">
        <w:t xml:space="preserve"> than would be expected under random sampling</w:t>
      </w:r>
      <w:r w:rsidR="00B27D4A">
        <w:t xml:space="preserve"> because </w:t>
      </w:r>
      <w:r w:rsidR="0091381B">
        <w:t>it</w:t>
      </w:r>
      <w:r w:rsidR="00B27D4A">
        <w:t xml:space="preserve"> relates to the </w:t>
      </w:r>
      <w:r w:rsidR="007C1170">
        <w:t>variability</w:t>
      </w:r>
      <w:r w:rsidR="00B27D4A">
        <w:t xml:space="preserve"> of estimates across polls</w:t>
      </w:r>
      <w:r w:rsidR="00921275">
        <w:t>,</w:t>
      </w:r>
      <w:r w:rsidR="00B27D4A">
        <w:t xml:space="preserve"> </w:t>
      </w:r>
      <w:r w:rsidR="007C1170">
        <w:t>rather than</w:t>
      </w:r>
      <w:r w:rsidR="00921275">
        <w:t xml:space="preserve"> to</w:t>
      </w:r>
      <w:r w:rsidR="00B27D4A">
        <w:t xml:space="preserve"> bias</w:t>
      </w:r>
      <w:r w:rsidR="007C1170">
        <w:t xml:space="preserve"> in</w:t>
      </w:r>
      <w:r w:rsidR="00B27D4A">
        <w:t xml:space="preserve"> </w:t>
      </w:r>
      <w:r w:rsidR="00B57A28">
        <w:t>poll</w:t>
      </w:r>
      <w:r w:rsidR="00B27D4A">
        <w:t xml:space="preserve"> estimates (Sturgis et al 2016).</w:t>
      </w:r>
    </w:p>
    <w:p w14:paraId="012C602B" w14:textId="77777777" w:rsidR="00674E31" w:rsidRDefault="00674E31" w:rsidP="0018248F">
      <w:pPr>
        <w:spacing w:line="480" w:lineRule="auto"/>
        <w:jc w:val="both"/>
      </w:pPr>
    </w:p>
    <w:p w14:paraId="2BAB733F" w14:textId="3CB06BF6" w:rsidR="00424814" w:rsidRPr="00424814" w:rsidRDefault="00424814" w:rsidP="00FB0B28">
      <w:pPr>
        <w:spacing w:line="480" w:lineRule="auto"/>
        <w:rPr>
          <w:b/>
          <w:iCs/>
        </w:rPr>
      </w:pPr>
      <w:bookmarkStart w:id="4" w:name="_Toc320346456"/>
      <w:bookmarkStart w:id="5" w:name="_Toc320349703"/>
      <w:r w:rsidRPr="00424814">
        <w:rPr>
          <w:b/>
          <w:iCs/>
        </w:rPr>
        <w:t>4.</w:t>
      </w:r>
      <w:r w:rsidR="00364510">
        <w:rPr>
          <w:b/>
          <w:iCs/>
        </w:rPr>
        <w:t>1</w:t>
      </w:r>
      <w:r w:rsidRPr="00424814">
        <w:rPr>
          <w:b/>
          <w:iCs/>
        </w:rPr>
        <w:t xml:space="preserve"> </w:t>
      </w:r>
      <w:r w:rsidR="00634D3E">
        <w:rPr>
          <w:b/>
          <w:iCs/>
        </w:rPr>
        <w:t>Differences between reported vote intention and actual vote (‘l</w:t>
      </w:r>
      <w:r w:rsidRPr="00424814">
        <w:rPr>
          <w:b/>
          <w:iCs/>
        </w:rPr>
        <w:t>ate swing</w:t>
      </w:r>
      <w:r w:rsidR="00634D3E">
        <w:rPr>
          <w:b/>
          <w:iCs/>
        </w:rPr>
        <w:t>’)</w:t>
      </w:r>
    </w:p>
    <w:bookmarkEnd w:id="4"/>
    <w:bookmarkEnd w:id="5"/>
    <w:p w14:paraId="74D5213B" w14:textId="31E55986" w:rsidR="004A4288" w:rsidRDefault="00FB0B28" w:rsidP="004A4288">
      <w:pPr>
        <w:spacing w:line="480" w:lineRule="auto"/>
        <w:jc w:val="both"/>
      </w:pPr>
      <w:r w:rsidRPr="00FB0B28">
        <w:t>Some voters agree to take part in opinion polls but do not disclose the party they intend to vote for.  Others do</w:t>
      </w:r>
      <w:r w:rsidR="00E60456">
        <w:t xml:space="preserve"> </w:t>
      </w:r>
      <w:r w:rsidRPr="00FB0B28">
        <w:t>n</w:t>
      </w:r>
      <w:r w:rsidR="00E60456">
        <w:t>o</w:t>
      </w:r>
      <w:r w:rsidRPr="00FB0B28">
        <w:t xml:space="preserve">t know who they will support, </w:t>
      </w:r>
      <w:r w:rsidR="008F06B6">
        <w:t xml:space="preserve">or they </w:t>
      </w:r>
      <w:r w:rsidR="00400998">
        <w:t xml:space="preserve">deliberately misreport their vote intention, or report their intention truthfully but then change their minds </w:t>
      </w:r>
      <w:r w:rsidR="004A4288">
        <w:t xml:space="preserve">after the </w:t>
      </w:r>
      <w:r w:rsidR="00400998">
        <w:t xml:space="preserve">poll. </w:t>
      </w:r>
      <w:r w:rsidR="00BE548F" w:rsidRPr="00FB0B28">
        <w:t xml:space="preserve">If a sufficient number of these types of voters move disproportionately to </w:t>
      </w:r>
      <w:r w:rsidR="00BE548F">
        <w:t>different parties between the</w:t>
      </w:r>
      <w:r w:rsidR="00BE548F" w:rsidRPr="00FB0B28">
        <w:t xml:space="preserve"> </w:t>
      </w:r>
      <w:r w:rsidR="004A4288">
        <w:t xml:space="preserve">polls and election day, vote shares estimated from the </w:t>
      </w:r>
      <w:r w:rsidR="00BE548F" w:rsidRPr="00FB0B28">
        <w:t>polls will differ from the election result.</w:t>
      </w:r>
      <w:r w:rsidR="00BE548F">
        <w:t xml:space="preserve"> This discrepancy will not </w:t>
      </w:r>
      <w:r w:rsidR="00BE548F" w:rsidRPr="00FB0B28">
        <w:t>be</w:t>
      </w:r>
      <w:r w:rsidR="00BE548F">
        <w:t xml:space="preserve"> due to inaccuracy </w:t>
      </w:r>
      <w:r w:rsidR="004A4288">
        <w:t>of</w:t>
      </w:r>
      <w:r w:rsidR="00BE548F">
        <w:t xml:space="preserve"> the polls as estimates of the stated vote intentions, but to inadequacy of the assumption (A3) that </w:t>
      </w:r>
      <w:r w:rsidR="004A4288">
        <w:t>the</w:t>
      </w:r>
      <w:r w:rsidR="002D3882">
        <w:t xml:space="preserve"> stated</w:t>
      </w:r>
      <w:r w:rsidR="004A4288">
        <w:t xml:space="preserve"> intentions</w:t>
      </w:r>
      <w:r w:rsidR="00BE548F">
        <w:t xml:space="preserve"> </w:t>
      </w:r>
      <w:r w:rsidR="004A4288">
        <w:t>(</w:t>
      </w:r>
      <w:r w:rsidR="004A4288" w:rsidRPr="004A4288">
        <w:rPr>
          <w:i/>
        </w:rPr>
        <w:t>V</w:t>
      </w:r>
      <w:r w:rsidR="004A4288">
        <w:t xml:space="preserve">) </w:t>
      </w:r>
      <w:r w:rsidR="00BE548F">
        <w:t xml:space="preserve">can be treated as </w:t>
      </w:r>
      <w:r w:rsidR="004A4288">
        <w:t xml:space="preserve">a measure of </w:t>
      </w:r>
      <w:r w:rsidR="00BE548F">
        <w:t>the actual vote</w:t>
      </w:r>
      <w:r w:rsidR="004A4288">
        <w:t xml:space="preserve"> (</w:t>
      </w:r>
      <w:r w:rsidR="004A4288" w:rsidRPr="004A4288">
        <w:rPr>
          <w:i/>
        </w:rPr>
        <w:t>P</w:t>
      </w:r>
      <w:r w:rsidR="004A4288">
        <w:t>)</w:t>
      </w:r>
      <w:r w:rsidR="00BE548F">
        <w:t>.</w:t>
      </w:r>
      <w:r w:rsidR="004A4288">
        <w:t xml:space="preserve"> </w:t>
      </w:r>
      <w:r w:rsidR="002D3882">
        <w:t xml:space="preserve">Following </w:t>
      </w:r>
      <w:r w:rsidR="008F06B6">
        <w:t xml:space="preserve">the </w:t>
      </w:r>
      <w:r w:rsidR="002D3882">
        <w:t>convention in the polling literature, w</w:t>
      </w:r>
      <w:r w:rsidR="004A4288">
        <w:t xml:space="preserve">e refer to a difference between </w:t>
      </w:r>
      <w:r w:rsidR="004A4288" w:rsidRPr="004A4288">
        <w:rPr>
          <w:i/>
        </w:rPr>
        <w:t>V</w:t>
      </w:r>
      <w:r w:rsidR="004A4288">
        <w:t xml:space="preserve"> and </w:t>
      </w:r>
      <w:r w:rsidR="004A4288" w:rsidRPr="004A4288">
        <w:rPr>
          <w:i/>
        </w:rPr>
        <w:t>P</w:t>
      </w:r>
      <w:r w:rsidR="004A4288">
        <w:t xml:space="preserve"> as </w:t>
      </w:r>
      <w:r w:rsidR="004A4288" w:rsidRPr="004A4288">
        <w:rPr>
          <w:i/>
        </w:rPr>
        <w:t>late swing</w:t>
      </w:r>
      <w:r w:rsidR="004A4288">
        <w:t>. Th</w:t>
      </w:r>
      <w:r w:rsidR="00C66ED4">
        <w:t>e</w:t>
      </w:r>
      <w:r w:rsidR="004A4288">
        <w:t xml:space="preserve"> term refers most n</w:t>
      </w:r>
      <w:r w:rsidR="008657E9">
        <w:t>aturally to a switching from one party to another, but we also</w:t>
      </w:r>
      <w:r w:rsidR="002D3882">
        <w:t xml:space="preserve"> include</w:t>
      </w:r>
      <w:r w:rsidR="008657E9">
        <w:t xml:space="preserve"> </w:t>
      </w:r>
      <w:r w:rsidR="008657E9" w:rsidRPr="00FB0B28">
        <w:t xml:space="preserve">movement from non-substantive responses (Don’t Knows and </w:t>
      </w:r>
      <w:r w:rsidR="00C66ED4">
        <w:t>r</w:t>
      </w:r>
      <w:r w:rsidR="008657E9" w:rsidRPr="00FB0B28">
        <w:t>efusals) to a party choice</w:t>
      </w:r>
      <w:r w:rsidR="008657E9">
        <w:t xml:space="preserve">. </w:t>
      </w:r>
    </w:p>
    <w:p w14:paraId="59C93ED1" w14:textId="7C264BB0" w:rsidR="008657E9" w:rsidRDefault="00FB0B28" w:rsidP="00424814">
      <w:pPr>
        <w:spacing w:line="480" w:lineRule="auto"/>
        <w:jc w:val="both"/>
      </w:pPr>
      <w:r w:rsidRPr="00FB0B28">
        <w:t>Reports into the polling failures at the 1970</w:t>
      </w:r>
      <w:r w:rsidR="00CA056D">
        <w:t xml:space="preserve"> (</w:t>
      </w:r>
      <w:r w:rsidR="00CA056D" w:rsidRPr="00EA0054">
        <w:t>Butler and Pinto-</w:t>
      </w:r>
      <w:proofErr w:type="spellStart"/>
      <w:r w:rsidR="00CA056D" w:rsidRPr="00EA0054">
        <w:t>Duschinsky</w:t>
      </w:r>
      <w:proofErr w:type="spellEnd"/>
      <w:r w:rsidR="00CA056D" w:rsidRPr="00EA0054">
        <w:t xml:space="preserve"> 1971</w:t>
      </w:r>
      <w:r w:rsidR="00CA056D">
        <w:t xml:space="preserve">) </w:t>
      </w:r>
      <w:r w:rsidRPr="00FB0B28">
        <w:t>and 1992</w:t>
      </w:r>
      <w:r w:rsidR="00CA056D">
        <w:t xml:space="preserve"> (</w:t>
      </w:r>
      <w:r w:rsidR="00CA056D" w:rsidRPr="00A4519E">
        <w:t>Market Research Society 1994</w:t>
      </w:r>
      <w:r w:rsidR="00CA056D">
        <w:t>)</w:t>
      </w:r>
      <w:r w:rsidRPr="00FB0B28">
        <w:t xml:space="preserve"> elections both attributed a prominent role to </w:t>
      </w:r>
      <w:r w:rsidR="008657E9">
        <w:t xml:space="preserve">late swing. </w:t>
      </w:r>
      <w:r w:rsidRPr="00FB0B28">
        <w:t xml:space="preserve">This was particularly so for the 1970 report, which concluded that late swing was almost entirely to blame for the failure to predict the Conservative victory in that election. </w:t>
      </w:r>
      <w:r w:rsidR="008657E9">
        <w:t xml:space="preserve">It </w:t>
      </w:r>
      <w:r w:rsidRPr="00FB0B28">
        <w:t>has also been identified as a contributory factor for polling misses in the United States</w:t>
      </w:r>
      <w:r w:rsidR="00CA056D">
        <w:t xml:space="preserve"> (</w:t>
      </w:r>
      <w:r w:rsidR="00CA056D" w:rsidRPr="00F90A98">
        <w:t xml:space="preserve">AAPOR 2009; </w:t>
      </w:r>
      <w:proofErr w:type="spellStart"/>
      <w:r w:rsidR="00CA056D" w:rsidRPr="00F90A98">
        <w:t>Keeter</w:t>
      </w:r>
      <w:proofErr w:type="spellEnd"/>
      <w:r w:rsidR="00CA056D" w:rsidRPr="00F90A98">
        <w:t>, et al. 2016</w:t>
      </w:r>
      <w:r w:rsidR="00CA056D">
        <w:t>)</w:t>
      </w:r>
      <w:r w:rsidRPr="00FB0B28">
        <w:t xml:space="preserve">. </w:t>
      </w:r>
      <w:r w:rsidR="00A54F55">
        <w:t>There are, therefore, good prima facie grounds for assuming that late swing may have contributed to the polling miss in 2015.</w:t>
      </w:r>
    </w:p>
    <w:p w14:paraId="6873F407" w14:textId="75B71BEB" w:rsidR="00D402C1" w:rsidRPr="009B51A8" w:rsidRDefault="00BA390C" w:rsidP="00424814">
      <w:pPr>
        <w:spacing w:line="480" w:lineRule="auto"/>
        <w:jc w:val="both"/>
      </w:pPr>
      <w:r w:rsidRPr="009B51A8">
        <w:t xml:space="preserve">The most direct way of assessing late swing is to </w:t>
      </w:r>
      <w:r w:rsidR="00AE459A" w:rsidRPr="009B51A8">
        <w:t xml:space="preserve">examine data </w:t>
      </w:r>
      <w:r w:rsidR="00675D15" w:rsidRPr="009B51A8">
        <w:t xml:space="preserve">from </w:t>
      </w:r>
      <w:r w:rsidR="00675D15" w:rsidRPr="009B51A8">
        <w:rPr>
          <w:i/>
        </w:rPr>
        <w:t>re-contact surveys</w:t>
      </w:r>
      <w:r w:rsidR="0010622B">
        <w:rPr>
          <w:i/>
        </w:rPr>
        <w:t>,</w:t>
      </w:r>
      <w:r w:rsidR="00675D15" w:rsidRPr="009B51A8">
        <w:t xml:space="preserve"> where the same respondents </w:t>
      </w:r>
      <w:r w:rsidR="006856A3" w:rsidRPr="009B51A8">
        <w:t>have been interviewed both before and after the election. Six pollsters carried out such surveys</w:t>
      </w:r>
      <w:r w:rsidR="0010622B">
        <w:t>, although</w:t>
      </w:r>
      <w:r w:rsidR="00E354CC">
        <w:t xml:space="preserve"> </w:t>
      </w:r>
      <w:r w:rsidR="006856A3" w:rsidRPr="009B51A8">
        <w:t>one proved to be unusable for our purposes</w:t>
      </w:r>
      <w:r w:rsidR="00A54F55">
        <w:t xml:space="preserve"> </w:t>
      </w:r>
      <w:r w:rsidR="00475F38">
        <w:t>because</w:t>
      </w:r>
      <w:r w:rsidR="00A54F55">
        <w:t xml:space="preserve"> fieldwork outcomes </w:t>
      </w:r>
      <w:r w:rsidR="00475F38">
        <w:lastRenderedPageBreak/>
        <w:t>did not distinguish between refusals and non-voters</w:t>
      </w:r>
      <w:r w:rsidR="006856A3" w:rsidRPr="009B51A8">
        <w:t xml:space="preserve">. </w:t>
      </w:r>
      <w:r w:rsidR="002533C9" w:rsidRPr="009B51A8">
        <w:t>For the analysis of late swing w</w:t>
      </w:r>
      <w:r w:rsidR="00D402C1" w:rsidRPr="009B51A8">
        <w:t xml:space="preserve">e use </w:t>
      </w:r>
      <w:r w:rsidR="002533C9" w:rsidRPr="009B51A8">
        <w:t xml:space="preserve">only </w:t>
      </w:r>
      <w:r w:rsidR="00D402C1" w:rsidRPr="009B51A8">
        <w:t xml:space="preserve">the samples of voters who reported after the election that they had voted, </w:t>
      </w:r>
      <w:r w:rsidR="00A54F55">
        <w:t>which means that</w:t>
      </w:r>
      <w:r w:rsidR="00A54F55" w:rsidRPr="009B51A8">
        <w:t xml:space="preserve"> </w:t>
      </w:r>
      <w:r w:rsidR="00D402C1" w:rsidRPr="009B51A8">
        <w:t xml:space="preserve">turnout weights </w:t>
      </w:r>
      <w:r w:rsidR="00A54F55">
        <w:t xml:space="preserve">are not needed and </w:t>
      </w:r>
      <w:r w:rsidR="008F06B6">
        <w:t xml:space="preserve">that </w:t>
      </w:r>
      <w:r w:rsidR="00A54F55">
        <w:t>assumption A2 is not required</w:t>
      </w:r>
      <w:r w:rsidR="00D402C1" w:rsidRPr="009B51A8">
        <w:t xml:space="preserve">. </w:t>
      </w:r>
      <w:r w:rsidR="008C52D0">
        <w:t>Because not all respondents that were re</w:t>
      </w:r>
      <w:r w:rsidR="008F06B6">
        <w:t>-</w:t>
      </w:r>
      <w:r w:rsidR="008C52D0">
        <w:t>contacted provided an interview</w:t>
      </w:r>
      <w:r w:rsidR="00D402C1" w:rsidRPr="009B51A8">
        <w:t xml:space="preserve">, </w:t>
      </w:r>
      <w:r w:rsidR="008C52D0">
        <w:t>t</w:t>
      </w:r>
      <w:r w:rsidR="0058519F" w:rsidRPr="009B51A8">
        <w:t>he</w:t>
      </w:r>
      <w:r w:rsidRPr="009B51A8">
        <w:t xml:space="preserve"> estimates </w:t>
      </w:r>
      <w:r w:rsidR="008C52D0">
        <w:t>a</w:t>
      </w:r>
      <w:r w:rsidRPr="009B51A8">
        <w:t xml:space="preserve">re weighted by the product of the pre-election </w:t>
      </w:r>
      <w:r w:rsidR="00E2722B">
        <w:t xml:space="preserve">calibration </w:t>
      </w:r>
      <w:r w:rsidRPr="009B51A8">
        <w:t>weight</w:t>
      </w:r>
      <w:r w:rsidR="009963BB" w:rsidRPr="009B51A8">
        <w:t xml:space="preserve"> and an attrition weight</w:t>
      </w:r>
      <w:r w:rsidR="0058519F" w:rsidRPr="009B51A8">
        <w:t xml:space="preserve">. </w:t>
      </w:r>
      <w:r w:rsidR="00744977" w:rsidRPr="009B51A8">
        <w:t>The attrition weight was</w:t>
      </w:r>
      <w:r w:rsidR="0058519F" w:rsidRPr="009B51A8">
        <w:t xml:space="preserve"> calculated as the inverse of the predicted probability of responding to the re-contact survey</w:t>
      </w:r>
      <w:r w:rsidR="00744977" w:rsidRPr="009B51A8">
        <w:t xml:space="preserve">, derived from a logistic </w:t>
      </w:r>
      <w:r w:rsidR="0058519F" w:rsidRPr="009B51A8">
        <w:t>regression model</w:t>
      </w:r>
      <w:r w:rsidR="00744977" w:rsidRPr="009B51A8">
        <w:t xml:space="preserve"> where t</w:t>
      </w:r>
      <w:r w:rsidR="0058519F" w:rsidRPr="009B51A8">
        <w:t>he predictor</w:t>
      </w:r>
      <w:r w:rsidR="00744977" w:rsidRPr="009B51A8">
        <w:t xml:space="preserve"> variables were </w:t>
      </w:r>
      <w:r w:rsidR="0058519F" w:rsidRPr="009B51A8">
        <w:t xml:space="preserve">all the variables </w:t>
      </w:r>
      <w:r w:rsidR="00744977" w:rsidRPr="009B51A8">
        <w:t xml:space="preserve">used </w:t>
      </w:r>
      <w:r w:rsidR="009963BB" w:rsidRPr="009B51A8">
        <w:t>for w</w:t>
      </w:r>
      <w:r w:rsidR="0058519F" w:rsidRPr="009B51A8">
        <w:t xml:space="preserve">eighting </w:t>
      </w:r>
      <w:r w:rsidR="009963BB" w:rsidRPr="009B51A8">
        <w:t>in</w:t>
      </w:r>
      <w:r w:rsidR="0058519F" w:rsidRPr="009B51A8">
        <w:t xml:space="preserve"> the final poll, plus the</w:t>
      </w:r>
      <w:r w:rsidR="00744977" w:rsidRPr="009B51A8">
        <w:t xml:space="preserve"> question on likelihood to vote </w:t>
      </w:r>
      <w:r w:rsidR="0058519F" w:rsidRPr="009B51A8">
        <w:t>if used for the poll.</w:t>
      </w:r>
      <w:r w:rsidR="002F77F3" w:rsidRPr="009B51A8">
        <w:t xml:space="preserve"> For two pollsters the </w:t>
      </w:r>
      <w:r w:rsidR="00D402C1" w:rsidRPr="009B51A8">
        <w:t>sample sizes</w:t>
      </w:r>
      <w:r w:rsidR="004B7B2E">
        <w:t xml:space="preserve"> for the re</w:t>
      </w:r>
      <w:r w:rsidR="008F06B6">
        <w:t>-</w:t>
      </w:r>
      <w:r w:rsidR="004B7B2E">
        <w:t>contact surveys</w:t>
      </w:r>
      <w:r w:rsidR="00D402C1" w:rsidRPr="009B51A8">
        <w:t xml:space="preserve"> </w:t>
      </w:r>
      <w:r w:rsidR="008C52D0">
        <w:t>we</w:t>
      </w:r>
      <w:r w:rsidR="00D402C1" w:rsidRPr="009B51A8">
        <w:t xml:space="preserve">re very small </w:t>
      </w:r>
      <w:r w:rsidR="00B748D6">
        <w:t>but</w:t>
      </w:r>
      <w:r w:rsidR="008C52D0">
        <w:t xml:space="preserve"> in these cases</w:t>
      </w:r>
      <w:r w:rsidR="00B748D6">
        <w:t xml:space="preserve"> it was possible to include</w:t>
      </w:r>
      <w:r w:rsidR="002F77F3" w:rsidRPr="009B51A8">
        <w:t xml:space="preserve"> </w:t>
      </w:r>
      <w:r w:rsidR="00D402C1" w:rsidRPr="009B51A8">
        <w:t xml:space="preserve">respondents who were </w:t>
      </w:r>
      <w:r w:rsidR="00B748D6" w:rsidRPr="009B51A8">
        <w:t>interviewed</w:t>
      </w:r>
      <w:r w:rsidR="00B748D6">
        <w:t xml:space="preserve"> in </w:t>
      </w:r>
      <w:r w:rsidR="000D356A">
        <w:t>earlier</w:t>
      </w:r>
      <w:r w:rsidR="00B748D6">
        <w:t xml:space="preserve"> polls for the same company </w:t>
      </w:r>
      <w:r w:rsidR="00D402C1" w:rsidRPr="009B51A8">
        <w:t>during the short campaign.</w:t>
      </w:r>
      <w:r w:rsidR="002F77F3" w:rsidRPr="009B51A8">
        <w:t xml:space="preserve"> </w:t>
      </w:r>
    </w:p>
    <w:p w14:paraId="361DA492" w14:textId="0F109DD9" w:rsidR="003D35B1" w:rsidRDefault="003D35B1" w:rsidP="003D35B1">
      <w:pPr>
        <w:spacing w:line="480" w:lineRule="auto"/>
        <w:jc w:val="center"/>
      </w:pPr>
      <w:r w:rsidRPr="003D35B1">
        <w:t xml:space="preserve">----- [Table </w:t>
      </w:r>
      <w:r w:rsidR="000E0B82">
        <w:t>3</w:t>
      </w:r>
      <w:r w:rsidRPr="003D35B1">
        <w:t xml:space="preserve"> here] -----</w:t>
      </w:r>
    </w:p>
    <w:p w14:paraId="656C3D4B" w14:textId="146AEEA0" w:rsidR="00BA390C" w:rsidRDefault="006C37F7" w:rsidP="00C46CBC">
      <w:pPr>
        <w:spacing w:line="480" w:lineRule="auto"/>
        <w:jc w:val="both"/>
      </w:pPr>
      <w:r>
        <w:t xml:space="preserve">Table </w:t>
      </w:r>
      <w:r w:rsidR="00E64D33">
        <w:t>3</w:t>
      </w:r>
      <w:r w:rsidR="00BA390C" w:rsidRPr="007808E4">
        <w:t xml:space="preserve"> shows point estimates of the Conservative lead over Labour </w:t>
      </w:r>
      <w:r w:rsidR="003D35B1">
        <w:t xml:space="preserve">for these five samples, </w:t>
      </w:r>
      <w:r w:rsidR="00BA390C" w:rsidRPr="007808E4">
        <w:t>from the pre-election polls and the re-contact survey</w:t>
      </w:r>
      <w:r w:rsidR="003D35B1">
        <w:t>s</w:t>
      </w:r>
      <w:r w:rsidR="00BA390C" w:rsidRPr="007808E4">
        <w:t xml:space="preserve">. </w:t>
      </w:r>
      <w:r w:rsidR="009B51A8">
        <w:t xml:space="preserve">In four of the five polls </w:t>
      </w:r>
      <w:r w:rsidR="00E354CC">
        <w:t xml:space="preserve">the post-election estimates </w:t>
      </w:r>
      <w:r w:rsidR="00BA390C" w:rsidRPr="007808E4">
        <w:t xml:space="preserve">move in the direction of a larger lead for the Conservatives, </w:t>
      </w:r>
      <w:r w:rsidR="009B51A8">
        <w:t>and in one poll (the one with the largest sample size) in the opposite direction.</w:t>
      </w:r>
      <w:r w:rsidR="00BA390C" w:rsidRPr="007808E4">
        <w:t xml:space="preserve"> The average change toward the Conservatives </w:t>
      </w:r>
      <w:r w:rsidR="00C46CBC">
        <w:t>weighting</w:t>
      </w:r>
      <w:r w:rsidR="00C46CBC" w:rsidRPr="007808E4">
        <w:t xml:space="preserve"> </w:t>
      </w:r>
      <w:r w:rsidR="00BA390C" w:rsidRPr="007808E4">
        <w:t xml:space="preserve">all five polls </w:t>
      </w:r>
      <w:r w:rsidR="00C46CBC">
        <w:t xml:space="preserve">equally </w:t>
      </w:r>
      <w:r w:rsidR="00BA390C" w:rsidRPr="007808E4">
        <w:t xml:space="preserve">is </w:t>
      </w:r>
      <w:r w:rsidR="00E63CFF">
        <w:t>+</w:t>
      </w:r>
      <w:r w:rsidR="00BA390C" w:rsidRPr="007808E4">
        <w:t xml:space="preserve">1.8 points </w:t>
      </w:r>
      <w:r w:rsidR="00E63CFF">
        <w:t xml:space="preserve">and -0.4 points if only respondents from the final polls are included. An average of the five estimates (for all respondents) </w:t>
      </w:r>
      <w:r w:rsidR="00BA390C" w:rsidRPr="007808E4">
        <w:t>weight</w:t>
      </w:r>
      <w:r w:rsidR="00E354CC">
        <w:t>ed</w:t>
      </w:r>
      <w:r w:rsidR="00BA390C" w:rsidRPr="007808E4">
        <w:t xml:space="preserve"> by sample size </w:t>
      </w:r>
      <w:r w:rsidR="00E354CC">
        <w:t>is</w:t>
      </w:r>
      <w:r w:rsidR="00BA390C" w:rsidRPr="007808E4">
        <w:t xml:space="preserve"> </w:t>
      </w:r>
      <w:r w:rsidR="00E63CFF">
        <w:t>+</w:t>
      </w:r>
      <w:r w:rsidR="00BA390C" w:rsidRPr="007808E4">
        <w:t>0.6 points</w:t>
      </w:r>
      <w:r w:rsidR="00E63CFF">
        <w:t xml:space="preserve">, </w:t>
      </w:r>
      <w:r w:rsidR="00DD60D7">
        <w:t>with</w:t>
      </w:r>
      <w:r w:rsidR="00E63CFF">
        <w:t xml:space="preserve"> a 95% confidence interval (obtained using bootstrap estimates of the standard errors of the estimates) is -0.2% to +1.6%</w:t>
      </w:r>
      <w:r w:rsidR="00C46CBC">
        <w:t>.  Regardless of which</w:t>
      </w:r>
      <w:r w:rsidR="00BA72CF">
        <w:t xml:space="preserve"> of these</w:t>
      </w:r>
      <w:r w:rsidR="00C46CBC">
        <w:t xml:space="preserve"> estimate</w:t>
      </w:r>
      <w:r w:rsidR="00BA72CF">
        <w:t>s</w:t>
      </w:r>
      <w:r w:rsidR="00C46CBC">
        <w:t xml:space="preserve"> one prefers</w:t>
      </w:r>
      <w:r w:rsidR="000D356A">
        <w:t>,</w:t>
      </w:r>
      <w:r w:rsidR="00C46CBC">
        <w:t xml:space="preserve"> </w:t>
      </w:r>
      <w:r w:rsidR="00BA72CF">
        <w:t>none of them is</w:t>
      </w:r>
      <w:r w:rsidR="009B51A8">
        <w:t xml:space="preserve"> nearly enough to </w:t>
      </w:r>
      <w:r w:rsidR="000D356A">
        <w:t xml:space="preserve">explain </w:t>
      </w:r>
      <w:r w:rsidR="009B51A8">
        <w:t>the</w:t>
      </w:r>
      <w:r w:rsidR="000D356A">
        <w:t xml:space="preserve"> total</w:t>
      </w:r>
      <w:r w:rsidR="009B51A8">
        <w:t xml:space="preserve"> error in the polls</w:t>
      </w:r>
      <w:r w:rsidR="00BA390C" w:rsidRPr="007808E4">
        <w:t xml:space="preserve">. </w:t>
      </w:r>
    </w:p>
    <w:p w14:paraId="14AF78AB" w14:textId="156481DA" w:rsidR="00416061" w:rsidRDefault="00674E31" w:rsidP="00424814">
      <w:pPr>
        <w:spacing w:line="480" w:lineRule="auto"/>
        <w:jc w:val="both"/>
      </w:pPr>
      <w:r>
        <w:t xml:space="preserve">Some part of these </w:t>
      </w:r>
      <w:r w:rsidR="0085477A">
        <w:t xml:space="preserve">changes may be </w:t>
      </w:r>
      <w:r>
        <w:t>due to measurement effects in the pre-election responses</w:t>
      </w:r>
      <w:r w:rsidR="00BA72CF">
        <w:t xml:space="preserve"> such as</w:t>
      </w:r>
      <w:r w:rsidR="0085477A">
        <w:t xml:space="preserve"> </w:t>
      </w:r>
      <w:r>
        <w:t xml:space="preserve">the treatment of refusals and “Don’t know” responses. </w:t>
      </w:r>
      <w:r w:rsidR="00BA72CF">
        <w:t>P</w:t>
      </w:r>
      <w:r>
        <w:t xml:space="preserve">ollsters used different combinations of </w:t>
      </w:r>
      <w:r w:rsidR="00BA72CF">
        <w:t>‘</w:t>
      </w:r>
      <w:r>
        <w:t>squeeze</w:t>
      </w:r>
      <w:r w:rsidR="00BA72CF">
        <w:t>’</w:t>
      </w:r>
      <w:r>
        <w:t xml:space="preserve"> questions</w:t>
      </w:r>
      <w:r w:rsidR="00BA72CF">
        <w:t xml:space="preserve"> (where initially non-disclosing respondents are pushed to provide a vote intention)</w:t>
      </w:r>
      <w:r>
        <w:t xml:space="preserve"> and imputation to allocate vote intentions for</w:t>
      </w:r>
      <w:r w:rsidR="00BA72CF">
        <w:t xml:space="preserve"> these</w:t>
      </w:r>
      <w:r>
        <w:t xml:space="preserve"> respondents. </w:t>
      </w:r>
      <w:r w:rsidR="00BA72CF">
        <w:t>However,</w:t>
      </w:r>
      <w:r w:rsidR="00416061">
        <w:t xml:space="preserve"> the aggregate impact</w:t>
      </w:r>
      <w:r w:rsidR="00BA72CF">
        <w:t>s</w:t>
      </w:r>
      <w:r w:rsidR="00416061">
        <w:t xml:space="preserve"> of these </w:t>
      </w:r>
      <w:r w:rsidR="00BA72CF">
        <w:t>procedures on the final vote intention estimates</w:t>
      </w:r>
      <w:r w:rsidR="00416061">
        <w:t xml:space="preserve"> were small (Sturgis et al 2016)</w:t>
      </w:r>
      <w:r w:rsidR="0085477A">
        <w:t>.</w:t>
      </w:r>
      <w:r w:rsidR="00416061">
        <w:t xml:space="preserve"> </w:t>
      </w:r>
    </w:p>
    <w:p w14:paraId="541544F1" w14:textId="68F79160" w:rsidR="0046068F" w:rsidRDefault="00120D3B" w:rsidP="00424814">
      <w:pPr>
        <w:spacing w:line="480" w:lineRule="auto"/>
        <w:jc w:val="both"/>
      </w:pPr>
      <w:r w:rsidRPr="00120D3B">
        <w:lastRenderedPageBreak/>
        <w:t>A frequently advanced explanation of polling errors</w:t>
      </w:r>
      <w:r w:rsidR="00427E95">
        <w:t xml:space="preserve"> by media commentators</w:t>
      </w:r>
      <w:r w:rsidRPr="00120D3B">
        <w:t xml:space="preserve"> is deliberate misreporting, which is when respondents knowingly tell pollsters that they will vote for a particular party when they actually intend to vote for a different one. This is generally considered to occur, not out of capriciousness</w:t>
      </w:r>
      <w:r w:rsidR="00427E95">
        <w:t xml:space="preserve"> or spite against pollsters</w:t>
      </w:r>
      <w:r w:rsidRPr="00120D3B">
        <w:t>, but due to processes of social desirability</w:t>
      </w:r>
      <w:r>
        <w:t xml:space="preserve">. </w:t>
      </w:r>
      <w:r w:rsidR="00427E95">
        <w:t>For example, i</w:t>
      </w:r>
      <w:r w:rsidRPr="00120D3B">
        <w:t>n the UK, deliberate misreporting has been invoked to explain the tendency of polls to under-estimate the Conservative vote as a result of respondents being unwilling to admit to voting Conservative</w:t>
      </w:r>
      <w:r>
        <w:t xml:space="preserve"> – so-called ‘shy Tories’</w:t>
      </w:r>
      <w:r w:rsidR="00606B86">
        <w:t>. B</w:t>
      </w:r>
      <w:r>
        <w:t xml:space="preserve">ut </w:t>
      </w:r>
      <w:r w:rsidR="00606B86">
        <w:t>the same phenomenon</w:t>
      </w:r>
      <w:r w:rsidR="00606B86" w:rsidRPr="00120D3B">
        <w:t xml:space="preserve"> </w:t>
      </w:r>
      <w:r w:rsidRPr="00120D3B">
        <w:t>could apply</w:t>
      </w:r>
      <w:r w:rsidR="00606B86">
        <w:t xml:space="preserve"> to any party</w:t>
      </w:r>
      <w:r w:rsidRPr="00120D3B">
        <w:t xml:space="preserve"> </w:t>
      </w:r>
      <w:r w:rsidR="00606B86">
        <w:t>that</w:t>
      </w:r>
      <w:r w:rsidR="00606B86" w:rsidRPr="00120D3B">
        <w:t xml:space="preserve"> </w:t>
      </w:r>
      <w:r w:rsidRPr="00120D3B">
        <w:t>voters feel embarrassed to admit</w:t>
      </w:r>
      <w:r w:rsidR="00427E95">
        <w:t xml:space="preserve"> to</w:t>
      </w:r>
      <w:r w:rsidRPr="00120D3B">
        <w:t xml:space="preserve"> supporting </w:t>
      </w:r>
      <w:r w:rsidR="00606B86">
        <w:t>due to there being</w:t>
      </w:r>
      <w:r w:rsidR="00427E95">
        <w:t xml:space="preserve"> some sort of social stigma associated with it</w:t>
      </w:r>
      <w:r>
        <w:t xml:space="preserve">. </w:t>
      </w:r>
    </w:p>
    <w:p w14:paraId="66C97075" w14:textId="0CB6F9EA" w:rsidR="00CF6FBD" w:rsidRDefault="0020582E" w:rsidP="00261BE1">
      <w:pPr>
        <w:spacing w:line="480" w:lineRule="auto"/>
        <w:jc w:val="both"/>
      </w:pPr>
      <w:r>
        <w:t>A response pattern of deliberate m</w:t>
      </w:r>
      <w:r w:rsidR="000C10D4">
        <w:t xml:space="preserve">isreporting of voting intention is indistinguishable from </w:t>
      </w:r>
      <w:r w:rsidR="00606B86">
        <w:t>late swing</w:t>
      </w:r>
      <w:r>
        <w:t>; the individual tells the pollster they will vote for party A but subsequently votes for party B. Whether their initial report was a deliberate misreport is neither here nor there with regard to the pattern of response that is observed</w:t>
      </w:r>
      <w:r w:rsidR="000C10D4">
        <w:t xml:space="preserve">. Our conclusions about late swing </w:t>
      </w:r>
      <w:r>
        <w:t xml:space="preserve">therefore </w:t>
      </w:r>
      <w:r w:rsidR="000C10D4">
        <w:t xml:space="preserve">also </w:t>
      </w:r>
      <w:r>
        <w:t>enable us to rule out deliberate</w:t>
      </w:r>
      <w:r w:rsidR="000C10D4">
        <w:t xml:space="preserve"> misreporting </w:t>
      </w:r>
      <w:r>
        <w:t>as a cause of the polling miss</w:t>
      </w:r>
      <w:r w:rsidR="000C10D4">
        <w:t xml:space="preserve">. </w:t>
      </w:r>
      <w:r>
        <w:t>A limitation to this conclusion is that a</w:t>
      </w:r>
      <w:r w:rsidR="00261BE1" w:rsidRPr="00CF6FBD">
        <w:t>ctual vote could also be</w:t>
      </w:r>
      <w:r>
        <w:t xml:space="preserve"> deliberately</w:t>
      </w:r>
      <w:r w:rsidR="00261BE1" w:rsidRPr="00CF6FBD">
        <w:t xml:space="preserve"> misreported in </w:t>
      </w:r>
      <w:r w:rsidR="002B1870">
        <w:t>the re</w:t>
      </w:r>
      <w:r w:rsidR="008F06B6">
        <w:t>-</w:t>
      </w:r>
      <w:r w:rsidR="002B1870">
        <w:t>contact</w:t>
      </w:r>
      <w:r w:rsidR="00261BE1" w:rsidRPr="00CF6FBD">
        <w:t xml:space="preserve"> surveys</w:t>
      </w:r>
      <w:r w:rsidR="008F06B6">
        <w:t>;</w:t>
      </w:r>
      <w:r w:rsidR="00261BE1" w:rsidRPr="00CF6FBD">
        <w:t xml:space="preserve"> that is respondents could lie both before and after the election. </w:t>
      </w:r>
      <w:r w:rsidR="00CF6FBD" w:rsidRPr="00CF6FBD">
        <w:t xml:space="preserve">It is very difficult to </w:t>
      </w:r>
      <w:r w:rsidR="00CF6FBD" w:rsidRPr="00CF6FBD">
        <w:rPr>
          <w:i/>
          <w:iCs/>
        </w:rPr>
        <w:t xml:space="preserve">definitively </w:t>
      </w:r>
      <w:r w:rsidR="00CF6FBD" w:rsidRPr="00CF6FBD">
        <w:t>rule out th</w:t>
      </w:r>
      <w:r w:rsidR="00CF6FBD">
        <w:t>is</w:t>
      </w:r>
      <w:r w:rsidR="00CF6FBD" w:rsidRPr="00CF6FBD">
        <w:t xml:space="preserve"> possibility</w:t>
      </w:r>
      <w:r w:rsidR="00CF6FBD">
        <w:t xml:space="preserve">, </w:t>
      </w:r>
      <w:r w:rsidR="0083602F">
        <w:t xml:space="preserve">but </w:t>
      </w:r>
      <w:r w:rsidR="00261BE1">
        <w:t xml:space="preserve">indirect evidence suggests that </w:t>
      </w:r>
      <w:r w:rsidR="00CF6FBD">
        <w:t xml:space="preserve">it </w:t>
      </w:r>
      <w:r w:rsidR="00261BE1">
        <w:t xml:space="preserve">is unlikely. </w:t>
      </w:r>
      <w:r w:rsidR="00CF6FBD">
        <w:t xml:space="preserve">In particular, </w:t>
      </w:r>
      <w:r w:rsidR="00261BE1">
        <w:t>the</w:t>
      </w:r>
      <w:r w:rsidR="002B1870">
        <w:t xml:space="preserve"> two</w:t>
      </w:r>
      <w:r w:rsidR="00261BE1">
        <w:t xml:space="preserve"> </w:t>
      </w:r>
      <w:r w:rsidR="00CF6FBD">
        <w:t>post-election</w:t>
      </w:r>
      <w:r w:rsidR="002B1870">
        <w:t xml:space="preserve"> random probability surveys – the British Election Study and the British Social Attitudes survey - </w:t>
      </w:r>
      <w:r w:rsidR="00261BE1">
        <w:t xml:space="preserve">got the election result about right </w:t>
      </w:r>
      <w:r w:rsidR="00CF6FBD">
        <w:t xml:space="preserve">(as discussed in Section 4.3), with both producing </w:t>
      </w:r>
      <w:r w:rsidR="00261BE1">
        <w:t>estimates</w:t>
      </w:r>
      <w:r w:rsidR="00801B41">
        <w:t xml:space="preserve"> of</w:t>
      </w:r>
      <w:r w:rsidR="00261BE1">
        <w:t xml:space="preserve"> </w:t>
      </w:r>
      <w:r w:rsidR="00CF6FBD">
        <w:t xml:space="preserve">the Conservative vote share </w:t>
      </w:r>
      <w:r w:rsidR="00261BE1">
        <w:t>that were act</w:t>
      </w:r>
      <w:r w:rsidR="00CF6FBD">
        <w:t>ually slightly above the result</w:t>
      </w:r>
      <w:r w:rsidR="002B1870">
        <w:t xml:space="preserve">. We see </w:t>
      </w:r>
      <w:r w:rsidR="0083602F">
        <w:t>no</w:t>
      </w:r>
      <w:r w:rsidR="002B1870">
        <w:t xml:space="preserve"> reason to assume that respondents should choose to deliberately misreport their past vote in </w:t>
      </w:r>
      <w:r w:rsidR="003A6642">
        <w:t>some post-election surveys</w:t>
      </w:r>
      <w:r w:rsidR="002B1870">
        <w:t xml:space="preserve"> but not in</w:t>
      </w:r>
      <w:r w:rsidR="003A6642">
        <w:t xml:space="preserve"> others. In summary then, we rule out violations of assumption A3 such as late swing and deliberate misreporting</w:t>
      </w:r>
      <w:r w:rsidR="00E12432">
        <w:t>,</w:t>
      </w:r>
      <w:r w:rsidR="003A6642">
        <w:t xml:space="preserve"> as having </w:t>
      </w:r>
      <w:r w:rsidR="00E12432">
        <w:t>made any notable contribution to the polling miss.</w:t>
      </w:r>
    </w:p>
    <w:p w14:paraId="04784629" w14:textId="3F4882A1" w:rsidR="00FB0B28" w:rsidRPr="00424814" w:rsidRDefault="00424814" w:rsidP="00FB0B28">
      <w:pPr>
        <w:rPr>
          <w:b/>
          <w:iCs/>
        </w:rPr>
      </w:pPr>
      <w:bookmarkStart w:id="6" w:name="_Toc320346458"/>
      <w:bookmarkStart w:id="7" w:name="_Toc320349705"/>
      <w:r w:rsidRPr="00424814">
        <w:rPr>
          <w:b/>
          <w:iCs/>
        </w:rPr>
        <w:t>4.</w:t>
      </w:r>
      <w:r w:rsidR="00364510">
        <w:rPr>
          <w:b/>
          <w:iCs/>
        </w:rPr>
        <w:t>2</w:t>
      </w:r>
      <w:r w:rsidRPr="00424814">
        <w:rPr>
          <w:b/>
          <w:iCs/>
        </w:rPr>
        <w:t xml:space="preserve"> </w:t>
      </w:r>
      <w:r w:rsidR="00FB0B28" w:rsidRPr="00424814">
        <w:rPr>
          <w:b/>
          <w:iCs/>
        </w:rPr>
        <w:t>Turnout weighting</w:t>
      </w:r>
      <w:bookmarkEnd w:id="6"/>
      <w:bookmarkEnd w:id="7"/>
      <w:r w:rsidR="00FB0B28" w:rsidRPr="00424814">
        <w:rPr>
          <w:b/>
          <w:iCs/>
        </w:rPr>
        <w:t xml:space="preserve"> </w:t>
      </w:r>
    </w:p>
    <w:p w14:paraId="46659CAB" w14:textId="7EE150A1" w:rsidR="00373CC3" w:rsidRDefault="000441A6" w:rsidP="00A72E98">
      <w:pPr>
        <w:spacing w:line="480" w:lineRule="auto"/>
        <w:jc w:val="both"/>
      </w:pPr>
      <w:r>
        <w:lastRenderedPageBreak/>
        <w:t>The poll</w:t>
      </w:r>
      <w:r w:rsidR="009A4776">
        <w:t xml:space="preserve">sters </w:t>
      </w:r>
      <w:r>
        <w:t xml:space="preserve">used </w:t>
      </w:r>
      <w:r w:rsidR="002C6D2B">
        <w:t xml:space="preserve">a range of </w:t>
      </w:r>
      <w:r>
        <w:t xml:space="preserve">different methods </w:t>
      </w:r>
      <w:r w:rsidR="00FB0B28" w:rsidRPr="00C26EA0">
        <w:t xml:space="preserve">for constructing </w:t>
      </w:r>
      <w:r w:rsidR="006A3524">
        <w:t xml:space="preserve">turnout weights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rsidR="006A3524">
        <w:t>.</w:t>
      </w:r>
      <w:r w:rsidR="00BA269A">
        <w:t xml:space="preserve"> Most</w:t>
      </w:r>
      <w:r w:rsidR="004730E2">
        <w:t xml:space="preserve"> </w:t>
      </w:r>
      <w:r w:rsidR="00BA269A">
        <w:t xml:space="preserve">relied on </w:t>
      </w:r>
      <w:r w:rsidR="00FB0B28" w:rsidRPr="00C26EA0">
        <w:t>responses to a</w:t>
      </w:r>
      <w:r w:rsidR="00E12432">
        <w:t xml:space="preserve"> self-reported</w:t>
      </w:r>
      <w:r w:rsidR="006A3524">
        <w:t xml:space="preserve"> likelihood-to-vote (</w:t>
      </w:r>
      <w:r w:rsidR="00FB0B28" w:rsidRPr="00C26EA0">
        <w:t>LTV</w:t>
      </w:r>
      <w:r w:rsidR="006A3524">
        <w:t>)</w:t>
      </w:r>
      <w:r w:rsidR="00FB0B28" w:rsidRPr="00C26EA0">
        <w:t xml:space="preserve"> question</w:t>
      </w:r>
      <w:r w:rsidR="00381FE6">
        <w:t xml:space="preserve"> </w:t>
      </w:r>
      <w:r w:rsidR="00FB0B28" w:rsidRPr="00C26EA0">
        <w:t>such as, "how likely is it that you will vote in the general election on 7th May?"</w:t>
      </w:r>
      <w:r w:rsidR="00BA269A">
        <w:t xml:space="preserve">, to which responses were </w:t>
      </w:r>
      <w:r w:rsidR="00E12432">
        <w:t xml:space="preserve">recorded </w:t>
      </w:r>
      <w:r w:rsidR="00BA269A">
        <w:t xml:space="preserve">on scales of between four and eleven points. </w:t>
      </w:r>
      <w:r w:rsidR="00FB0B28" w:rsidRPr="00C26EA0">
        <w:t>Some</w:t>
      </w:r>
      <w:r w:rsidR="00BA269A">
        <w:t xml:space="preserve"> </w:t>
      </w:r>
      <w:r w:rsidR="00E12432">
        <w:t xml:space="preserve">pollsters </w:t>
      </w:r>
      <w:r w:rsidR="00BA269A">
        <w:t xml:space="preserve">used the </w:t>
      </w:r>
      <w:r w:rsidR="00FB0B28" w:rsidRPr="00C26EA0">
        <w:t>question as a</w:t>
      </w:r>
      <w:r w:rsidR="00715FB8">
        <w:t xml:space="preserve"> binary</w:t>
      </w:r>
      <w:r w:rsidR="00FB0B28" w:rsidRPr="00C26EA0">
        <w:t xml:space="preserve"> filter</w:t>
      </w:r>
      <w:r w:rsidR="00BA269A">
        <w:t xml:space="preserve"> (so that those below </w:t>
      </w:r>
      <w:r w:rsidR="00FB0B28" w:rsidRPr="00C26EA0">
        <w:t xml:space="preserve">a </w:t>
      </w:r>
      <w:r w:rsidR="00715FB8">
        <w:t>threshold</w:t>
      </w:r>
      <w:r w:rsidR="00FB0B28" w:rsidRPr="00C26EA0">
        <w:t xml:space="preserve"> on the LTV question </w:t>
      </w:r>
      <w:r w:rsidR="00BA269A">
        <w:t xml:space="preserve">received a turnout weight of zero and </w:t>
      </w:r>
      <w:r w:rsidR="00715FB8">
        <w:t>those above</w:t>
      </w:r>
      <w:r w:rsidR="00BA269A">
        <w:t xml:space="preserve"> a weight of one) and others in a smoother manner (e.g. by dividing a 0-10 LTV response by 10). Some turnout weights </w:t>
      </w:r>
      <w:r w:rsidR="002C6D2B">
        <w:t xml:space="preserve">were based only on </w:t>
      </w:r>
      <w:r w:rsidR="00373CC3">
        <w:t>an</w:t>
      </w:r>
      <w:r w:rsidR="002C6D2B">
        <w:t xml:space="preserve"> LTV </w:t>
      </w:r>
      <w:r w:rsidR="00373CC3">
        <w:t xml:space="preserve">question, </w:t>
      </w:r>
      <w:r w:rsidR="00E12432">
        <w:t xml:space="preserve">while </w:t>
      </w:r>
      <w:r w:rsidR="00373CC3">
        <w:t xml:space="preserve">others </w:t>
      </w:r>
      <w:r w:rsidR="00E12432">
        <w:t xml:space="preserve">used </w:t>
      </w:r>
      <w:r w:rsidR="00373CC3">
        <w:t xml:space="preserve">additional information such as age or past voting. </w:t>
      </w:r>
      <w:r w:rsidR="0083602F">
        <w:t>T</w:t>
      </w:r>
      <w:r w:rsidR="0083602F" w:rsidRPr="00C26EA0">
        <w:t xml:space="preserve">he </w:t>
      </w:r>
      <w:r w:rsidR="004D6324">
        <w:t xml:space="preserve">models used to generate the </w:t>
      </w:r>
      <w:r w:rsidR="0083602F" w:rsidRPr="00C26EA0">
        <w:t>turnout</w:t>
      </w:r>
      <w:r w:rsidR="00A72E98">
        <w:t xml:space="preserve"> weights were educated guesses, </w:t>
      </w:r>
      <w:r w:rsidR="0083602F">
        <w:t xml:space="preserve">with the exception of TNS UK who </w:t>
      </w:r>
      <w:r w:rsidR="004D6324">
        <w:t xml:space="preserve">used </w:t>
      </w:r>
      <w:r w:rsidR="0083602F">
        <w:t>a model fitted to data from the 2010 British Election Study</w:t>
      </w:r>
      <w:r w:rsidR="00715FB8">
        <w:t xml:space="preserve"> </w:t>
      </w:r>
      <w:r w:rsidR="00E12432">
        <w:t>(</w:t>
      </w:r>
      <w:r w:rsidR="00715FB8">
        <w:t xml:space="preserve">which includes </w:t>
      </w:r>
      <w:r w:rsidR="00A72E98">
        <w:t xml:space="preserve">both an LTV question and </w:t>
      </w:r>
      <w:r w:rsidR="00715FB8">
        <w:t>a measure of validated vote</w:t>
      </w:r>
      <w:r w:rsidR="00E12432">
        <w:t>)</w:t>
      </w:r>
      <w:r w:rsidR="00373CC3">
        <w:t xml:space="preserve">. </w:t>
      </w:r>
    </w:p>
    <w:p w14:paraId="43DF0C74" w14:textId="64BDEDAE" w:rsidR="00C26EA0" w:rsidRPr="00C26EA0" w:rsidRDefault="00715FB8" w:rsidP="00F63538">
      <w:pPr>
        <w:spacing w:line="480" w:lineRule="auto"/>
        <w:jc w:val="both"/>
      </w:pPr>
      <w:r>
        <w:t>Recall that a</w:t>
      </w:r>
      <w:r w:rsidR="006A3524">
        <w:t>ssumption A2 requires that probabilities of voting in the election are allocated to the respondents based on an accurate model for turnout, conditional on self-assessed likelihood of voting (</w:t>
      </w:r>
      <w:r w:rsidR="006A3524" w:rsidRPr="00381FE6">
        <w:rPr>
          <w:i/>
        </w:rPr>
        <w:t>L</w:t>
      </w:r>
      <w:r w:rsidR="006A3524">
        <w:t>), voting intention (</w:t>
      </w:r>
      <w:r w:rsidR="006A3524" w:rsidRPr="00381FE6">
        <w:rPr>
          <w:i/>
        </w:rPr>
        <w:t>V</w:t>
      </w:r>
      <w:r w:rsidR="006A3524">
        <w:t xml:space="preserve">) and </w:t>
      </w:r>
      <w:r w:rsidR="00522A22">
        <w:t>auxiliary</w:t>
      </w:r>
      <w:r>
        <w:t xml:space="preserve"> </w:t>
      </w:r>
      <w:r w:rsidR="006A3524">
        <w:t>variables (</w:t>
      </w:r>
      <w:r w:rsidR="006A3524" w:rsidRPr="00381FE6">
        <w:rPr>
          <w:i/>
        </w:rPr>
        <w:t>X</w:t>
      </w:r>
      <w:r w:rsidR="006A3524">
        <w:t xml:space="preserve">). </w:t>
      </w:r>
      <w:r w:rsidR="006A3524" w:rsidRPr="00C26EA0">
        <w:t>Specifically, the weights should accurately describe the</w:t>
      </w:r>
      <w:r w:rsidR="00F63538">
        <w:t>se</w:t>
      </w:r>
      <w:r w:rsidR="006A3524" w:rsidRPr="00C26EA0">
        <w:t xml:space="preserve"> probabilities in the population of voters.</w:t>
      </w:r>
      <w:r w:rsidR="00F63538">
        <w:t xml:space="preserve"> </w:t>
      </w:r>
      <w:r w:rsidR="006A3524" w:rsidRPr="00C26EA0">
        <w:t xml:space="preserve">This presents a problem for assessing the adequacy of the turnout model, because this </w:t>
      </w:r>
      <w:r w:rsidR="00E12432">
        <w:t>should</w:t>
      </w:r>
      <w:r w:rsidR="00E12432" w:rsidRPr="00C26EA0">
        <w:t xml:space="preserve"> </w:t>
      </w:r>
      <w:r w:rsidR="006A3524" w:rsidRPr="00C26EA0">
        <w:t>ideally be done using a</w:t>
      </w:r>
      <w:r w:rsidR="008F69B6">
        <w:t xml:space="preserve"> high quality</w:t>
      </w:r>
      <w:r w:rsidR="00E12432">
        <w:t xml:space="preserve"> pre-election</w:t>
      </w:r>
      <w:r w:rsidR="006A3524" w:rsidRPr="00C26EA0">
        <w:t xml:space="preserve"> probability sample in which LTV, intended vote, and turnout after the election are observed.  </w:t>
      </w:r>
      <w:r w:rsidR="004243DF">
        <w:t>Unfortunately, n</w:t>
      </w:r>
      <w:r w:rsidR="006A3524" w:rsidRPr="00C26EA0">
        <w:t xml:space="preserve">o such study was undertaken in 2015.  </w:t>
      </w:r>
      <w:r w:rsidR="00C26EA0" w:rsidRPr="00C26EA0">
        <w:t xml:space="preserve">What can be examined, </w:t>
      </w:r>
      <w:r w:rsidR="008F69B6">
        <w:t>though</w:t>
      </w:r>
      <w:r w:rsidR="00C26EA0" w:rsidRPr="00C26EA0">
        <w:t xml:space="preserve">, is how well </w:t>
      </w:r>
      <w:r w:rsidR="00F63538">
        <w:t xml:space="preserve"> </w:t>
      </w:r>
      <m:oMath>
        <m:sSub>
          <m:sSubPr>
            <m:ctrlPr>
              <w:rPr>
                <w:rFonts w:ascii="Cambria Math" w:hAnsi="Cambria Math"/>
                <w:i/>
              </w:rPr>
            </m:ctrlPr>
          </m:sSubPr>
          <m:e>
            <m:r>
              <w:rPr>
                <w:rFonts w:ascii="Cambria Math" w:hAnsi="Cambria Math"/>
              </w:rPr>
              <m:t>p</m:t>
            </m:r>
          </m:e>
          <m:sub>
            <m:r>
              <w:rPr>
                <w:rFonts w:ascii="Cambria Math" w:hAnsi="Cambria Math"/>
              </w:rPr>
              <m:t>Ti</m:t>
            </m:r>
          </m:sub>
        </m:sSub>
      </m:oMath>
      <w:r w:rsidR="00F63538">
        <w:t xml:space="preserve"> approximated </w:t>
      </w:r>
      <m:oMath>
        <m:r>
          <w:rPr>
            <w:rFonts w:ascii="Cambria Math" w:hAnsi="Cambria Math"/>
          </w:rPr>
          <m:t>p(T=1|V, L,X,S=1)</m:t>
        </m:r>
      </m:oMath>
      <w:r w:rsidR="00F63538">
        <w:t xml:space="preserve">, i.e. </w:t>
      </w:r>
      <w:r w:rsidR="00C26EA0" w:rsidRPr="00C26EA0">
        <w:t>the turnout probabilities in the poll samples. This is not conclusive evidence</w:t>
      </w:r>
      <w:r w:rsidR="004243DF">
        <w:t xml:space="preserve"> to make this assessment</w:t>
      </w:r>
      <w:r w:rsidR="00C26EA0" w:rsidRPr="00C26EA0">
        <w:t>, because it requires the additional assumption that the model for these probabilities should be approximately the same for the poll respondents and the</w:t>
      </w:r>
      <w:r w:rsidR="008F69B6">
        <w:t xml:space="preserve"> target</w:t>
      </w:r>
      <w:r w:rsidR="00C26EA0" w:rsidRPr="00C26EA0">
        <w:t xml:space="preserve"> population</w:t>
      </w:r>
      <w:r w:rsidR="00906F4E">
        <w:t>. Th</w:t>
      </w:r>
      <w:r w:rsidR="00C26EA0" w:rsidRPr="00C26EA0">
        <w:t xml:space="preserve">e validity of this assumption cannot be directly assessed.  </w:t>
      </w:r>
    </w:p>
    <w:p w14:paraId="46005BF0" w14:textId="77777777" w:rsidR="00906F4E" w:rsidRDefault="00906F4E" w:rsidP="00906F4E">
      <w:pPr>
        <w:spacing w:line="480" w:lineRule="auto"/>
        <w:jc w:val="center"/>
      </w:pPr>
      <w:r>
        <w:t>----- [Figure</w:t>
      </w:r>
      <w:r w:rsidRPr="00AF7266">
        <w:t xml:space="preserve"> </w:t>
      </w:r>
      <w:r>
        <w:t>1</w:t>
      </w:r>
      <w:r w:rsidRPr="00AF7266">
        <w:t xml:space="preserve"> here] -----</w:t>
      </w:r>
    </w:p>
    <w:p w14:paraId="6CFDFCEB" w14:textId="629E3D14" w:rsidR="00906F4E" w:rsidRDefault="00C26EA0" w:rsidP="00906F4E">
      <w:pPr>
        <w:spacing w:line="480" w:lineRule="auto"/>
        <w:jc w:val="both"/>
      </w:pPr>
      <w:r w:rsidRPr="00C26EA0">
        <w:t xml:space="preserve">Figure </w:t>
      </w:r>
      <w:r w:rsidR="00906F4E">
        <w:t>1</w:t>
      </w:r>
      <w:r w:rsidRPr="00C26EA0">
        <w:t xml:space="preserve"> provides information about the accuracy of the turnout weights as estimates of turnout probab</w:t>
      </w:r>
      <w:r w:rsidR="002533C9">
        <w:t xml:space="preserve">ilities for respondents in the five re-contact surveys. </w:t>
      </w:r>
      <w:r w:rsidRPr="00C26EA0">
        <w:t xml:space="preserve">The solid lines show </w:t>
      </w:r>
      <w:r w:rsidR="002533C9">
        <w:t xml:space="preserve">the probability of </w:t>
      </w:r>
      <w:r w:rsidRPr="00C26EA0">
        <w:t>turnout as a smoothed f</w:t>
      </w:r>
      <w:r w:rsidR="00906F4E">
        <w:t xml:space="preserve">unction of the turnout weights, </w:t>
      </w:r>
      <w:r w:rsidR="008F69B6">
        <w:t xml:space="preserve">so </w:t>
      </w:r>
      <w:r w:rsidR="00906F4E">
        <w:t xml:space="preserve">the accuracy of the weights as </w:t>
      </w:r>
      <w:r w:rsidR="00906F4E">
        <w:lastRenderedPageBreak/>
        <w:t xml:space="preserve">probabilities of voting can be judged by the proximity of the solid lines to the dashed lines (on which the reported turnout rate is equal to the actual turnout weight). For all but one of the pollsters it is clear that </w:t>
      </w:r>
      <w:r w:rsidR="008F69B6">
        <w:t xml:space="preserve">actual </w:t>
      </w:r>
      <w:r w:rsidR="00906F4E">
        <w:t xml:space="preserve">turnout was higher, sometimes substantially higher, than the turnout weights implied, except where the weight was close to 1 (the partial exception to this pattern was TNS UK, for whom turnout weights of less than 0.5 overestimated subsequent turnout). Some, though not all, of this inaccuracy in the turnout weights may be accounted for by over-reporting of turnout in the re-contact surveys.  </w:t>
      </w:r>
    </w:p>
    <w:p w14:paraId="57A29118" w14:textId="1CB26457" w:rsidR="00906F4E" w:rsidRDefault="008C688B" w:rsidP="00906F4E">
      <w:pPr>
        <w:spacing w:line="480" w:lineRule="auto"/>
        <w:jc w:val="both"/>
      </w:pPr>
      <w:r w:rsidRPr="008C688B">
        <w:t xml:space="preserve">The bar chart at the bottom of each plot </w:t>
      </w:r>
      <w:r>
        <w:t xml:space="preserve">in Figure 1 </w:t>
      </w:r>
      <w:r w:rsidRPr="008C688B">
        <w:t xml:space="preserve">shows the relative frequency of respondents with </w:t>
      </w:r>
      <w:r w:rsidR="002533C9">
        <w:t>different values of the turnout weights</w:t>
      </w:r>
      <w:r w:rsidRPr="008C688B">
        <w:t>.</w:t>
      </w:r>
      <w:r>
        <w:t xml:space="preserve"> </w:t>
      </w:r>
      <w:r w:rsidR="002533C9">
        <w:t xml:space="preserve"> It is clear that a large majority of the respondents received a weight of one. </w:t>
      </w:r>
      <w:r w:rsidR="000A5265">
        <w:t>Almost all of s</w:t>
      </w:r>
      <w:r w:rsidR="002533C9">
        <w:t xml:space="preserve">uch respondents </w:t>
      </w:r>
      <w:r w:rsidR="000A5265">
        <w:t xml:space="preserve">also </w:t>
      </w:r>
      <w:r w:rsidR="008F69B6">
        <w:t>report</w:t>
      </w:r>
      <w:r w:rsidR="000A5265">
        <w:t>ed</w:t>
      </w:r>
      <w:r w:rsidR="008F69B6">
        <w:t xml:space="preserve"> </w:t>
      </w:r>
      <w:r w:rsidR="002533C9">
        <w:t>after the election that they had voted</w:t>
      </w:r>
      <w:r w:rsidR="00C62A7A">
        <w:t xml:space="preserve">. Thus, while </w:t>
      </w:r>
      <w:r w:rsidR="00906F4E">
        <w:t xml:space="preserve">the calibration of turnout weights </w:t>
      </w:r>
      <w:r w:rsidR="00C62A7A">
        <w:t xml:space="preserve">was poor across the </w:t>
      </w:r>
      <w:r w:rsidR="00745BB5">
        <w:t xml:space="preserve">full </w:t>
      </w:r>
      <w:r w:rsidR="00C62A7A">
        <w:t xml:space="preserve">range of probabilities, for most of the </w:t>
      </w:r>
      <w:r w:rsidR="00906F4E">
        <w:t>poll res</w:t>
      </w:r>
      <w:r w:rsidR="00C62A7A">
        <w:t>pondents the weights were quite accurate</w:t>
      </w:r>
      <w:r w:rsidR="00503112">
        <w:t xml:space="preserve"> because the vast majority reported that they would vote and they were allocated a turnout probability of 1</w:t>
      </w:r>
      <w:r w:rsidR="00C62A7A">
        <w:t xml:space="preserve">. </w:t>
      </w:r>
    </w:p>
    <w:p w14:paraId="52E061ED" w14:textId="1887E59D" w:rsidR="00C26EA0" w:rsidRDefault="00C26EA0" w:rsidP="00983CD9">
      <w:pPr>
        <w:spacing w:line="480" w:lineRule="auto"/>
        <w:jc w:val="both"/>
      </w:pPr>
      <w:r w:rsidRPr="00C26EA0">
        <w:t>The accuracy of the turnout weights</w:t>
      </w:r>
      <w:r w:rsidR="008F69B6">
        <w:t xml:space="preserve"> are of little substantive interest in themselves but</w:t>
      </w:r>
      <w:r w:rsidRPr="00C26EA0">
        <w:t xml:space="preserve"> matter </w:t>
      </w:r>
      <w:r w:rsidR="008F69B6">
        <w:t>insofar as they</w:t>
      </w:r>
      <w:r w:rsidRPr="00C26EA0">
        <w:t xml:space="preserve"> affect estimated vote shares. Whether this was the case for the 2015 polls may be assessed by calculating vote intention estimates under different specifications for the </w:t>
      </w:r>
      <w:r w:rsidR="001A2B99">
        <w:t xml:space="preserve">turnout </w:t>
      </w:r>
      <w:r w:rsidRPr="00C26EA0">
        <w:t xml:space="preserve">weights.  </w:t>
      </w:r>
      <w:r w:rsidR="00745BB5">
        <w:t xml:space="preserve">First, we can use the </w:t>
      </w:r>
      <w:r w:rsidRPr="00C26EA0">
        <w:t>re-contact polls</w:t>
      </w:r>
      <w:r w:rsidR="00745BB5">
        <w:t xml:space="preserve"> to </w:t>
      </w:r>
      <w:r w:rsidRPr="00C26EA0">
        <w:t>examine if the estimated shares would have been different if turnout weights had not been needed at all, that is</w:t>
      </w:r>
      <w:r w:rsidR="008F06B6">
        <w:t>,</w:t>
      </w:r>
      <w:r w:rsidRPr="00C26EA0">
        <w:t xml:space="preserve"> if the pollsters had known who would and would not turn out to vote.  This is done by calculating estimates using pre-election vote intention only for those respondents who are known (by self-report</w:t>
      </w:r>
      <w:r w:rsidR="00337548">
        <w:t xml:space="preserve"> in the re</w:t>
      </w:r>
      <w:r w:rsidR="008F06B6">
        <w:t>-</w:t>
      </w:r>
      <w:r w:rsidR="00337548">
        <w:t>contact surveys</w:t>
      </w:r>
      <w:r w:rsidRPr="00C26EA0">
        <w:t>) to have voted in the election</w:t>
      </w:r>
      <w:r w:rsidR="00337548">
        <w:t>;</w:t>
      </w:r>
      <w:r w:rsidR="00F8629F">
        <w:t xml:space="preserve"> </w:t>
      </w:r>
      <w:r w:rsidRPr="00C26EA0">
        <w:t xml:space="preserve">these respondents can be assigned a turnout probability of 1. </w:t>
      </w:r>
      <w:r w:rsidR="00337548">
        <w:t>E</w:t>
      </w:r>
      <w:r w:rsidR="00F8629F">
        <w:t xml:space="preserve">stimates </w:t>
      </w:r>
      <w:r w:rsidR="00F8629F" w:rsidRPr="00C26EA0">
        <w:t>for the difference in the Conservative-Labour vote share</w:t>
      </w:r>
      <w:r w:rsidR="00F8629F">
        <w:t xml:space="preserve"> </w:t>
      </w:r>
      <w:r w:rsidR="00337548">
        <w:t>using this approach</w:t>
      </w:r>
      <w:r w:rsidR="00F8629F">
        <w:t xml:space="preserve"> are shown </w:t>
      </w:r>
      <w:r w:rsidR="00337548">
        <w:t>i</w:t>
      </w:r>
      <w:r w:rsidR="00F8629F">
        <w:t xml:space="preserve">n the first row of Table </w:t>
      </w:r>
      <w:r w:rsidR="0033482E">
        <w:t>3</w:t>
      </w:r>
      <w:r w:rsidR="00F8629F">
        <w:t xml:space="preserve">. </w:t>
      </w:r>
      <w:r w:rsidRPr="00C26EA0">
        <w:t xml:space="preserve"> </w:t>
      </w:r>
      <w:r w:rsidR="00983CD9">
        <w:t xml:space="preserve">They are </w:t>
      </w:r>
      <w:r w:rsidRPr="00C26EA0">
        <w:t>between -2.1 and +0.5 percentage points, compared to -2.7 to +0.7 points for the final polls (</w:t>
      </w:r>
      <w:r w:rsidR="00C62A7A">
        <w:t xml:space="preserve">the latter </w:t>
      </w:r>
      <w:r w:rsidRPr="00C26EA0">
        <w:t xml:space="preserve">for all nine BPC members). There is, thus, no evidence that the poll </w:t>
      </w:r>
      <w:r w:rsidRPr="00C26EA0">
        <w:lastRenderedPageBreak/>
        <w:t>estimates would have been more accurate, even had the pollsters known</w:t>
      </w:r>
      <w:r w:rsidR="00DF03DF">
        <w:t xml:space="preserve"> before the election</w:t>
      </w:r>
      <w:r w:rsidRPr="00C26EA0">
        <w:t xml:space="preserve"> which respondents would and would not turn out to vote.  </w:t>
      </w:r>
    </w:p>
    <w:p w14:paraId="5EB80DF5" w14:textId="14B2E751" w:rsidR="00C62A7A" w:rsidRDefault="00C62A7A" w:rsidP="00C62A7A">
      <w:pPr>
        <w:spacing w:line="480" w:lineRule="auto"/>
        <w:jc w:val="center"/>
      </w:pPr>
      <w:r>
        <w:t>----- [Figure</w:t>
      </w:r>
      <w:r w:rsidRPr="00AF7266">
        <w:t xml:space="preserve"> </w:t>
      </w:r>
      <w:r w:rsidR="00C533D1">
        <w:t>2</w:t>
      </w:r>
      <w:r w:rsidRPr="00AF7266">
        <w:t xml:space="preserve"> here] -----</w:t>
      </w:r>
    </w:p>
    <w:p w14:paraId="719CCADC" w14:textId="184D6284" w:rsidR="00C26EA0" w:rsidRPr="00C26EA0" w:rsidRDefault="00C26EA0" w:rsidP="00C62A7A">
      <w:pPr>
        <w:spacing w:line="480" w:lineRule="auto"/>
        <w:jc w:val="both"/>
      </w:pPr>
      <w:r w:rsidRPr="00C26EA0">
        <w:t xml:space="preserve">We </w:t>
      </w:r>
      <w:r w:rsidR="00983CD9">
        <w:t xml:space="preserve">can </w:t>
      </w:r>
      <w:r w:rsidRPr="00C26EA0">
        <w:t xml:space="preserve">also examine the sensitivity of vote intention estimates by calculating the party shares with different specifications for the turnout weights, keeping all other elements of the weighting unchanged.  An example is presented in Figure </w:t>
      </w:r>
      <w:r w:rsidR="00C62A7A">
        <w:t>2</w:t>
      </w:r>
      <w:r w:rsidR="008F06B6">
        <w:t>,</w:t>
      </w:r>
      <w:r w:rsidR="00337548">
        <w:t xml:space="preserve"> which</w:t>
      </w:r>
      <w:r w:rsidR="00C62A7A">
        <w:t xml:space="preserve"> </w:t>
      </w:r>
      <w:r w:rsidRPr="00C26EA0">
        <w:t xml:space="preserve">shows estimates of the Conservative lead for the final polls, with four different turnout weights (from left to right): (1) using only those respondents who said they were certain to vote, i.e. who gave the highest response to the LTV question; (2) the turnout weights that were used for the published estimates; (3) transformed weights </w:t>
      </w:r>
      <w:r w:rsidR="00DF03DF">
        <w:t>(</w:t>
      </w:r>
      <w:proofErr w:type="spellStart"/>
      <w:r w:rsidR="00DF03DF" w:rsidRPr="00D96E4D">
        <w:rPr>
          <w:i/>
        </w:rPr>
        <w:t>p+p</w:t>
      </w:r>
      <w:proofErr w:type="spellEnd"/>
      <w:r w:rsidR="00DF03DF" w:rsidRPr="00D96E4D">
        <w:rPr>
          <w:i/>
        </w:rPr>
        <w:t>*(1-p)</w:t>
      </w:r>
      <w:r w:rsidR="00DF03DF">
        <w:t xml:space="preserve"> where </w:t>
      </w:r>
      <w:r w:rsidR="00DF03DF" w:rsidRPr="00D96E4D">
        <w:rPr>
          <w:i/>
        </w:rPr>
        <w:t>p</w:t>
      </w:r>
      <w:r w:rsidR="00DF03DF">
        <w:t xml:space="preserve"> is the original turnout weight) </w:t>
      </w:r>
      <w:r w:rsidRPr="00C26EA0">
        <w:t xml:space="preserve">which </w:t>
      </w:r>
      <w:r w:rsidR="00C62A7A">
        <w:t xml:space="preserve">would have been closer to the true </w:t>
      </w:r>
      <w:r w:rsidRPr="00C26EA0">
        <w:t xml:space="preserve">turnout probabilities </w:t>
      </w:r>
      <w:r w:rsidR="00C62A7A">
        <w:t>in Figure 1</w:t>
      </w:r>
      <w:r w:rsidR="00C533D1">
        <w:t xml:space="preserve">; </w:t>
      </w:r>
      <w:r w:rsidRPr="00C26EA0">
        <w:t xml:space="preserve">and (4) giving every respondent a turnout probability of 1. </w:t>
      </w:r>
      <w:r w:rsidR="00337548">
        <w:t>T</w:t>
      </w:r>
      <w:r w:rsidRPr="00C26EA0">
        <w:t xml:space="preserve">hese </w:t>
      </w:r>
      <w:r w:rsidR="00D96E4D">
        <w:t>rather different</w:t>
      </w:r>
      <w:r w:rsidRPr="00C26EA0">
        <w:t xml:space="preserve"> </w:t>
      </w:r>
      <w:r w:rsidR="002F5632">
        <w:t>specifications</w:t>
      </w:r>
      <w:r w:rsidR="002F5632" w:rsidRPr="00C26EA0">
        <w:t xml:space="preserve"> </w:t>
      </w:r>
      <w:r w:rsidRPr="00C26EA0">
        <w:t>do not change the estimates in a</w:t>
      </w:r>
      <w:r w:rsidR="002F5632">
        <w:t>ny</w:t>
      </w:r>
      <w:r w:rsidRPr="00C26EA0">
        <w:t xml:space="preserve"> substantial way. We have also used a range of turnout </w:t>
      </w:r>
      <w:r w:rsidR="00337548">
        <w:t>weights</w:t>
      </w:r>
      <w:r w:rsidR="00337548" w:rsidRPr="00C26EA0">
        <w:t xml:space="preserve"> </w:t>
      </w:r>
      <w:r w:rsidR="00337548">
        <w:t>from</w:t>
      </w:r>
      <w:r w:rsidR="00337548" w:rsidRPr="00C26EA0">
        <w:t xml:space="preserve"> </w:t>
      </w:r>
      <w:r w:rsidRPr="00C26EA0">
        <w:t>a mode</w:t>
      </w:r>
      <w:r w:rsidR="00C533D1">
        <w:t>l</w:t>
      </w:r>
      <w:r w:rsidRPr="00C26EA0">
        <w:t xml:space="preserve">-based </w:t>
      </w:r>
      <w:r w:rsidR="00337548">
        <w:t>approach applied to the 2010 and 2015 British Election Studies</w:t>
      </w:r>
      <w:r w:rsidR="00337548" w:rsidRPr="00C26EA0">
        <w:t xml:space="preserve"> </w:t>
      </w:r>
      <w:r w:rsidRPr="00C26EA0">
        <w:t xml:space="preserve">(of the kind used by TNS UK).  </w:t>
      </w:r>
      <w:r w:rsidR="004E4474">
        <w:t>T</w:t>
      </w:r>
      <w:r w:rsidRPr="00C26EA0">
        <w:t>hese</w:t>
      </w:r>
      <w:r w:rsidR="004E4474">
        <w:t xml:space="preserve"> alternative probabilities also</w:t>
      </w:r>
      <w:r w:rsidRPr="00C26EA0">
        <w:t xml:space="preserve"> have </w:t>
      </w:r>
      <w:r w:rsidR="004E4474">
        <w:t>no</w:t>
      </w:r>
      <w:r w:rsidRPr="00C26EA0">
        <w:t xml:space="preserve"> notable effect on the vote share estimates.      </w:t>
      </w:r>
    </w:p>
    <w:p w14:paraId="528CF08B" w14:textId="775FC5F7" w:rsidR="00C26EA0" w:rsidRPr="00C26EA0" w:rsidRDefault="002E39EC" w:rsidP="002E39EC">
      <w:pPr>
        <w:spacing w:line="480" w:lineRule="auto"/>
        <w:jc w:val="both"/>
      </w:pPr>
      <w:r>
        <w:t xml:space="preserve">It is worth noting </w:t>
      </w:r>
      <w:r w:rsidR="002F5632">
        <w:t>that</w:t>
      </w:r>
      <w:r w:rsidR="00C26EA0" w:rsidRPr="00C26EA0">
        <w:t xml:space="preserve"> none of the </w:t>
      </w:r>
      <w:r w:rsidR="002F5632">
        <w:t>pollsters</w:t>
      </w:r>
      <w:r w:rsidR="002F5632" w:rsidRPr="00C26EA0">
        <w:t xml:space="preserve"> </w:t>
      </w:r>
      <w:r w:rsidR="00C26EA0" w:rsidRPr="00C26EA0">
        <w:t>included vote intention in their models for turnout probability</w:t>
      </w:r>
      <w:r w:rsidR="002F5632">
        <w:t>,</w:t>
      </w:r>
      <w:r>
        <w:t xml:space="preserve"> so they</w:t>
      </w:r>
      <w:r w:rsidR="00C26EA0" w:rsidRPr="00C26EA0">
        <w:t xml:space="preserve"> implicitly assume</w:t>
      </w:r>
      <w:r w:rsidR="002F5632">
        <w:t>d</w:t>
      </w:r>
      <w:r w:rsidR="00C26EA0" w:rsidRPr="00C26EA0">
        <w:t xml:space="preserve"> that the probability does not depend on the party the respondent intends to vote for, once LTV and other variables are controlled.  If this assumption fails, supporters of one party would be more likely than another to vote, given their reported pre-election LTV. </w:t>
      </w:r>
      <w:r w:rsidR="002F5632">
        <w:t>We refer to t</w:t>
      </w:r>
      <w:r w:rsidR="00C26EA0" w:rsidRPr="00C26EA0">
        <w:t>his possibility</w:t>
      </w:r>
      <w:r w:rsidR="002F5632">
        <w:t>, which</w:t>
      </w:r>
      <w:r w:rsidR="00C26EA0" w:rsidRPr="00C26EA0">
        <w:t xml:space="preserve"> </w:t>
      </w:r>
      <w:r w:rsidR="002F5632">
        <w:t>has the potential to cause biases in</w:t>
      </w:r>
      <w:r w:rsidR="002F5632" w:rsidRPr="00C26EA0">
        <w:t xml:space="preserve"> poll</w:t>
      </w:r>
      <w:r w:rsidR="002F5632">
        <w:t xml:space="preserve"> estimates of vote shares,</w:t>
      </w:r>
      <w:r w:rsidR="002F5632" w:rsidRPr="00C26EA0" w:rsidDel="002F5632">
        <w:t xml:space="preserve"> </w:t>
      </w:r>
      <w:r w:rsidR="00C26EA0" w:rsidRPr="00C26EA0">
        <w:t xml:space="preserve">as ‘differential turnout misreporting’. </w:t>
      </w:r>
      <w:r>
        <w:t>We can assess w</w:t>
      </w:r>
      <w:r w:rsidR="00A6114F">
        <w:t xml:space="preserve">hether this </w:t>
      </w:r>
      <w:r w:rsidR="002F5632">
        <w:t>occurred</w:t>
      </w:r>
      <w:r w:rsidR="00A6114F">
        <w:t xml:space="preserve"> in 2015 by including vote intention</w:t>
      </w:r>
      <w:r w:rsidR="00C26EA0" w:rsidRPr="00C26EA0">
        <w:t xml:space="preserve"> as a predictor </w:t>
      </w:r>
      <w:r w:rsidR="00A6114F">
        <w:t>in</w:t>
      </w:r>
      <w:r w:rsidR="00A6114F" w:rsidRPr="00C26EA0">
        <w:t xml:space="preserve"> </w:t>
      </w:r>
      <w:r w:rsidR="00C26EA0" w:rsidRPr="00C26EA0">
        <w:t xml:space="preserve">a model </w:t>
      </w:r>
      <w:r w:rsidR="00A6114F">
        <w:t>predicting</w:t>
      </w:r>
      <w:r w:rsidR="00A6114F" w:rsidRPr="00C26EA0">
        <w:t xml:space="preserve"> </w:t>
      </w:r>
      <w:r w:rsidR="00C26EA0" w:rsidRPr="00C26EA0">
        <w:t>turnout probability</w:t>
      </w:r>
      <w:r w:rsidR="002F5632">
        <w:t>. Using this specification</w:t>
      </w:r>
      <w:r w:rsidR="00C57DA0">
        <w:t xml:space="preserve"> the party variable</w:t>
      </w:r>
      <w:r w:rsidR="00C26EA0" w:rsidRPr="00C26EA0">
        <w:t xml:space="preserve"> is statistically significant for only one pollster, and here the effect </w:t>
      </w:r>
      <w:r w:rsidR="00C57DA0">
        <w:t>is</w:t>
      </w:r>
      <w:r w:rsidR="00C57DA0" w:rsidRPr="00C26EA0">
        <w:t xml:space="preserve"> </w:t>
      </w:r>
      <w:r w:rsidR="00C26EA0" w:rsidRPr="00C26EA0">
        <w:t xml:space="preserve">in the opposite direction to what would be required to explain the polling miss; those who said they </w:t>
      </w:r>
      <w:r w:rsidR="00C26EA0" w:rsidRPr="00C26EA0">
        <w:lastRenderedPageBreak/>
        <w:t xml:space="preserve">intended to vote Labour were </w:t>
      </w:r>
      <w:r w:rsidR="00C26EA0" w:rsidRPr="00C26EA0">
        <w:rPr>
          <w:i/>
        </w:rPr>
        <w:t>more</w:t>
      </w:r>
      <w:r w:rsidR="00C26EA0" w:rsidRPr="00C26EA0">
        <w:t xml:space="preserve"> likely to vote, given their answer to the LTV question. </w:t>
      </w:r>
      <w:r>
        <w:t>T</w:t>
      </w:r>
      <w:r w:rsidRPr="00C26EA0">
        <w:t>he re-contact surveys</w:t>
      </w:r>
      <w:r>
        <w:t xml:space="preserve"> therefore show</w:t>
      </w:r>
      <w:r w:rsidRPr="00C26EA0">
        <w:t xml:space="preserve"> no evidence of differential </w:t>
      </w:r>
      <w:r w:rsidR="00A6114F">
        <w:t xml:space="preserve">turnout </w:t>
      </w:r>
      <w:r w:rsidRPr="00C26EA0">
        <w:t xml:space="preserve">misreporting. </w:t>
      </w:r>
    </w:p>
    <w:p w14:paraId="05ADA29A" w14:textId="62BFE9AE" w:rsidR="00BA19BD" w:rsidRPr="00C26EA0" w:rsidRDefault="00C26EA0" w:rsidP="00E77412">
      <w:pPr>
        <w:spacing w:line="480" w:lineRule="auto"/>
        <w:jc w:val="both"/>
      </w:pPr>
      <w:r w:rsidRPr="00C26EA0">
        <w:t xml:space="preserve">In summary, there were notable inaccuracies in the turnout weights as </w:t>
      </w:r>
      <w:r w:rsidR="00745BB5">
        <w:t xml:space="preserve">estimates of </w:t>
      </w:r>
      <w:r w:rsidRPr="00C26EA0">
        <w:t>actual turnout probabilities</w:t>
      </w:r>
      <w:r w:rsidR="001D2FD7">
        <w:t xml:space="preserve"> </w:t>
      </w:r>
      <w:r w:rsidR="00DB787C">
        <w:t xml:space="preserve">for the respondents to </w:t>
      </w:r>
      <w:r w:rsidR="001D2FD7">
        <w:t>the 2015 election polls</w:t>
      </w:r>
      <w:r w:rsidRPr="00C26EA0">
        <w:t xml:space="preserve">.  However, this made little difference to the final </w:t>
      </w:r>
      <w:r w:rsidR="001D2FD7">
        <w:t>vote shares</w:t>
      </w:r>
      <w:r w:rsidRPr="00C26EA0">
        <w:t xml:space="preserve">; estimates of the Conservative lead would not have been more accurate, even if the turnout weights had been </w:t>
      </w:r>
      <w:r w:rsidR="00C57DA0">
        <w:t>based on self-reported vote after the election</w:t>
      </w:r>
      <w:r w:rsidR="009C5C20">
        <w:t>, or if they had been assigned in</w:t>
      </w:r>
      <w:r w:rsidR="00C57DA0">
        <w:t xml:space="preserve"> a</w:t>
      </w:r>
      <w:r w:rsidR="009C5C20">
        <w:t xml:space="preserve"> very different</w:t>
      </w:r>
      <w:r w:rsidR="00C57DA0">
        <w:t xml:space="preserve"> set of</w:t>
      </w:r>
      <w:r w:rsidR="009C5C20">
        <w:t xml:space="preserve"> ways. </w:t>
      </w:r>
      <w:r w:rsidR="001D2FD7">
        <w:t>Neither is t</w:t>
      </w:r>
      <w:r w:rsidRPr="00C26EA0">
        <w:t>here evidence that respondents who reported intending to vote Labour may have overestimated their future likelihood of turnout more than Conservative intenders.</w:t>
      </w:r>
      <w:r w:rsidR="001D2FD7">
        <w:t xml:space="preserve"> We conclude, </w:t>
      </w:r>
      <w:r w:rsidR="00FB6CDB">
        <w:t>on this basis</w:t>
      </w:r>
      <w:r w:rsidR="001D2FD7">
        <w:t>, that violations of assumption A2 on turnout weighting were not responsible for the 2015 polling miss.</w:t>
      </w:r>
    </w:p>
    <w:p w14:paraId="63C8DD80" w14:textId="78F8CADF" w:rsidR="004A3F1B" w:rsidRPr="00424814" w:rsidRDefault="00424814" w:rsidP="004A3F1B">
      <w:pPr>
        <w:rPr>
          <w:b/>
          <w:iCs/>
        </w:rPr>
      </w:pPr>
      <w:bookmarkStart w:id="8" w:name="_Toc320346462"/>
      <w:bookmarkStart w:id="9" w:name="_Toc320349709"/>
      <w:r w:rsidRPr="00C37C80">
        <w:rPr>
          <w:b/>
          <w:iCs/>
        </w:rPr>
        <w:t>4.</w:t>
      </w:r>
      <w:r w:rsidR="00364510" w:rsidRPr="00C37C80">
        <w:rPr>
          <w:b/>
          <w:iCs/>
        </w:rPr>
        <w:t>3</w:t>
      </w:r>
      <w:r w:rsidR="00FB6CDB" w:rsidRPr="00C37C80">
        <w:rPr>
          <w:b/>
          <w:iCs/>
        </w:rPr>
        <w:t xml:space="preserve"> R</w:t>
      </w:r>
      <w:r w:rsidR="004A3F1B" w:rsidRPr="00C37C80">
        <w:rPr>
          <w:b/>
          <w:iCs/>
        </w:rPr>
        <w:t>epresentative sampl</w:t>
      </w:r>
      <w:r w:rsidR="00FB6CDB" w:rsidRPr="00C37C80">
        <w:rPr>
          <w:b/>
          <w:iCs/>
        </w:rPr>
        <w:t>ing</w:t>
      </w:r>
      <w:bookmarkEnd w:id="8"/>
      <w:bookmarkEnd w:id="9"/>
      <w:r w:rsidR="004A3F1B" w:rsidRPr="00424814">
        <w:rPr>
          <w:b/>
          <w:iCs/>
        </w:rPr>
        <w:t xml:space="preserve"> </w:t>
      </w:r>
    </w:p>
    <w:p w14:paraId="2BE65696" w14:textId="31341B08" w:rsidR="004A3F1B" w:rsidRPr="004A3F1B" w:rsidRDefault="004A3F1B" w:rsidP="002B0C6D">
      <w:pPr>
        <w:spacing w:line="480" w:lineRule="auto"/>
        <w:jc w:val="both"/>
      </w:pPr>
      <w:r w:rsidRPr="004A3F1B">
        <w:t xml:space="preserve">We have </w:t>
      </w:r>
      <w:r w:rsidR="00E12057">
        <w:t xml:space="preserve">concluded that </w:t>
      </w:r>
      <w:r w:rsidR="00830487">
        <w:t xml:space="preserve">violations of assumptions A2 and A3 relating to </w:t>
      </w:r>
      <w:r w:rsidR="00FB6CDB">
        <w:t>late swing and turnout weighting</w:t>
      </w:r>
      <w:r w:rsidR="002B0C6D">
        <w:t xml:space="preserve"> </w:t>
      </w:r>
      <w:r w:rsidRPr="004A3F1B">
        <w:t xml:space="preserve">made </w:t>
      </w:r>
      <w:r w:rsidR="00FB6CDB">
        <w:t>little or no</w:t>
      </w:r>
      <w:r w:rsidRPr="004A3F1B">
        <w:t xml:space="preserve"> contribution to the</w:t>
      </w:r>
      <w:r w:rsidR="00830487">
        <w:t xml:space="preserve"> 2015</w:t>
      </w:r>
      <w:r w:rsidRPr="004A3F1B">
        <w:t xml:space="preserve"> polling error.  By a process of elimination, then, we are led to conclude that</w:t>
      </w:r>
      <w:r w:rsidR="00E12057">
        <w:t xml:space="preserve"> </w:t>
      </w:r>
      <w:r w:rsidR="00830487">
        <w:t>violation of assumption A1</w:t>
      </w:r>
      <w:r w:rsidR="00E12057">
        <w:t xml:space="preserve"> -</w:t>
      </w:r>
      <w:r w:rsidRPr="004A3F1B">
        <w:t xml:space="preserve"> </w:t>
      </w:r>
      <w:r w:rsidRPr="004A3F1B">
        <w:rPr>
          <w:i/>
        </w:rPr>
        <w:t>representative sampl</w:t>
      </w:r>
      <w:r w:rsidR="00FB6CDB">
        <w:rPr>
          <w:i/>
        </w:rPr>
        <w:t>ing</w:t>
      </w:r>
      <w:r w:rsidRPr="004A3F1B">
        <w:t xml:space="preserve"> </w:t>
      </w:r>
      <w:r w:rsidR="00745BB5">
        <w:t xml:space="preserve">- </w:t>
      </w:r>
      <w:r w:rsidRPr="004A3F1B">
        <w:t>must have been the primary</w:t>
      </w:r>
      <w:r w:rsidR="00745BB5">
        <w:t xml:space="preserve"> </w:t>
      </w:r>
      <w:r w:rsidR="00FB6CDB">
        <w:t xml:space="preserve">locus </w:t>
      </w:r>
      <w:r w:rsidR="00745BB5">
        <w:t>of the 2015 polling miss:</w:t>
      </w:r>
      <w:r w:rsidRPr="004A3F1B">
        <w:t xml:space="preserve"> </w:t>
      </w:r>
      <w:r w:rsidR="00E12057">
        <w:t>the polls</w:t>
      </w:r>
      <w:r w:rsidRPr="004A3F1B">
        <w:t xml:space="preserve"> systematically over-represented Labour voters and under-represented Conservative voters in their weighted estimates.  </w:t>
      </w:r>
    </w:p>
    <w:p w14:paraId="1FBF9B85" w14:textId="6E8E39F2" w:rsidR="00745BB5" w:rsidRDefault="004A3F1B" w:rsidP="002B0C6D">
      <w:pPr>
        <w:spacing w:line="480" w:lineRule="auto"/>
        <w:jc w:val="both"/>
      </w:pPr>
      <w:r w:rsidRPr="004A3F1B">
        <w:t xml:space="preserve">In this section, we </w:t>
      </w:r>
      <w:r w:rsidR="002B0C6D">
        <w:t>examine</w:t>
      </w:r>
      <w:r w:rsidRPr="004A3F1B">
        <w:t xml:space="preserve"> what </w:t>
      </w:r>
      <w:r w:rsidRPr="00C37C80">
        <w:t>direct</w:t>
      </w:r>
      <w:r w:rsidRPr="004A3F1B">
        <w:t xml:space="preserve"> evidence there is to support the judgement that the polling miss was due to unrepresentative samples.  </w:t>
      </w:r>
      <w:r w:rsidR="002B0C6D">
        <w:t xml:space="preserve">We </w:t>
      </w:r>
      <w:r w:rsidR="00830487">
        <w:t xml:space="preserve">first </w:t>
      </w:r>
      <w:r w:rsidR="002B0C6D">
        <w:t xml:space="preserve">consider a comparison with </w:t>
      </w:r>
      <w:r w:rsidRPr="004A3F1B">
        <w:t xml:space="preserve">two surveys that were undertaken shortly after the election and which used probability sampling designs: the British Election Study (BES) and the British Social Attitudes (BSA) survey.  </w:t>
      </w:r>
      <w:r w:rsidR="00745BB5">
        <w:t xml:space="preserve">We then examine estimates of vote shares by sub-groups defined by the weighting variables, and then biases in estimates of other variables which are likely to be related to voting. </w:t>
      </w:r>
      <w:r w:rsidR="00830487">
        <w:t xml:space="preserve">While none of these lines of evidence can be considered conclusive in themselves, collectively they </w:t>
      </w:r>
      <w:r w:rsidR="0057449B">
        <w:t>provide consistent evidence to support the conclusion that the poll samples were systematically biased in their composition relative to the target population.</w:t>
      </w:r>
    </w:p>
    <w:p w14:paraId="7BE2F91B" w14:textId="66F43DD1" w:rsidR="00764051" w:rsidRDefault="00745BB5" w:rsidP="002B0C6D">
      <w:pPr>
        <w:spacing w:line="480" w:lineRule="auto"/>
        <w:jc w:val="both"/>
      </w:pPr>
      <w:r>
        <w:lastRenderedPageBreak/>
        <w:t xml:space="preserve">The </w:t>
      </w:r>
      <w:r w:rsidR="004A3F1B" w:rsidRPr="004A3F1B">
        <w:t>B</w:t>
      </w:r>
      <w:r>
        <w:t xml:space="preserve">ES and BSA </w:t>
      </w:r>
      <w:r w:rsidR="004A3F1B" w:rsidRPr="004A3F1B">
        <w:t>employ what can be considered ‘gold standard’ procedures at all stages</w:t>
      </w:r>
      <w:r w:rsidR="002551DB">
        <w:t xml:space="preserve"> of their design</w:t>
      </w:r>
      <w:r w:rsidR="004A3F1B" w:rsidRPr="004A3F1B">
        <w:t xml:space="preserve"> but are most notably different to the polls in th</w:t>
      </w:r>
      <w:r w:rsidR="008F0C35">
        <w:t>at they employ probability sampling rather than quota sampling</w:t>
      </w:r>
      <w:r w:rsidR="004A3F1B" w:rsidRPr="004A3F1B">
        <w:t xml:space="preserve">. </w:t>
      </w:r>
      <w:r w:rsidR="00764051">
        <w:t xml:space="preserve"> </w:t>
      </w:r>
      <w:r w:rsidR="004A3F1B" w:rsidRPr="004A3F1B">
        <w:t>It is im</w:t>
      </w:r>
      <w:r w:rsidR="002B0C6D">
        <w:t xml:space="preserve">portant to be clear that </w:t>
      </w:r>
      <w:r w:rsidR="004A3F1B" w:rsidRPr="004A3F1B">
        <w:t>probability sampling does not on its own guarantee accuracy of survey estimates; these types of surveys are themselves subject to various errors of observation and non-observation</w:t>
      </w:r>
      <w:r w:rsidR="00CA056D">
        <w:t xml:space="preserve"> (</w:t>
      </w:r>
      <w:r w:rsidR="00CA056D" w:rsidRPr="00331475">
        <w:t>Groves 1989</w:t>
      </w:r>
      <w:r w:rsidR="00CA056D">
        <w:t>)</w:t>
      </w:r>
      <w:r w:rsidR="004A3F1B" w:rsidRPr="004A3F1B">
        <w:t>. In particular, when a substantial proportion of the eligible sample fails to complete the survey, either through refusal to participate or failure to be contacted, there is a risk that estimates will be biased due to differential nonresponse</w:t>
      </w:r>
      <w:r w:rsidR="002B0C6D">
        <w:t xml:space="preserve"> </w:t>
      </w:r>
      <w:r w:rsidR="002B0C6D" w:rsidRPr="002B0C6D">
        <w:t>(</w:t>
      </w:r>
      <w:r w:rsidR="00576507">
        <w:t>a</w:t>
      </w:r>
      <w:r w:rsidR="002B0C6D" w:rsidRPr="002B0C6D">
        <w:t>lthough recent research has shown the correlation between response rate and nonresponse bias to be considerably weaker than has historically been assumed</w:t>
      </w:r>
      <w:r w:rsidR="002B0C6D">
        <w:t xml:space="preserve">; see </w:t>
      </w:r>
      <w:r w:rsidR="002B0C6D" w:rsidRPr="002B0C6D">
        <w:t xml:space="preserve">Groves and </w:t>
      </w:r>
      <w:proofErr w:type="spellStart"/>
      <w:r w:rsidR="002B0C6D" w:rsidRPr="002B0C6D">
        <w:t>Peytcheva</w:t>
      </w:r>
      <w:proofErr w:type="spellEnd"/>
      <w:r w:rsidR="002B0C6D" w:rsidRPr="002B0C6D">
        <w:t xml:space="preserve"> 2008</w:t>
      </w:r>
      <w:r w:rsidR="002551DB">
        <w:t>; Sturgis et al 2016</w:t>
      </w:r>
      <w:r w:rsidR="002B0C6D" w:rsidRPr="002B0C6D">
        <w:t>)</w:t>
      </w:r>
      <w:r w:rsidR="004A3F1B" w:rsidRPr="004A3F1B">
        <w:t xml:space="preserve">.  As we shall see, however, in 2015 the BES and BSA were </w:t>
      </w:r>
      <w:r w:rsidR="00BC0027">
        <w:t>far more</w:t>
      </w:r>
      <w:r w:rsidR="00BC0027" w:rsidRPr="004A3F1B">
        <w:t xml:space="preserve"> </w:t>
      </w:r>
      <w:r w:rsidR="004A3F1B" w:rsidRPr="004A3F1B">
        <w:t xml:space="preserve">accurate </w:t>
      </w:r>
      <w:r w:rsidR="00BC0027">
        <w:t xml:space="preserve">than the pre-election polls </w:t>
      </w:r>
      <w:r w:rsidR="004A3F1B" w:rsidRPr="004A3F1B">
        <w:t xml:space="preserve">in their estimates of the vote distribution and, given the transparency and robustness of their underlying sampling procedures, it is reasonable to use them as a lens through which to assess the quality of the poll samples which were obtained using quite different approaches. </w:t>
      </w:r>
    </w:p>
    <w:p w14:paraId="61E19987" w14:textId="4D7B6E0E" w:rsidR="004A3F1B" w:rsidRDefault="004A3F1B" w:rsidP="002B0C6D">
      <w:pPr>
        <w:spacing w:line="480" w:lineRule="auto"/>
        <w:jc w:val="both"/>
      </w:pPr>
      <w:r w:rsidRPr="004A3F1B">
        <w:t>The reported vote distributions for the BE</w:t>
      </w:r>
      <w:r w:rsidR="002B0C6D">
        <w:t>S and BSA are shown in Figure 3</w:t>
      </w:r>
      <w:r w:rsidRPr="004A3F1B">
        <w:t>, alongside the average vote intention estimates for the final polls and the election result.  It is immediately apparent that the BES</w:t>
      </w:r>
      <w:r w:rsidR="00453A90">
        <w:t xml:space="preserve"> and </w:t>
      </w:r>
      <w:r w:rsidRPr="004A3F1B">
        <w:t xml:space="preserve">BSA produced more accurate estimates of the Conservative lead over Labour than the polls, with the BES showing a 7 point lead and the BSA a 6 point lead for the Conservatives.  Neither </w:t>
      </w:r>
      <w:r w:rsidR="00453A90">
        <w:t>of these surveys we</w:t>
      </w:r>
      <w:r w:rsidRPr="004A3F1B">
        <w:t xml:space="preserve">re themselves completely accurate, with both significantly under-estimating the UKIP share, the BES over-estimating the Conservative share, and the BSA over-estimating the Labour share. </w:t>
      </w:r>
    </w:p>
    <w:p w14:paraId="121E1EA4" w14:textId="58ACFB39" w:rsidR="00453A90" w:rsidRDefault="00453A90" w:rsidP="00453A90">
      <w:pPr>
        <w:spacing w:line="480" w:lineRule="auto"/>
        <w:jc w:val="center"/>
      </w:pPr>
      <w:r>
        <w:t>----- [Figure</w:t>
      </w:r>
      <w:r w:rsidRPr="00AF7266">
        <w:t xml:space="preserve"> </w:t>
      </w:r>
      <w:r>
        <w:t>3</w:t>
      </w:r>
      <w:r w:rsidRPr="00AF7266">
        <w:t xml:space="preserve"> here] -----</w:t>
      </w:r>
    </w:p>
    <w:p w14:paraId="70719B8D" w14:textId="0C7CD7F2" w:rsidR="004A3F1B" w:rsidRPr="004A3F1B" w:rsidRDefault="002551DB" w:rsidP="00453A90">
      <w:pPr>
        <w:spacing w:line="480" w:lineRule="auto"/>
        <w:jc w:val="both"/>
      </w:pPr>
      <w:r>
        <w:t>T</w:t>
      </w:r>
      <w:r w:rsidR="004A3F1B" w:rsidRPr="004A3F1B">
        <w:t xml:space="preserve">his comparison is suggestive that the polls underestimated the Conservative lead as a result of their sampling procedures. However, it is </w:t>
      </w:r>
      <w:r w:rsidR="00453A90">
        <w:t>inconclusive</w:t>
      </w:r>
      <w:r>
        <w:t xml:space="preserve"> on this point</w:t>
      </w:r>
      <w:r w:rsidR="00453A90">
        <w:t xml:space="preserve"> because the BES and </w:t>
      </w:r>
      <w:r w:rsidR="004A3F1B" w:rsidRPr="004A3F1B">
        <w:t xml:space="preserve">BSA differ from the polls in other respects, beyond their sample designs.  Most importantly, </w:t>
      </w:r>
      <w:r w:rsidR="00F06F36">
        <w:t>both</w:t>
      </w:r>
      <w:r w:rsidR="00F06F36" w:rsidRPr="004A3F1B">
        <w:t xml:space="preserve"> </w:t>
      </w:r>
      <w:r w:rsidR="004A3F1B" w:rsidRPr="004A3F1B">
        <w:t xml:space="preserve">were undertaken </w:t>
      </w:r>
      <w:r w:rsidR="004A3F1B" w:rsidRPr="004A3F1B">
        <w:rPr>
          <w:i/>
        </w:rPr>
        <w:lastRenderedPageBreak/>
        <w:t>after</w:t>
      </w:r>
      <w:r w:rsidR="004A3F1B" w:rsidRPr="004A3F1B">
        <w:t xml:space="preserve"> the election had taken place. This means that there was no uncertainty (at least by self-report) about whether the respondents had voted or not when they reported their vote choice, while the polls had to factor in whether a respondent would actually vote or not to their pre-election estimates.  The reported votes of the BES/BSA respondents might also have been influenced by their knowledge of the election result, which could not have been the case for the pre-election polls. Previous research has shown a tendency for respondents to disproportionately recall having voted for the winning party – so called ‘bandwagoning’</w:t>
      </w:r>
      <w:r w:rsidR="00CA056D">
        <w:t xml:space="preserve"> </w:t>
      </w:r>
      <w:r w:rsidR="00CA056D" w:rsidRPr="00331475">
        <w:t>(Nadeau, et al. 1993</w:t>
      </w:r>
      <w:r w:rsidR="00CA056D">
        <w:t>)</w:t>
      </w:r>
      <w:r w:rsidR="004A3F1B" w:rsidRPr="004A3F1B">
        <w:t xml:space="preserve"> and such effects might plausibly have contributed to the difference in the lead estimates between the surveys and the polls in 2015</w:t>
      </w:r>
      <w:r w:rsidR="00B81051">
        <w:t xml:space="preserve"> (we note that </w:t>
      </w:r>
      <w:r w:rsidR="00CB0F0B">
        <w:t xml:space="preserve">this </w:t>
      </w:r>
      <w:r w:rsidR="00B81051">
        <w:t xml:space="preserve">might also have affected the re-contact polls discussed in Section 4.1, in which case bandwagoning would have </w:t>
      </w:r>
      <w:r w:rsidR="00CB0F0B">
        <w:t>exaggerat</w:t>
      </w:r>
      <w:r w:rsidR="00BA72CF">
        <w:t>ed</w:t>
      </w:r>
      <w:r w:rsidR="00CB0F0B">
        <w:t xml:space="preserve"> </w:t>
      </w:r>
      <w:r w:rsidR="00B81051">
        <w:t xml:space="preserve">the </w:t>
      </w:r>
      <w:r w:rsidR="00CB0F0B">
        <w:t xml:space="preserve">before-after </w:t>
      </w:r>
      <w:r w:rsidR="00B81051">
        <w:t>differences reported in Table 3)</w:t>
      </w:r>
      <w:r w:rsidR="004A3F1B" w:rsidRPr="004A3F1B">
        <w:t xml:space="preserve">.  </w:t>
      </w:r>
    </w:p>
    <w:p w14:paraId="516971FF" w14:textId="03251D6A" w:rsidR="004A3F1B" w:rsidRPr="004A3F1B" w:rsidRDefault="004A3F1B" w:rsidP="00453A90">
      <w:pPr>
        <w:spacing w:line="480" w:lineRule="auto"/>
        <w:jc w:val="both"/>
      </w:pPr>
      <w:r w:rsidRPr="004A3F1B">
        <w:t xml:space="preserve">Another potentially consequential difference </w:t>
      </w:r>
      <w:r w:rsidR="00453A90">
        <w:t xml:space="preserve">is </w:t>
      </w:r>
      <w:r w:rsidRPr="004A3F1B">
        <w:t xml:space="preserve">the </w:t>
      </w:r>
      <w:r w:rsidR="00453A90">
        <w:t xml:space="preserve">mode of interview, with the BES and </w:t>
      </w:r>
      <w:r w:rsidRPr="004A3F1B">
        <w:t xml:space="preserve">BSA using face-to-face interviews and the polls using either telephone interviews or online self-completion. </w:t>
      </w:r>
      <w:r w:rsidR="00735191">
        <w:t>Although</w:t>
      </w:r>
      <w:r w:rsidRPr="004A3F1B">
        <w:t xml:space="preserve"> face-to-face interviewing</w:t>
      </w:r>
      <w:r w:rsidR="001A2419">
        <w:t xml:space="preserve"> is generally acknowledged to be the gold-standard for survey modes (</w:t>
      </w:r>
      <w:proofErr w:type="spellStart"/>
      <w:r w:rsidR="001A2419">
        <w:t>Couper</w:t>
      </w:r>
      <w:proofErr w:type="spellEnd"/>
      <w:r w:rsidR="001A2419">
        <w:t>, 2011), this does not imply that it will</w:t>
      </w:r>
      <w:r w:rsidRPr="004A3F1B">
        <w:t xml:space="preserve"> produce more accurate self-reports of vote choice than the other modes.  Indeed, the survey methodological literature suggests that the face-to-face interviewing </w:t>
      </w:r>
      <w:r w:rsidR="001A2419">
        <w:t>is</w:t>
      </w:r>
      <w:r w:rsidR="001A2419" w:rsidRPr="004A3F1B">
        <w:t xml:space="preserve"> </w:t>
      </w:r>
      <w:r w:rsidRPr="004A3F1B">
        <w:t xml:space="preserve">more prone to measurement error due to socially desirable responding than </w:t>
      </w:r>
      <w:r w:rsidR="00F06F36">
        <w:t>telephone and self-completion</w:t>
      </w:r>
      <w:r w:rsidR="00F06F36" w:rsidRPr="004A3F1B">
        <w:t xml:space="preserve"> </w:t>
      </w:r>
      <w:r w:rsidRPr="004A3F1B">
        <w:t>modes</w:t>
      </w:r>
      <w:r w:rsidR="00CA056D">
        <w:t xml:space="preserve"> (</w:t>
      </w:r>
      <w:proofErr w:type="spellStart"/>
      <w:r w:rsidR="00CA056D" w:rsidRPr="002B3214">
        <w:t>Tourangeau</w:t>
      </w:r>
      <w:proofErr w:type="spellEnd"/>
      <w:r w:rsidR="00CA056D" w:rsidRPr="002B3214">
        <w:t>, et al. 2000</w:t>
      </w:r>
      <w:r w:rsidR="00CA056D">
        <w:t>).</w:t>
      </w:r>
      <w:r w:rsidRPr="004A3F1B">
        <w:t xml:space="preserve">  Nonetheless, these factors all render the headline comparison between the polls and BES/BSA ambiguous with regard to the underlying cause of the difference. </w:t>
      </w:r>
    </w:p>
    <w:p w14:paraId="5547348D" w14:textId="6340FF2D" w:rsidR="004A3F1B" w:rsidRPr="004A3F1B" w:rsidRDefault="004A3F1B" w:rsidP="008737CE">
      <w:pPr>
        <w:spacing w:line="480" w:lineRule="auto"/>
        <w:jc w:val="both"/>
      </w:pPr>
      <w:r w:rsidRPr="004A3F1B">
        <w:t>Fortunately, we can effectively rule out the two most important of these design differences by considering the reported vote distributions for the polls that undertook re-contact surveys.  Because the re-contact surveys were carried out after the election, we can exclude timing relative to the election as a potential confound</w:t>
      </w:r>
      <w:r w:rsidR="008737CE">
        <w:t>er</w:t>
      </w:r>
      <w:r w:rsidRPr="004A3F1B">
        <w:t xml:space="preserve">.  </w:t>
      </w:r>
      <w:r w:rsidR="008737CE">
        <w:t xml:space="preserve">Table </w:t>
      </w:r>
      <w:r w:rsidR="004F699E">
        <w:t>3</w:t>
      </w:r>
      <w:r w:rsidRPr="004A3F1B">
        <w:t xml:space="preserve"> shows that the</w:t>
      </w:r>
      <w:r w:rsidR="004F699E">
        <w:t>re is only a very modest improvement in</w:t>
      </w:r>
      <w:r w:rsidRPr="004A3F1B">
        <w:t xml:space="preserve"> poll estimates</w:t>
      </w:r>
      <w:r w:rsidR="008737CE">
        <w:t xml:space="preserve"> (weighted for attrition)</w:t>
      </w:r>
      <w:r w:rsidRPr="004A3F1B">
        <w:t xml:space="preserve"> of the Conservative lead when the polls are undertaken after the election and respondents are reporting their actual, rather than their intended vote.  These </w:t>
      </w:r>
      <w:r w:rsidRPr="004A3F1B">
        <w:lastRenderedPageBreak/>
        <w:t xml:space="preserve">comparisons, then, support the conclusion that the differences between the </w:t>
      </w:r>
      <w:r w:rsidR="008737CE">
        <w:t xml:space="preserve">BES and </w:t>
      </w:r>
      <w:r w:rsidRPr="004A3F1B">
        <w:t>BSA and the polls were due to differences in their sampling procedures, rather than to whether they were undertaken before or after the election.</w:t>
      </w:r>
      <w:r w:rsidR="008737CE">
        <w:t xml:space="preserve"> </w:t>
      </w:r>
      <w:r w:rsidR="008737CE" w:rsidRPr="008737CE">
        <w:t>A caveat to this conclusion is that the fieldwork periods were much shorter for the re-contact polls than for BES</w:t>
      </w:r>
      <w:r w:rsidR="008737CE">
        <w:t xml:space="preserve"> and </w:t>
      </w:r>
      <w:r w:rsidR="008737CE" w:rsidRPr="008737CE">
        <w:t>BSA</w:t>
      </w:r>
      <w:r w:rsidR="008737CE">
        <w:t>,</w:t>
      </w:r>
      <w:r w:rsidR="008737CE" w:rsidRPr="008737CE">
        <w:t xml:space="preserve"> so ‘bandwagoning’ may have been more prevalent in the latter than the former case</w:t>
      </w:r>
      <w:r w:rsidR="008737CE">
        <w:t xml:space="preserve">. However, </w:t>
      </w:r>
      <w:r w:rsidR="008737CE" w:rsidRPr="008737CE">
        <w:t xml:space="preserve">Mellon and Prosser </w:t>
      </w:r>
      <w:r w:rsidR="00903950">
        <w:t>(2017</w:t>
      </w:r>
      <w:r w:rsidR="008737CE" w:rsidRPr="008737CE">
        <w:t>) demonstrate that this possibility has little empirical support, for the BES at least.</w:t>
      </w:r>
    </w:p>
    <w:p w14:paraId="6C5D1743" w14:textId="11487CE0" w:rsidR="00EF4124" w:rsidRDefault="00EF4124" w:rsidP="00EF4124">
      <w:pPr>
        <w:spacing w:line="480" w:lineRule="auto"/>
        <w:jc w:val="center"/>
      </w:pPr>
      <w:r>
        <w:t>----- [Figure</w:t>
      </w:r>
      <w:r w:rsidRPr="00AF7266">
        <w:t xml:space="preserve"> </w:t>
      </w:r>
      <w:r>
        <w:t>4</w:t>
      </w:r>
      <w:r w:rsidRPr="00AF7266">
        <w:t xml:space="preserve"> here] -----</w:t>
      </w:r>
    </w:p>
    <w:p w14:paraId="3C525720" w14:textId="42F46A32" w:rsidR="00F54D73" w:rsidRDefault="003B4297" w:rsidP="001A4FFE">
      <w:pPr>
        <w:spacing w:line="480" w:lineRule="auto"/>
        <w:jc w:val="both"/>
      </w:pPr>
      <w:r>
        <w:t>Recall that assumption A</w:t>
      </w:r>
      <w:r w:rsidR="00337577">
        <w:t>1</w:t>
      </w:r>
      <w:r>
        <w:t xml:space="preserve"> for representative sampling requires that for any given value of the weighting variables </w:t>
      </w:r>
      <w:r w:rsidRPr="003721D9">
        <w:rPr>
          <w:i/>
        </w:rPr>
        <w:t>X</w:t>
      </w:r>
      <w:r>
        <w:t xml:space="preserve">, observations </w:t>
      </w:r>
      <m:oMath>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oMath>
      <w:r>
        <w:t xml:space="preserve"> in </w:t>
      </w:r>
      <w:r w:rsidR="00576507">
        <w:t>a</w:t>
      </w:r>
      <w:r>
        <w:t xml:space="preserve"> poll are a random sample from </w:t>
      </w:r>
      <m:oMath>
        <m:r>
          <w:rPr>
            <w:rFonts w:ascii="Cambria Math" w:hAnsi="Cambria Math"/>
          </w:rPr>
          <m:t>p</m:t>
        </m:r>
        <m:d>
          <m:dPr>
            <m:ctrlPr>
              <w:rPr>
                <w:rFonts w:ascii="Cambria Math" w:hAnsi="Cambria Math"/>
                <w:i/>
              </w:rPr>
            </m:ctrlPr>
          </m:dPr>
          <m:e>
            <m:r>
              <w:rPr>
                <w:rFonts w:ascii="Cambria Math" w:hAnsi="Cambria Math"/>
              </w:rPr>
              <m:t>V,L</m:t>
            </m:r>
          </m:e>
          <m:e>
            <m:r>
              <w:rPr>
                <w:rFonts w:ascii="Cambria Math" w:hAnsi="Cambria Math"/>
              </w:rPr>
              <m:t>X</m:t>
            </m:r>
          </m:e>
        </m:d>
      </m:oMath>
      <w:r>
        <w:t xml:space="preserve"> in the population</w:t>
      </w:r>
      <w:r w:rsidR="004A3F1B" w:rsidRPr="004A3F1B">
        <w:t xml:space="preserve">.  It is informative, therefore, to assess the extent to which the polls </w:t>
      </w:r>
      <w:r w:rsidR="001E4777">
        <w:t xml:space="preserve">were in error </w:t>
      </w:r>
      <w:r w:rsidR="004A3F1B" w:rsidRPr="004A3F1B">
        <w:t>not only in the aggregate but also across the weighting cells us</w:t>
      </w:r>
      <w:r w:rsidR="00EF4124">
        <w:t>ed by the pollsters.  Figure 4</w:t>
      </w:r>
      <w:r w:rsidR="004A3F1B" w:rsidRPr="004A3F1B">
        <w:t xml:space="preserve"> presents estimates of the Conservative</w:t>
      </w:r>
      <w:r w:rsidR="00397A9A">
        <w:t>-</w:t>
      </w:r>
      <w:r w:rsidR="004A3F1B" w:rsidRPr="004A3F1B">
        <w:t xml:space="preserve">Labour difference by </w:t>
      </w:r>
      <w:r w:rsidR="009C3B68">
        <w:t xml:space="preserve">exemplar weighting </w:t>
      </w:r>
      <w:r w:rsidR="00F54D73">
        <w:t xml:space="preserve">variables, compared with the actual election result (for region) or </w:t>
      </w:r>
      <w:r w:rsidR="00E25EDF">
        <w:t xml:space="preserve">with </w:t>
      </w:r>
      <w:r w:rsidR="00F54D73">
        <w:t>estimates from the BES/BSA (combined where both are available, due to small sample sizes by weighting cells for each survey on its own). It can be seen that t</w:t>
      </w:r>
      <w:r w:rsidR="00F54D73" w:rsidRPr="00F54D73">
        <w:t>here is no apparent difference in the polling error between men and women</w:t>
      </w:r>
      <w:r w:rsidR="00F54D73">
        <w:t>. When considered by age b</w:t>
      </w:r>
      <w:r w:rsidR="001A4FFE">
        <w:t xml:space="preserve">and, however, </w:t>
      </w:r>
      <w:r w:rsidR="004A3F1B" w:rsidRPr="004A3F1B">
        <w:t>the polls substantially under-estimate the Conservative lead</w:t>
      </w:r>
      <w:r w:rsidR="001C26A3" w:rsidRPr="001C26A3">
        <w:t xml:space="preserve"> </w:t>
      </w:r>
      <w:r w:rsidR="001C26A3" w:rsidRPr="004A3F1B">
        <w:t>amongst those aged 45-64</w:t>
      </w:r>
      <w:r w:rsidR="001C26A3">
        <w:t xml:space="preserve"> and, to a lesser extent, those aged 55-64</w:t>
      </w:r>
      <w:r w:rsidR="004A3F1B" w:rsidRPr="004A3F1B">
        <w:t>. Here, of course, we must assume that the BES/BSA distribution is</w:t>
      </w:r>
      <w:r w:rsidR="00031F39">
        <w:t xml:space="preserve"> approximately</w:t>
      </w:r>
      <w:r w:rsidR="004A3F1B" w:rsidRPr="004A3F1B">
        <w:t xml:space="preserve"> correct within age-bands, although this does not seem unreasonable given that both surveys got the population estimate of the Conservative lead approximately correct.  </w:t>
      </w:r>
    </w:p>
    <w:p w14:paraId="582B29FC" w14:textId="4CC5C878" w:rsidR="004A3F1B" w:rsidRPr="004A3F1B" w:rsidRDefault="00E43D38" w:rsidP="00965C06">
      <w:pPr>
        <w:spacing w:line="480" w:lineRule="auto"/>
        <w:jc w:val="both"/>
      </w:pPr>
      <w:r>
        <w:t xml:space="preserve">Considered by self-reported </w:t>
      </w:r>
      <w:r w:rsidRPr="00E43D38">
        <w:t>vote</w:t>
      </w:r>
      <w:r>
        <w:t xml:space="preserve"> in the 2010 General Election</w:t>
      </w:r>
      <w:r w:rsidRPr="00E43D38">
        <w:t xml:space="preserve">, the pattern </w:t>
      </w:r>
      <w:r>
        <w:t xml:space="preserve">in Figure 4 </w:t>
      </w:r>
      <w:r w:rsidRPr="00E43D38">
        <w:t>suggests that the polls were most inaccurate for those who voted for the two main parties in 2010.</w:t>
      </w:r>
      <w:r>
        <w:t xml:space="preserve"> Finally, </w:t>
      </w:r>
      <w:r w:rsidR="00965C06">
        <w:t xml:space="preserve">at the </w:t>
      </w:r>
      <w:r w:rsidR="004A3F1B" w:rsidRPr="004A3F1B">
        <w:t>Government Office Region level</w:t>
      </w:r>
      <w:r w:rsidR="00965C06">
        <w:t xml:space="preserve"> the results suggest that </w:t>
      </w:r>
      <w:r w:rsidR="004A3F1B" w:rsidRPr="004A3F1B">
        <w:t>the polls particularly under-estimated the Conservative lead in regions where the Conservative vote share was higher than the national average</w:t>
      </w:r>
      <w:r w:rsidR="001C26A3">
        <w:t>; the East, East Midlands, South West, and South East</w:t>
      </w:r>
      <w:r w:rsidR="004A3F1B" w:rsidRPr="004A3F1B">
        <w:t xml:space="preserve">. </w:t>
      </w:r>
      <w:r w:rsidR="00965C06" w:rsidRPr="00965C06">
        <w:t xml:space="preserve">In sum, these analyses clearly </w:t>
      </w:r>
      <w:r w:rsidR="00965C06" w:rsidRPr="00965C06">
        <w:lastRenderedPageBreak/>
        <w:t>demonstrate that the key assumption of representativeness of vote intention within weighting cells was strongly and consistently violated in the 2015 polls.</w:t>
      </w:r>
      <w:r w:rsidR="00965C06">
        <w:t xml:space="preserve"> </w:t>
      </w:r>
      <w:r w:rsidR="00D60D64">
        <w:t>The pattern that we observe in these charts also suggests a systematic tendency for the polls to under-estimate Conservative support in sub-groups where the Conservative lead over Labour is highest, e.g. older people, southern counties, and people who voted Conservative in 2010.</w:t>
      </w:r>
      <w:r w:rsidR="00CC0B13">
        <w:t xml:space="preserve"> We are not able to pursue this further empirically given the data available to us</w:t>
      </w:r>
      <w:r w:rsidR="001C679F">
        <w:t>,</w:t>
      </w:r>
      <w:r w:rsidR="00CC0B13">
        <w:t xml:space="preserve"> but it seems likely that a key reason that the polls underestimated the Conservative lead over Labour is that their sampling procedures systematically under-represented </w:t>
      </w:r>
      <w:r w:rsidR="0064506F">
        <w:t xml:space="preserve">Conservative voters within </w:t>
      </w:r>
      <w:r w:rsidR="006B0932">
        <w:t>these kinds of Conservative supporting demographic groups.</w:t>
      </w:r>
      <w:r w:rsidR="00CC0B13">
        <w:t xml:space="preserve"> </w:t>
      </w:r>
    </w:p>
    <w:p w14:paraId="6F544C82" w14:textId="359ACFE4" w:rsidR="00F008B0" w:rsidRDefault="004A3F1B" w:rsidP="00F008B0">
      <w:pPr>
        <w:spacing w:line="480" w:lineRule="auto"/>
        <w:jc w:val="both"/>
      </w:pPr>
      <w:r w:rsidRPr="004A3F1B">
        <w:t xml:space="preserve">A third type of comparison is informative about the representativeness of the poll samples; </w:t>
      </w:r>
      <w:r w:rsidR="006B0932">
        <w:t>how accurate the poll</w:t>
      </w:r>
      <w:r w:rsidRPr="004A3F1B">
        <w:t xml:space="preserve"> estimates</w:t>
      </w:r>
      <w:r w:rsidR="006B0932">
        <w:t xml:space="preserve"> are</w:t>
      </w:r>
      <w:r w:rsidRPr="004A3F1B">
        <w:t xml:space="preserve"> for other variables that were measured in the polls and which </w:t>
      </w:r>
      <w:r w:rsidR="006B0932">
        <w:t>are</w:t>
      </w:r>
      <w:r w:rsidR="006B0932" w:rsidRPr="004A3F1B">
        <w:t xml:space="preserve"> </w:t>
      </w:r>
      <w:r w:rsidRPr="004A3F1B">
        <w:t>themselves related to vote choice.  Consider, for example, sector of employment; it is known that, broadly, public sector workers are more likely to vote Labour and private sector workers are more likely to vote Conservative</w:t>
      </w:r>
      <w:r w:rsidR="00CA056D">
        <w:t xml:space="preserve"> (</w:t>
      </w:r>
      <w:r w:rsidR="00CA056D" w:rsidRPr="000917F5">
        <w:t>Dunleavy 1980</w:t>
      </w:r>
      <w:r w:rsidR="00CA056D">
        <w:t>)</w:t>
      </w:r>
      <w:r w:rsidRPr="004A3F1B">
        <w:t>.  If polls that do not weight to population totals for employment sector were found to have over-estimated the proportion of voters who work in the public sector, then this would not only constitute evidence that the poll samples were unrepresentative with regard to employment sector, it would also suggest a potential cause of the bias in the vote choice estimate.  That is to say, by over-representing public sector workers in their samples, the polls would have over-estimated support for Labour and under-estimated support for the Conservatives.  This approach is appealing because it indicates ways in which poll samples might be improved in the future, either through changes to sample recruitment procedures or through improvements to quota and weighting targets</w:t>
      </w:r>
      <w:r w:rsidR="00CA056D">
        <w:t xml:space="preserve"> </w:t>
      </w:r>
      <w:r w:rsidR="00CA056D" w:rsidRPr="00CA056D">
        <w:t xml:space="preserve">(see for example </w:t>
      </w:r>
      <w:r w:rsidR="00903950">
        <w:t>Mellon and Prosser 2017</w:t>
      </w:r>
      <w:r w:rsidR="00CA056D" w:rsidRPr="00CA056D">
        <w:t xml:space="preserve">; </w:t>
      </w:r>
      <w:r w:rsidR="00CA056D" w:rsidRPr="00727216">
        <w:t>Rivers and Wells 2015)</w:t>
      </w:r>
      <w:r w:rsidRPr="004A3F1B">
        <w:t xml:space="preserve">.  </w:t>
      </w:r>
    </w:p>
    <w:p w14:paraId="60BA4ABA" w14:textId="1355DD90" w:rsidR="004A3F1B" w:rsidRPr="004A3F1B" w:rsidRDefault="004A3F1B" w:rsidP="00F008B0">
      <w:pPr>
        <w:spacing w:line="480" w:lineRule="auto"/>
        <w:jc w:val="both"/>
      </w:pPr>
      <w:r w:rsidRPr="004A3F1B">
        <w:t xml:space="preserve">Unfortunately, the extent to which we are able to implement this strategy is constrained by the paucity of candidate variables in the poll samples for which gold standard estimates are also available.  Variables which meet these twin criteria are, almost by definition, scarce.  If they </w:t>
      </w:r>
      <w:r w:rsidR="00E25EDF">
        <w:t xml:space="preserve">had </w:t>
      </w:r>
      <w:r w:rsidR="00E25EDF">
        <w:lastRenderedPageBreak/>
        <w:t xml:space="preserve">been collected, </w:t>
      </w:r>
      <w:r w:rsidRPr="004A3F1B">
        <w:t xml:space="preserve">the pollsters would likely already be using them in their sampling and weighting procedures. Nonetheless, some variables are available which enable us to consider the polls from this perspective, albeit in a more limited manner than we would ideally like. </w:t>
      </w:r>
    </w:p>
    <w:p w14:paraId="65D1B7E1" w14:textId="5A18FA3F" w:rsidR="004A3F1B" w:rsidRPr="004A3F1B" w:rsidRDefault="004A3F1B" w:rsidP="00D00E24">
      <w:pPr>
        <w:spacing w:line="480" w:lineRule="auto"/>
        <w:jc w:val="both"/>
      </w:pPr>
      <w:r w:rsidRPr="004A3F1B">
        <w:t>The first example relates to the continuous age distribution within banded age ranges.  All pollsters weight their raw sample data to match the distribution of age</w:t>
      </w:r>
      <w:r w:rsidR="00B4125E">
        <w:t xml:space="preserve"> by banded ranges</w:t>
      </w:r>
      <w:r w:rsidRPr="004A3F1B">
        <w:t xml:space="preserve"> in the population census. Three of the BPC members also recorded continuous age, making it possible for us to assess the age distribution within age bands and compare this to the distribution from the census and the BES/BSA</w:t>
      </w:r>
      <w:r w:rsidR="00D00E24">
        <w:t xml:space="preserve"> (the three </w:t>
      </w:r>
      <w:r w:rsidR="00D35704">
        <w:t xml:space="preserve">BPC member </w:t>
      </w:r>
      <w:r w:rsidR="00D00E24">
        <w:t xml:space="preserve">polls were all conducted online, </w:t>
      </w:r>
      <w:r w:rsidR="00D00E24" w:rsidRPr="00D00E24">
        <w:t xml:space="preserve">so </w:t>
      </w:r>
      <w:r w:rsidR="00522A22">
        <w:t>we cannot conclude that</w:t>
      </w:r>
      <w:r w:rsidR="00D00E24" w:rsidRPr="00D00E24">
        <w:t xml:space="preserve"> the same effect is apparent in phone samples</w:t>
      </w:r>
      <w:r w:rsidR="00D00E24">
        <w:t>)</w:t>
      </w:r>
      <w:r w:rsidRPr="004A3F1B">
        <w:t xml:space="preserve">.  Figure </w:t>
      </w:r>
      <w:r w:rsidR="008D0119">
        <w:t>5</w:t>
      </w:r>
      <w:r w:rsidRPr="004A3F1B">
        <w:t xml:space="preserve"> </w:t>
      </w:r>
      <w:r w:rsidR="00E25EDF">
        <w:t xml:space="preserve">displays </w:t>
      </w:r>
      <w:r w:rsidRPr="004A3F1B">
        <w:t xml:space="preserve">this comparison for the oldest age band, those aged 65 years and older.  </w:t>
      </w:r>
      <w:r w:rsidR="00E25EDF">
        <w:t xml:space="preserve">It </w:t>
      </w:r>
      <w:r w:rsidRPr="004A3F1B">
        <w:t xml:space="preserve">shows that the polls substantially over-represent people under the age of 70 and under-represent those aged 75 and older within this age band, while the BES and BSA do not. Indeed, the three polls </w:t>
      </w:r>
      <w:r w:rsidR="00E25EDF">
        <w:t xml:space="preserve">included </w:t>
      </w:r>
      <w:r w:rsidRPr="004A3F1B">
        <w:t xml:space="preserve">here contain </w:t>
      </w:r>
      <w:r w:rsidR="008D0119">
        <w:t xml:space="preserve">almost no </w:t>
      </w:r>
      <w:r w:rsidRPr="004A3F1B">
        <w:t>respondent</w:t>
      </w:r>
      <w:r w:rsidR="008D0119">
        <w:t>s</w:t>
      </w:r>
      <w:r w:rsidRPr="004A3F1B">
        <w:t xml:space="preserve"> aged 90 or above. </w:t>
      </w:r>
      <w:r w:rsidR="00AC1E01">
        <w:t>It is easy to see how this kind of imbalance could arise in the quota sampling used for the polls, where the oldest age group for the quota targets was typically 65 and older. If individuals toward the younger end of this</w:t>
      </w:r>
      <w:r w:rsidR="00BA72CF">
        <w:t xml:space="preserve"> age</w:t>
      </w:r>
      <w:r w:rsidR="00AC1E01">
        <w:t xml:space="preserve"> </w:t>
      </w:r>
      <w:r w:rsidR="00BA72CF">
        <w:t>band</w:t>
      </w:r>
      <w:r w:rsidR="00AC1E01">
        <w:t xml:space="preserve"> were easier to </w:t>
      </w:r>
      <w:r w:rsidR="00BA72CF">
        <w:t>include in</w:t>
      </w:r>
      <w:r w:rsidR="00AC1E01">
        <w:t xml:space="preserve"> the poll, </w:t>
      </w:r>
      <w:r w:rsidR="00BA72CF">
        <w:t xml:space="preserve">the ‘oldest old’ </w:t>
      </w:r>
      <w:r w:rsidR="00AC1E01">
        <w:t>would end up being under</w:t>
      </w:r>
      <w:r w:rsidR="00D35704">
        <w:t>-</w:t>
      </w:r>
      <w:r w:rsidR="00AC1E01">
        <w:t xml:space="preserve">represented in the sample. </w:t>
      </w:r>
    </w:p>
    <w:p w14:paraId="356EDEF3" w14:textId="39CDEBEB" w:rsidR="008D0119" w:rsidRDefault="008D0119" w:rsidP="008D0119">
      <w:pPr>
        <w:spacing w:line="480" w:lineRule="auto"/>
        <w:jc w:val="center"/>
      </w:pPr>
      <w:bookmarkStart w:id="10" w:name="_Toc320349849"/>
      <w:r>
        <w:t>----- [Figure</w:t>
      </w:r>
      <w:r w:rsidRPr="00AF7266">
        <w:t xml:space="preserve"> </w:t>
      </w:r>
      <w:r>
        <w:t>5</w:t>
      </w:r>
      <w:r w:rsidRPr="00AF7266">
        <w:t xml:space="preserve"> here] -----</w:t>
      </w:r>
    </w:p>
    <w:bookmarkEnd w:id="10"/>
    <w:p w14:paraId="380045C5" w14:textId="5B00C486" w:rsidR="004A3F1B" w:rsidRDefault="004A3F1B" w:rsidP="00CD7FF9">
      <w:pPr>
        <w:spacing w:line="480" w:lineRule="auto"/>
        <w:jc w:val="both"/>
      </w:pPr>
      <w:r w:rsidRPr="004A3F1B">
        <w:t>This is</w:t>
      </w:r>
      <w:r w:rsidR="00B4125E">
        <w:t xml:space="preserve"> itself</w:t>
      </w:r>
      <w:r w:rsidRPr="004A3F1B">
        <w:t xml:space="preserve"> direct evidence that poll samples can produce quite biased estimates of population characteristics. However, it also indicates the kinds of selection mechanism which </w:t>
      </w:r>
      <w:r w:rsidRPr="004A3F1B">
        <w:rPr>
          <w:iCs/>
        </w:rPr>
        <w:t>might, in part</w:t>
      </w:r>
      <w:r w:rsidRPr="004A3F1B">
        <w:rPr>
          <w:i/>
          <w:iCs/>
        </w:rPr>
        <w:t>,</w:t>
      </w:r>
      <w:r w:rsidRPr="004A3F1B">
        <w:t xml:space="preserve"> have led to the 2015 polling miss.  If the Conservative lead over Labour was bigger amongst voters aged over 74 than those aged between 65 and 74 years, then under-representing the older age group would have biased the estimate of the Conservative lead toward zero.  In fact, the 2015 BES shows that the Conservatives held a 21 point lead over Labour amongst those aged over 74 and a 22 point lead amongst those aged 64-74.  So the under-representation of voters aged 75 and over in the poll samples seems unlikely to have made a notable contribution to the 2015 polling miss. </w:t>
      </w:r>
    </w:p>
    <w:p w14:paraId="167B4449" w14:textId="0B451DB4" w:rsidR="00715FC5" w:rsidRDefault="006E4B11" w:rsidP="00CD7FF9">
      <w:pPr>
        <w:spacing w:line="480" w:lineRule="auto"/>
        <w:jc w:val="both"/>
      </w:pPr>
      <w:r>
        <w:lastRenderedPageBreak/>
        <w:t>A second</w:t>
      </w:r>
      <w:r w:rsidR="00715FC5" w:rsidRPr="00715FC5">
        <w:t xml:space="preserve"> example of biased estimates in the poll samples relates to reported turnout in the 2</w:t>
      </w:r>
      <w:r w:rsidR="008B1831">
        <w:t>010 General Election</w:t>
      </w:r>
      <w:r w:rsidR="009302A4">
        <w:t xml:space="preserve">.  Figure </w:t>
      </w:r>
      <w:r w:rsidR="00715FC5" w:rsidRPr="00715FC5">
        <w:t>6 plots self-reported 2010 turnout by age band for the 2015 polls</w:t>
      </w:r>
      <w:r w:rsidR="0084186E">
        <w:t xml:space="preserve"> and</w:t>
      </w:r>
      <w:r w:rsidR="008B1831">
        <w:t xml:space="preserve"> for</w:t>
      </w:r>
      <w:r w:rsidR="0084186E">
        <w:t xml:space="preserve"> </w:t>
      </w:r>
      <w:r w:rsidR="00715FC5" w:rsidRPr="00715FC5">
        <w:t xml:space="preserve">the BES.  </w:t>
      </w:r>
      <w:r w:rsidR="008B1831">
        <w:t>With</w:t>
      </w:r>
      <w:r w:rsidR="00715FC5" w:rsidRPr="00715FC5">
        <w:t xml:space="preserve"> one exception, the polls consistently over-estimate turnout in the 2010 election</w:t>
      </w:r>
      <w:r w:rsidR="00DB3B7E">
        <w:t xml:space="preserve"> (even compared to the BES, where turnout may also be over</w:t>
      </w:r>
      <w:r w:rsidR="00D35704">
        <w:t>-</w:t>
      </w:r>
      <w:r w:rsidR="00DB3B7E">
        <w:t>reported)</w:t>
      </w:r>
      <w:r w:rsidR="00715FC5" w:rsidRPr="00715FC5">
        <w:t xml:space="preserve">, </w:t>
      </w:r>
      <w:r w:rsidR="00D045E8">
        <w:t>with a</w:t>
      </w:r>
      <w:r w:rsidR="00715FC5" w:rsidRPr="00715FC5">
        <w:t xml:space="preserve"> particularly </w:t>
      </w:r>
      <w:r w:rsidR="00D045E8">
        <w:t>large bias</w:t>
      </w:r>
      <w:r w:rsidR="00715FC5" w:rsidRPr="00715FC5">
        <w:t xml:space="preserve"> amongst those aged 18-24.</w:t>
      </w:r>
      <w:r w:rsidR="008B1831">
        <w:t xml:space="preserve"> </w:t>
      </w:r>
      <w:r w:rsidR="00013813">
        <w:t>Given that only around a third of this cohort would</w:t>
      </w:r>
      <w:r w:rsidR="00D045E8">
        <w:t xml:space="preserve"> even</w:t>
      </w:r>
      <w:r w:rsidR="00013813">
        <w:t xml:space="preserve"> have been eligible to vote in 2010, these are very substantial over-estimates of the true proportion. </w:t>
      </w:r>
      <w:r w:rsidR="008B1831">
        <w:t>A similar pattern has been observed</w:t>
      </w:r>
      <w:r w:rsidR="00D045E8">
        <w:t xml:space="preserve"> in </w:t>
      </w:r>
      <w:r w:rsidR="0019558E">
        <w:t>pre-election polls</w:t>
      </w:r>
      <w:r w:rsidR="008B1831">
        <w:t xml:space="preserve"> for other indicators of political engagement</w:t>
      </w:r>
      <w:r w:rsidR="0019558E">
        <w:t xml:space="preserve"> </w:t>
      </w:r>
      <w:r w:rsidR="0019558E" w:rsidRPr="001E4777">
        <w:t>(</w:t>
      </w:r>
      <w:r w:rsidR="001E4777">
        <w:t>Rivers and Wel</w:t>
      </w:r>
      <w:r w:rsidR="00903950">
        <w:t>ls 2015; Mellon and Prosser 2017</w:t>
      </w:r>
      <w:r w:rsidR="0019558E" w:rsidRPr="001E4777">
        <w:t>)</w:t>
      </w:r>
      <w:r w:rsidR="0019558E">
        <w:t>.</w:t>
      </w:r>
    </w:p>
    <w:p w14:paraId="039E4E91" w14:textId="52C27C84" w:rsidR="00013813" w:rsidRDefault="00013813" w:rsidP="00013813">
      <w:pPr>
        <w:spacing w:line="480" w:lineRule="auto"/>
        <w:jc w:val="center"/>
      </w:pPr>
      <w:r>
        <w:t>----- [Figure</w:t>
      </w:r>
      <w:r w:rsidRPr="00AF7266">
        <w:t xml:space="preserve"> </w:t>
      </w:r>
      <w:r>
        <w:t>6</w:t>
      </w:r>
      <w:r w:rsidRPr="00AF7266">
        <w:t xml:space="preserve"> here] -----</w:t>
      </w:r>
    </w:p>
    <w:p w14:paraId="0DF667EA" w14:textId="75913B8F" w:rsidR="00424814" w:rsidRDefault="00BA19BD" w:rsidP="004D320E">
      <w:pPr>
        <w:spacing w:line="480" w:lineRule="auto"/>
        <w:jc w:val="both"/>
      </w:pPr>
      <w:r>
        <w:t>In section 2 we identified assumption A1 of representative sampling to be a particularly</w:t>
      </w:r>
      <w:r w:rsidR="00882E1A">
        <w:t xml:space="preserve"> strong one. In this section we have assessed the empirical evidence that </w:t>
      </w:r>
      <w:r w:rsidR="008C1B00">
        <w:t>this assumption</w:t>
      </w:r>
      <w:r w:rsidR="00882E1A">
        <w:t xml:space="preserve"> was violated in the 2015 polls. We have shown that estimates from surveys using random probability sampling produced accurate estimates of the Conservative lead over Labour</w:t>
      </w:r>
      <w:r w:rsidR="008C1B00">
        <w:t xml:space="preserve"> (and that this difference cannot be attributed to their </w:t>
      </w:r>
      <w:r w:rsidR="00A03473">
        <w:t>having been undertaken after the election)</w:t>
      </w:r>
      <w:r w:rsidR="008C1B00">
        <w:t xml:space="preserve">, that the polls exhibited substantial biases within weighting cells, and that biases were evident on other variables in addition to vote intention. </w:t>
      </w:r>
      <w:r w:rsidR="00A03473">
        <w:t xml:space="preserve"> Individually and collectively these findings support the conclusion that unrepresentativeness of the poll samples on vote intention was the key contributory factor in the 2015 polling miss.</w:t>
      </w:r>
    </w:p>
    <w:p w14:paraId="391F79FF" w14:textId="77777777" w:rsidR="00FD1F27" w:rsidRDefault="00FD1F27" w:rsidP="004A3F1B">
      <w:pPr>
        <w:rPr>
          <w:b/>
          <w:bCs/>
        </w:rPr>
      </w:pPr>
    </w:p>
    <w:p w14:paraId="07EDA011" w14:textId="1EDB2B79" w:rsidR="004A3F1B" w:rsidRPr="004A3F1B" w:rsidRDefault="00027DE6" w:rsidP="004A3F1B">
      <w:pPr>
        <w:rPr>
          <w:b/>
          <w:bCs/>
        </w:rPr>
      </w:pPr>
      <w:r>
        <w:rPr>
          <w:b/>
          <w:bCs/>
        </w:rPr>
        <w:t>6</w:t>
      </w:r>
      <w:r w:rsidR="00424814">
        <w:rPr>
          <w:b/>
          <w:bCs/>
        </w:rPr>
        <w:t xml:space="preserve">. </w:t>
      </w:r>
      <w:r w:rsidR="004A3F1B" w:rsidRPr="004A3F1B">
        <w:rPr>
          <w:b/>
          <w:bCs/>
        </w:rPr>
        <w:t>Discussion</w:t>
      </w:r>
    </w:p>
    <w:p w14:paraId="42226CB0" w14:textId="3752828F" w:rsidR="004A3F1B" w:rsidRPr="004A3F1B" w:rsidRDefault="004A3F1B" w:rsidP="007A4251">
      <w:pPr>
        <w:spacing w:line="480" w:lineRule="auto"/>
        <w:jc w:val="both"/>
      </w:pPr>
      <w:r w:rsidRPr="004A3F1B">
        <w:t>In the months and weeks leading up to the 2015 general election the polls told a consistent story; the Conservatives and Labour were in a dead heat in the popular vote. This led media commentators, party strategists, and the public to focus attention on the likely composition of a coalition, rather than on a single-party government led by the Conservatives who, of course, ultimately won the election with a 6.</w:t>
      </w:r>
      <w:r w:rsidR="007A4251">
        <w:t>5</w:t>
      </w:r>
      <w:r w:rsidRPr="004A3F1B">
        <w:t xml:space="preserve">% lead over Labour and an absolute majority in the House of Commons.  The </w:t>
      </w:r>
      <w:r w:rsidRPr="004A3F1B">
        <w:lastRenderedPageBreak/>
        <w:t>expectation of a hung parliament in the final days and weeks of the campaign was so strong and widely held that the sense of shock and disbelief was palpable when the result of the exit poll was announced at 10pm on May 7</w:t>
      </w:r>
      <w:r w:rsidRPr="004A3F1B">
        <w:rPr>
          <w:vertAlign w:val="superscript"/>
        </w:rPr>
        <w:t>th</w:t>
      </w:r>
      <w:r w:rsidRPr="004A3F1B">
        <w:t xml:space="preserve">. </w:t>
      </w:r>
    </w:p>
    <w:p w14:paraId="3DB084D6" w14:textId="78F74C71" w:rsidR="004A3F1B" w:rsidRPr="004A3F1B" w:rsidRDefault="0022479D" w:rsidP="007A4251">
      <w:pPr>
        <w:spacing w:line="480" w:lineRule="auto"/>
        <w:jc w:val="both"/>
      </w:pPr>
      <w:r>
        <w:t>Having considered a range of plausible contributory factors and data sources, o</w:t>
      </w:r>
      <w:r w:rsidR="004A3F1B" w:rsidRPr="004A3F1B">
        <w:t xml:space="preserve">ur </w:t>
      </w:r>
      <w:r w:rsidR="00693394">
        <w:t xml:space="preserve">analyses lead us to conclude </w:t>
      </w:r>
      <w:r w:rsidR="004A3F1B" w:rsidRPr="004A3F1B">
        <w:t>that the primary cause of the polling miss was</w:t>
      </w:r>
      <w:r w:rsidR="002669A7">
        <w:t xml:space="preserve"> that the samples were</w:t>
      </w:r>
      <w:r w:rsidR="004A3F1B" w:rsidRPr="004A3F1B">
        <w:t xml:space="preserve"> </w:t>
      </w:r>
      <w:r w:rsidR="004A3F1B" w:rsidRPr="00F51B44">
        <w:t xml:space="preserve">unrepresentative </w:t>
      </w:r>
      <w:r w:rsidR="002669A7">
        <w:t>of the population of voters. In short, t</w:t>
      </w:r>
      <w:r w:rsidR="004A3F1B" w:rsidRPr="004A3F1B">
        <w:t xml:space="preserve">he methods used to collect samples of voters systematically over-represented Labour supporters and under-represented Conservative supporters. The statistical adjustment procedures applied to the raw data did not mitigate this basic problem to any notable degree. </w:t>
      </w:r>
    </w:p>
    <w:p w14:paraId="37E4EAF9" w14:textId="2B5C040A" w:rsidR="004A3F1B" w:rsidRPr="004A3F1B" w:rsidRDefault="004A3F1B" w:rsidP="007A4251">
      <w:pPr>
        <w:spacing w:line="480" w:lineRule="auto"/>
        <w:jc w:val="both"/>
      </w:pPr>
      <w:r w:rsidRPr="004A3F1B">
        <w:t xml:space="preserve">We came to </w:t>
      </w:r>
      <w:r w:rsidR="009868C3">
        <w:t>this</w:t>
      </w:r>
      <w:r w:rsidRPr="004A3F1B">
        <w:t xml:space="preserve"> conclusion</w:t>
      </w:r>
      <w:r w:rsidR="00646008">
        <w:t xml:space="preserve"> </w:t>
      </w:r>
      <w:r w:rsidRPr="004A3F1B">
        <w:t>partly by elimination of other putativ</w:t>
      </w:r>
      <w:r w:rsidR="00E12057">
        <w:t xml:space="preserve">e causes of the error. </w:t>
      </w:r>
      <w:r w:rsidR="009868C3">
        <w:t xml:space="preserve">The discrepancy between the point estimates of the Conservative lead in the polls and the election result cannot be attributed to sampling error. Using a new procedure for calculating the precision of vote share estimates from quota samples, we </w:t>
      </w:r>
      <w:r w:rsidR="002669A7">
        <w:t>have shown</w:t>
      </w:r>
      <w:r w:rsidR="009868C3">
        <w:t xml:space="preserve"> that </w:t>
      </w:r>
      <w:r w:rsidR="002669A7">
        <w:t>none</w:t>
      </w:r>
      <w:r w:rsidR="009868C3">
        <w:t xml:space="preserve"> of the BPC pollsters</w:t>
      </w:r>
      <w:r w:rsidR="002669A7">
        <w:t>’ estimates contained the true lead of the Conservatives over Labour within the 95% confidence interval</w:t>
      </w:r>
      <w:r w:rsidR="009868C3">
        <w:t xml:space="preserve">. </w:t>
      </w:r>
      <w:r w:rsidR="00031F39">
        <w:t>We recommend that pollsters move to adoption of this, or a similar approach to estimating</w:t>
      </w:r>
      <w:r w:rsidR="00833EED">
        <w:t xml:space="preserve"> the</w:t>
      </w:r>
      <w:r w:rsidR="00031F39">
        <w:t xml:space="preserve"> sampling variance</w:t>
      </w:r>
      <w:r w:rsidR="00833EED">
        <w:t xml:space="preserve"> of </w:t>
      </w:r>
      <w:r w:rsidR="00F50360">
        <w:t xml:space="preserve">party </w:t>
      </w:r>
      <w:r w:rsidR="00833EED">
        <w:t>vote share</w:t>
      </w:r>
      <w:r w:rsidR="00F50360">
        <w:t>s</w:t>
      </w:r>
      <w:r w:rsidR="00833EED">
        <w:t xml:space="preserve"> . </w:t>
      </w:r>
      <w:r w:rsidR="00E12057">
        <w:t>W</w:t>
      </w:r>
      <w:r w:rsidRPr="004A3F1B">
        <w:t>e were</w:t>
      </w:r>
      <w:r w:rsidR="009868C3">
        <w:t xml:space="preserve"> also</w:t>
      </w:r>
      <w:r w:rsidRPr="004A3F1B">
        <w:t xml:space="preserve"> able to replicate all published estimates for the first, the penultimate, and the final</w:t>
      </w:r>
      <w:r w:rsidR="00693394">
        <w:t xml:space="preserve"> published</w:t>
      </w:r>
      <w:r w:rsidRPr="004A3F1B">
        <w:t xml:space="preserve"> polls using the raw micro-data provided by the BPC pollsters</w:t>
      </w:r>
      <w:r w:rsidR="009868C3">
        <w:t xml:space="preserve">, enabling us to </w:t>
      </w:r>
      <w:r w:rsidRPr="004A3F1B">
        <w:t>r</w:t>
      </w:r>
      <w:r w:rsidR="009868C3">
        <w:t xml:space="preserve">ule out the possibility that </w:t>
      </w:r>
      <w:r w:rsidRPr="004A3F1B">
        <w:t xml:space="preserve">some of the errors </w:t>
      </w:r>
      <w:r w:rsidR="009868C3">
        <w:t>were due to</w:t>
      </w:r>
      <w:r w:rsidRPr="004A3F1B">
        <w:t xml:space="preserve"> flawed analysis or</w:t>
      </w:r>
      <w:r w:rsidR="007F1A2B">
        <w:t xml:space="preserve"> use of</w:t>
      </w:r>
      <w:r w:rsidRPr="004A3F1B">
        <w:t xml:space="preserve"> inaccurate weighting targets</w:t>
      </w:r>
      <w:r w:rsidR="00097423">
        <w:t xml:space="preserve">. </w:t>
      </w:r>
    </w:p>
    <w:p w14:paraId="5C299451" w14:textId="5E0C2EA1" w:rsidR="00693394" w:rsidRDefault="00F51B44" w:rsidP="007A4251">
      <w:pPr>
        <w:spacing w:line="480" w:lineRule="auto"/>
        <w:jc w:val="both"/>
      </w:pPr>
      <w:r>
        <w:t>We found some</w:t>
      </w:r>
      <w:r w:rsidR="004A3F1B" w:rsidRPr="004A3F1B">
        <w:t xml:space="preserve"> evidence that there may have been </w:t>
      </w:r>
      <w:r w:rsidR="004A3F1B" w:rsidRPr="00F2724D">
        <w:rPr>
          <w:highlight w:val="yellow"/>
        </w:rPr>
        <w:t xml:space="preserve">a modest </w:t>
      </w:r>
      <w:r w:rsidR="00E03DC9" w:rsidRPr="00F2724D">
        <w:rPr>
          <w:highlight w:val="yellow"/>
        </w:rPr>
        <w:t>shift</w:t>
      </w:r>
      <w:r w:rsidR="00E03DC9">
        <w:t xml:space="preserve"> in vote share</w:t>
      </w:r>
      <w:r w:rsidR="004A3F1B" w:rsidRPr="004A3F1B">
        <w:t xml:space="preserve"> to</w:t>
      </w:r>
      <w:r w:rsidR="00E03DC9">
        <w:t>ward</w:t>
      </w:r>
      <w:r w:rsidR="004A3F1B" w:rsidRPr="004A3F1B">
        <w:t xml:space="preserve"> the Conservatives between the final polls and </w:t>
      </w:r>
      <w:r w:rsidR="00097423">
        <w:t>e</w:t>
      </w:r>
      <w:r w:rsidR="004A3F1B" w:rsidRPr="004A3F1B">
        <w:t>lection</w:t>
      </w:r>
      <w:r w:rsidR="00097423">
        <w:t xml:space="preserve"> d</w:t>
      </w:r>
      <w:r w:rsidR="004A3F1B" w:rsidRPr="004A3F1B">
        <w:t>ay, a</w:t>
      </w:r>
      <w:r w:rsidR="004A3F1B" w:rsidRPr="00F2724D">
        <w:rPr>
          <w:highlight w:val="yellow"/>
        </w:rPr>
        <w:t xml:space="preserve">lthough this can have contributed at most around one </w:t>
      </w:r>
      <w:r w:rsidR="0099122F">
        <w:rPr>
          <w:highlight w:val="yellow"/>
        </w:rPr>
        <w:t xml:space="preserve">and a half </w:t>
      </w:r>
      <w:r w:rsidR="004A3F1B" w:rsidRPr="00F2724D">
        <w:rPr>
          <w:highlight w:val="yellow"/>
        </w:rPr>
        <w:t>percentage point</w:t>
      </w:r>
      <w:r w:rsidR="0099122F">
        <w:rPr>
          <w:highlight w:val="yellow"/>
        </w:rPr>
        <w:t>s</w:t>
      </w:r>
      <w:r w:rsidR="004A3F1B" w:rsidRPr="00F2724D">
        <w:rPr>
          <w:highlight w:val="yellow"/>
        </w:rPr>
        <w:t xml:space="preserve"> to </w:t>
      </w:r>
      <w:r w:rsidR="008B4C9C">
        <w:rPr>
          <w:highlight w:val="yellow"/>
        </w:rPr>
        <w:t xml:space="preserve">the mean </w:t>
      </w:r>
      <w:r w:rsidR="004A3F1B" w:rsidRPr="00F2724D">
        <w:rPr>
          <w:highlight w:val="yellow"/>
        </w:rPr>
        <w:t>error on the Conservative lead.</w:t>
      </w:r>
      <w:r w:rsidR="004A3F1B" w:rsidRPr="004A3F1B">
        <w:t xml:space="preserve">  The widely held view that the polling miss was </w:t>
      </w:r>
      <w:r w:rsidR="00522A22">
        <w:t xml:space="preserve">due to deliberate misreporting - </w:t>
      </w:r>
      <w:r w:rsidR="004A3F1B" w:rsidRPr="004A3F1B">
        <w:t xml:space="preserve">‘shy Tories’ telling pollsters they intended to vote for other parties </w:t>
      </w:r>
      <w:r w:rsidR="00693394">
        <w:t>–</w:t>
      </w:r>
      <w:r w:rsidR="004A3F1B" w:rsidRPr="004A3F1B">
        <w:t xml:space="preserve"> is</w:t>
      </w:r>
      <w:r w:rsidR="00693394">
        <w:t xml:space="preserve"> very</w:t>
      </w:r>
      <w:r w:rsidR="004A3F1B" w:rsidRPr="004A3F1B">
        <w:t xml:space="preserve"> difficult to reconcile with the results of the re-contact surveys carried out by the pollsters and with the </w:t>
      </w:r>
      <w:r w:rsidR="001533B5">
        <w:t>British Election Study and British Social Attitude</w:t>
      </w:r>
      <w:r w:rsidR="004A3F1B" w:rsidRPr="004A3F1B">
        <w:t xml:space="preserve"> </w:t>
      </w:r>
      <w:r w:rsidR="004A3F1B" w:rsidRPr="004A3F1B">
        <w:lastRenderedPageBreak/>
        <w:t>survey undertaken after the election</w:t>
      </w:r>
      <w:r w:rsidR="001533B5">
        <w:t xml:space="preserve"> using random probability sample designs</w:t>
      </w:r>
      <w:r w:rsidR="004A3F1B" w:rsidRPr="004A3F1B">
        <w:t xml:space="preserve">. </w:t>
      </w:r>
      <w:r w:rsidR="0022479D">
        <w:t xml:space="preserve">Ruling out </w:t>
      </w:r>
      <w:r w:rsidR="0099122F">
        <w:t>this kind of shift</w:t>
      </w:r>
      <w:r w:rsidR="0022479D">
        <w:t xml:space="preserve"> also enables us to discount </w:t>
      </w:r>
      <w:r w:rsidR="001E4777">
        <w:t xml:space="preserve">measurement error arising from </w:t>
      </w:r>
      <w:r w:rsidR="002A09DC">
        <w:t>question wording and order</w:t>
      </w:r>
      <w:r w:rsidR="00693394">
        <w:t xml:space="preserve"> as a possible cause</w:t>
      </w:r>
      <w:r w:rsidR="002A09DC">
        <w:t xml:space="preserve">, because this is a special case of the same over-arching phenomenon. </w:t>
      </w:r>
    </w:p>
    <w:p w14:paraId="64171524" w14:textId="53C52031" w:rsidR="004A3F1B" w:rsidRPr="004A3F1B" w:rsidRDefault="004A3F1B" w:rsidP="007A4251">
      <w:pPr>
        <w:spacing w:line="480" w:lineRule="auto"/>
        <w:jc w:val="both"/>
      </w:pPr>
      <w:r w:rsidRPr="004A3F1B">
        <w:t>Differential turnout was also pointed to after the election as a likely cause of the errors; so-called ‘lazy Labour’ supporters telling pollsters they would vote Labour but ultimately not turning out to vote.  Data from a number of sources shows no support for differential turnout misreporting</w:t>
      </w:r>
      <w:r w:rsidR="00097423">
        <w:t>, or errors in predicted probabilities of turnout in general,</w:t>
      </w:r>
      <w:r w:rsidRPr="004A3F1B">
        <w:t xml:space="preserve"> making anything but a very small contribution to the polling errors. </w:t>
      </w:r>
      <w:r w:rsidR="00B05886">
        <w:t>This means that we can also reject the possibility that</w:t>
      </w:r>
      <w:r w:rsidR="002A09DC" w:rsidRPr="004A3F1B">
        <w:t xml:space="preserve"> un-registered voters made any contribution to the polling errors</w:t>
      </w:r>
      <w:r w:rsidR="00B05886">
        <w:t xml:space="preserve"> because this would manifest as an error of turnout weighting</w:t>
      </w:r>
      <w:r w:rsidR="002A09DC" w:rsidRPr="004A3F1B">
        <w:t>.</w:t>
      </w:r>
    </w:p>
    <w:p w14:paraId="1B58CFF4" w14:textId="1465C935" w:rsidR="00AC5EEE" w:rsidRDefault="004A3F1B" w:rsidP="007A4251">
      <w:pPr>
        <w:spacing w:line="480" w:lineRule="auto"/>
        <w:jc w:val="both"/>
      </w:pPr>
      <w:r w:rsidRPr="004A3F1B">
        <w:t xml:space="preserve">If the potential causes considered above are </w:t>
      </w:r>
      <w:r w:rsidR="001C59E4">
        <w:t>found to have made, at best, marginal contributions to the polling error</w:t>
      </w:r>
      <w:r w:rsidRPr="004A3F1B">
        <w:t>, we are left to conclude that unrepresentativeness in the samples must have been the</w:t>
      </w:r>
      <w:r w:rsidR="001C59E4">
        <w:t xml:space="preserve"> primary</w:t>
      </w:r>
      <w:r w:rsidRPr="004A3F1B">
        <w:t xml:space="preserve"> cause of the polling miss in 2015. On its own, a strategy which reaches a conclusion through elimination of alternative explanations is not very satisfactory, particularly when the evidence on which the preliminary eliminations are based is imperfect, as is the case here.  Had we been drawn, by a process of elimination, to conclude that the polling miss was due to a </w:t>
      </w:r>
      <w:r w:rsidRPr="004A3F1B">
        <w:rPr>
          <w:i/>
        </w:rPr>
        <w:t>prima facie</w:t>
      </w:r>
      <w:r w:rsidRPr="004A3F1B">
        <w:t xml:space="preserve"> implausible explanatory factor - such as overseas voters - then we would question the validity of the process that led us to this inference.  But this is not the case here; we identified sampling and weighting procedures as representing inherent w</w:t>
      </w:r>
      <w:r w:rsidR="00275390">
        <w:t>eaknesses</w:t>
      </w:r>
      <w:r w:rsidRPr="004A3F1B">
        <w:t xml:space="preserve"> </w:t>
      </w:r>
      <w:r w:rsidR="00052910">
        <w:t>in our description of the assumptions underlying the methodology of polling</w:t>
      </w:r>
      <w:r w:rsidRPr="004A3F1B">
        <w:t xml:space="preserve">.  </w:t>
      </w:r>
    </w:p>
    <w:p w14:paraId="6492F93E" w14:textId="78BF2FA6" w:rsidR="004A3F1B" w:rsidRPr="004A3F1B" w:rsidRDefault="002F6172" w:rsidP="007A4251">
      <w:pPr>
        <w:spacing w:line="480" w:lineRule="auto"/>
        <w:jc w:val="both"/>
      </w:pPr>
      <w:r>
        <w:t>We</w:t>
      </w:r>
      <w:r w:rsidR="007F58C7">
        <w:t xml:space="preserve"> have</w:t>
      </w:r>
      <w:r>
        <w:t xml:space="preserve"> also </w:t>
      </w:r>
      <w:r w:rsidR="007F58C7">
        <w:t xml:space="preserve">provided empirical evidence in support of the conclusion that the sampling procedures employed by the pollsters produced biased estimates of vote intentions. </w:t>
      </w:r>
      <w:r w:rsidR="00110D6F">
        <w:t xml:space="preserve">Random probability samples undertaken shortly after the election produced accurate estimates of the Conservative lead over Labour, suggesting that </w:t>
      </w:r>
      <w:r w:rsidR="0043429A">
        <w:t>the less</w:t>
      </w:r>
      <w:r w:rsidR="00110D6F">
        <w:t xml:space="preserve"> robust sampling procedures</w:t>
      </w:r>
      <w:r w:rsidR="0043429A">
        <w:t xml:space="preserve"> used by the polls were responsible for the under-estimation of this key parameter. </w:t>
      </w:r>
      <w:r w:rsidR="00AC5EEE">
        <w:t xml:space="preserve">The difference in the estimate of the Conservative </w:t>
      </w:r>
      <w:r w:rsidR="00AC5EEE">
        <w:lastRenderedPageBreak/>
        <w:t xml:space="preserve">lead between the probability samples and the polls is still evident </w:t>
      </w:r>
      <w:r w:rsidR="005844FB">
        <w:t xml:space="preserve">using </w:t>
      </w:r>
      <w:r w:rsidR="00DF6030">
        <w:t>the re</w:t>
      </w:r>
      <w:r w:rsidR="00D35704">
        <w:t>-</w:t>
      </w:r>
      <w:r w:rsidR="00DF6030">
        <w:t>contact surveys</w:t>
      </w:r>
      <w:r w:rsidR="005844FB">
        <w:t xml:space="preserve"> that were</w:t>
      </w:r>
      <w:r w:rsidR="00DF6030">
        <w:t xml:space="preserve"> undertaken by a subset of pollsters, indicating that the sampling procedures rather than the timing of the fieldwork was the cause of the difference</w:t>
      </w:r>
      <w:r w:rsidR="005844FB">
        <w:t xml:space="preserve"> in the estimates of the lead</w:t>
      </w:r>
      <w:r w:rsidR="00DF6030">
        <w:t xml:space="preserve">. </w:t>
      </w:r>
      <w:r w:rsidR="00D045E8">
        <w:t>Additionally, we</w:t>
      </w:r>
      <w:r w:rsidR="005844FB">
        <w:t xml:space="preserve"> showed that the polls strongly violated the core assumption </w:t>
      </w:r>
      <w:r w:rsidR="009747EF">
        <w:t>required for representative sampling;</w:t>
      </w:r>
      <w:r w:rsidR="005844FB">
        <w:t xml:space="preserve"> that the </w:t>
      </w:r>
      <w:r w:rsidR="009747EF">
        <w:t xml:space="preserve">estimates of vote intention should be accurate </w:t>
      </w:r>
      <w:r w:rsidR="00E2722B">
        <w:t xml:space="preserve">conditional on the variables </w:t>
      </w:r>
      <w:r w:rsidR="009747EF">
        <w:t xml:space="preserve">used for </w:t>
      </w:r>
      <w:r w:rsidR="00E2722B">
        <w:t>calibration weighting</w:t>
      </w:r>
      <w:r w:rsidR="009747EF">
        <w:t xml:space="preserve">. It was particularly </w:t>
      </w:r>
      <w:r w:rsidR="00A364E5">
        <w:t>suggestive</w:t>
      </w:r>
      <w:r w:rsidR="009747EF">
        <w:t xml:space="preserve"> that the polls under-estimated the Conservative lead</w:t>
      </w:r>
      <w:r w:rsidR="00F71101">
        <w:t xml:space="preserve"> most</w:t>
      </w:r>
      <w:r w:rsidR="009747EF">
        <w:t xml:space="preserve"> in areas and sub-groups where the true Conservative lead was largest. </w:t>
      </w:r>
      <w:r w:rsidR="003F67C1">
        <w:t>Finally, we presented specific examples of</w:t>
      </w:r>
      <w:r w:rsidR="007616BF">
        <w:t xml:space="preserve"> two</w:t>
      </w:r>
      <w:r w:rsidR="003F67C1">
        <w:t xml:space="preserve"> other variables in the poll samples, age and turnout in the 2010 election, on which biases were also evident. Taken together, these</w:t>
      </w:r>
      <w:r w:rsidR="00274216">
        <w:t xml:space="preserve"> findings </w:t>
      </w:r>
      <w:r w:rsidR="00D045E8">
        <w:t>lead us to conclude</w:t>
      </w:r>
      <w:r w:rsidR="00274216">
        <w:t xml:space="preserve"> that violation of the representative sampling assumption was the primary cause of the 2015 polling miss.</w:t>
      </w:r>
      <w:r w:rsidR="003F67C1">
        <w:t xml:space="preserve"> </w:t>
      </w:r>
    </w:p>
    <w:p w14:paraId="07980F72" w14:textId="530A882E" w:rsidR="00FD1F27" w:rsidRDefault="004A3F1B" w:rsidP="007A4251">
      <w:pPr>
        <w:spacing w:line="480" w:lineRule="auto"/>
        <w:jc w:val="both"/>
      </w:pPr>
      <w:r w:rsidRPr="004A3F1B">
        <w:t xml:space="preserve">What can be done to improve the representativeness of poll samples in the future? The answer to this question depends on whether the pollsters continue to employ quota methods, or switch to random </w:t>
      </w:r>
      <w:r w:rsidR="007A4251">
        <w:t xml:space="preserve">probability </w:t>
      </w:r>
      <w:r w:rsidRPr="004A3F1B">
        <w:t xml:space="preserve">sampling.  Due to the high cost of </w:t>
      </w:r>
      <w:r w:rsidR="007A4251">
        <w:t>probability</w:t>
      </w:r>
      <w:r w:rsidRPr="004A3F1B">
        <w:t xml:space="preserve"> sampling, we expect the vast majority of opinion polls to continue using non-random sampling methods for the foreseeable future.  </w:t>
      </w:r>
      <w:r w:rsidR="00FD1F27">
        <w:t xml:space="preserve">The </w:t>
      </w:r>
      <w:r w:rsidR="00A173EC">
        <w:t>aim then</w:t>
      </w:r>
      <w:r w:rsidR="00BA72CF">
        <w:t xml:space="preserve"> must be</w:t>
      </w:r>
      <w:r w:rsidR="00A173EC">
        <w:t xml:space="preserve"> t</w:t>
      </w:r>
      <w:r w:rsidR="00FD1F27">
        <w:t>o do them as well as possible</w:t>
      </w:r>
      <w:r w:rsidR="00BA72CF">
        <w:t>, a point not limited to election polls but refers to the increasing volume of research being undertaken using</w:t>
      </w:r>
      <w:r w:rsidR="00DC34ED">
        <w:t xml:space="preserve"> online</w:t>
      </w:r>
      <w:r w:rsidR="00A173EC">
        <w:t xml:space="preserve"> non-probability samples (for an introduction to </w:t>
      </w:r>
      <w:r w:rsidR="00DC34ED">
        <w:t>the growth of non-probability sampling</w:t>
      </w:r>
      <w:r w:rsidR="00A173EC">
        <w:t xml:space="preserve">, see the AAPOR report by Baker et al 2013, and its references and associated discussion), </w:t>
      </w:r>
    </w:p>
    <w:p w14:paraId="7570A054" w14:textId="54287E9F" w:rsidR="004A3F1B" w:rsidRPr="004A3F1B" w:rsidRDefault="00FD1F27" w:rsidP="007A4251">
      <w:pPr>
        <w:spacing w:line="480" w:lineRule="auto"/>
        <w:jc w:val="both"/>
      </w:pPr>
      <w:r>
        <w:t>C</w:t>
      </w:r>
      <w:r w:rsidR="004A3F1B" w:rsidRPr="004A3F1B">
        <w:t xml:space="preserve">ontinuing with non-random sampling </w:t>
      </w:r>
      <w:r>
        <w:t xml:space="preserve">in the election polls </w:t>
      </w:r>
      <w:r w:rsidR="004A3F1B" w:rsidRPr="004A3F1B">
        <w:t xml:space="preserve">means there are only two broad strategies that can be pursued to improve sample representativeness.  Pollsters can take measures to increase the representativeness of respondents recruited to existing quota and weighting cells, or they can incorporate new variables into their weighting schemes which are related to both the probability of selecting into poll samples </w:t>
      </w:r>
      <w:r w:rsidR="007A4251">
        <w:t xml:space="preserve">and </w:t>
      </w:r>
      <w:r w:rsidR="004A3F1B" w:rsidRPr="004A3F1B">
        <w:t xml:space="preserve">vote intention.  These are not mutually exclusive strategies.  </w:t>
      </w:r>
    </w:p>
    <w:p w14:paraId="7CC3AA6D" w14:textId="045008DB" w:rsidR="004A3F1B" w:rsidRPr="004A3F1B" w:rsidRDefault="004A3F1B" w:rsidP="007A4251">
      <w:pPr>
        <w:spacing w:line="480" w:lineRule="auto"/>
        <w:jc w:val="both"/>
      </w:pPr>
      <w:r w:rsidRPr="004A3F1B">
        <w:lastRenderedPageBreak/>
        <w:t>How this is done will depend, to an extent, on the mode</w:t>
      </w:r>
      <w:r w:rsidR="00723502">
        <w:t xml:space="preserve"> of interview</w:t>
      </w:r>
      <w:r w:rsidRPr="004A3F1B">
        <w:t xml:space="preserve"> of the poll. For phone polls this is likely to involve (but will not be limited to) using longer fieldwork periods, more call-backs to initially non-responding numbers (both non-contacts and refusals), and ensuring a </w:t>
      </w:r>
      <w:r w:rsidR="007A4251">
        <w:t>more representative</w:t>
      </w:r>
      <w:r w:rsidR="00723502">
        <w:t xml:space="preserve"> mix</w:t>
      </w:r>
      <w:r w:rsidRPr="004A3F1B">
        <w:t xml:space="preserve"> of landline and mobile phone numbers. We </w:t>
      </w:r>
      <w:r w:rsidR="009B6580">
        <w:t>recognise</w:t>
      </w:r>
      <w:r w:rsidR="009B6580" w:rsidRPr="004A3F1B">
        <w:t xml:space="preserve"> </w:t>
      </w:r>
      <w:r w:rsidRPr="004A3F1B">
        <w:t xml:space="preserve">that, taken to their logical extreme, these procedures would be practically equivalent to implementing a random probability design and would therefore be expensive and time-consuming.  While, as we will note shortly, we would very much welcome the implementation of truly random sample designs, we acknowledge that the cost restrictions of true random methods make them impractical for the vast majority of </w:t>
      </w:r>
      <w:r w:rsidR="009B6580">
        <w:t xml:space="preserve">pre-election </w:t>
      </w:r>
      <w:r w:rsidRPr="004A3F1B">
        <w:t xml:space="preserve">phone polls. </w:t>
      </w:r>
      <w:r w:rsidR="00723502">
        <w:t xml:space="preserve"> The extended fieldwork periods required for high quality random samples also means they have obvious weaknesses for campaigns characterised by volatile voter preferences.</w:t>
      </w:r>
      <w:r w:rsidRPr="004A3F1B">
        <w:t xml:space="preserve"> Nevertheless, it would seem that there are gains to be made in quality without making the resultant design un-affordably expensive and lengthy. It may be that implementing procedures of this nature results in fewer polls being carried out than was the case in the last parliament, as the cost of undertaking each one would no doubt increase.  This would, in our view be no bad thing, so long as the cost savings that accrue from doing fewer polls are invested in quality improvements. </w:t>
      </w:r>
    </w:p>
    <w:p w14:paraId="796E17CC" w14:textId="7ACC3D00" w:rsidR="004A3F1B" w:rsidRPr="004A3F1B" w:rsidRDefault="004A3F1B" w:rsidP="007A4251">
      <w:pPr>
        <w:spacing w:line="480" w:lineRule="auto"/>
        <w:jc w:val="both"/>
      </w:pPr>
      <w:r w:rsidRPr="004A3F1B">
        <w:t xml:space="preserve">For online polls the procedures required to yield more representative samples within weighting cells are also likely to involve longer field periods, more reminders, as well as differential incentives for under-represented groups, and changes to the framing of survey requests.  We encourage online pollsters to experiment with these and other methods in order to increase the diversity of their respondent pools. </w:t>
      </w:r>
    </w:p>
    <w:p w14:paraId="0F93E539" w14:textId="03CB73C0" w:rsidR="004A3F1B" w:rsidRPr="004A3F1B" w:rsidRDefault="004A3F1B" w:rsidP="007A4251">
      <w:pPr>
        <w:spacing w:line="480" w:lineRule="auto"/>
        <w:jc w:val="both"/>
      </w:pPr>
      <w:r w:rsidRPr="004A3F1B">
        <w:t xml:space="preserve">The second strategy pollsters can pursue to improve sample representativeness is to modify the variables used </w:t>
      </w:r>
      <w:r w:rsidR="00F811C4">
        <w:t xml:space="preserve">for the </w:t>
      </w:r>
      <w:r w:rsidRPr="004A3F1B">
        <w:t xml:space="preserve">weighting </w:t>
      </w:r>
      <w:r w:rsidR="00F811C4">
        <w:t>of the poll data</w:t>
      </w:r>
      <w:r w:rsidRPr="004A3F1B">
        <w:t xml:space="preserve">. </w:t>
      </w:r>
      <w:r w:rsidR="005B0842">
        <w:t>Here, there is not such a clear trade</w:t>
      </w:r>
      <w:r w:rsidR="00275390">
        <w:t>-</w:t>
      </w:r>
      <w:r w:rsidR="005B0842">
        <w:t>off between expense and quality as there is with</w:t>
      </w:r>
      <w:r w:rsidR="007A4251">
        <w:t xml:space="preserve"> obtain</w:t>
      </w:r>
      <w:r w:rsidR="005B0842">
        <w:t>ing</w:t>
      </w:r>
      <w:r w:rsidR="007A4251">
        <w:t xml:space="preserve"> more representative samples. </w:t>
      </w:r>
      <w:r w:rsidR="005B0842">
        <w:t>I</w:t>
      </w:r>
      <w:r w:rsidRPr="004A3F1B">
        <w:t xml:space="preserve">f variables that are correlated with self-selecting into opinion polls and vote intention were readily available, pollsters </w:t>
      </w:r>
      <w:r w:rsidRPr="004A3F1B">
        <w:lastRenderedPageBreak/>
        <w:t xml:space="preserve">would already be using them.  </w:t>
      </w:r>
      <w:r w:rsidR="00A1173B">
        <w:t>W</w:t>
      </w:r>
      <w:r w:rsidRPr="004A3F1B">
        <w:t xml:space="preserve">e </w:t>
      </w:r>
      <w:r w:rsidR="00294AA0">
        <w:t>also recommend</w:t>
      </w:r>
      <w:r w:rsidRPr="004A3F1B">
        <w:t xml:space="preserve"> caution </w:t>
      </w:r>
      <w:r w:rsidR="00294AA0">
        <w:t>in</w:t>
      </w:r>
      <w:r w:rsidR="00294AA0" w:rsidRPr="004A3F1B">
        <w:t xml:space="preserve"> </w:t>
      </w:r>
      <w:r w:rsidRPr="004A3F1B">
        <w:t>the use of variables</w:t>
      </w:r>
      <w:r w:rsidR="00294AA0">
        <w:t xml:space="preserve"> for </w:t>
      </w:r>
      <w:r w:rsidR="00E2722B">
        <w:t xml:space="preserve">calibration weighting </w:t>
      </w:r>
      <w:r w:rsidRPr="004A3F1B">
        <w:t xml:space="preserve">which do not have well defined </w:t>
      </w:r>
      <w:r w:rsidR="00463568">
        <w:t xml:space="preserve">and correctly known </w:t>
      </w:r>
      <w:r w:rsidRPr="004A3F1B">
        <w:t>population totals</w:t>
      </w:r>
      <w:r w:rsidR="00383642">
        <w:t xml:space="preserve">. </w:t>
      </w:r>
    </w:p>
    <w:p w14:paraId="11744DED" w14:textId="34FA2653" w:rsidR="00463568" w:rsidRDefault="004A3F1B" w:rsidP="008031C2">
      <w:pPr>
        <w:spacing w:line="480" w:lineRule="auto"/>
        <w:jc w:val="both"/>
        <w:rPr>
          <w:b/>
        </w:rPr>
      </w:pPr>
      <w:r w:rsidRPr="004A3F1B">
        <w:t xml:space="preserve">Despite its limitations, polling remains the </w:t>
      </w:r>
      <w:r w:rsidR="008031C2">
        <w:t>primary means</w:t>
      </w:r>
      <w:r w:rsidR="000068B9" w:rsidRPr="004A3F1B">
        <w:t xml:space="preserve"> </w:t>
      </w:r>
      <w:r w:rsidRPr="004A3F1B">
        <w:t xml:space="preserve">of estimating </w:t>
      </w:r>
      <w:r w:rsidR="008031C2">
        <w:t xml:space="preserve">likely </w:t>
      </w:r>
      <w:r w:rsidRPr="004A3F1B">
        <w:t>vote shares in elections</w:t>
      </w:r>
      <w:r w:rsidR="002263CD">
        <w:t xml:space="preserve"> </w:t>
      </w:r>
      <w:r w:rsidRPr="004A3F1B">
        <w:t>and this</w:t>
      </w:r>
      <w:r w:rsidR="002263CD">
        <w:t>, we contend,</w:t>
      </w:r>
      <w:r w:rsidRPr="004A3F1B">
        <w:t xml:space="preserve"> is likely to remain the case for the foreseeable future.  While polls rarely </w:t>
      </w:r>
      <w:r w:rsidR="005F3721">
        <w:t>produce</w:t>
      </w:r>
      <w:r w:rsidR="005F3721" w:rsidRPr="004A3F1B">
        <w:t xml:space="preserve"> </w:t>
      </w:r>
      <w:r w:rsidRPr="004A3F1B">
        <w:t>exactly</w:t>
      </w:r>
      <w:r w:rsidR="005F3721">
        <w:t xml:space="preserve"> correct vote share estimates</w:t>
      </w:r>
      <w:r w:rsidRPr="004A3F1B">
        <w:t xml:space="preserve"> and sometimes </w:t>
      </w:r>
      <w:r w:rsidR="008031C2">
        <w:t>produce</w:t>
      </w:r>
      <w:r w:rsidR="008031C2" w:rsidRPr="004A3F1B">
        <w:t xml:space="preserve"> </w:t>
      </w:r>
      <w:r w:rsidRPr="004A3F1B">
        <w:t xml:space="preserve">substantial </w:t>
      </w:r>
      <w:r w:rsidR="008031C2">
        <w:t>errors</w:t>
      </w:r>
      <w:r w:rsidRPr="004A3F1B">
        <w:t xml:space="preserve">, </w:t>
      </w:r>
      <w:r w:rsidR="002263CD">
        <w:t xml:space="preserve">the historical record shows </w:t>
      </w:r>
      <w:r w:rsidR="008031C2">
        <w:t>that the final polls</w:t>
      </w:r>
      <w:r w:rsidR="002263CD">
        <w:t xml:space="preserve"> are usually within a few percentage points of </w:t>
      </w:r>
      <w:r w:rsidR="008031C2">
        <w:t>the actual</w:t>
      </w:r>
      <w:r w:rsidR="002263CD">
        <w:t xml:space="preserve"> party shares</w:t>
      </w:r>
      <w:r w:rsidR="008031C2">
        <w:t xml:space="preserve"> in elections</w:t>
      </w:r>
      <w:r w:rsidR="00ED4336">
        <w:t xml:space="preserve"> (Sturgis et al, 2016)</w:t>
      </w:r>
      <w:r w:rsidRPr="004A3F1B">
        <w:t>.</w:t>
      </w:r>
      <w:r w:rsidR="00383642">
        <w:t xml:space="preserve"> </w:t>
      </w:r>
      <w:r w:rsidRPr="004A3F1B">
        <w:t>Yet, it must be better acknowledged that accurately predicting vote shares in an election is a very challenging task</w:t>
      </w:r>
      <w:r w:rsidR="008031C2">
        <w:t xml:space="preserve"> (</w:t>
      </w:r>
      <w:proofErr w:type="spellStart"/>
      <w:r w:rsidR="008031C2">
        <w:t>Hillygus</w:t>
      </w:r>
      <w:proofErr w:type="spellEnd"/>
      <w:r w:rsidR="008031C2">
        <w:t>, 201</w:t>
      </w:r>
      <w:r w:rsidR="009A5700">
        <w:t>1</w:t>
      </w:r>
      <w:r w:rsidR="008031C2">
        <w:t>)</w:t>
      </w:r>
      <w:r w:rsidRPr="004A3F1B">
        <w:t xml:space="preserve">.  A representative sample of the general population must be obtained and accurate reports of party choice elicited from respondents. An approximately accurate method of determining how likely respondents are to cast a vote must be implemented and the sample of voters must not change their minds between taking part in the poll and casting their ballots.   What is more, the entire procedure must usually be carried out and reported on within a very short space of time and at very low cost.  Given these many potential pitfalls, it </w:t>
      </w:r>
      <w:r w:rsidR="005D122D">
        <w:t>should come as no surprise</w:t>
      </w:r>
      <w:r w:rsidRPr="004A3F1B">
        <w:t xml:space="preserve"> that the historical record shows polling errors of the approximate magnitude of 2015 occur at not infrequent intervals.</w:t>
      </w:r>
    </w:p>
    <w:p w14:paraId="35DE3C6A" w14:textId="77777777" w:rsidR="00463568" w:rsidRDefault="00463568" w:rsidP="00C37C80">
      <w:pPr>
        <w:rPr>
          <w:b/>
        </w:rPr>
      </w:pPr>
    </w:p>
    <w:p w14:paraId="5A19664E" w14:textId="1B76B746" w:rsidR="00511576" w:rsidRDefault="006B61D0" w:rsidP="00C37C80">
      <w:pPr>
        <w:rPr>
          <w:b/>
        </w:rPr>
      </w:pPr>
      <w:r w:rsidRPr="006B61D0">
        <w:rPr>
          <w:b/>
        </w:rPr>
        <w:t>References</w:t>
      </w:r>
    </w:p>
    <w:p w14:paraId="5B364805" w14:textId="524FAD55" w:rsidR="00A4519E" w:rsidRDefault="00A4519E" w:rsidP="00424814">
      <w:pPr>
        <w:spacing w:after="0" w:line="240" w:lineRule="auto"/>
        <w:ind w:left="720" w:hanging="720"/>
        <w:rPr>
          <w:sz w:val="23"/>
          <w:szCs w:val="23"/>
        </w:rPr>
      </w:pPr>
      <w:r>
        <w:rPr>
          <w:sz w:val="23"/>
          <w:szCs w:val="23"/>
        </w:rPr>
        <w:t xml:space="preserve">AAPOR (2009). </w:t>
      </w:r>
      <w:r w:rsidRPr="00A4519E">
        <w:rPr>
          <w:i/>
          <w:sz w:val="23"/>
          <w:szCs w:val="23"/>
        </w:rPr>
        <w:t>An Evaluation of the Methodology of the 2008 Pre-Election Primary Polls</w:t>
      </w:r>
      <w:r>
        <w:rPr>
          <w:sz w:val="23"/>
          <w:szCs w:val="23"/>
        </w:rPr>
        <w:t xml:space="preserve">. American Association for Public Opinion Research. (Available from </w:t>
      </w:r>
      <w:hyperlink r:id="rId9" w:history="1">
        <w:r w:rsidRPr="0069728D">
          <w:rPr>
            <w:rStyle w:val="Hyperlink"/>
            <w:sz w:val="23"/>
            <w:szCs w:val="23"/>
          </w:rPr>
          <w:t>https://www.aapor.org/AAPOR_Main/media/MainSiteFiles/AAPOR_Rept_FINAL-Rev-4-13-09.pdf</w:t>
        </w:r>
      </w:hyperlink>
      <w:r>
        <w:rPr>
          <w:sz w:val="23"/>
          <w:szCs w:val="23"/>
        </w:rPr>
        <w:t xml:space="preserve">.) </w:t>
      </w:r>
    </w:p>
    <w:p w14:paraId="74ADEBA3" w14:textId="64D09616" w:rsidR="006A0894" w:rsidRDefault="006A0894" w:rsidP="00424814">
      <w:pPr>
        <w:spacing w:after="0" w:line="240" w:lineRule="auto"/>
        <w:ind w:left="720" w:hanging="720"/>
        <w:rPr>
          <w:sz w:val="23"/>
          <w:szCs w:val="23"/>
        </w:rPr>
      </w:pPr>
      <w:r>
        <w:rPr>
          <w:sz w:val="23"/>
          <w:szCs w:val="23"/>
        </w:rPr>
        <w:t xml:space="preserve">Baker, R., Brick, J. M., Bates, N. A., </w:t>
      </w:r>
      <w:proofErr w:type="spellStart"/>
      <w:r>
        <w:rPr>
          <w:sz w:val="23"/>
          <w:szCs w:val="23"/>
        </w:rPr>
        <w:t>Battaglia</w:t>
      </w:r>
      <w:proofErr w:type="spellEnd"/>
      <w:r>
        <w:rPr>
          <w:sz w:val="23"/>
          <w:szCs w:val="23"/>
        </w:rPr>
        <w:t xml:space="preserve">, M., Cooper, M. P., </w:t>
      </w:r>
      <w:proofErr w:type="spellStart"/>
      <w:r>
        <w:rPr>
          <w:sz w:val="23"/>
          <w:szCs w:val="23"/>
        </w:rPr>
        <w:t>Dever</w:t>
      </w:r>
      <w:proofErr w:type="spellEnd"/>
      <w:r>
        <w:rPr>
          <w:sz w:val="23"/>
          <w:szCs w:val="23"/>
        </w:rPr>
        <w:t xml:space="preserve">, J. A., </w:t>
      </w:r>
      <w:proofErr w:type="spellStart"/>
      <w:r>
        <w:rPr>
          <w:sz w:val="23"/>
          <w:szCs w:val="23"/>
        </w:rPr>
        <w:t>Gile</w:t>
      </w:r>
      <w:proofErr w:type="spellEnd"/>
      <w:r>
        <w:rPr>
          <w:sz w:val="23"/>
          <w:szCs w:val="23"/>
        </w:rPr>
        <w:t xml:space="preserve">, K, J., and </w:t>
      </w:r>
      <w:proofErr w:type="spellStart"/>
      <w:r>
        <w:rPr>
          <w:sz w:val="23"/>
          <w:szCs w:val="23"/>
        </w:rPr>
        <w:t>Tourangeau</w:t>
      </w:r>
      <w:proofErr w:type="spellEnd"/>
      <w:r>
        <w:rPr>
          <w:sz w:val="23"/>
          <w:szCs w:val="23"/>
        </w:rPr>
        <w:t>, R. (2013). Summar</w:t>
      </w:r>
      <w:r w:rsidR="00487C84">
        <w:rPr>
          <w:sz w:val="23"/>
          <w:szCs w:val="23"/>
        </w:rPr>
        <w:t>y</w:t>
      </w:r>
      <w:r>
        <w:rPr>
          <w:sz w:val="23"/>
          <w:szCs w:val="23"/>
        </w:rPr>
        <w:t xml:space="preserve"> report of the AAPOR task force on non-probability sampling. </w:t>
      </w:r>
      <w:r w:rsidRPr="006A0894">
        <w:rPr>
          <w:i/>
          <w:sz w:val="23"/>
          <w:szCs w:val="23"/>
        </w:rPr>
        <w:t>Journal of Survey Statistics and Methodology</w:t>
      </w:r>
      <w:r>
        <w:rPr>
          <w:sz w:val="23"/>
          <w:szCs w:val="23"/>
        </w:rPr>
        <w:t xml:space="preserve">, </w:t>
      </w:r>
      <w:r w:rsidRPr="006A0894">
        <w:rPr>
          <w:sz w:val="23"/>
          <w:szCs w:val="23"/>
        </w:rPr>
        <w:t>1, 90–143</w:t>
      </w:r>
      <w:r>
        <w:rPr>
          <w:sz w:val="23"/>
          <w:szCs w:val="23"/>
        </w:rPr>
        <w:t>.</w:t>
      </w:r>
    </w:p>
    <w:p w14:paraId="64F0A870" w14:textId="22DD841F" w:rsidR="001827A6" w:rsidRDefault="001827A6" w:rsidP="00424814">
      <w:pPr>
        <w:spacing w:after="0" w:line="240" w:lineRule="auto"/>
        <w:ind w:left="720" w:hanging="720"/>
        <w:rPr>
          <w:sz w:val="23"/>
          <w:szCs w:val="23"/>
        </w:rPr>
      </w:pPr>
      <w:r>
        <w:rPr>
          <w:sz w:val="23"/>
          <w:szCs w:val="23"/>
        </w:rPr>
        <w:t>Butler, D. and Pinto-</w:t>
      </w:r>
      <w:proofErr w:type="spellStart"/>
      <w:r>
        <w:rPr>
          <w:sz w:val="23"/>
          <w:szCs w:val="23"/>
        </w:rPr>
        <w:t>Duschinsky</w:t>
      </w:r>
      <w:proofErr w:type="spellEnd"/>
      <w:r>
        <w:rPr>
          <w:sz w:val="23"/>
          <w:szCs w:val="23"/>
        </w:rPr>
        <w:t xml:space="preserve">, M. (1971). </w:t>
      </w:r>
      <w:r>
        <w:rPr>
          <w:i/>
          <w:iCs/>
          <w:sz w:val="23"/>
          <w:szCs w:val="23"/>
        </w:rPr>
        <w:t xml:space="preserve">The British General Election of 1970. </w:t>
      </w:r>
      <w:r>
        <w:rPr>
          <w:sz w:val="23"/>
          <w:szCs w:val="23"/>
        </w:rPr>
        <w:t>London: Macmillan.</w:t>
      </w:r>
    </w:p>
    <w:p w14:paraId="704F5216" w14:textId="4C4E0DCC" w:rsidR="005164A6" w:rsidRDefault="005164A6" w:rsidP="00424814">
      <w:pPr>
        <w:spacing w:after="0" w:line="240" w:lineRule="auto"/>
        <w:ind w:left="720" w:hanging="720"/>
        <w:rPr>
          <w:sz w:val="23"/>
          <w:szCs w:val="23"/>
        </w:rPr>
      </w:pPr>
      <w:r>
        <w:t xml:space="preserve">Converse, Jean (1987) </w:t>
      </w:r>
      <w:r w:rsidRPr="00F2724D">
        <w:rPr>
          <w:i/>
          <w:iCs/>
        </w:rPr>
        <w:t>Survey Research in the United States: Roots and Emergence 1890–1960</w:t>
      </w:r>
      <w:r>
        <w:t>. Berkeley and Los Angeles: University of California Press.</w:t>
      </w:r>
    </w:p>
    <w:p w14:paraId="69741F4A" w14:textId="4E2744E3" w:rsidR="005164A6" w:rsidRDefault="005164A6" w:rsidP="00424814">
      <w:pPr>
        <w:spacing w:after="0" w:line="240" w:lineRule="auto"/>
        <w:ind w:left="720" w:hanging="720"/>
        <w:rPr>
          <w:sz w:val="23"/>
          <w:szCs w:val="23"/>
        </w:rPr>
      </w:pPr>
      <w:proofErr w:type="spellStart"/>
      <w:r>
        <w:t>Crossley</w:t>
      </w:r>
      <w:proofErr w:type="spellEnd"/>
      <w:r>
        <w:t xml:space="preserve">, A. (1937) ‘‘Straw Polls in 1936.’’ </w:t>
      </w:r>
      <w:r w:rsidRPr="00F2724D">
        <w:rPr>
          <w:i/>
          <w:iCs/>
        </w:rPr>
        <w:t>Public Opinion Quarterly</w:t>
      </w:r>
      <w:r>
        <w:t xml:space="preserve"> 1(January):24–35</w:t>
      </w:r>
    </w:p>
    <w:p w14:paraId="1259F234" w14:textId="3034E8FF" w:rsidR="00487C84" w:rsidRDefault="00487C84" w:rsidP="00424814">
      <w:pPr>
        <w:spacing w:after="0" w:line="240" w:lineRule="auto"/>
        <w:ind w:left="720" w:hanging="720"/>
        <w:rPr>
          <w:sz w:val="23"/>
          <w:szCs w:val="23"/>
        </w:rPr>
      </w:pPr>
      <w:r>
        <w:rPr>
          <w:sz w:val="23"/>
          <w:szCs w:val="23"/>
        </w:rPr>
        <w:t xml:space="preserve">Davison, A. C. and </w:t>
      </w:r>
      <w:proofErr w:type="spellStart"/>
      <w:r>
        <w:rPr>
          <w:sz w:val="23"/>
          <w:szCs w:val="23"/>
        </w:rPr>
        <w:t>Hinkley</w:t>
      </w:r>
      <w:proofErr w:type="spellEnd"/>
      <w:r>
        <w:rPr>
          <w:sz w:val="23"/>
          <w:szCs w:val="23"/>
        </w:rPr>
        <w:t xml:space="preserve">, D. V. (1997). </w:t>
      </w:r>
      <w:r w:rsidRPr="00487C84">
        <w:rPr>
          <w:i/>
          <w:sz w:val="23"/>
          <w:szCs w:val="23"/>
        </w:rPr>
        <w:t>Bootstrap Methods and their Application</w:t>
      </w:r>
      <w:r>
        <w:rPr>
          <w:sz w:val="23"/>
          <w:szCs w:val="23"/>
        </w:rPr>
        <w:t>. Cambridge: Cambridge University Press.</w:t>
      </w:r>
    </w:p>
    <w:p w14:paraId="0BBB1B4D" w14:textId="2258CEEB" w:rsidR="001D0068" w:rsidRDefault="001D0068" w:rsidP="00424814">
      <w:pPr>
        <w:spacing w:after="0" w:line="240" w:lineRule="auto"/>
        <w:ind w:left="720" w:hanging="720"/>
        <w:rPr>
          <w:sz w:val="23"/>
          <w:szCs w:val="23"/>
        </w:rPr>
      </w:pPr>
      <w:r>
        <w:rPr>
          <w:sz w:val="23"/>
          <w:szCs w:val="23"/>
        </w:rPr>
        <w:lastRenderedPageBreak/>
        <w:t xml:space="preserve">Deming, W. E. and Stephan, F. F. (1940). On a least squares adjustment of a sampled frequency table when the expected marginal totals are known. </w:t>
      </w:r>
      <w:r w:rsidRPr="00F2724D">
        <w:rPr>
          <w:i/>
          <w:sz w:val="23"/>
          <w:szCs w:val="23"/>
        </w:rPr>
        <w:t>The Annals of Mathematical Statistics</w:t>
      </w:r>
      <w:r>
        <w:rPr>
          <w:sz w:val="23"/>
          <w:szCs w:val="23"/>
        </w:rPr>
        <w:t>, 11, 427-444.</w:t>
      </w:r>
    </w:p>
    <w:p w14:paraId="2D55AA2C" w14:textId="67FF2424" w:rsidR="00B20F5D" w:rsidRDefault="00B20F5D" w:rsidP="00424814">
      <w:pPr>
        <w:spacing w:after="0" w:line="240" w:lineRule="auto"/>
        <w:ind w:left="720" w:hanging="720"/>
        <w:rPr>
          <w:sz w:val="23"/>
          <w:szCs w:val="23"/>
        </w:rPr>
      </w:pPr>
      <w:r>
        <w:rPr>
          <w:sz w:val="23"/>
          <w:szCs w:val="23"/>
        </w:rPr>
        <w:t>Devi</w:t>
      </w:r>
      <w:r w:rsidR="00650F57">
        <w:rPr>
          <w:sz w:val="23"/>
          <w:szCs w:val="23"/>
        </w:rPr>
        <w:t>l</w:t>
      </w:r>
      <w:r>
        <w:rPr>
          <w:sz w:val="23"/>
          <w:szCs w:val="23"/>
        </w:rPr>
        <w:t xml:space="preserve">le, J.-C. (1991). A theory of quota surveys. </w:t>
      </w:r>
      <w:r w:rsidRPr="00B20F5D">
        <w:rPr>
          <w:i/>
          <w:sz w:val="23"/>
          <w:szCs w:val="23"/>
        </w:rPr>
        <w:t>Survey Methodology</w:t>
      </w:r>
      <w:r>
        <w:rPr>
          <w:sz w:val="23"/>
          <w:szCs w:val="23"/>
        </w:rPr>
        <w:t xml:space="preserve">, 17, 163-181. </w:t>
      </w:r>
    </w:p>
    <w:p w14:paraId="6EEDF87F" w14:textId="5D53275B" w:rsidR="001F3BE3" w:rsidRPr="001F3BE3" w:rsidRDefault="001F3BE3" w:rsidP="00424814">
      <w:pPr>
        <w:spacing w:after="0" w:line="240" w:lineRule="auto"/>
        <w:ind w:left="720" w:hanging="720"/>
        <w:rPr>
          <w:sz w:val="23"/>
          <w:szCs w:val="23"/>
        </w:rPr>
      </w:pPr>
      <w:r>
        <w:rPr>
          <w:sz w:val="23"/>
          <w:szCs w:val="23"/>
        </w:rPr>
        <w:t xml:space="preserve">Deville, J.-C. and </w:t>
      </w:r>
      <w:proofErr w:type="spellStart"/>
      <w:r>
        <w:rPr>
          <w:sz w:val="23"/>
          <w:szCs w:val="23"/>
        </w:rPr>
        <w:t>S</w:t>
      </w:r>
      <w:r w:rsidRPr="00F2724D">
        <w:rPr>
          <w:sz w:val="23"/>
          <w:szCs w:val="23"/>
        </w:rPr>
        <w:t>ä</w:t>
      </w:r>
      <w:r>
        <w:rPr>
          <w:sz w:val="23"/>
          <w:szCs w:val="23"/>
        </w:rPr>
        <w:t>rndal</w:t>
      </w:r>
      <w:proofErr w:type="spellEnd"/>
      <w:r>
        <w:rPr>
          <w:sz w:val="23"/>
          <w:szCs w:val="23"/>
        </w:rPr>
        <w:t xml:space="preserve">, C.-E. (1992). Calibration estimators in survey sampling. </w:t>
      </w:r>
      <w:r w:rsidRPr="00F2724D">
        <w:rPr>
          <w:i/>
          <w:sz w:val="23"/>
          <w:szCs w:val="23"/>
        </w:rPr>
        <w:t>Journal of the American Statistical Association</w:t>
      </w:r>
      <w:r>
        <w:rPr>
          <w:sz w:val="23"/>
          <w:szCs w:val="23"/>
        </w:rPr>
        <w:t xml:space="preserve">, 87, 376-382. </w:t>
      </w:r>
    </w:p>
    <w:p w14:paraId="34D6DEF9" w14:textId="08FFDB31" w:rsidR="000917F5" w:rsidRDefault="000917F5" w:rsidP="00424814">
      <w:pPr>
        <w:spacing w:after="0" w:line="240" w:lineRule="auto"/>
        <w:ind w:left="720" w:hanging="720"/>
        <w:rPr>
          <w:sz w:val="23"/>
          <w:szCs w:val="23"/>
        </w:rPr>
      </w:pPr>
      <w:r>
        <w:rPr>
          <w:sz w:val="23"/>
          <w:szCs w:val="23"/>
        </w:rPr>
        <w:t xml:space="preserve">Dunleavy, P. (1980). The political implications of </w:t>
      </w:r>
      <w:proofErr w:type="spellStart"/>
      <w:r>
        <w:rPr>
          <w:sz w:val="23"/>
          <w:szCs w:val="23"/>
        </w:rPr>
        <w:t>sectoral</w:t>
      </w:r>
      <w:proofErr w:type="spellEnd"/>
      <w:r>
        <w:rPr>
          <w:sz w:val="23"/>
          <w:szCs w:val="23"/>
        </w:rPr>
        <w:t xml:space="preserve"> cleavages and the growth of state employment: Part 1, the analysis of production cleavages. </w:t>
      </w:r>
      <w:r>
        <w:rPr>
          <w:i/>
          <w:iCs/>
          <w:sz w:val="23"/>
          <w:szCs w:val="23"/>
        </w:rPr>
        <w:t xml:space="preserve">Political Studies, </w:t>
      </w:r>
      <w:r>
        <w:rPr>
          <w:sz w:val="23"/>
          <w:szCs w:val="23"/>
        </w:rPr>
        <w:t>28, 364-383.</w:t>
      </w:r>
    </w:p>
    <w:p w14:paraId="28CAE6AD" w14:textId="3BE5040B" w:rsidR="00B70C19" w:rsidRDefault="00B70C19" w:rsidP="00424814">
      <w:pPr>
        <w:spacing w:after="0" w:line="240" w:lineRule="auto"/>
        <w:ind w:left="720" w:hanging="720"/>
        <w:rPr>
          <w:sz w:val="23"/>
          <w:szCs w:val="23"/>
        </w:rPr>
      </w:pPr>
      <w:r>
        <w:rPr>
          <w:sz w:val="23"/>
          <w:szCs w:val="23"/>
        </w:rPr>
        <w:t xml:space="preserve">Fieldhouse, E., Green, J., Evans, G., </w:t>
      </w:r>
      <w:r w:rsidRPr="00B70C19">
        <w:rPr>
          <w:sz w:val="23"/>
          <w:szCs w:val="23"/>
        </w:rPr>
        <w:t>Schmitt</w:t>
      </w:r>
      <w:r>
        <w:rPr>
          <w:sz w:val="23"/>
          <w:szCs w:val="23"/>
        </w:rPr>
        <w:t xml:space="preserve">, H., </w:t>
      </w:r>
      <w:r w:rsidRPr="00B70C19">
        <w:rPr>
          <w:sz w:val="23"/>
          <w:szCs w:val="23"/>
        </w:rPr>
        <w:t>van der Eijk</w:t>
      </w:r>
      <w:r>
        <w:rPr>
          <w:sz w:val="23"/>
          <w:szCs w:val="23"/>
        </w:rPr>
        <w:t xml:space="preserve">, C., </w:t>
      </w:r>
      <w:r w:rsidRPr="00B70C19">
        <w:rPr>
          <w:sz w:val="23"/>
          <w:szCs w:val="23"/>
        </w:rPr>
        <w:t>Mellon</w:t>
      </w:r>
      <w:r>
        <w:rPr>
          <w:sz w:val="23"/>
          <w:szCs w:val="23"/>
        </w:rPr>
        <w:t xml:space="preserve">, J.,  and </w:t>
      </w:r>
      <w:r w:rsidRPr="00B70C19">
        <w:rPr>
          <w:sz w:val="23"/>
          <w:szCs w:val="23"/>
        </w:rPr>
        <w:t>Prosser</w:t>
      </w:r>
      <w:r>
        <w:rPr>
          <w:sz w:val="23"/>
          <w:szCs w:val="23"/>
        </w:rPr>
        <w:t>, C.</w:t>
      </w:r>
      <w:r w:rsidRPr="00B70C19">
        <w:rPr>
          <w:sz w:val="23"/>
          <w:szCs w:val="23"/>
        </w:rPr>
        <w:t xml:space="preserve"> (2015)</w:t>
      </w:r>
      <w:r>
        <w:rPr>
          <w:sz w:val="23"/>
          <w:szCs w:val="23"/>
        </w:rPr>
        <w:t>.</w:t>
      </w:r>
      <w:r w:rsidRPr="00B70C19">
        <w:rPr>
          <w:sz w:val="23"/>
          <w:szCs w:val="23"/>
        </w:rPr>
        <w:t xml:space="preserve"> </w:t>
      </w:r>
      <w:r w:rsidRPr="00B70C19">
        <w:rPr>
          <w:i/>
          <w:sz w:val="23"/>
          <w:szCs w:val="23"/>
        </w:rPr>
        <w:t>British Election Study, 2015: Face-to-Face Survey</w:t>
      </w:r>
      <w:r>
        <w:rPr>
          <w:sz w:val="23"/>
          <w:szCs w:val="23"/>
        </w:rPr>
        <w:t xml:space="preserve"> [computer file]. (Available from </w:t>
      </w:r>
      <w:hyperlink r:id="rId10" w:history="1">
        <w:r w:rsidRPr="006868B4">
          <w:rPr>
            <w:rStyle w:val="Hyperlink"/>
            <w:sz w:val="23"/>
            <w:szCs w:val="23"/>
          </w:rPr>
          <w:t>http://www.britishelectionstudy.com/bes-resources/f2f-v1-0-release-note/</w:t>
        </w:r>
      </w:hyperlink>
      <w:r>
        <w:rPr>
          <w:sz w:val="23"/>
          <w:szCs w:val="23"/>
        </w:rPr>
        <w:t>.)</w:t>
      </w:r>
    </w:p>
    <w:p w14:paraId="4604555F" w14:textId="27C010F0" w:rsidR="00331475" w:rsidRDefault="00331475" w:rsidP="00424814">
      <w:pPr>
        <w:spacing w:after="0" w:line="240" w:lineRule="auto"/>
        <w:ind w:left="720" w:hanging="720"/>
        <w:rPr>
          <w:sz w:val="23"/>
          <w:szCs w:val="23"/>
        </w:rPr>
      </w:pPr>
      <w:r>
        <w:rPr>
          <w:sz w:val="23"/>
          <w:szCs w:val="23"/>
        </w:rPr>
        <w:t>Groves, R.</w:t>
      </w:r>
      <w:r w:rsidR="003B5132">
        <w:rPr>
          <w:sz w:val="23"/>
          <w:szCs w:val="23"/>
        </w:rPr>
        <w:t xml:space="preserve"> M.</w:t>
      </w:r>
      <w:r>
        <w:rPr>
          <w:sz w:val="23"/>
          <w:szCs w:val="23"/>
        </w:rPr>
        <w:t xml:space="preserve"> (1989). </w:t>
      </w:r>
      <w:r>
        <w:rPr>
          <w:i/>
          <w:iCs/>
          <w:sz w:val="23"/>
          <w:szCs w:val="23"/>
        </w:rPr>
        <w:t>Survey errors and survey costs</w:t>
      </w:r>
      <w:r>
        <w:rPr>
          <w:sz w:val="23"/>
          <w:szCs w:val="23"/>
        </w:rPr>
        <w:t>, New York: Wiley.</w:t>
      </w:r>
    </w:p>
    <w:p w14:paraId="61373FA7" w14:textId="0B13DD46" w:rsidR="000D77EF" w:rsidRDefault="003B5132" w:rsidP="00424814">
      <w:pPr>
        <w:spacing w:after="0" w:line="240" w:lineRule="auto"/>
        <w:ind w:left="720" w:hanging="720"/>
        <w:rPr>
          <w:sz w:val="23"/>
          <w:szCs w:val="23"/>
        </w:rPr>
      </w:pPr>
      <w:r>
        <w:rPr>
          <w:sz w:val="23"/>
          <w:szCs w:val="23"/>
        </w:rPr>
        <w:t xml:space="preserve">Groves, R. M., Fowler, F. J., </w:t>
      </w:r>
      <w:proofErr w:type="spellStart"/>
      <w:r>
        <w:rPr>
          <w:sz w:val="23"/>
          <w:szCs w:val="23"/>
        </w:rPr>
        <w:t>Couper</w:t>
      </w:r>
      <w:proofErr w:type="spellEnd"/>
      <w:r>
        <w:rPr>
          <w:sz w:val="23"/>
          <w:szCs w:val="23"/>
        </w:rPr>
        <w:t xml:space="preserve">, M. P., </w:t>
      </w:r>
      <w:proofErr w:type="spellStart"/>
      <w:r>
        <w:rPr>
          <w:sz w:val="23"/>
          <w:szCs w:val="23"/>
        </w:rPr>
        <w:t>Lepkowski</w:t>
      </w:r>
      <w:proofErr w:type="spellEnd"/>
      <w:r>
        <w:rPr>
          <w:sz w:val="23"/>
          <w:szCs w:val="23"/>
        </w:rPr>
        <w:t xml:space="preserve">, J. M., Singer, E., and </w:t>
      </w:r>
      <w:proofErr w:type="spellStart"/>
      <w:r>
        <w:rPr>
          <w:sz w:val="23"/>
          <w:szCs w:val="23"/>
        </w:rPr>
        <w:t>Tourangeau</w:t>
      </w:r>
      <w:proofErr w:type="spellEnd"/>
      <w:r>
        <w:rPr>
          <w:sz w:val="23"/>
          <w:szCs w:val="23"/>
        </w:rPr>
        <w:t xml:space="preserve">, R. (2009), </w:t>
      </w:r>
      <w:r w:rsidRPr="00F2724D">
        <w:rPr>
          <w:i/>
          <w:sz w:val="23"/>
          <w:szCs w:val="23"/>
        </w:rPr>
        <w:t>Survey Methodology</w:t>
      </w:r>
      <w:r>
        <w:rPr>
          <w:sz w:val="23"/>
          <w:szCs w:val="23"/>
        </w:rPr>
        <w:t>, 2</w:t>
      </w:r>
      <w:r w:rsidRPr="00F2724D">
        <w:rPr>
          <w:sz w:val="23"/>
          <w:szCs w:val="23"/>
          <w:vertAlign w:val="superscript"/>
        </w:rPr>
        <w:t>nd</w:t>
      </w:r>
      <w:r>
        <w:rPr>
          <w:sz w:val="23"/>
          <w:szCs w:val="23"/>
        </w:rPr>
        <w:t xml:space="preserve"> ed. Hoboken, NJ: Wiley. </w:t>
      </w:r>
    </w:p>
    <w:p w14:paraId="655D2C38" w14:textId="0E568B9A" w:rsidR="00331475" w:rsidRDefault="00331475" w:rsidP="00424814">
      <w:pPr>
        <w:spacing w:after="0" w:line="240" w:lineRule="auto"/>
        <w:ind w:left="720" w:hanging="720"/>
        <w:rPr>
          <w:sz w:val="23"/>
          <w:szCs w:val="23"/>
        </w:rPr>
      </w:pPr>
      <w:r w:rsidRPr="00331475">
        <w:rPr>
          <w:sz w:val="23"/>
          <w:szCs w:val="23"/>
        </w:rPr>
        <w:t>Groves, R</w:t>
      </w:r>
      <w:r>
        <w:rPr>
          <w:sz w:val="23"/>
          <w:szCs w:val="23"/>
        </w:rPr>
        <w:t xml:space="preserve">. </w:t>
      </w:r>
      <w:r w:rsidR="003B5132">
        <w:rPr>
          <w:sz w:val="23"/>
          <w:szCs w:val="23"/>
        </w:rPr>
        <w:t xml:space="preserve">M. </w:t>
      </w:r>
      <w:r>
        <w:rPr>
          <w:sz w:val="23"/>
          <w:szCs w:val="23"/>
        </w:rPr>
        <w:t xml:space="preserve">and </w:t>
      </w:r>
      <w:proofErr w:type="spellStart"/>
      <w:r w:rsidRPr="00331475">
        <w:rPr>
          <w:sz w:val="23"/>
          <w:szCs w:val="23"/>
        </w:rPr>
        <w:t>Peytcheva</w:t>
      </w:r>
      <w:proofErr w:type="spellEnd"/>
      <w:r>
        <w:rPr>
          <w:sz w:val="23"/>
          <w:szCs w:val="23"/>
        </w:rPr>
        <w:t>, E. (</w:t>
      </w:r>
      <w:r w:rsidRPr="00331475">
        <w:rPr>
          <w:sz w:val="23"/>
          <w:szCs w:val="23"/>
        </w:rPr>
        <w:t>2008</w:t>
      </w:r>
      <w:r>
        <w:rPr>
          <w:sz w:val="23"/>
          <w:szCs w:val="23"/>
        </w:rPr>
        <w:t>)</w:t>
      </w:r>
      <w:r w:rsidRPr="00331475">
        <w:rPr>
          <w:sz w:val="23"/>
          <w:szCs w:val="23"/>
        </w:rPr>
        <w:t>. The Impact of Nonrespo</w:t>
      </w:r>
      <w:r>
        <w:rPr>
          <w:sz w:val="23"/>
          <w:szCs w:val="23"/>
        </w:rPr>
        <w:t xml:space="preserve">nse Rates on Nonresponse Bias. </w:t>
      </w:r>
      <w:r w:rsidRPr="00331475">
        <w:rPr>
          <w:i/>
          <w:sz w:val="23"/>
          <w:szCs w:val="23"/>
        </w:rPr>
        <w:t>Public Opinion Quarterly</w:t>
      </w:r>
      <w:r>
        <w:rPr>
          <w:sz w:val="23"/>
          <w:szCs w:val="23"/>
        </w:rPr>
        <w:t>, 72, 167-189.</w:t>
      </w:r>
    </w:p>
    <w:p w14:paraId="5FADD776" w14:textId="72769D6C" w:rsidR="00B13E9C" w:rsidRDefault="00B13E9C" w:rsidP="00424814">
      <w:pPr>
        <w:spacing w:after="0" w:line="240" w:lineRule="auto"/>
        <w:ind w:left="720" w:hanging="720"/>
        <w:rPr>
          <w:sz w:val="23"/>
          <w:szCs w:val="23"/>
        </w:rPr>
      </w:pPr>
      <w:r>
        <w:rPr>
          <w:sz w:val="23"/>
          <w:szCs w:val="23"/>
        </w:rPr>
        <w:t xml:space="preserve">Hawkins, O., Keen, R., and </w:t>
      </w:r>
      <w:proofErr w:type="spellStart"/>
      <w:r>
        <w:rPr>
          <w:sz w:val="23"/>
          <w:szCs w:val="23"/>
        </w:rPr>
        <w:t>Nakatudde</w:t>
      </w:r>
      <w:proofErr w:type="spellEnd"/>
      <w:r>
        <w:rPr>
          <w:sz w:val="23"/>
          <w:szCs w:val="23"/>
        </w:rPr>
        <w:t xml:space="preserve">, N. (2015). </w:t>
      </w:r>
      <w:r w:rsidRPr="00B13E9C">
        <w:rPr>
          <w:i/>
          <w:sz w:val="23"/>
          <w:szCs w:val="23"/>
        </w:rPr>
        <w:t>General Election 2015</w:t>
      </w:r>
      <w:r>
        <w:rPr>
          <w:sz w:val="23"/>
          <w:szCs w:val="23"/>
        </w:rPr>
        <w:t>. House of Common</w:t>
      </w:r>
      <w:r w:rsidR="00572BF1">
        <w:rPr>
          <w:sz w:val="23"/>
          <w:szCs w:val="23"/>
        </w:rPr>
        <w:t>s</w:t>
      </w:r>
      <w:r>
        <w:rPr>
          <w:sz w:val="23"/>
          <w:szCs w:val="23"/>
        </w:rPr>
        <w:t xml:space="preserve"> Library Briefing Paper </w:t>
      </w:r>
      <w:r w:rsidRPr="00B13E9C">
        <w:rPr>
          <w:sz w:val="23"/>
          <w:szCs w:val="23"/>
        </w:rPr>
        <w:t>Number CBP7186</w:t>
      </w:r>
      <w:r>
        <w:rPr>
          <w:sz w:val="23"/>
          <w:szCs w:val="23"/>
        </w:rPr>
        <w:t xml:space="preserve">. (Available from  </w:t>
      </w:r>
      <w:hyperlink r:id="rId11" w:history="1">
        <w:r w:rsidRPr="0069728D">
          <w:rPr>
            <w:rStyle w:val="Hyperlink"/>
            <w:sz w:val="23"/>
            <w:szCs w:val="23"/>
          </w:rPr>
          <w:t>http://researchbriefings.files.parliament.uk/documents/CBP-7186/CBP-7186.pdf</w:t>
        </w:r>
      </w:hyperlink>
      <w:r>
        <w:rPr>
          <w:sz w:val="23"/>
          <w:szCs w:val="23"/>
        </w:rPr>
        <w:t xml:space="preserve">.) </w:t>
      </w:r>
    </w:p>
    <w:p w14:paraId="397003E8" w14:textId="14BC52A0" w:rsidR="009A5700" w:rsidRDefault="009A5700" w:rsidP="009A5700">
      <w:pPr>
        <w:spacing w:after="0" w:line="240" w:lineRule="auto"/>
        <w:ind w:left="720" w:hanging="720"/>
        <w:rPr>
          <w:sz w:val="23"/>
          <w:szCs w:val="23"/>
          <w:lang w:val="de-DE"/>
        </w:rPr>
      </w:pPr>
      <w:r>
        <w:rPr>
          <w:sz w:val="23"/>
          <w:szCs w:val="23"/>
          <w:lang w:val="de-DE"/>
        </w:rPr>
        <w:t xml:space="preserve">Hillygus, D. S. (2011). </w:t>
      </w:r>
      <w:r w:rsidRPr="009A5700">
        <w:rPr>
          <w:sz w:val="23"/>
          <w:szCs w:val="23"/>
          <w:lang w:val="de-DE"/>
        </w:rPr>
        <w:t xml:space="preserve">The Evolution of Election Polling In the United States. </w:t>
      </w:r>
      <w:r w:rsidRPr="00F2724D">
        <w:rPr>
          <w:i/>
          <w:sz w:val="23"/>
          <w:szCs w:val="23"/>
          <w:lang w:val="de-DE"/>
        </w:rPr>
        <w:t>Public Opinion Quarterly</w:t>
      </w:r>
      <w:r>
        <w:rPr>
          <w:sz w:val="23"/>
          <w:szCs w:val="23"/>
          <w:lang w:val="de-DE"/>
        </w:rPr>
        <w:t xml:space="preserve">, </w:t>
      </w:r>
      <w:r w:rsidRPr="009A5700">
        <w:rPr>
          <w:sz w:val="23"/>
          <w:szCs w:val="23"/>
          <w:lang w:val="de-DE"/>
        </w:rPr>
        <w:t>75</w:t>
      </w:r>
      <w:r>
        <w:rPr>
          <w:sz w:val="23"/>
          <w:szCs w:val="23"/>
          <w:lang w:val="de-DE"/>
        </w:rPr>
        <w:t>,</w:t>
      </w:r>
      <w:r w:rsidRPr="009A5700">
        <w:rPr>
          <w:sz w:val="23"/>
          <w:szCs w:val="23"/>
          <w:lang w:val="de-DE"/>
        </w:rPr>
        <w:t xml:space="preserve"> 962–981.</w:t>
      </w:r>
    </w:p>
    <w:p w14:paraId="728081C1" w14:textId="67A8DD45" w:rsidR="00127BF3" w:rsidRDefault="00F90A98" w:rsidP="00424814">
      <w:pPr>
        <w:spacing w:after="0" w:line="240" w:lineRule="auto"/>
        <w:ind w:left="720" w:hanging="720"/>
        <w:rPr>
          <w:sz w:val="23"/>
          <w:szCs w:val="23"/>
        </w:rPr>
      </w:pPr>
      <w:r w:rsidRPr="00C0440B">
        <w:rPr>
          <w:sz w:val="23"/>
          <w:szCs w:val="23"/>
          <w:lang w:val="de-DE"/>
        </w:rPr>
        <w:t xml:space="preserve">Keeter, S., Igielnik, R., and Weisel, R. (2016). </w:t>
      </w:r>
      <w:r w:rsidRPr="00F90A98">
        <w:rPr>
          <w:i/>
          <w:sz w:val="23"/>
          <w:szCs w:val="23"/>
        </w:rPr>
        <w:t>Can Likely Voter Models Be Improved? Evidence from the 2014 U.S. House Elections</w:t>
      </w:r>
      <w:r>
        <w:rPr>
          <w:sz w:val="23"/>
          <w:szCs w:val="23"/>
        </w:rPr>
        <w:t xml:space="preserve">. Washington. D.C.: Pew Research </w:t>
      </w:r>
      <w:proofErr w:type="spellStart"/>
      <w:r>
        <w:rPr>
          <w:sz w:val="23"/>
          <w:szCs w:val="23"/>
        </w:rPr>
        <w:t>Center</w:t>
      </w:r>
      <w:proofErr w:type="spellEnd"/>
      <w:r>
        <w:rPr>
          <w:sz w:val="23"/>
          <w:szCs w:val="23"/>
        </w:rPr>
        <w:t>.</w:t>
      </w:r>
      <w:r w:rsidR="00D917BA">
        <w:rPr>
          <w:sz w:val="23"/>
          <w:szCs w:val="23"/>
        </w:rPr>
        <w:t xml:space="preserve"> </w:t>
      </w:r>
      <w:r w:rsidR="00D917BA" w:rsidRPr="00D917BA">
        <w:rPr>
          <w:sz w:val="23"/>
          <w:szCs w:val="23"/>
        </w:rPr>
        <w:t>(Available from</w:t>
      </w:r>
      <w:r w:rsidR="00127BF3">
        <w:rPr>
          <w:sz w:val="23"/>
          <w:szCs w:val="23"/>
        </w:rPr>
        <w:t xml:space="preserve"> </w:t>
      </w:r>
      <w:hyperlink r:id="rId12" w:history="1">
        <w:r w:rsidR="00127BF3" w:rsidRPr="0069728D">
          <w:rPr>
            <w:rStyle w:val="Hyperlink"/>
            <w:sz w:val="23"/>
            <w:szCs w:val="23"/>
          </w:rPr>
          <w:t>http://www.pewresearch.org/files/2016/01/PM_2016-01-07_likely-voters_FINAL.pdf</w:t>
        </w:r>
      </w:hyperlink>
      <w:r w:rsidR="00127BF3">
        <w:rPr>
          <w:sz w:val="23"/>
          <w:szCs w:val="23"/>
        </w:rPr>
        <w:t xml:space="preserve">.) </w:t>
      </w:r>
    </w:p>
    <w:p w14:paraId="7A6827A0" w14:textId="141C7856" w:rsidR="003B5132" w:rsidRDefault="003B5132" w:rsidP="00424814">
      <w:pPr>
        <w:spacing w:after="0" w:line="240" w:lineRule="auto"/>
        <w:ind w:left="720" w:hanging="720"/>
        <w:rPr>
          <w:sz w:val="23"/>
          <w:szCs w:val="23"/>
        </w:rPr>
      </w:pPr>
      <w:r>
        <w:rPr>
          <w:sz w:val="23"/>
          <w:szCs w:val="23"/>
        </w:rPr>
        <w:t xml:space="preserve">Kish, L. (1965). </w:t>
      </w:r>
      <w:r w:rsidRPr="00F2724D">
        <w:rPr>
          <w:i/>
          <w:sz w:val="23"/>
          <w:szCs w:val="23"/>
        </w:rPr>
        <w:t>Survey Sampling</w:t>
      </w:r>
      <w:r>
        <w:rPr>
          <w:sz w:val="23"/>
          <w:szCs w:val="23"/>
        </w:rPr>
        <w:t>. New York: Wiley.</w:t>
      </w:r>
    </w:p>
    <w:p w14:paraId="75F3F620" w14:textId="5D15F597" w:rsidR="00EA0054" w:rsidRDefault="00EA0054" w:rsidP="00424814">
      <w:pPr>
        <w:spacing w:after="0" w:line="240" w:lineRule="auto"/>
        <w:ind w:left="720" w:hanging="720"/>
        <w:rPr>
          <w:sz w:val="23"/>
          <w:szCs w:val="23"/>
        </w:rPr>
      </w:pPr>
      <w:r>
        <w:rPr>
          <w:sz w:val="23"/>
          <w:szCs w:val="23"/>
        </w:rPr>
        <w:t xml:space="preserve">Market Research Society (1994). </w:t>
      </w:r>
      <w:r w:rsidRPr="00EA0054">
        <w:rPr>
          <w:i/>
          <w:sz w:val="23"/>
          <w:szCs w:val="23"/>
        </w:rPr>
        <w:t>The Opinion Polls and the 1992 General Election</w:t>
      </w:r>
      <w:r>
        <w:rPr>
          <w:sz w:val="23"/>
          <w:szCs w:val="23"/>
        </w:rPr>
        <w:t>. London: Market Research Society.</w:t>
      </w:r>
    </w:p>
    <w:p w14:paraId="7CB5775C" w14:textId="7B9D1D02" w:rsidR="00727216" w:rsidRDefault="00903950" w:rsidP="005164A6">
      <w:pPr>
        <w:spacing w:after="0" w:line="240" w:lineRule="auto"/>
        <w:ind w:left="720" w:hanging="720"/>
        <w:rPr>
          <w:i/>
          <w:sz w:val="23"/>
          <w:szCs w:val="23"/>
        </w:rPr>
      </w:pPr>
      <w:r>
        <w:rPr>
          <w:sz w:val="23"/>
          <w:szCs w:val="23"/>
        </w:rPr>
        <w:t>Mellon, J. and Prosser, C. (2017</w:t>
      </w:r>
      <w:r w:rsidR="00727216">
        <w:rPr>
          <w:sz w:val="23"/>
          <w:szCs w:val="23"/>
        </w:rPr>
        <w:t xml:space="preserve">). Missing Non-Voters and </w:t>
      </w:r>
      <w:proofErr w:type="spellStart"/>
      <w:r w:rsidR="00727216">
        <w:rPr>
          <w:sz w:val="23"/>
          <w:szCs w:val="23"/>
        </w:rPr>
        <w:t>Misweighted</w:t>
      </w:r>
      <w:proofErr w:type="spellEnd"/>
      <w:r w:rsidR="00727216">
        <w:rPr>
          <w:sz w:val="23"/>
          <w:szCs w:val="23"/>
        </w:rPr>
        <w:t xml:space="preserve"> Samples: Explaining the 2015 Great British Polling Miss. </w:t>
      </w:r>
      <w:r w:rsidR="00BD267D" w:rsidRPr="00903950">
        <w:rPr>
          <w:i/>
          <w:sz w:val="23"/>
          <w:szCs w:val="23"/>
        </w:rPr>
        <w:t>Public Opinion Quarterly</w:t>
      </w:r>
      <w:r>
        <w:rPr>
          <w:i/>
          <w:sz w:val="23"/>
          <w:szCs w:val="23"/>
        </w:rPr>
        <w:t xml:space="preserve">, </w:t>
      </w:r>
      <w:r w:rsidR="005164A6" w:rsidRPr="005164A6">
        <w:rPr>
          <w:sz w:val="23"/>
          <w:szCs w:val="23"/>
        </w:rPr>
        <w:t xml:space="preserve">nfx015. </w:t>
      </w:r>
      <w:proofErr w:type="spellStart"/>
      <w:r w:rsidR="005164A6" w:rsidRPr="005164A6">
        <w:rPr>
          <w:sz w:val="23"/>
          <w:szCs w:val="23"/>
        </w:rPr>
        <w:t>doi</w:t>
      </w:r>
      <w:proofErr w:type="spellEnd"/>
      <w:r w:rsidR="005164A6" w:rsidRPr="005164A6">
        <w:rPr>
          <w:sz w:val="23"/>
          <w:szCs w:val="23"/>
        </w:rPr>
        <w:t>: 10.1093/</w:t>
      </w:r>
      <w:proofErr w:type="spellStart"/>
      <w:r w:rsidR="005164A6" w:rsidRPr="005164A6">
        <w:rPr>
          <w:sz w:val="23"/>
          <w:szCs w:val="23"/>
        </w:rPr>
        <w:t>poq</w:t>
      </w:r>
      <w:proofErr w:type="spellEnd"/>
      <w:r w:rsidR="005164A6" w:rsidRPr="005164A6">
        <w:rPr>
          <w:sz w:val="23"/>
          <w:szCs w:val="23"/>
        </w:rPr>
        <w:t>/nfx015</w:t>
      </w:r>
      <w:r>
        <w:rPr>
          <w:i/>
          <w:sz w:val="23"/>
          <w:szCs w:val="23"/>
        </w:rPr>
        <w:t>.</w:t>
      </w:r>
    </w:p>
    <w:p w14:paraId="3D8A6633" w14:textId="3359F976" w:rsidR="005164A6" w:rsidRDefault="005164A6" w:rsidP="00424814">
      <w:pPr>
        <w:spacing w:after="0" w:line="240" w:lineRule="auto"/>
        <w:ind w:left="720" w:hanging="720"/>
        <w:rPr>
          <w:sz w:val="23"/>
          <w:szCs w:val="23"/>
        </w:rPr>
      </w:pPr>
      <w:proofErr w:type="spellStart"/>
      <w:r>
        <w:t>Mosteller</w:t>
      </w:r>
      <w:proofErr w:type="spellEnd"/>
      <w:r>
        <w:t xml:space="preserve">, Frederick, H. Hyman, P. McCarthy, E. Marks, and D. Truman. 1949. </w:t>
      </w:r>
      <w:r w:rsidRPr="00F2724D">
        <w:rPr>
          <w:i/>
          <w:iCs/>
        </w:rPr>
        <w:t>The Pre-Election Polls of 1948: Report to the Committee on Analysis of Pre-Election Polls and Forecasts</w:t>
      </w:r>
      <w:r>
        <w:t>. New York: Social Science Research Council.</w:t>
      </w:r>
    </w:p>
    <w:p w14:paraId="76530983" w14:textId="6685D18F" w:rsidR="00572BF1" w:rsidRDefault="00572BF1" w:rsidP="00572BF1">
      <w:pPr>
        <w:spacing w:after="0" w:line="240" w:lineRule="auto"/>
        <w:ind w:left="720" w:hanging="720"/>
        <w:rPr>
          <w:sz w:val="23"/>
          <w:szCs w:val="23"/>
        </w:rPr>
      </w:pPr>
      <w:r>
        <w:rPr>
          <w:sz w:val="23"/>
          <w:szCs w:val="23"/>
        </w:rPr>
        <w:t xml:space="preserve">de </w:t>
      </w:r>
      <w:proofErr w:type="spellStart"/>
      <w:r>
        <w:rPr>
          <w:sz w:val="23"/>
          <w:szCs w:val="23"/>
        </w:rPr>
        <w:t>Munnik</w:t>
      </w:r>
      <w:proofErr w:type="spellEnd"/>
      <w:r>
        <w:rPr>
          <w:sz w:val="23"/>
          <w:szCs w:val="23"/>
        </w:rPr>
        <w:t xml:space="preserve">, D., Dupuis, D., and </w:t>
      </w:r>
      <w:proofErr w:type="spellStart"/>
      <w:r>
        <w:rPr>
          <w:sz w:val="23"/>
          <w:szCs w:val="23"/>
        </w:rPr>
        <w:t>Illing</w:t>
      </w:r>
      <w:proofErr w:type="spellEnd"/>
      <w:r>
        <w:rPr>
          <w:sz w:val="23"/>
          <w:szCs w:val="23"/>
        </w:rPr>
        <w:t xml:space="preserve">, M. (2013). </w:t>
      </w:r>
      <w:r w:rsidRPr="00572BF1">
        <w:rPr>
          <w:sz w:val="23"/>
          <w:szCs w:val="23"/>
        </w:rPr>
        <w:t>Assessing the accuracy of non-random business</w:t>
      </w:r>
      <w:r>
        <w:rPr>
          <w:sz w:val="23"/>
          <w:szCs w:val="23"/>
        </w:rPr>
        <w:t xml:space="preserve"> </w:t>
      </w:r>
      <w:r w:rsidRPr="00572BF1">
        <w:rPr>
          <w:sz w:val="23"/>
          <w:szCs w:val="23"/>
        </w:rPr>
        <w:t>conditions surveys: a novel approach</w:t>
      </w:r>
      <w:r>
        <w:rPr>
          <w:sz w:val="23"/>
          <w:szCs w:val="23"/>
        </w:rPr>
        <w:t xml:space="preserve">. </w:t>
      </w:r>
      <w:r w:rsidRPr="00572BF1">
        <w:rPr>
          <w:i/>
          <w:sz w:val="23"/>
          <w:szCs w:val="23"/>
        </w:rPr>
        <w:t>Journal of the Royal Statistical Society, Series A</w:t>
      </w:r>
      <w:r>
        <w:rPr>
          <w:sz w:val="23"/>
          <w:szCs w:val="23"/>
        </w:rPr>
        <w:t>, 176,371—388.</w:t>
      </w:r>
    </w:p>
    <w:p w14:paraId="14EADCF2" w14:textId="4C394AD0" w:rsidR="00331475" w:rsidRPr="00C0440B" w:rsidRDefault="00331475" w:rsidP="00424814">
      <w:pPr>
        <w:spacing w:after="0" w:line="240" w:lineRule="auto"/>
        <w:ind w:left="720" w:hanging="720"/>
        <w:rPr>
          <w:sz w:val="23"/>
          <w:szCs w:val="23"/>
          <w:lang w:val="fr-FR"/>
        </w:rPr>
      </w:pPr>
      <w:r>
        <w:rPr>
          <w:sz w:val="23"/>
          <w:szCs w:val="23"/>
        </w:rPr>
        <w:t xml:space="preserve">Nadeau, R., </w:t>
      </w:r>
      <w:proofErr w:type="spellStart"/>
      <w:r>
        <w:rPr>
          <w:sz w:val="23"/>
          <w:szCs w:val="23"/>
        </w:rPr>
        <w:t>Cloutier</w:t>
      </w:r>
      <w:proofErr w:type="spellEnd"/>
      <w:r>
        <w:rPr>
          <w:sz w:val="23"/>
          <w:szCs w:val="23"/>
        </w:rPr>
        <w:t xml:space="preserve">, E., and </w:t>
      </w:r>
      <w:proofErr w:type="spellStart"/>
      <w:r>
        <w:rPr>
          <w:sz w:val="23"/>
          <w:szCs w:val="23"/>
        </w:rPr>
        <w:t>Guay</w:t>
      </w:r>
      <w:proofErr w:type="spellEnd"/>
      <w:r>
        <w:rPr>
          <w:sz w:val="23"/>
          <w:szCs w:val="23"/>
        </w:rPr>
        <w:t xml:space="preserve">, J.-H. (1993). New Evidence About the Existence of a Bandwagon Effect in the Opinion Formation Process.  </w:t>
      </w:r>
      <w:r w:rsidRPr="00C0440B">
        <w:rPr>
          <w:i/>
          <w:iCs/>
          <w:sz w:val="23"/>
          <w:szCs w:val="23"/>
          <w:lang w:val="fr-FR"/>
        </w:rPr>
        <w:t xml:space="preserve">International Political Science Review / Revue internationale de science politique,  </w:t>
      </w:r>
      <w:r w:rsidRPr="00C0440B">
        <w:rPr>
          <w:sz w:val="23"/>
          <w:szCs w:val="23"/>
          <w:lang w:val="fr-FR"/>
        </w:rPr>
        <w:t>14, 203-213.</w:t>
      </w:r>
    </w:p>
    <w:p w14:paraId="67F2DE21" w14:textId="39CA4FAC" w:rsidR="00FF03F3" w:rsidRDefault="00FF03F3" w:rsidP="00424814">
      <w:pPr>
        <w:spacing w:after="0" w:line="240" w:lineRule="auto"/>
        <w:ind w:left="720" w:hanging="720"/>
        <w:rPr>
          <w:sz w:val="23"/>
          <w:szCs w:val="23"/>
          <w:lang w:val="fr-FR"/>
        </w:rPr>
      </w:pPr>
      <w:r>
        <w:rPr>
          <w:sz w:val="23"/>
          <w:szCs w:val="23"/>
          <w:lang w:val="fr-FR"/>
        </w:rPr>
        <w:t>Rivers, D. (2013). Comment on `</w:t>
      </w:r>
      <w:proofErr w:type="spellStart"/>
      <w:r w:rsidRPr="00FF03F3">
        <w:rPr>
          <w:sz w:val="23"/>
          <w:szCs w:val="23"/>
          <w:lang w:val="fr-FR"/>
        </w:rPr>
        <w:t>Summary</w:t>
      </w:r>
      <w:proofErr w:type="spellEnd"/>
      <w:r w:rsidRPr="00FF03F3">
        <w:rPr>
          <w:sz w:val="23"/>
          <w:szCs w:val="23"/>
          <w:lang w:val="fr-FR"/>
        </w:rPr>
        <w:t xml:space="preserve"> </w:t>
      </w:r>
      <w:r>
        <w:rPr>
          <w:sz w:val="23"/>
          <w:szCs w:val="23"/>
          <w:lang w:val="fr-FR"/>
        </w:rPr>
        <w:t>r</w:t>
      </w:r>
      <w:r w:rsidRPr="00FF03F3">
        <w:rPr>
          <w:sz w:val="23"/>
          <w:szCs w:val="23"/>
          <w:lang w:val="fr-FR"/>
        </w:rPr>
        <w:t xml:space="preserve">eport of the AAPOR </w:t>
      </w:r>
      <w:proofErr w:type="spellStart"/>
      <w:r>
        <w:rPr>
          <w:sz w:val="23"/>
          <w:szCs w:val="23"/>
          <w:lang w:val="fr-FR"/>
        </w:rPr>
        <w:t>t</w:t>
      </w:r>
      <w:r w:rsidRPr="00FF03F3">
        <w:rPr>
          <w:sz w:val="23"/>
          <w:szCs w:val="23"/>
          <w:lang w:val="fr-FR"/>
        </w:rPr>
        <w:t>ask</w:t>
      </w:r>
      <w:proofErr w:type="spellEnd"/>
      <w:r w:rsidRPr="00FF03F3">
        <w:rPr>
          <w:sz w:val="23"/>
          <w:szCs w:val="23"/>
          <w:lang w:val="fr-FR"/>
        </w:rPr>
        <w:t xml:space="preserve"> </w:t>
      </w:r>
      <w:r>
        <w:rPr>
          <w:sz w:val="23"/>
          <w:szCs w:val="23"/>
          <w:lang w:val="fr-FR"/>
        </w:rPr>
        <w:t>f</w:t>
      </w:r>
      <w:r w:rsidRPr="00FF03F3">
        <w:rPr>
          <w:sz w:val="23"/>
          <w:szCs w:val="23"/>
          <w:lang w:val="fr-FR"/>
        </w:rPr>
        <w:t xml:space="preserve">orce on </w:t>
      </w:r>
      <w:r>
        <w:rPr>
          <w:sz w:val="23"/>
          <w:szCs w:val="23"/>
          <w:lang w:val="fr-FR"/>
        </w:rPr>
        <w:t>n</w:t>
      </w:r>
      <w:r w:rsidRPr="00FF03F3">
        <w:rPr>
          <w:sz w:val="23"/>
          <w:szCs w:val="23"/>
          <w:lang w:val="fr-FR"/>
        </w:rPr>
        <w:t>on-</w:t>
      </w:r>
      <w:proofErr w:type="spellStart"/>
      <w:r w:rsidRPr="00FF03F3">
        <w:rPr>
          <w:sz w:val="23"/>
          <w:szCs w:val="23"/>
          <w:lang w:val="fr-FR"/>
        </w:rPr>
        <w:t>probability</w:t>
      </w:r>
      <w:proofErr w:type="spellEnd"/>
      <w:r>
        <w:rPr>
          <w:sz w:val="23"/>
          <w:szCs w:val="23"/>
          <w:lang w:val="fr-FR"/>
        </w:rPr>
        <w:t xml:space="preserve"> </w:t>
      </w:r>
      <w:proofErr w:type="spellStart"/>
      <w:r>
        <w:rPr>
          <w:sz w:val="23"/>
          <w:szCs w:val="23"/>
          <w:lang w:val="fr-FR"/>
        </w:rPr>
        <w:t>s</w:t>
      </w:r>
      <w:r w:rsidRPr="00FF03F3">
        <w:rPr>
          <w:sz w:val="23"/>
          <w:szCs w:val="23"/>
          <w:lang w:val="fr-FR"/>
        </w:rPr>
        <w:t>ampling</w:t>
      </w:r>
      <w:proofErr w:type="spellEnd"/>
      <w:r>
        <w:rPr>
          <w:sz w:val="23"/>
          <w:szCs w:val="23"/>
          <w:lang w:val="fr-FR"/>
        </w:rPr>
        <w:t xml:space="preserve">’. </w:t>
      </w:r>
      <w:r w:rsidRPr="00F2724D">
        <w:rPr>
          <w:i/>
          <w:sz w:val="23"/>
          <w:szCs w:val="23"/>
          <w:lang w:val="fr-FR"/>
        </w:rPr>
        <w:t xml:space="preserve">Survey </w:t>
      </w:r>
      <w:proofErr w:type="spellStart"/>
      <w:r w:rsidRPr="00F2724D">
        <w:rPr>
          <w:i/>
          <w:sz w:val="23"/>
          <w:szCs w:val="23"/>
          <w:lang w:val="fr-FR"/>
        </w:rPr>
        <w:t>Statistics</w:t>
      </w:r>
      <w:proofErr w:type="spellEnd"/>
      <w:r w:rsidRPr="00F2724D">
        <w:rPr>
          <w:i/>
          <w:sz w:val="23"/>
          <w:szCs w:val="23"/>
          <w:lang w:val="fr-FR"/>
        </w:rPr>
        <w:t xml:space="preserve"> and </w:t>
      </w:r>
      <w:proofErr w:type="spellStart"/>
      <w:r w:rsidRPr="00F2724D">
        <w:rPr>
          <w:i/>
          <w:sz w:val="23"/>
          <w:szCs w:val="23"/>
          <w:lang w:val="fr-FR"/>
        </w:rPr>
        <w:t>Methodology</w:t>
      </w:r>
      <w:proofErr w:type="spellEnd"/>
      <w:r>
        <w:rPr>
          <w:sz w:val="23"/>
          <w:szCs w:val="23"/>
          <w:lang w:val="fr-FR"/>
        </w:rPr>
        <w:t xml:space="preserve">, 1, 111-117. </w:t>
      </w:r>
    </w:p>
    <w:p w14:paraId="55437186" w14:textId="19CB9F0F" w:rsidR="00B7762C" w:rsidRDefault="00B7762C" w:rsidP="00424814">
      <w:pPr>
        <w:spacing w:after="0" w:line="240" w:lineRule="auto"/>
        <w:ind w:left="720" w:hanging="720"/>
        <w:rPr>
          <w:sz w:val="23"/>
          <w:szCs w:val="23"/>
        </w:rPr>
      </w:pPr>
      <w:r w:rsidRPr="00C0440B">
        <w:rPr>
          <w:sz w:val="23"/>
          <w:szCs w:val="23"/>
          <w:lang w:val="fr-FR"/>
        </w:rPr>
        <w:t xml:space="preserve">Rivers, D. and Wells, A. (2015). </w:t>
      </w:r>
      <w:r w:rsidRPr="00B7762C">
        <w:rPr>
          <w:i/>
          <w:sz w:val="23"/>
          <w:szCs w:val="23"/>
        </w:rPr>
        <w:t xml:space="preserve">Polling Error in the 2015 UK General Election: An Analysis of </w:t>
      </w:r>
      <w:proofErr w:type="spellStart"/>
      <w:r w:rsidRPr="00B7762C">
        <w:rPr>
          <w:i/>
          <w:sz w:val="23"/>
          <w:szCs w:val="23"/>
        </w:rPr>
        <w:t>YouGov’s</w:t>
      </w:r>
      <w:proofErr w:type="spellEnd"/>
      <w:r w:rsidRPr="00B7762C">
        <w:rPr>
          <w:i/>
          <w:sz w:val="23"/>
          <w:szCs w:val="23"/>
        </w:rPr>
        <w:t xml:space="preserve"> Pre and Post-Election Polls</w:t>
      </w:r>
      <w:r>
        <w:rPr>
          <w:sz w:val="23"/>
          <w:szCs w:val="23"/>
        </w:rPr>
        <w:t xml:space="preserve">. London: </w:t>
      </w:r>
      <w:proofErr w:type="spellStart"/>
      <w:r>
        <w:rPr>
          <w:sz w:val="23"/>
          <w:szCs w:val="23"/>
        </w:rPr>
        <w:t>YouGov</w:t>
      </w:r>
      <w:proofErr w:type="spellEnd"/>
      <w:r>
        <w:rPr>
          <w:sz w:val="23"/>
          <w:szCs w:val="23"/>
        </w:rPr>
        <w:t xml:space="preserve"> UK.</w:t>
      </w:r>
      <w:r w:rsidR="005E6B8B">
        <w:rPr>
          <w:sz w:val="23"/>
          <w:szCs w:val="23"/>
        </w:rPr>
        <w:t xml:space="preserve"> (Available from </w:t>
      </w:r>
      <w:hyperlink r:id="rId13" w:history="1">
        <w:r w:rsidR="005E6B8B" w:rsidRPr="0069728D">
          <w:rPr>
            <w:rStyle w:val="Hyperlink"/>
            <w:sz w:val="23"/>
            <w:szCs w:val="23"/>
          </w:rPr>
          <w:t>https://d25d2506sfb94s.cloudfront.net/cumulus_uploads/document/x4ae830iac/YouGov%20%E2%80%93%20GE2015%20Post%20Mortem.pdf</w:t>
        </w:r>
      </w:hyperlink>
      <w:r w:rsidR="005E6B8B">
        <w:rPr>
          <w:sz w:val="23"/>
          <w:szCs w:val="23"/>
        </w:rPr>
        <w:t xml:space="preserve">.) </w:t>
      </w:r>
    </w:p>
    <w:p w14:paraId="777BA44B" w14:textId="133741A1" w:rsidR="00B61D1D" w:rsidRDefault="00B61D1D" w:rsidP="00424814">
      <w:pPr>
        <w:spacing w:after="0" w:line="240" w:lineRule="auto"/>
        <w:ind w:left="720" w:hanging="720"/>
        <w:rPr>
          <w:sz w:val="23"/>
          <w:szCs w:val="23"/>
        </w:rPr>
      </w:pPr>
      <w:r>
        <w:rPr>
          <w:sz w:val="23"/>
          <w:szCs w:val="23"/>
        </w:rPr>
        <w:t xml:space="preserve">Rust, K. F. and </w:t>
      </w:r>
      <w:proofErr w:type="spellStart"/>
      <w:r>
        <w:rPr>
          <w:sz w:val="23"/>
          <w:szCs w:val="23"/>
        </w:rPr>
        <w:t>Rao</w:t>
      </w:r>
      <w:proofErr w:type="spellEnd"/>
      <w:r>
        <w:rPr>
          <w:sz w:val="23"/>
          <w:szCs w:val="23"/>
        </w:rPr>
        <w:t xml:space="preserve">, J. N. K. (1996). </w:t>
      </w:r>
      <w:r w:rsidR="009B4E30">
        <w:rPr>
          <w:sz w:val="23"/>
          <w:szCs w:val="23"/>
        </w:rPr>
        <w:t xml:space="preserve">Variance estimation for complex surveys using replication techniques. </w:t>
      </w:r>
      <w:r w:rsidR="009B4E30" w:rsidRPr="00F2724D">
        <w:rPr>
          <w:i/>
          <w:sz w:val="23"/>
          <w:szCs w:val="23"/>
        </w:rPr>
        <w:t>Statistical Methods in Medical Research</w:t>
      </w:r>
      <w:r w:rsidR="009B4E30">
        <w:rPr>
          <w:sz w:val="23"/>
          <w:szCs w:val="23"/>
        </w:rPr>
        <w:t>, 5, 283-310.</w:t>
      </w:r>
    </w:p>
    <w:p w14:paraId="022FC4A8" w14:textId="54FAA61C" w:rsidR="00B20F5D" w:rsidRDefault="00B20F5D" w:rsidP="00424814">
      <w:pPr>
        <w:spacing w:after="0" w:line="240" w:lineRule="auto"/>
        <w:ind w:left="720" w:hanging="720"/>
        <w:rPr>
          <w:b/>
        </w:rPr>
      </w:pPr>
      <w:r>
        <w:rPr>
          <w:sz w:val="23"/>
          <w:szCs w:val="23"/>
        </w:rPr>
        <w:lastRenderedPageBreak/>
        <w:t xml:space="preserve">Smith, T. M. F. (1983). On the validity of inferences from non-random samples. </w:t>
      </w:r>
      <w:r w:rsidRPr="00B20F5D">
        <w:rPr>
          <w:i/>
          <w:sz w:val="23"/>
          <w:szCs w:val="23"/>
        </w:rPr>
        <w:t>Journal of the Royal Statistical Society, Series A</w:t>
      </w:r>
      <w:r>
        <w:rPr>
          <w:sz w:val="23"/>
          <w:szCs w:val="23"/>
        </w:rPr>
        <w:t xml:space="preserve">, 146, 394-403. </w:t>
      </w:r>
    </w:p>
    <w:p w14:paraId="1B4458D7" w14:textId="0E73A833" w:rsidR="006B61D0" w:rsidRDefault="00B93B73" w:rsidP="00424814">
      <w:pPr>
        <w:spacing w:after="0" w:line="240" w:lineRule="auto"/>
        <w:ind w:left="720" w:hanging="720"/>
      </w:pPr>
      <w:r>
        <w:t xml:space="preserve">Sturgis, P., Baker, N., Callegaro, M., Fisher, S., Green, J., Jennings, W., Kuha, J., Lauderdale, B., and Smith, P. (2016). </w:t>
      </w:r>
      <w:r w:rsidRPr="00B93B73">
        <w:rPr>
          <w:i/>
        </w:rPr>
        <w:t>Report of the Inquiry into the 2015 British General Election Opinion Polls</w:t>
      </w:r>
      <w:r>
        <w:t xml:space="preserve">.  London:  Market Research Society and British Polling Council. (Available from </w:t>
      </w:r>
      <w:hyperlink r:id="rId14" w:history="1">
        <w:r w:rsidRPr="0069728D">
          <w:rPr>
            <w:rStyle w:val="Hyperlink"/>
          </w:rPr>
          <w:t>http://eprints.soton.ac.uk/390588/1/Report_final_revised.pdf</w:t>
        </w:r>
      </w:hyperlink>
      <w:r>
        <w:t>).</w:t>
      </w:r>
    </w:p>
    <w:p w14:paraId="5DBB3184" w14:textId="5A3C93FE" w:rsidR="00487C84" w:rsidRDefault="002B3214" w:rsidP="00424814">
      <w:pPr>
        <w:spacing w:after="0" w:line="240" w:lineRule="auto"/>
        <w:ind w:left="720" w:hanging="720"/>
        <w:rPr>
          <w:sz w:val="23"/>
          <w:szCs w:val="23"/>
        </w:rPr>
      </w:pPr>
      <w:proofErr w:type="spellStart"/>
      <w:r>
        <w:rPr>
          <w:sz w:val="23"/>
          <w:szCs w:val="23"/>
        </w:rPr>
        <w:t>Tourangeau</w:t>
      </w:r>
      <w:proofErr w:type="spellEnd"/>
      <w:r>
        <w:rPr>
          <w:sz w:val="23"/>
          <w:szCs w:val="23"/>
        </w:rPr>
        <w:t xml:space="preserve">, R., Rips, L., and </w:t>
      </w:r>
      <w:proofErr w:type="spellStart"/>
      <w:r>
        <w:rPr>
          <w:sz w:val="23"/>
          <w:szCs w:val="23"/>
        </w:rPr>
        <w:t>Rasinski</w:t>
      </w:r>
      <w:proofErr w:type="spellEnd"/>
      <w:r>
        <w:rPr>
          <w:sz w:val="23"/>
          <w:szCs w:val="23"/>
        </w:rPr>
        <w:t xml:space="preserve">, K. (2000). </w:t>
      </w:r>
      <w:r>
        <w:rPr>
          <w:i/>
          <w:iCs/>
          <w:sz w:val="23"/>
          <w:szCs w:val="23"/>
        </w:rPr>
        <w:t>The Psychology of Survey Response</w:t>
      </w:r>
      <w:r>
        <w:rPr>
          <w:sz w:val="23"/>
          <w:szCs w:val="23"/>
        </w:rPr>
        <w:t>, New York: Cambridge University Press.</w:t>
      </w:r>
    </w:p>
    <w:p w14:paraId="538AA213" w14:textId="5616A37A" w:rsidR="005164A6" w:rsidRDefault="005164A6" w:rsidP="00424814">
      <w:pPr>
        <w:spacing w:after="0" w:line="240" w:lineRule="auto"/>
        <w:ind w:left="720" w:hanging="720"/>
        <w:rPr>
          <w:sz w:val="23"/>
          <w:szCs w:val="23"/>
        </w:rPr>
      </w:pPr>
      <w:proofErr w:type="spellStart"/>
      <w:r>
        <w:t>Traugott</w:t>
      </w:r>
      <w:proofErr w:type="spellEnd"/>
      <w:r>
        <w:t xml:space="preserve">, Michael, Glenn Bolger, Darren W. Davis, Charles Franklin, Robert M. Groves, Paul J. </w:t>
      </w:r>
      <w:proofErr w:type="spellStart"/>
      <w:r>
        <w:t>Lavrakas</w:t>
      </w:r>
      <w:proofErr w:type="spellEnd"/>
      <w:r>
        <w:t xml:space="preserve">, Mark S. </w:t>
      </w:r>
      <w:proofErr w:type="spellStart"/>
      <w:r>
        <w:t>Mellman</w:t>
      </w:r>
      <w:proofErr w:type="spellEnd"/>
      <w:r>
        <w:t xml:space="preserve">, Philip Meyer, Kristen Olson, J. Ann </w:t>
      </w:r>
      <w:proofErr w:type="spellStart"/>
      <w:r>
        <w:t>Selzer</w:t>
      </w:r>
      <w:proofErr w:type="spellEnd"/>
      <w:r>
        <w:t xml:space="preserve">, and Chris Wlezien. 2009. </w:t>
      </w:r>
      <w:r w:rsidRPr="00F2724D">
        <w:rPr>
          <w:i/>
          <w:iCs/>
        </w:rPr>
        <w:t>An Evaluation of the Methodology of the 2008 Pre-Election Primary Polls</w:t>
      </w:r>
      <w:r>
        <w:t xml:space="preserve"> AAPOR Ad Hoc Committee on the 2008 Presidential Polling.</w:t>
      </w:r>
    </w:p>
    <w:p w14:paraId="59EAB36D" w14:textId="1BF24127" w:rsidR="00ED4336" w:rsidRDefault="00ED4336" w:rsidP="00424814">
      <w:pPr>
        <w:spacing w:after="0" w:line="240" w:lineRule="auto"/>
        <w:ind w:left="720" w:hanging="720"/>
        <w:rPr>
          <w:sz w:val="23"/>
          <w:szCs w:val="23"/>
        </w:rPr>
      </w:pPr>
      <w:r>
        <w:rPr>
          <w:sz w:val="23"/>
          <w:szCs w:val="23"/>
        </w:rPr>
        <w:t>Wlezien, C. and Erikson, R. (2012) Markets vs. Polls as election predictors: An historical assessment, Electoral Studies, 31, 523-539.</w:t>
      </w:r>
    </w:p>
    <w:p w14:paraId="4DD50F81" w14:textId="60A70FE4" w:rsidR="00487C84" w:rsidRDefault="00487C84" w:rsidP="00424814">
      <w:pPr>
        <w:spacing w:after="0" w:line="240" w:lineRule="auto"/>
        <w:ind w:left="720" w:hanging="720"/>
        <w:rPr>
          <w:sz w:val="23"/>
          <w:szCs w:val="23"/>
        </w:rPr>
      </w:pPr>
      <w:proofErr w:type="spellStart"/>
      <w:r>
        <w:rPr>
          <w:sz w:val="23"/>
          <w:szCs w:val="23"/>
        </w:rPr>
        <w:t>Wolter</w:t>
      </w:r>
      <w:proofErr w:type="spellEnd"/>
      <w:r>
        <w:rPr>
          <w:sz w:val="23"/>
          <w:szCs w:val="23"/>
        </w:rPr>
        <w:t xml:space="preserve">, K. M. (2007). </w:t>
      </w:r>
      <w:r w:rsidRPr="00487C84">
        <w:rPr>
          <w:i/>
          <w:sz w:val="23"/>
          <w:szCs w:val="23"/>
        </w:rPr>
        <w:t>Introduction to Variance Estimation</w:t>
      </w:r>
      <w:r>
        <w:rPr>
          <w:sz w:val="23"/>
          <w:szCs w:val="23"/>
        </w:rPr>
        <w:t>, Second Edition. New York: Springer.</w:t>
      </w:r>
    </w:p>
    <w:p w14:paraId="06086EC5" w14:textId="77777777" w:rsidR="00B93B73" w:rsidRDefault="00B93B73" w:rsidP="00424814">
      <w:pPr>
        <w:spacing w:after="0" w:line="240" w:lineRule="auto"/>
        <w:ind w:left="720" w:hanging="720"/>
      </w:pPr>
    </w:p>
    <w:p w14:paraId="0C8E1E90" w14:textId="77777777" w:rsidR="00B93B73" w:rsidRDefault="00B93B73" w:rsidP="00424814">
      <w:pPr>
        <w:spacing w:after="0" w:line="240" w:lineRule="auto"/>
        <w:ind w:left="720" w:hanging="720"/>
      </w:pPr>
    </w:p>
    <w:p w14:paraId="574EDFD8" w14:textId="77777777" w:rsidR="00B93B73" w:rsidRDefault="00B93B73" w:rsidP="00424814">
      <w:pPr>
        <w:spacing w:after="0" w:line="240" w:lineRule="auto"/>
        <w:ind w:left="720" w:hanging="720"/>
      </w:pPr>
    </w:p>
    <w:p w14:paraId="720E4EE4" w14:textId="77777777" w:rsidR="000E0B82" w:rsidRDefault="000E0B82">
      <w:pPr>
        <w:rPr>
          <w:bCs/>
        </w:rPr>
      </w:pPr>
      <w:bookmarkStart w:id="11" w:name="_Toc445382814"/>
      <w:r>
        <w:rPr>
          <w:bCs/>
        </w:rPr>
        <w:br w:type="page"/>
      </w:r>
    </w:p>
    <w:p w14:paraId="33EEB3C0" w14:textId="55BA95B6" w:rsidR="00E42E1D" w:rsidRPr="0060536E" w:rsidRDefault="00995653" w:rsidP="00DB274C">
      <w:pPr>
        <w:spacing w:before="100" w:beforeAutospacing="1"/>
        <w:ind w:left="720" w:hanging="720"/>
        <w:rPr>
          <w:bCs/>
        </w:rPr>
      </w:pPr>
      <w:r w:rsidRPr="0060536E">
        <w:rPr>
          <w:bCs/>
        </w:rPr>
        <w:lastRenderedPageBreak/>
        <w:t xml:space="preserve">Table 1. </w:t>
      </w:r>
      <w:r w:rsidR="00E42E1D" w:rsidRPr="0060536E">
        <w:rPr>
          <w:bCs/>
        </w:rPr>
        <w:t xml:space="preserve">Published </w:t>
      </w:r>
      <w:r w:rsidR="00D36BCA" w:rsidRPr="0060536E">
        <w:rPr>
          <w:bCs/>
        </w:rPr>
        <w:t>e</w:t>
      </w:r>
      <w:r w:rsidR="00E42E1D" w:rsidRPr="0060536E">
        <w:rPr>
          <w:bCs/>
        </w:rPr>
        <w:t>stimates</w:t>
      </w:r>
      <w:bookmarkEnd w:id="11"/>
      <w:r w:rsidR="00D36BCA" w:rsidRPr="0060536E">
        <w:rPr>
          <w:bCs/>
        </w:rPr>
        <w:t xml:space="preserve"> of </w:t>
      </w:r>
      <w:r w:rsidR="00CC5172" w:rsidRPr="0060536E">
        <w:rPr>
          <w:bCs/>
        </w:rPr>
        <w:t xml:space="preserve">voting intention for different parties (as % of vote in Great Britain), </w:t>
      </w:r>
      <w:r w:rsidR="00D36BCA" w:rsidRPr="0060536E">
        <w:rPr>
          <w:bCs/>
        </w:rPr>
        <w:t xml:space="preserve">from the final polls before the </w:t>
      </w:r>
      <w:r w:rsidR="00091FA1" w:rsidRPr="0060536E">
        <w:rPr>
          <w:bCs/>
        </w:rPr>
        <w:t xml:space="preserve">UK </w:t>
      </w:r>
      <w:r w:rsidR="00D36BCA" w:rsidRPr="0060536E">
        <w:rPr>
          <w:bCs/>
        </w:rPr>
        <w:t>General Election on May 7</w:t>
      </w:r>
      <w:r w:rsidR="00D36BCA" w:rsidRPr="0060536E">
        <w:rPr>
          <w:bCs/>
          <w:vertAlign w:val="superscript"/>
        </w:rPr>
        <w:t>th</w:t>
      </w:r>
      <w:r w:rsidR="00D36BCA" w:rsidRPr="0060536E">
        <w:rPr>
          <w:bCs/>
        </w:rPr>
        <w:t xml:space="preserve"> 201</w:t>
      </w:r>
      <w:r w:rsidR="00B979E6" w:rsidRPr="0060536E">
        <w:rPr>
          <w:bCs/>
        </w:rPr>
        <w:t>5</w:t>
      </w:r>
      <w:r w:rsidR="00D36BCA" w:rsidRPr="0060536E">
        <w:rPr>
          <w:bCs/>
        </w:rPr>
        <w:t xml:space="preserve">. </w:t>
      </w:r>
    </w:p>
    <w:tbl>
      <w:tblPr>
        <w:tblStyle w:val="TableGrid1"/>
        <w:tblW w:w="827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841"/>
        <w:gridCol w:w="1052"/>
        <w:gridCol w:w="871"/>
        <w:gridCol w:w="611"/>
        <w:gridCol w:w="611"/>
        <w:gridCol w:w="503"/>
        <w:gridCol w:w="644"/>
        <w:gridCol w:w="766"/>
        <w:gridCol w:w="738"/>
      </w:tblGrid>
      <w:tr w:rsidR="00393B3A" w:rsidRPr="00E42E1D" w14:paraId="7F28ECD3" w14:textId="77777777" w:rsidTr="00393B3A">
        <w:trPr>
          <w:jc w:val="center"/>
        </w:trPr>
        <w:tc>
          <w:tcPr>
            <w:tcW w:w="0" w:type="auto"/>
            <w:tcBorders>
              <w:top w:val="single" w:sz="4" w:space="0" w:color="auto"/>
              <w:left w:val="single" w:sz="4" w:space="0" w:color="auto"/>
              <w:bottom w:val="nil"/>
            </w:tcBorders>
            <w:vAlign w:val="center"/>
          </w:tcPr>
          <w:p w14:paraId="120443C1" w14:textId="77777777" w:rsidR="00393B3A" w:rsidRPr="00017DF8" w:rsidRDefault="00393B3A" w:rsidP="00393B3A">
            <w:pPr>
              <w:rPr>
                <w:bCs/>
                <w:sz w:val="20"/>
              </w:rPr>
            </w:pPr>
          </w:p>
        </w:tc>
        <w:tc>
          <w:tcPr>
            <w:tcW w:w="0" w:type="auto"/>
            <w:tcBorders>
              <w:top w:val="single" w:sz="4" w:space="0" w:color="auto"/>
              <w:bottom w:val="nil"/>
            </w:tcBorders>
          </w:tcPr>
          <w:p w14:paraId="48A80FC4" w14:textId="77777777" w:rsidR="00393B3A" w:rsidRPr="00017DF8" w:rsidRDefault="00393B3A" w:rsidP="00393B3A">
            <w:pPr>
              <w:rPr>
                <w:sz w:val="20"/>
              </w:rPr>
            </w:pPr>
            <w:r w:rsidRPr="00017DF8">
              <w:rPr>
                <w:sz w:val="20"/>
              </w:rPr>
              <w:t>Survey</w:t>
            </w:r>
          </w:p>
        </w:tc>
        <w:tc>
          <w:tcPr>
            <w:tcW w:w="0" w:type="auto"/>
            <w:tcBorders>
              <w:top w:val="single" w:sz="4" w:space="0" w:color="auto"/>
              <w:bottom w:val="nil"/>
            </w:tcBorders>
            <w:vAlign w:val="center"/>
          </w:tcPr>
          <w:p w14:paraId="7271A512" w14:textId="77777777" w:rsidR="00393B3A" w:rsidRPr="00017DF8" w:rsidRDefault="00393B3A" w:rsidP="00393B3A">
            <w:pPr>
              <w:rPr>
                <w:sz w:val="20"/>
              </w:rPr>
            </w:pPr>
            <w:r w:rsidRPr="00017DF8">
              <w:rPr>
                <w:sz w:val="20"/>
              </w:rPr>
              <w:t>Days of</w:t>
            </w:r>
          </w:p>
        </w:tc>
        <w:tc>
          <w:tcPr>
            <w:tcW w:w="0" w:type="auto"/>
            <w:tcBorders>
              <w:top w:val="single" w:sz="4" w:space="0" w:color="auto"/>
              <w:bottom w:val="nil"/>
            </w:tcBorders>
            <w:vAlign w:val="center"/>
          </w:tcPr>
          <w:p w14:paraId="0CD69FB3" w14:textId="77777777" w:rsidR="00393B3A" w:rsidRPr="00017DF8" w:rsidRDefault="00393B3A" w:rsidP="00393B3A">
            <w:pPr>
              <w:rPr>
                <w:sz w:val="20"/>
              </w:rPr>
            </w:pPr>
            <w:r w:rsidRPr="00017DF8">
              <w:rPr>
                <w:sz w:val="20"/>
              </w:rPr>
              <w:t>Sample</w:t>
            </w:r>
          </w:p>
        </w:tc>
        <w:tc>
          <w:tcPr>
            <w:tcW w:w="0" w:type="auto"/>
            <w:gridSpan w:val="6"/>
            <w:tcBorders>
              <w:top w:val="single" w:sz="4" w:space="0" w:color="auto"/>
              <w:bottom w:val="single" w:sz="4" w:space="0" w:color="auto"/>
              <w:right w:val="single" w:sz="4" w:space="0" w:color="auto"/>
            </w:tcBorders>
            <w:vAlign w:val="center"/>
          </w:tcPr>
          <w:p w14:paraId="20B948C2" w14:textId="77777777" w:rsidR="00393B3A" w:rsidRPr="00017DF8" w:rsidRDefault="00393B3A" w:rsidP="00393B3A">
            <w:pPr>
              <w:jc w:val="center"/>
              <w:rPr>
                <w:sz w:val="20"/>
              </w:rPr>
            </w:pPr>
            <w:r w:rsidRPr="00017DF8">
              <w:rPr>
                <w:sz w:val="20"/>
              </w:rPr>
              <w:t>Party‡</w:t>
            </w:r>
          </w:p>
        </w:tc>
      </w:tr>
      <w:tr w:rsidR="00393B3A" w:rsidRPr="00E42E1D" w14:paraId="39B75C55" w14:textId="77777777" w:rsidTr="00393B3A">
        <w:trPr>
          <w:jc w:val="center"/>
        </w:trPr>
        <w:tc>
          <w:tcPr>
            <w:tcW w:w="0" w:type="auto"/>
            <w:tcBorders>
              <w:top w:val="nil"/>
              <w:left w:val="single" w:sz="4" w:space="0" w:color="auto"/>
              <w:bottom w:val="single" w:sz="4" w:space="0" w:color="auto"/>
            </w:tcBorders>
            <w:vAlign w:val="center"/>
          </w:tcPr>
          <w:p w14:paraId="60125D40" w14:textId="77777777" w:rsidR="00393B3A" w:rsidRPr="00017DF8" w:rsidRDefault="00393B3A" w:rsidP="00393B3A">
            <w:pPr>
              <w:rPr>
                <w:bCs/>
                <w:sz w:val="20"/>
              </w:rPr>
            </w:pPr>
            <w:r w:rsidRPr="00017DF8">
              <w:rPr>
                <w:bCs/>
                <w:sz w:val="20"/>
              </w:rPr>
              <w:t>Pollster</w:t>
            </w:r>
          </w:p>
        </w:tc>
        <w:tc>
          <w:tcPr>
            <w:tcW w:w="0" w:type="auto"/>
            <w:tcBorders>
              <w:top w:val="nil"/>
              <w:bottom w:val="single" w:sz="4" w:space="0" w:color="auto"/>
            </w:tcBorders>
          </w:tcPr>
          <w:p w14:paraId="3B90512B" w14:textId="77777777" w:rsidR="00393B3A" w:rsidRPr="00017DF8" w:rsidRDefault="00393B3A" w:rsidP="00393B3A">
            <w:pPr>
              <w:rPr>
                <w:sz w:val="20"/>
              </w:rPr>
            </w:pPr>
            <w:r w:rsidRPr="00017DF8">
              <w:rPr>
                <w:sz w:val="20"/>
              </w:rPr>
              <w:t>mode†</w:t>
            </w:r>
          </w:p>
        </w:tc>
        <w:tc>
          <w:tcPr>
            <w:tcW w:w="0" w:type="auto"/>
            <w:tcBorders>
              <w:top w:val="nil"/>
              <w:bottom w:val="single" w:sz="4" w:space="0" w:color="auto"/>
            </w:tcBorders>
            <w:vAlign w:val="center"/>
          </w:tcPr>
          <w:p w14:paraId="2A86AE32" w14:textId="77777777" w:rsidR="00393B3A" w:rsidRPr="00017DF8" w:rsidRDefault="00393B3A" w:rsidP="00393B3A">
            <w:pPr>
              <w:rPr>
                <w:sz w:val="20"/>
              </w:rPr>
            </w:pPr>
            <w:r w:rsidRPr="00017DF8">
              <w:rPr>
                <w:sz w:val="20"/>
              </w:rPr>
              <w:t>fieldwork</w:t>
            </w:r>
          </w:p>
        </w:tc>
        <w:tc>
          <w:tcPr>
            <w:tcW w:w="0" w:type="auto"/>
            <w:tcBorders>
              <w:top w:val="nil"/>
              <w:bottom w:val="single" w:sz="4" w:space="0" w:color="auto"/>
            </w:tcBorders>
            <w:vAlign w:val="center"/>
          </w:tcPr>
          <w:p w14:paraId="0BD58A43" w14:textId="77777777" w:rsidR="00393B3A" w:rsidRPr="00017DF8" w:rsidRDefault="00393B3A" w:rsidP="00393B3A">
            <w:pPr>
              <w:rPr>
                <w:sz w:val="20"/>
              </w:rPr>
            </w:pPr>
            <w:r w:rsidRPr="00017DF8">
              <w:rPr>
                <w:sz w:val="20"/>
              </w:rPr>
              <w:t>size</w:t>
            </w:r>
          </w:p>
        </w:tc>
        <w:tc>
          <w:tcPr>
            <w:tcW w:w="0" w:type="auto"/>
            <w:tcBorders>
              <w:top w:val="single" w:sz="4" w:space="0" w:color="auto"/>
              <w:bottom w:val="single" w:sz="4" w:space="0" w:color="auto"/>
            </w:tcBorders>
            <w:vAlign w:val="center"/>
          </w:tcPr>
          <w:p w14:paraId="1A25D481" w14:textId="77777777" w:rsidR="00393B3A" w:rsidRPr="00017DF8" w:rsidRDefault="00393B3A" w:rsidP="00393B3A">
            <w:pPr>
              <w:rPr>
                <w:sz w:val="20"/>
              </w:rPr>
            </w:pPr>
            <w:r w:rsidRPr="00017DF8">
              <w:rPr>
                <w:sz w:val="20"/>
              </w:rPr>
              <w:t>Con</w:t>
            </w:r>
          </w:p>
        </w:tc>
        <w:tc>
          <w:tcPr>
            <w:tcW w:w="0" w:type="auto"/>
            <w:tcBorders>
              <w:top w:val="single" w:sz="4" w:space="0" w:color="auto"/>
              <w:bottom w:val="single" w:sz="4" w:space="0" w:color="auto"/>
            </w:tcBorders>
            <w:vAlign w:val="center"/>
          </w:tcPr>
          <w:p w14:paraId="38561A20" w14:textId="77777777" w:rsidR="00393B3A" w:rsidRPr="00017DF8" w:rsidRDefault="00393B3A" w:rsidP="00393B3A">
            <w:pPr>
              <w:rPr>
                <w:sz w:val="20"/>
              </w:rPr>
            </w:pPr>
            <w:r w:rsidRPr="00017DF8">
              <w:rPr>
                <w:sz w:val="20"/>
              </w:rPr>
              <w:t>Lab</w:t>
            </w:r>
          </w:p>
        </w:tc>
        <w:tc>
          <w:tcPr>
            <w:tcW w:w="0" w:type="auto"/>
            <w:tcBorders>
              <w:top w:val="single" w:sz="4" w:space="0" w:color="auto"/>
              <w:bottom w:val="single" w:sz="4" w:space="0" w:color="auto"/>
            </w:tcBorders>
            <w:vAlign w:val="center"/>
          </w:tcPr>
          <w:p w14:paraId="5A351F7B" w14:textId="77777777" w:rsidR="00393B3A" w:rsidRPr="00017DF8" w:rsidRDefault="00393B3A" w:rsidP="00393B3A">
            <w:pPr>
              <w:rPr>
                <w:sz w:val="20"/>
              </w:rPr>
            </w:pPr>
            <w:r w:rsidRPr="00017DF8">
              <w:rPr>
                <w:sz w:val="20"/>
              </w:rPr>
              <w:t>Lib</w:t>
            </w:r>
          </w:p>
        </w:tc>
        <w:tc>
          <w:tcPr>
            <w:tcW w:w="0" w:type="auto"/>
            <w:tcBorders>
              <w:top w:val="single" w:sz="4" w:space="0" w:color="auto"/>
              <w:bottom w:val="single" w:sz="4" w:space="0" w:color="auto"/>
            </w:tcBorders>
            <w:vAlign w:val="center"/>
          </w:tcPr>
          <w:p w14:paraId="43059411" w14:textId="77777777" w:rsidR="00393B3A" w:rsidRPr="00017DF8" w:rsidRDefault="00393B3A" w:rsidP="00393B3A">
            <w:pPr>
              <w:rPr>
                <w:sz w:val="20"/>
              </w:rPr>
            </w:pPr>
            <w:r w:rsidRPr="00017DF8">
              <w:rPr>
                <w:sz w:val="20"/>
              </w:rPr>
              <w:t>UKIP</w:t>
            </w:r>
          </w:p>
        </w:tc>
        <w:tc>
          <w:tcPr>
            <w:tcW w:w="0" w:type="auto"/>
            <w:tcBorders>
              <w:top w:val="single" w:sz="4" w:space="0" w:color="auto"/>
              <w:bottom w:val="single" w:sz="4" w:space="0" w:color="auto"/>
            </w:tcBorders>
            <w:vAlign w:val="center"/>
          </w:tcPr>
          <w:p w14:paraId="480E169C" w14:textId="77777777" w:rsidR="00393B3A" w:rsidRPr="00017DF8" w:rsidRDefault="00393B3A" w:rsidP="00393B3A">
            <w:pPr>
              <w:rPr>
                <w:sz w:val="20"/>
              </w:rPr>
            </w:pPr>
            <w:r w:rsidRPr="00017DF8">
              <w:rPr>
                <w:sz w:val="20"/>
              </w:rPr>
              <w:t>Green</w:t>
            </w:r>
          </w:p>
        </w:tc>
        <w:tc>
          <w:tcPr>
            <w:tcW w:w="0" w:type="auto"/>
            <w:tcBorders>
              <w:top w:val="single" w:sz="4" w:space="0" w:color="auto"/>
              <w:bottom w:val="single" w:sz="4" w:space="0" w:color="auto"/>
              <w:right w:val="single" w:sz="4" w:space="0" w:color="auto"/>
            </w:tcBorders>
            <w:vAlign w:val="center"/>
          </w:tcPr>
          <w:p w14:paraId="5F862E9E" w14:textId="77777777" w:rsidR="00393B3A" w:rsidRPr="00017DF8" w:rsidRDefault="00393B3A" w:rsidP="00393B3A">
            <w:pPr>
              <w:rPr>
                <w:sz w:val="20"/>
              </w:rPr>
            </w:pPr>
            <w:r w:rsidRPr="00017DF8">
              <w:rPr>
                <w:sz w:val="20"/>
              </w:rPr>
              <w:t>Other</w:t>
            </w:r>
          </w:p>
        </w:tc>
      </w:tr>
      <w:tr w:rsidR="00393B3A" w:rsidRPr="00E42E1D" w14:paraId="6A470DE9" w14:textId="77777777" w:rsidTr="00393B3A">
        <w:trPr>
          <w:jc w:val="center"/>
        </w:trPr>
        <w:tc>
          <w:tcPr>
            <w:tcW w:w="0" w:type="auto"/>
            <w:tcBorders>
              <w:top w:val="single" w:sz="4" w:space="0" w:color="auto"/>
              <w:left w:val="single" w:sz="4" w:space="0" w:color="auto"/>
            </w:tcBorders>
            <w:vAlign w:val="center"/>
          </w:tcPr>
          <w:p w14:paraId="4A5E0929" w14:textId="77777777" w:rsidR="00393B3A" w:rsidRPr="00017DF8" w:rsidRDefault="00393B3A" w:rsidP="00393B3A">
            <w:pPr>
              <w:rPr>
                <w:sz w:val="20"/>
              </w:rPr>
            </w:pPr>
            <w:proofErr w:type="spellStart"/>
            <w:r w:rsidRPr="00017DF8">
              <w:rPr>
                <w:bCs/>
                <w:sz w:val="20"/>
              </w:rPr>
              <w:t>Populus</w:t>
            </w:r>
            <w:proofErr w:type="spellEnd"/>
          </w:p>
        </w:tc>
        <w:tc>
          <w:tcPr>
            <w:tcW w:w="0" w:type="auto"/>
            <w:tcBorders>
              <w:top w:val="single" w:sz="4" w:space="0" w:color="auto"/>
            </w:tcBorders>
          </w:tcPr>
          <w:p w14:paraId="14925366" w14:textId="77777777" w:rsidR="00393B3A" w:rsidRPr="00017DF8" w:rsidRDefault="00393B3A" w:rsidP="00393B3A">
            <w:pPr>
              <w:rPr>
                <w:sz w:val="20"/>
              </w:rPr>
            </w:pPr>
            <w:r w:rsidRPr="00017DF8">
              <w:rPr>
                <w:sz w:val="20"/>
              </w:rPr>
              <w:t>O</w:t>
            </w:r>
          </w:p>
        </w:tc>
        <w:tc>
          <w:tcPr>
            <w:tcW w:w="0" w:type="auto"/>
            <w:tcBorders>
              <w:top w:val="single" w:sz="4" w:space="0" w:color="auto"/>
            </w:tcBorders>
            <w:vAlign w:val="center"/>
          </w:tcPr>
          <w:p w14:paraId="4C9619F0" w14:textId="77777777" w:rsidR="00393B3A" w:rsidRPr="00017DF8" w:rsidRDefault="00393B3A" w:rsidP="00393B3A">
            <w:pPr>
              <w:rPr>
                <w:sz w:val="20"/>
              </w:rPr>
            </w:pPr>
            <w:r w:rsidRPr="00017DF8">
              <w:rPr>
                <w:sz w:val="20"/>
              </w:rPr>
              <w:t>5–6 May</w:t>
            </w:r>
          </w:p>
        </w:tc>
        <w:tc>
          <w:tcPr>
            <w:tcW w:w="0" w:type="auto"/>
            <w:tcBorders>
              <w:top w:val="single" w:sz="4" w:space="0" w:color="auto"/>
            </w:tcBorders>
            <w:vAlign w:val="center"/>
          </w:tcPr>
          <w:p w14:paraId="356DFAA2" w14:textId="77777777" w:rsidR="00393B3A" w:rsidRPr="00017DF8" w:rsidRDefault="00393B3A" w:rsidP="00393B3A">
            <w:pPr>
              <w:rPr>
                <w:sz w:val="20"/>
              </w:rPr>
            </w:pPr>
            <w:r w:rsidRPr="00017DF8">
              <w:rPr>
                <w:sz w:val="20"/>
              </w:rPr>
              <w:t>3917</w:t>
            </w:r>
          </w:p>
        </w:tc>
        <w:tc>
          <w:tcPr>
            <w:tcW w:w="0" w:type="auto"/>
            <w:tcBorders>
              <w:top w:val="single" w:sz="4" w:space="0" w:color="auto"/>
            </w:tcBorders>
            <w:vAlign w:val="center"/>
          </w:tcPr>
          <w:p w14:paraId="5734E8A6" w14:textId="77777777" w:rsidR="00393B3A" w:rsidRPr="00017DF8" w:rsidRDefault="00393B3A" w:rsidP="00393B3A">
            <w:pPr>
              <w:rPr>
                <w:sz w:val="20"/>
              </w:rPr>
            </w:pPr>
            <w:r w:rsidRPr="00017DF8">
              <w:rPr>
                <w:sz w:val="20"/>
              </w:rPr>
              <w:t>34</w:t>
            </w:r>
          </w:p>
        </w:tc>
        <w:tc>
          <w:tcPr>
            <w:tcW w:w="0" w:type="auto"/>
            <w:tcBorders>
              <w:top w:val="single" w:sz="4" w:space="0" w:color="auto"/>
            </w:tcBorders>
            <w:vAlign w:val="center"/>
          </w:tcPr>
          <w:p w14:paraId="23CE134E" w14:textId="77777777" w:rsidR="00393B3A" w:rsidRPr="00017DF8" w:rsidRDefault="00393B3A" w:rsidP="00393B3A">
            <w:pPr>
              <w:rPr>
                <w:sz w:val="20"/>
              </w:rPr>
            </w:pPr>
            <w:r w:rsidRPr="00017DF8">
              <w:rPr>
                <w:sz w:val="20"/>
              </w:rPr>
              <w:t>34</w:t>
            </w:r>
          </w:p>
        </w:tc>
        <w:tc>
          <w:tcPr>
            <w:tcW w:w="0" w:type="auto"/>
            <w:tcBorders>
              <w:top w:val="single" w:sz="4" w:space="0" w:color="auto"/>
            </w:tcBorders>
            <w:vAlign w:val="center"/>
          </w:tcPr>
          <w:p w14:paraId="33C75980" w14:textId="77777777" w:rsidR="00393B3A" w:rsidRPr="00017DF8" w:rsidRDefault="00393B3A" w:rsidP="00393B3A">
            <w:pPr>
              <w:rPr>
                <w:sz w:val="20"/>
              </w:rPr>
            </w:pPr>
            <w:r w:rsidRPr="00017DF8">
              <w:rPr>
                <w:sz w:val="20"/>
              </w:rPr>
              <w:t>9</w:t>
            </w:r>
          </w:p>
        </w:tc>
        <w:tc>
          <w:tcPr>
            <w:tcW w:w="0" w:type="auto"/>
            <w:tcBorders>
              <w:top w:val="single" w:sz="4" w:space="0" w:color="auto"/>
            </w:tcBorders>
            <w:vAlign w:val="center"/>
          </w:tcPr>
          <w:p w14:paraId="01C145E4" w14:textId="77777777" w:rsidR="00393B3A" w:rsidRPr="00017DF8" w:rsidRDefault="00393B3A" w:rsidP="00393B3A">
            <w:pPr>
              <w:rPr>
                <w:sz w:val="20"/>
              </w:rPr>
            </w:pPr>
            <w:r w:rsidRPr="00017DF8">
              <w:rPr>
                <w:sz w:val="20"/>
              </w:rPr>
              <w:t>13</w:t>
            </w:r>
          </w:p>
        </w:tc>
        <w:tc>
          <w:tcPr>
            <w:tcW w:w="0" w:type="auto"/>
            <w:tcBorders>
              <w:top w:val="single" w:sz="4" w:space="0" w:color="auto"/>
            </w:tcBorders>
            <w:vAlign w:val="center"/>
          </w:tcPr>
          <w:p w14:paraId="6EA2ECC1" w14:textId="77777777" w:rsidR="00393B3A" w:rsidRPr="00017DF8" w:rsidRDefault="00393B3A" w:rsidP="00393B3A">
            <w:pPr>
              <w:rPr>
                <w:sz w:val="20"/>
              </w:rPr>
            </w:pPr>
            <w:r w:rsidRPr="00017DF8">
              <w:rPr>
                <w:sz w:val="20"/>
              </w:rPr>
              <w:t>5</w:t>
            </w:r>
          </w:p>
        </w:tc>
        <w:tc>
          <w:tcPr>
            <w:tcW w:w="0" w:type="auto"/>
            <w:tcBorders>
              <w:top w:val="single" w:sz="4" w:space="0" w:color="auto"/>
              <w:right w:val="single" w:sz="4" w:space="0" w:color="auto"/>
            </w:tcBorders>
            <w:vAlign w:val="center"/>
          </w:tcPr>
          <w:p w14:paraId="7B619967" w14:textId="77777777" w:rsidR="00393B3A" w:rsidRPr="00017DF8" w:rsidRDefault="00393B3A" w:rsidP="00393B3A">
            <w:pPr>
              <w:rPr>
                <w:sz w:val="20"/>
              </w:rPr>
            </w:pPr>
            <w:r w:rsidRPr="00017DF8">
              <w:rPr>
                <w:sz w:val="20"/>
              </w:rPr>
              <w:t>6</w:t>
            </w:r>
          </w:p>
        </w:tc>
      </w:tr>
      <w:tr w:rsidR="00393B3A" w:rsidRPr="00E42E1D" w14:paraId="2C465A96" w14:textId="77777777" w:rsidTr="00393B3A">
        <w:trPr>
          <w:jc w:val="center"/>
        </w:trPr>
        <w:tc>
          <w:tcPr>
            <w:tcW w:w="0" w:type="auto"/>
            <w:tcBorders>
              <w:left w:val="single" w:sz="4" w:space="0" w:color="auto"/>
            </w:tcBorders>
            <w:vAlign w:val="center"/>
          </w:tcPr>
          <w:p w14:paraId="42ED8979" w14:textId="77777777" w:rsidR="00393B3A" w:rsidRPr="00017DF8" w:rsidRDefault="00393B3A" w:rsidP="00393B3A">
            <w:pPr>
              <w:rPr>
                <w:sz w:val="20"/>
              </w:rPr>
            </w:pPr>
            <w:proofErr w:type="spellStart"/>
            <w:r w:rsidRPr="00017DF8">
              <w:rPr>
                <w:bCs/>
                <w:sz w:val="20"/>
              </w:rPr>
              <w:t>Ipsos</w:t>
            </w:r>
            <w:proofErr w:type="spellEnd"/>
            <w:r w:rsidRPr="00017DF8">
              <w:rPr>
                <w:bCs/>
                <w:sz w:val="20"/>
              </w:rPr>
              <w:t>-MORI</w:t>
            </w:r>
          </w:p>
        </w:tc>
        <w:tc>
          <w:tcPr>
            <w:tcW w:w="0" w:type="auto"/>
          </w:tcPr>
          <w:p w14:paraId="2DBFBB07" w14:textId="77777777" w:rsidR="00393B3A" w:rsidRPr="00017DF8" w:rsidRDefault="00393B3A" w:rsidP="00393B3A">
            <w:pPr>
              <w:rPr>
                <w:sz w:val="20"/>
              </w:rPr>
            </w:pPr>
            <w:r w:rsidRPr="00017DF8">
              <w:rPr>
                <w:sz w:val="20"/>
              </w:rPr>
              <w:t>P</w:t>
            </w:r>
          </w:p>
        </w:tc>
        <w:tc>
          <w:tcPr>
            <w:tcW w:w="0" w:type="auto"/>
            <w:vAlign w:val="center"/>
          </w:tcPr>
          <w:p w14:paraId="2F76CDBE" w14:textId="77777777" w:rsidR="00393B3A" w:rsidRPr="00017DF8" w:rsidRDefault="00393B3A" w:rsidP="00393B3A">
            <w:pPr>
              <w:rPr>
                <w:sz w:val="20"/>
              </w:rPr>
            </w:pPr>
            <w:r w:rsidRPr="00017DF8">
              <w:rPr>
                <w:sz w:val="20"/>
              </w:rPr>
              <w:t>5–6 May</w:t>
            </w:r>
          </w:p>
        </w:tc>
        <w:tc>
          <w:tcPr>
            <w:tcW w:w="0" w:type="auto"/>
            <w:vAlign w:val="center"/>
          </w:tcPr>
          <w:p w14:paraId="7BBFAF76" w14:textId="77777777" w:rsidR="00393B3A" w:rsidRPr="00017DF8" w:rsidRDefault="00393B3A" w:rsidP="00393B3A">
            <w:pPr>
              <w:rPr>
                <w:sz w:val="20"/>
              </w:rPr>
            </w:pPr>
            <w:r w:rsidRPr="00017DF8">
              <w:rPr>
                <w:sz w:val="20"/>
              </w:rPr>
              <w:t>1186</w:t>
            </w:r>
          </w:p>
        </w:tc>
        <w:tc>
          <w:tcPr>
            <w:tcW w:w="0" w:type="auto"/>
            <w:vAlign w:val="center"/>
          </w:tcPr>
          <w:p w14:paraId="03BB3FFA" w14:textId="77777777" w:rsidR="00393B3A" w:rsidRPr="00017DF8" w:rsidRDefault="00393B3A" w:rsidP="00393B3A">
            <w:pPr>
              <w:rPr>
                <w:sz w:val="20"/>
              </w:rPr>
            </w:pPr>
            <w:r w:rsidRPr="00017DF8">
              <w:rPr>
                <w:sz w:val="20"/>
              </w:rPr>
              <w:t>36</w:t>
            </w:r>
          </w:p>
        </w:tc>
        <w:tc>
          <w:tcPr>
            <w:tcW w:w="0" w:type="auto"/>
            <w:vAlign w:val="center"/>
          </w:tcPr>
          <w:p w14:paraId="419201E8" w14:textId="77777777" w:rsidR="00393B3A" w:rsidRPr="00017DF8" w:rsidRDefault="00393B3A" w:rsidP="00393B3A">
            <w:pPr>
              <w:rPr>
                <w:sz w:val="20"/>
              </w:rPr>
            </w:pPr>
            <w:r w:rsidRPr="00017DF8">
              <w:rPr>
                <w:sz w:val="20"/>
              </w:rPr>
              <w:t>35</w:t>
            </w:r>
          </w:p>
        </w:tc>
        <w:tc>
          <w:tcPr>
            <w:tcW w:w="0" w:type="auto"/>
            <w:vAlign w:val="center"/>
          </w:tcPr>
          <w:p w14:paraId="196001F1" w14:textId="77777777" w:rsidR="00393B3A" w:rsidRPr="00017DF8" w:rsidRDefault="00393B3A" w:rsidP="00393B3A">
            <w:pPr>
              <w:rPr>
                <w:sz w:val="20"/>
              </w:rPr>
            </w:pPr>
            <w:r w:rsidRPr="00017DF8">
              <w:rPr>
                <w:sz w:val="20"/>
              </w:rPr>
              <w:t>8</w:t>
            </w:r>
          </w:p>
        </w:tc>
        <w:tc>
          <w:tcPr>
            <w:tcW w:w="0" w:type="auto"/>
            <w:vAlign w:val="center"/>
          </w:tcPr>
          <w:p w14:paraId="13373A2B" w14:textId="77777777" w:rsidR="00393B3A" w:rsidRPr="00017DF8" w:rsidRDefault="00393B3A" w:rsidP="00393B3A">
            <w:pPr>
              <w:rPr>
                <w:sz w:val="20"/>
              </w:rPr>
            </w:pPr>
            <w:r w:rsidRPr="00017DF8">
              <w:rPr>
                <w:sz w:val="20"/>
              </w:rPr>
              <w:t>11</w:t>
            </w:r>
          </w:p>
        </w:tc>
        <w:tc>
          <w:tcPr>
            <w:tcW w:w="0" w:type="auto"/>
            <w:vAlign w:val="center"/>
          </w:tcPr>
          <w:p w14:paraId="48BF3F44" w14:textId="77777777" w:rsidR="00393B3A" w:rsidRPr="00017DF8" w:rsidRDefault="00393B3A" w:rsidP="00393B3A">
            <w:pPr>
              <w:rPr>
                <w:sz w:val="20"/>
              </w:rPr>
            </w:pPr>
            <w:r w:rsidRPr="00017DF8">
              <w:rPr>
                <w:sz w:val="20"/>
              </w:rPr>
              <w:t>5</w:t>
            </w:r>
          </w:p>
        </w:tc>
        <w:tc>
          <w:tcPr>
            <w:tcW w:w="0" w:type="auto"/>
            <w:tcBorders>
              <w:right w:val="single" w:sz="4" w:space="0" w:color="auto"/>
            </w:tcBorders>
            <w:vAlign w:val="center"/>
          </w:tcPr>
          <w:p w14:paraId="6BEADDA8" w14:textId="77777777" w:rsidR="00393B3A" w:rsidRPr="00017DF8" w:rsidRDefault="00393B3A" w:rsidP="00393B3A">
            <w:pPr>
              <w:rPr>
                <w:sz w:val="20"/>
              </w:rPr>
            </w:pPr>
            <w:r w:rsidRPr="00017DF8">
              <w:rPr>
                <w:sz w:val="20"/>
              </w:rPr>
              <w:t>5</w:t>
            </w:r>
          </w:p>
        </w:tc>
      </w:tr>
      <w:tr w:rsidR="00393B3A" w:rsidRPr="00E42E1D" w14:paraId="49CCD9F6" w14:textId="77777777" w:rsidTr="00393B3A">
        <w:trPr>
          <w:jc w:val="center"/>
        </w:trPr>
        <w:tc>
          <w:tcPr>
            <w:tcW w:w="0" w:type="auto"/>
            <w:tcBorders>
              <w:left w:val="single" w:sz="4" w:space="0" w:color="auto"/>
            </w:tcBorders>
            <w:vAlign w:val="center"/>
          </w:tcPr>
          <w:p w14:paraId="220DFD58" w14:textId="77777777" w:rsidR="00393B3A" w:rsidRPr="00017DF8" w:rsidRDefault="00393B3A" w:rsidP="00393B3A">
            <w:pPr>
              <w:rPr>
                <w:sz w:val="20"/>
              </w:rPr>
            </w:pPr>
            <w:proofErr w:type="spellStart"/>
            <w:r w:rsidRPr="00017DF8">
              <w:rPr>
                <w:bCs/>
                <w:sz w:val="20"/>
              </w:rPr>
              <w:t>YouGov</w:t>
            </w:r>
            <w:proofErr w:type="spellEnd"/>
          </w:p>
        </w:tc>
        <w:tc>
          <w:tcPr>
            <w:tcW w:w="0" w:type="auto"/>
          </w:tcPr>
          <w:p w14:paraId="0DBCCC13" w14:textId="77777777" w:rsidR="00393B3A" w:rsidRPr="00017DF8" w:rsidRDefault="00393B3A" w:rsidP="00393B3A">
            <w:pPr>
              <w:rPr>
                <w:sz w:val="20"/>
              </w:rPr>
            </w:pPr>
            <w:r w:rsidRPr="00017DF8">
              <w:rPr>
                <w:sz w:val="20"/>
              </w:rPr>
              <w:t>O</w:t>
            </w:r>
          </w:p>
        </w:tc>
        <w:tc>
          <w:tcPr>
            <w:tcW w:w="0" w:type="auto"/>
            <w:vAlign w:val="center"/>
          </w:tcPr>
          <w:p w14:paraId="1EEDA3BC" w14:textId="77777777" w:rsidR="00393B3A" w:rsidRPr="00017DF8" w:rsidRDefault="00393B3A" w:rsidP="00393B3A">
            <w:pPr>
              <w:rPr>
                <w:sz w:val="20"/>
              </w:rPr>
            </w:pPr>
            <w:r w:rsidRPr="00017DF8">
              <w:rPr>
                <w:sz w:val="20"/>
              </w:rPr>
              <w:t>4–6 May</w:t>
            </w:r>
          </w:p>
        </w:tc>
        <w:tc>
          <w:tcPr>
            <w:tcW w:w="0" w:type="auto"/>
            <w:vAlign w:val="center"/>
          </w:tcPr>
          <w:p w14:paraId="1DAF2AEE" w14:textId="77777777" w:rsidR="00393B3A" w:rsidRPr="00017DF8" w:rsidRDefault="00393B3A" w:rsidP="00393B3A">
            <w:pPr>
              <w:rPr>
                <w:sz w:val="20"/>
              </w:rPr>
            </w:pPr>
            <w:r w:rsidRPr="00017DF8">
              <w:rPr>
                <w:sz w:val="20"/>
              </w:rPr>
              <w:t>10307</w:t>
            </w:r>
          </w:p>
        </w:tc>
        <w:tc>
          <w:tcPr>
            <w:tcW w:w="0" w:type="auto"/>
            <w:vAlign w:val="center"/>
          </w:tcPr>
          <w:p w14:paraId="640EB8D0" w14:textId="77777777" w:rsidR="00393B3A" w:rsidRPr="00017DF8" w:rsidRDefault="00393B3A" w:rsidP="00393B3A">
            <w:pPr>
              <w:rPr>
                <w:sz w:val="20"/>
              </w:rPr>
            </w:pPr>
            <w:r w:rsidRPr="00017DF8">
              <w:rPr>
                <w:sz w:val="20"/>
              </w:rPr>
              <w:t>34</w:t>
            </w:r>
          </w:p>
        </w:tc>
        <w:tc>
          <w:tcPr>
            <w:tcW w:w="0" w:type="auto"/>
            <w:vAlign w:val="center"/>
          </w:tcPr>
          <w:p w14:paraId="23D4E0ED" w14:textId="77777777" w:rsidR="00393B3A" w:rsidRPr="00017DF8" w:rsidRDefault="00393B3A" w:rsidP="00393B3A">
            <w:pPr>
              <w:rPr>
                <w:sz w:val="20"/>
              </w:rPr>
            </w:pPr>
            <w:r w:rsidRPr="00017DF8">
              <w:rPr>
                <w:sz w:val="20"/>
              </w:rPr>
              <w:t>34</w:t>
            </w:r>
          </w:p>
        </w:tc>
        <w:tc>
          <w:tcPr>
            <w:tcW w:w="0" w:type="auto"/>
            <w:vAlign w:val="center"/>
          </w:tcPr>
          <w:p w14:paraId="38C5A403" w14:textId="77777777" w:rsidR="00393B3A" w:rsidRPr="00017DF8" w:rsidRDefault="00393B3A" w:rsidP="00393B3A">
            <w:pPr>
              <w:rPr>
                <w:sz w:val="20"/>
              </w:rPr>
            </w:pPr>
            <w:r w:rsidRPr="00017DF8">
              <w:rPr>
                <w:sz w:val="20"/>
              </w:rPr>
              <w:t>10</w:t>
            </w:r>
          </w:p>
        </w:tc>
        <w:tc>
          <w:tcPr>
            <w:tcW w:w="0" w:type="auto"/>
            <w:vAlign w:val="center"/>
          </w:tcPr>
          <w:p w14:paraId="1131DE9C" w14:textId="77777777" w:rsidR="00393B3A" w:rsidRPr="00017DF8" w:rsidRDefault="00393B3A" w:rsidP="00393B3A">
            <w:pPr>
              <w:rPr>
                <w:sz w:val="20"/>
              </w:rPr>
            </w:pPr>
            <w:r w:rsidRPr="00017DF8">
              <w:rPr>
                <w:sz w:val="20"/>
              </w:rPr>
              <w:t>12</w:t>
            </w:r>
          </w:p>
        </w:tc>
        <w:tc>
          <w:tcPr>
            <w:tcW w:w="0" w:type="auto"/>
            <w:vAlign w:val="center"/>
          </w:tcPr>
          <w:p w14:paraId="4135C024" w14:textId="77777777" w:rsidR="00393B3A" w:rsidRPr="00017DF8" w:rsidRDefault="00393B3A" w:rsidP="00393B3A">
            <w:pPr>
              <w:rPr>
                <w:sz w:val="20"/>
              </w:rPr>
            </w:pPr>
            <w:r w:rsidRPr="00017DF8">
              <w:rPr>
                <w:sz w:val="20"/>
              </w:rPr>
              <w:t>4</w:t>
            </w:r>
          </w:p>
        </w:tc>
        <w:tc>
          <w:tcPr>
            <w:tcW w:w="0" w:type="auto"/>
            <w:tcBorders>
              <w:right w:val="single" w:sz="4" w:space="0" w:color="auto"/>
            </w:tcBorders>
            <w:vAlign w:val="center"/>
          </w:tcPr>
          <w:p w14:paraId="46190B21" w14:textId="77777777" w:rsidR="00393B3A" w:rsidRPr="00017DF8" w:rsidRDefault="00393B3A" w:rsidP="00393B3A">
            <w:pPr>
              <w:rPr>
                <w:sz w:val="20"/>
              </w:rPr>
            </w:pPr>
            <w:r w:rsidRPr="00017DF8">
              <w:rPr>
                <w:sz w:val="20"/>
              </w:rPr>
              <w:t>6</w:t>
            </w:r>
          </w:p>
        </w:tc>
      </w:tr>
      <w:tr w:rsidR="00393B3A" w:rsidRPr="00E42E1D" w14:paraId="67E56414" w14:textId="77777777" w:rsidTr="00393B3A">
        <w:trPr>
          <w:jc w:val="center"/>
        </w:trPr>
        <w:tc>
          <w:tcPr>
            <w:tcW w:w="0" w:type="auto"/>
            <w:tcBorders>
              <w:left w:val="single" w:sz="4" w:space="0" w:color="auto"/>
            </w:tcBorders>
            <w:vAlign w:val="center"/>
          </w:tcPr>
          <w:p w14:paraId="52D29E90" w14:textId="77777777" w:rsidR="00393B3A" w:rsidRPr="00017DF8" w:rsidRDefault="00393B3A" w:rsidP="00393B3A">
            <w:pPr>
              <w:rPr>
                <w:sz w:val="20"/>
              </w:rPr>
            </w:pPr>
            <w:proofErr w:type="spellStart"/>
            <w:r w:rsidRPr="00017DF8">
              <w:rPr>
                <w:bCs/>
                <w:sz w:val="20"/>
              </w:rPr>
              <w:t>ComRes</w:t>
            </w:r>
            <w:proofErr w:type="spellEnd"/>
          </w:p>
        </w:tc>
        <w:tc>
          <w:tcPr>
            <w:tcW w:w="0" w:type="auto"/>
          </w:tcPr>
          <w:p w14:paraId="7519DF3D" w14:textId="77777777" w:rsidR="00393B3A" w:rsidRPr="00017DF8" w:rsidRDefault="00393B3A" w:rsidP="00393B3A">
            <w:pPr>
              <w:rPr>
                <w:sz w:val="20"/>
              </w:rPr>
            </w:pPr>
            <w:r w:rsidRPr="00017DF8">
              <w:rPr>
                <w:sz w:val="20"/>
              </w:rPr>
              <w:t>P</w:t>
            </w:r>
          </w:p>
        </w:tc>
        <w:tc>
          <w:tcPr>
            <w:tcW w:w="0" w:type="auto"/>
            <w:vAlign w:val="center"/>
          </w:tcPr>
          <w:p w14:paraId="7C961AB2" w14:textId="77777777" w:rsidR="00393B3A" w:rsidRPr="00017DF8" w:rsidRDefault="00393B3A" w:rsidP="00393B3A">
            <w:pPr>
              <w:rPr>
                <w:sz w:val="20"/>
              </w:rPr>
            </w:pPr>
            <w:r w:rsidRPr="00017DF8">
              <w:rPr>
                <w:sz w:val="20"/>
              </w:rPr>
              <w:t>5–6 May</w:t>
            </w:r>
          </w:p>
        </w:tc>
        <w:tc>
          <w:tcPr>
            <w:tcW w:w="0" w:type="auto"/>
            <w:vAlign w:val="center"/>
          </w:tcPr>
          <w:p w14:paraId="258B2277" w14:textId="77777777" w:rsidR="00393B3A" w:rsidRPr="00017DF8" w:rsidRDefault="00393B3A" w:rsidP="00393B3A">
            <w:pPr>
              <w:rPr>
                <w:sz w:val="20"/>
              </w:rPr>
            </w:pPr>
            <w:r w:rsidRPr="00017DF8">
              <w:rPr>
                <w:sz w:val="20"/>
              </w:rPr>
              <w:t>1007</w:t>
            </w:r>
          </w:p>
        </w:tc>
        <w:tc>
          <w:tcPr>
            <w:tcW w:w="0" w:type="auto"/>
            <w:vAlign w:val="center"/>
          </w:tcPr>
          <w:p w14:paraId="65B5F630" w14:textId="77777777" w:rsidR="00393B3A" w:rsidRPr="00017DF8" w:rsidRDefault="00393B3A" w:rsidP="00393B3A">
            <w:pPr>
              <w:rPr>
                <w:sz w:val="20"/>
              </w:rPr>
            </w:pPr>
            <w:r w:rsidRPr="00017DF8">
              <w:rPr>
                <w:sz w:val="20"/>
              </w:rPr>
              <w:t>35</w:t>
            </w:r>
          </w:p>
        </w:tc>
        <w:tc>
          <w:tcPr>
            <w:tcW w:w="0" w:type="auto"/>
            <w:vAlign w:val="center"/>
          </w:tcPr>
          <w:p w14:paraId="10B269CE" w14:textId="77777777" w:rsidR="00393B3A" w:rsidRPr="00017DF8" w:rsidRDefault="00393B3A" w:rsidP="00393B3A">
            <w:pPr>
              <w:rPr>
                <w:sz w:val="20"/>
              </w:rPr>
            </w:pPr>
            <w:r w:rsidRPr="00017DF8">
              <w:rPr>
                <w:sz w:val="20"/>
              </w:rPr>
              <w:t>34</w:t>
            </w:r>
          </w:p>
        </w:tc>
        <w:tc>
          <w:tcPr>
            <w:tcW w:w="0" w:type="auto"/>
            <w:vAlign w:val="center"/>
          </w:tcPr>
          <w:p w14:paraId="2791B990" w14:textId="77777777" w:rsidR="00393B3A" w:rsidRPr="00017DF8" w:rsidRDefault="00393B3A" w:rsidP="00393B3A">
            <w:pPr>
              <w:rPr>
                <w:sz w:val="20"/>
              </w:rPr>
            </w:pPr>
            <w:r w:rsidRPr="00017DF8">
              <w:rPr>
                <w:sz w:val="20"/>
              </w:rPr>
              <w:t>9</w:t>
            </w:r>
          </w:p>
        </w:tc>
        <w:tc>
          <w:tcPr>
            <w:tcW w:w="0" w:type="auto"/>
            <w:vAlign w:val="center"/>
          </w:tcPr>
          <w:p w14:paraId="1C8885DB" w14:textId="77777777" w:rsidR="00393B3A" w:rsidRPr="00017DF8" w:rsidRDefault="00393B3A" w:rsidP="00393B3A">
            <w:pPr>
              <w:rPr>
                <w:sz w:val="20"/>
              </w:rPr>
            </w:pPr>
            <w:r w:rsidRPr="00017DF8">
              <w:rPr>
                <w:sz w:val="20"/>
              </w:rPr>
              <w:t>12</w:t>
            </w:r>
          </w:p>
        </w:tc>
        <w:tc>
          <w:tcPr>
            <w:tcW w:w="0" w:type="auto"/>
            <w:vAlign w:val="center"/>
          </w:tcPr>
          <w:p w14:paraId="3C83F368" w14:textId="77777777" w:rsidR="00393B3A" w:rsidRPr="00017DF8" w:rsidRDefault="00393B3A" w:rsidP="00393B3A">
            <w:pPr>
              <w:rPr>
                <w:sz w:val="20"/>
              </w:rPr>
            </w:pPr>
            <w:r w:rsidRPr="00017DF8">
              <w:rPr>
                <w:sz w:val="20"/>
              </w:rPr>
              <w:t>4</w:t>
            </w:r>
          </w:p>
        </w:tc>
        <w:tc>
          <w:tcPr>
            <w:tcW w:w="0" w:type="auto"/>
            <w:tcBorders>
              <w:bottom w:val="nil"/>
              <w:right w:val="single" w:sz="4" w:space="0" w:color="auto"/>
            </w:tcBorders>
            <w:vAlign w:val="center"/>
          </w:tcPr>
          <w:p w14:paraId="2D1DB63F" w14:textId="77777777" w:rsidR="00393B3A" w:rsidRPr="00017DF8" w:rsidRDefault="00393B3A" w:rsidP="00393B3A">
            <w:pPr>
              <w:rPr>
                <w:sz w:val="20"/>
              </w:rPr>
            </w:pPr>
            <w:r w:rsidRPr="00017DF8">
              <w:rPr>
                <w:sz w:val="20"/>
              </w:rPr>
              <w:t>6</w:t>
            </w:r>
          </w:p>
        </w:tc>
      </w:tr>
      <w:tr w:rsidR="00393B3A" w:rsidRPr="00E42E1D" w14:paraId="2387F291" w14:textId="77777777" w:rsidTr="00393B3A">
        <w:trPr>
          <w:jc w:val="center"/>
        </w:trPr>
        <w:tc>
          <w:tcPr>
            <w:tcW w:w="0" w:type="auto"/>
            <w:tcBorders>
              <w:left w:val="single" w:sz="4" w:space="0" w:color="auto"/>
            </w:tcBorders>
            <w:vAlign w:val="center"/>
          </w:tcPr>
          <w:p w14:paraId="663D4142" w14:textId="77777777" w:rsidR="00393B3A" w:rsidRPr="00017DF8" w:rsidRDefault="00393B3A" w:rsidP="00393B3A">
            <w:pPr>
              <w:rPr>
                <w:sz w:val="20"/>
              </w:rPr>
            </w:pPr>
            <w:proofErr w:type="spellStart"/>
            <w:r w:rsidRPr="00017DF8">
              <w:rPr>
                <w:bCs/>
                <w:sz w:val="20"/>
              </w:rPr>
              <w:t>Survation</w:t>
            </w:r>
            <w:proofErr w:type="spellEnd"/>
          </w:p>
        </w:tc>
        <w:tc>
          <w:tcPr>
            <w:tcW w:w="0" w:type="auto"/>
          </w:tcPr>
          <w:p w14:paraId="56FD73B1" w14:textId="77777777" w:rsidR="00393B3A" w:rsidRPr="00017DF8" w:rsidRDefault="00393B3A" w:rsidP="00393B3A">
            <w:pPr>
              <w:rPr>
                <w:sz w:val="20"/>
              </w:rPr>
            </w:pPr>
            <w:r w:rsidRPr="00017DF8">
              <w:rPr>
                <w:sz w:val="20"/>
              </w:rPr>
              <w:t>O</w:t>
            </w:r>
          </w:p>
        </w:tc>
        <w:tc>
          <w:tcPr>
            <w:tcW w:w="0" w:type="auto"/>
            <w:vAlign w:val="center"/>
          </w:tcPr>
          <w:p w14:paraId="544C2AA9" w14:textId="77777777" w:rsidR="00393B3A" w:rsidRPr="00017DF8" w:rsidRDefault="00393B3A" w:rsidP="00393B3A">
            <w:pPr>
              <w:rPr>
                <w:sz w:val="20"/>
              </w:rPr>
            </w:pPr>
            <w:r w:rsidRPr="00017DF8">
              <w:rPr>
                <w:sz w:val="20"/>
              </w:rPr>
              <w:t>4–6 May</w:t>
            </w:r>
          </w:p>
        </w:tc>
        <w:tc>
          <w:tcPr>
            <w:tcW w:w="0" w:type="auto"/>
            <w:vAlign w:val="center"/>
          </w:tcPr>
          <w:p w14:paraId="090D7BAD" w14:textId="77777777" w:rsidR="00393B3A" w:rsidRPr="00017DF8" w:rsidRDefault="00393B3A" w:rsidP="00393B3A">
            <w:pPr>
              <w:rPr>
                <w:sz w:val="20"/>
              </w:rPr>
            </w:pPr>
            <w:r w:rsidRPr="00017DF8">
              <w:rPr>
                <w:sz w:val="20"/>
              </w:rPr>
              <w:t>4088</w:t>
            </w:r>
          </w:p>
        </w:tc>
        <w:tc>
          <w:tcPr>
            <w:tcW w:w="0" w:type="auto"/>
            <w:vAlign w:val="center"/>
          </w:tcPr>
          <w:p w14:paraId="654E4D00" w14:textId="77777777" w:rsidR="00393B3A" w:rsidRPr="00017DF8" w:rsidRDefault="00393B3A" w:rsidP="00393B3A">
            <w:pPr>
              <w:rPr>
                <w:sz w:val="20"/>
              </w:rPr>
            </w:pPr>
            <w:r w:rsidRPr="00017DF8">
              <w:rPr>
                <w:sz w:val="20"/>
              </w:rPr>
              <w:t>3</w:t>
            </w:r>
            <w:r>
              <w:rPr>
                <w:sz w:val="20"/>
              </w:rPr>
              <w:t>3</w:t>
            </w:r>
          </w:p>
        </w:tc>
        <w:tc>
          <w:tcPr>
            <w:tcW w:w="0" w:type="auto"/>
            <w:vAlign w:val="center"/>
          </w:tcPr>
          <w:p w14:paraId="07ECD8D6" w14:textId="77777777" w:rsidR="00393B3A" w:rsidRPr="00017DF8" w:rsidRDefault="00393B3A" w:rsidP="00393B3A">
            <w:pPr>
              <w:rPr>
                <w:sz w:val="20"/>
              </w:rPr>
            </w:pPr>
            <w:r w:rsidRPr="00017DF8">
              <w:rPr>
                <w:sz w:val="20"/>
              </w:rPr>
              <w:t>3</w:t>
            </w:r>
            <w:r>
              <w:rPr>
                <w:sz w:val="20"/>
              </w:rPr>
              <w:t>4</w:t>
            </w:r>
          </w:p>
        </w:tc>
        <w:tc>
          <w:tcPr>
            <w:tcW w:w="0" w:type="auto"/>
            <w:vAlign w:val="center"/>
          </w:tcPr>
          <w:p w14:paraId="2447496F" w14:textId="77777777" w:rsidR="00393B3A" w:rsidRPr="00017DF8" w:rsidRDefault="00393B3A" w:rsidP="00393B3A">
            <w:pPr>
              <w:rPr>
                <w:sz w:val="20"/>
              </w:rPr>
            </w:pPr>
            <w:r>
              <w:rPr>
                <w:sz w:val="20"/>
              </w:rPr>
              <w:t>9</w:t>
            </w:r>
          </w:p>
        </w:tc>
        <w:tc>
          <w:tcPr>
            <w:tcW w:w="0" w:type="auto"/>
            <w:vAlign w:val="center"/>
          </w:tcPr>
          <w:p w14:paraId="5DD8E9EF" w14:textId="77777777" w:rsidR="00393B3A" w:rsidRPr="00017DF8" w:rsidRDefault="00393B3A" w:rsidP="00393B3A">
            <w:pPr>
              <w:rPr>
                <w:sz w:val="20"/>
              </w:rPr>
            </w:pPr>
            <w:r w:rsidRPr="00017DF8">
              <w:rPr>
                <w:sz w:val="20"/>
              </w:rPr>
              <w:t>16</w:t>
            </w:r>
          </w:p>
        </w:tc>
        <w:tc>
          <w:tcPr>
            <w:tcW w:w="0" w:type="auto"/>
            <w:vAlign w:val="center"/>
          </w:tcPr>
          <w:p w14:paraId="65936205" w14:textId="77777777" w:rsidR="00393B3A" w:rsidRPr="00017DF8" w:rsidRDefault="00393B3A" w:rsidP="00393B3A">
            <w:pPr>
              <w:rPr>
                <w:sz w:val="20"/>
              </w:rPr>
            </w:pPr>
            <w:r>
              <w:rPr>
                <w:sz w:val="20"/>
              </w:rPr>
              <w:t>4</w:t>
            </w:r>
          </w:p>
        </w:tc>
        <w:tc>
          <w:tcPr>
            <w:tcW w:w="0" w:type="auto"/>
            <w:tcBorders>
              <w:top w:val="nil"/>
              <w:bottom w:val="nil"/>
              <w:right w:val="single" w:sz="4" w:space="0" w:color="auto"/>
            </w:tcBorders>
            <w:vAlign w:val="center"/>
          </w:tcPr>
          <w:p w14:paraId="62243EBE" w14:textId="77777777" w:rsidR="00393B3A" w:rsidRPr="00017DF8" w:rsidRDefault="00393B3A" w:rsidP="00393B3A">
            <w:pPr>
              <w:rPr>
                <w:sz w:val="20"/>
              </w:rPr>
            </w:pPr>
            <w:r>
              <w:rPr>
                <w:sz w:val="20"/>
              </w:rPr>
              <w:t>4</w:t>
            </w:r>
          </w:p>
        </w:tc>
      </w:tr>
      <w:tr w:rsidR="00393B3A" w:rsidRPr="00E42E1D" w14:paraId="4695B919" w14:textId="77777777" w:rsidTr="00393B3A">
        <w:trPr>
          <w:jc w:val="center"/>
        </w:trPr>
        <w:tc>
          <w:tcPr>
            <w:tcW w:w="0" w:type="auto"/>
            <w:tcBorders>
              <w:left w:val="single" w:sz="4" w:space="0" w:color="auto"/>
            </w:tcBorders>
            <w:vAlign w:val="center"/>
          </w:tcPr>
          <w:p w14:paraId="31715B99" w14:textId="77777777" w:rsidR="00393B3A" w:rsidRPr="00017DF8" w:rsidRDefault="00393B3A" w:rsidP="00393B3A">
            <w:pPr>
              <w:rPr>
                <w:sz w:val="20"/>
              </w:rPr>
            </w:pPr>
            <w:r w:rsidRPr="00017DF8">
              <w:rPr>
                <w:bCs/>
                <w:sz w:val="20"/>
              </w:rPr>
              <w:t>ICM</w:t>
            </w:r>
          </w:p>
        </w:tc>
        <w:tc>
          <w:tcPr>
            <w:tcW w:w="0" w:type="auto"/>
          </w:tcPr>
          <w:p w14:paraId="64D3DBE4" w14:textId="77777777" w:rsidR="00393B3A" w:rsidRPr="00017DF8" w:rsidRDefault="00393B3A" w:rsidP="00393B3A">
            <w:pPr>
              <w:rPr>
                <w:sz w:val="20"/>
              </w:rPr>
            </w:pPr>
            <w:r w:rsidRPr="00017DF8">
              <w:rPr>
                <w:sz w:val="20"/>
              </w:rPr>
              <w:t>P</w:t>
            </w:r>
          </w:p>
        </w:tc>
        <w:tc>
          <w:tcPr>
            <w:tcW w:w="0" w:type="auto"/>
            <w:vAlign w:val="center"/>
          </w:tcPr>
          <w:p w14:paraId="2EA79578" w14:textId="77777777" w:rsidR="00393B3A" w:rsidRPr="00017DF8" w:rsidRDefault="00393B3A" w:rsidP="00393B3A">
            <w:pPr>
              <w:rPr>
                <w:sz w:val="20"/>
              </w:rPr>
            </w:pPr>
            <w:r w:rsidRPr="00017DF8">
              <w:rPr>
                <w:sz w:val="20"/>
              </w:rPr>
              <w:t>3–6 May</w:t>
            </w:r>
          </w:p>
        </w:tc>
        <w:tc>
          <w:tcPr>
            <w:tcW w:w="0" w:type="auto"/>
            <w:vAlign w:val="center"/>
          </w:tcPr>
          <w:p w14:paraId="6E1DD5B0" w14:textId="77777777" w:rsidR="00393B3A" w:rsidRPr="00017DF8" w:rsidRDefault="00393B3A" w:rsidP="00393B3A">
            <w:pPr>
              <w:rPr>
                <w:sz w:val="20"/>
              </w:rPr>
            </w:pPr>
            <w:r w:rsidRPr="00017DF8">
              <w:rPr>
                <w:sz w:val="20"/>
              </w:rPr>
              <w:t>2023</w:t>
            </w:r>
          </w:p>
        </w:tc>
        <w:tc>
          <w:tcPr>
            <w:tcW w:w="0" w:type="auto"/>
            <w:vAlign w:val="center"/>
          </w:tcPr>
          <w:p w14:paraId="099BAA84" w14:textId="77777777" w:rsidR="00393B3A" w:rsidRPr="00017DF8" w:rsidRDefault="00393B3A" w:rsidP="00393B3A">
            <w:pPr>
              <w:rPr>
                <w:sz w:val="20"/>
              </w:rPr>
            </w:pPr>
            <w:r w:rsidRPr="00017DF8">
              <w:rPr>
                <w:sz w:val="20"/>
              </w:rPr>
              <w:t>34</w:t>
            </w:r>
          </w:p>
        </w:tc>
        <w:tc>
          <w:tcPr>
            <w:tcW w:w="0" w:type="auto"/>
            <w:vAlign w:val="center"/>
          </w:tcPr>
          <w:p w14:paraId="33E93AE2" w14:textId="77777777" w:rsidR="00393B3A" w:rsidRPr="00017DF8" w:rsidRDefault="00393B3A" w:rsidP="00393B3A">
            <w:pPr>
              <w:rPr>
                <w:sz w:val="20"/>
              </w:rPr>
            </w:pPr>
            <w:r w:rsidRPr="00017DF8">
              <w:rPr>
                <w:sz w:val="20"/>
              </w:rPr>
              <w:t>35</w:t>
            </w:r>
          </w:p>
        </w:tc>
        <w:tc>
          <w:tcPr>
            <w:tcW w:w="0" w:type="auto"/>
            <w:vAlign w:val="center"/>
          </w:tcPr>
          <w:p w14:paraId="1584BB08" w14:textId="77777777" w:rsidR="00393B3A" w:rsidRPr="00017DF8" w:rsidRDefault="00393B3A" w:rsidP="00393B3A">
            <w:pPr>
              <w:rPr>
                <w:sz w:val="20"/>
              </w:rPr>
            </w:pPr>
            <w:r w:rsidRPr="00017DF8">
              <w:rPr>
                <w:sz w:val="20"/>
              </w:rPr>
              <w:t>9</w:t>
            </w:r>
          </w:p>
        </w:tc>
        <w:tc>
          <w:tcPr>
            <w:tcW w:w="0" w:type="auto"/>
            <w:vAlign w:val="center"/>
          </w:tcPr>
          <w:p w14:paraId="2007EDF6" w14:textId="77777777" w:rsidR="00393B3A" w:rsidRPr="00017DF8" w:rsidRDefault="00393B3A" w:rsidP="00393B3A">
            <w:pPr>
              <w:rPr>
                <w:sz w:val="20"/>
              </w:rPr>
            </w:pPr>
            <w:r w:rsidRPr="00017DF8">
              <w:rPr>
                <w:sz w:val="20"/>
              </w:rPr>
              <w:t>11</w:t>
            </w:r>
          </w:p>
        </w:tc>
        <w:tc>
          <w:tcPr>
            <w:tcW w:w="0" w:type="auto"/>
            <w:vAlign w:val="center"/>
          </w:tcPr>
          <w:p w14:paraId="6B40B7DA" w14:textId="77777777" w:rsidR="00393B3A" w:rsidRPr="00017DF8" w:rsidRDefault="00393B3A" w:rsidP="00393B3A">
            <w:pPr>
              <w:rPr>
                <w:sz w:val="20"/>
              </w:rPr>
            </w:pPr>
            <w:r w:rsidRPr="00017DF8">
              <w:rPr>
                <w:sz w:val="20"/>
              </w:rPr>
              <w:t>4</w:t>
            </w:r>
          </w:p>
        </w:tc>
        <w:tc>
          <w:tcPr>
            <w:tcW w:w="0" w:type="auto"/>
            <w:tcBorders>
              <w:top w:val="nil"/>
              <w:right w:val="single" w:sz="4" w:space="0" w:color="auto"/>
            </w:tcBorders>
            <w:vAlign w:val="center"/>
          </w:tcPr>
          <w:p w14:paraId="2CDA1CF5" w14:textId="77777777" w:rsidR="00393B3A" w:rsidRPr="00017DF8" w:rsidRDefault="00393B3A" w:rsidP="00393B3A">
            <w:pPr>
              <w:rPr>
                <w:sz w:val="20"/>
              </w:rPr>
            </w:pPr>
            <w:r w:rsidRPr="00017DF8">
              <w:rPr>
                <w:sz w:val="20"/>
              </w:rPr>
              <w:t>7</w:t>
            </w:r>
          </w:p>
        </w:tc>
      </w:tr>
      <w:tr w:rsidR="00393B3A" w:rsidRPr="00E42E1D" w14:paraId="10082D28" w14:textId="77777777" w:rsidTr="00393B3A">
        <w:trPr>
          <w:jc w:val="center"/>
        </w:trPr>
        <w:tc>
          <w:tcPr>
            <w:tcW w:w="0" w:type="auto"/>
            <w:tcBorders>
              <w:left w:val="single" w:sz="4" w:space="0" w:color="auto"/>
            </w:tcBorders>
            <w:vAlign w:val="center"/>
          </w:tcPr>
          <w:p w14:paraId="78EAC29B" w14:textId="77777777" w:rsidR="00393B3A" w:rsidRPr="00017DF8" w:rsidRDefault="00393B3A" w:rsidP="00393B3A">
            <w:pPr>
              <w:rPr>
                <w:sz w:val="20"/>
              </w:rPr>
            </w:pPr>
            <w:proofErr w:type="spellStart"/>
            <w:r w:rsidRPr="00017DF8">
              <w:rPr>
                <w:bCs/>
                <w:sz w:val="20"/>
              </w:rPr>
              <w:t>Panelbase</w:t>
            </w:r>
            <w:proofErr w:type="spellEnd"/>
          </w:p>
        </w:tc>
        <w:tc>
          <w:tcPr>
            <w:tcW w:w="0" w:type="auto"/>
          </w:tcPr>
          <w:p w14:paraId="61389BEF" w14:textId="77777777" w:rsidR="00393B3A" w:rsidRPr="00017DF8" w:rsidRDefault="00393B3A" w:rsidP="00393B3A">
            <w:pPr>
              <w:rPr>
                <w:sz w:val="20"/>
              </w:rPr>
            </w:pPr>
            <w:r w:rsidRPr="00017DF8">
              <w:rPr>
                <w:sz w:val="20"/>
              </w:rPr>
              <w:t>O</w:t>
            </w:r>
          </w:p>
        </w:tc>
        <w:tc>
          <w:tcPr>
            <w:tcW w:w="0" w:type="auto"/>
            <w:vAlign w:val="center"/>
          </w:tcPr>
          <w:p w14:paraId="53C301C1" w14:textId="77777777" w:rsidR="00393B3A" w:rsidRPr="00017DF8" w:rsidRDefault="00393B3A" w:rsidP="00393B3A">
            <w:pPr>
              <w:rPr>
                <w:sz w:val="20"/>
              </w:rPr>
            </w:pPr>
            <w:r w:rsidRPr="00017DF8">
              <w:rPr>
                <w:sz w:val="20"/>
              </w:rPr>
              <w:t>1–6 May</w:t>
            </w:r>
          </w:p>
        </w:tc>
        <w:tc>
          <w:tcPr>
            <w:tcW w:w="0" w:type="auto"/>
            <w:vAlign w:val="center"/>
          </w:tcPr>
          <w:p w14:paraId="7B273276" w14:textId="77777777" w:rsidR="00393B3A" w:rsidRPr="00017DF8" w:rsidRDefault="00393B3A" w:rsidP="00393B3A">
            <w:pPr>
              <w:rPr>
                <w:sz w:val="20"/>
              </w:rPr>
            </w:pPr>
            <w:r w:rsidRPr="00017DF8">
              <w:rPr>
                <w:sz w:val="20"/>
              </w:rPr>
              <w:t>3019</w:t>
            </w:r>
          </w:p>
        </w:tc>
        <w:tc>
          <w:tcPr>
            <w:tcW w:w="0" w:type="auto"/>
            <w:vAlign w:val="center"/>
          </w:tcPr>
          <w:p w14:paraId="29C7C18B" w14:textId="77777777" w:rsidR="00393B3A" w:rsidRPr="00017DF8" w:rsidRDefault="00393B3A" w:rsidP="00393B3A">
            <w:pPr>
              <w:rPr>
                <w:sz w:val="20"/>
              </w:rPr>
            </w:pPr>
            <w:r w:rsidRPr="00017DF8">
              <w:rPr>
                <w:sz w:val="20"/>
              </w:rPr>
              <w:t>31</w:t>
            </w:r>
          </w:p>
        </w:tc>
        <w:tc>
          <w:tcPr>
            <w:tcW w:w="0" w:type="auto"/>
            <w:vAlign w:val="center"/>
          </w:tcPr>
          <w:p w14:paraId="6F58C1E4" w14:textId="77777777" w:rsidR="00393B3A" w:rsidRPr="00017DF8" w:rsidRDefault="00393B3A" w:rsidP="00393B3A">
            <w:pPr>
              <w:rPr>
                <w:sz w:val="20"/>
              </w:rPr>
            </w:pPr>
            <w:r w:rsidRPr="00017DF8">
              <w:rPr>
                <w:sz w:val="20"/>
              </w:rPr>
              <w:t>33</w:t>
            </w:r>
          </w:p>
        </w:tc>
        <w:tc>
          <w:tcPr>
            <w:tcW w:w="0" w:type="auto"/>
            <w:vAlign w:val="center"/>
          </w:tcPr>
          <w:p w14:paraId="3B134436" w14:textId="77777777" w:rsidR="00393B3A" w:rsidRPr="00017DF8" w:rsidRDefault="00393B3A" w:rsidP="00393B3A">
            <w:pPr>
              <w:rPr>
                <w:sz w:val="20"/>
              </w:rPr>
            </w:pPr>
            <w:r w:rsidRPr="00017DF8">
              <w:rPr>
                <w:sz w:val="20"/>
              </w:rPr>
              <w:t>8</w:t>
            </w:r>
          </w:p>
        </w:tc>
        <w:tc>
          <w:tcPr>
            <w:tcW w:w="0" w:type="auto"/>
            <w:vAlign w:val="center"/>
          </w:tcPr>
          <w:p w14:paraId="6D2C932C" w14:textId="77777777" w:rsidR="00393B3A" w:rsidRPr="00017DF8" w:rsidRDefault="00393B3A" w:rsidP="00393B3A">
            <w:pPr>
              <w:rPr>
                <w:sz w:val="20"/>
              </w:rPr>
            </w:pPr>
            <w:r w:rsidRPr="00017DF8">
              <w:rPr>
                <w:sz w:val="20"/>
              </w:rPr>
              <w:t>16</w:t>
            </w:r>
          </w:p>
        </w:tc>
        <w:tc>
          <w:tcPr>
            <w:tcW w:w="0" w:type="auto"/>
            <w:vAlign w:val="center"/>
          </w:tcPr>
          <w:p w14:paraId="6216EABB" w14:textId="77777777" w:rsidR="00393B3A" w:rsidRPr="00017DF8" w:rsidRDefault="00393B3A" w:rsidP="00393B3A">
            <w:pPr>
              <w:rPr>
                <w:sz w:val="20"/>
              </w:rPr>
            </w:pPr>
            <w:r w:rsidRPr="00017DF8">
              <w:rPr>
                <w:sz w:val="20"/>
              </w:rPr>
              <w:t>5</w:t>
            </w:r>
          </w:p>
        </w:tc>
        <w:tc>
          <w:tcPr>
            <w:tcW w:w="0" w:type="auto"/>
            <w:tcBorders>
              <w:right w:val="single" w:sz="4" w:space="0" w:color="auto"/>
            </w:tcBorders>
            <w:vAlign w:val="center"/>
          </w:tcPr>
          <w:p w14:paraId="2437E991" w14:textId="77777777" w:rsidR="00393B3A" w:rsidRPr="00017DF8" w:rsidRDefault="00393B3A" w:rsidP="00393B3A">
            <w:pPr>
              <w:rPr>
                <w:sz w:val="20"/>
              </w:rPr>
            </w:pPr>
            <w:r w:rsidRPr="00017DF8">
              <w:rPr>
                <w:sz w:val="20"/>
              </w:rPr>
              <w:t>7</w:t>
            </w:r>
          </w:p>
        </w:tc>
      </w:tr>
      <w:tr w:rsidR="00393B3A" w:rsidRPr="00E42E1D" w14:paraId="24510615" w14:textId="77777777" w:rsidTr="00393B3A">
        <w:trPr>
          <w:jc w:val="center"/>
        </w:trPr>
        <w:tc>
          <w:tcPr>
            <w:tcW w:w="0" w:type="auto"/>
            <w:tcBorders>
              <w:left w:val="single" w:sz="4" w:space="0" w:color="auto"/>
              <w:bottom w:val="nil"/>
            </w:tcBorders>
            <w:vAlign w:val="center"/>
          </w:tcPr>
          <w:p w14:paraId="24B903F7" w14:textId="77777777" w:rsidR="00393B3A" w:rsidRPr="00017DF8" w:rsidRDefault="00393B3A" w:rsidP="00393B3A">
            <w:pPr>
              <w:rPr>
                <w:sz w:val="20"/>
              </w:rPr>
            </w:pPr>
            <w:proofErr w:type="spellStart"/>
            <w:r w:rsidRPr="00017DF8">
              <w:rPr>
                <w:bCs/>
                <w:sz w:val="20"/>
              </w:rPr>
              <w:t>Opinium</w:t>
            </w:r>
            <w:proofErr w:type="spellEnd"/>
          </w:p>
        </w:tc>
        <w:tc>
          <w:tcPr>
            <w:tcW w:w="0" w:type="auto"/>
            <w:tcBorders>
              <w:bottom w:val="nil"/>
            </w:tcBorders>
          </w:tcPr>
          <w:p w14:paraId="68D9E98E" w14:textId="77777777" w:rsidR="00393B3A" w:rsidRPr="00017DF8" w:rsidRDefault="00393B3A" w:rsidP="00393B3A">
            <w:pPr>
              <w:rPr>
                <w:sz w:val="20"/>
              </w:rPr>
            </w:pPr>
            <w:r w:rsidRPr="00017DF8">
              <w:rPr>
                <w:sz w:val="20"/>
              </w:rPr>
              <w:t>O</w:t>
            </w:r>
          </w:p>
        </w:tc>
        <w:tc>
          <w:tcPr>
            <w:tcW w:w="0" w:type="auto"/>
            <w:tcBorders>
              <w:bottom w:val="nil"/>
            </w:tcBorders>
            <w:vAlign w:val="center"/>
          </w:tcPr>
          <w:p w14:paraId="0AE1C9BA" w14:textId="77777777" w:rsidR="00393B3A" w:rsidRPr="00017DF8" w:rsidRDefault="00393B3A" w:rsidP="00393B3A">
            <w:pPr>
              <w:rPr>
                <w:sz w:val="20"/>
              </w:rPr>
            </w:pPr>
            <w:r w:rsidRPr="00017DF8">
              <w:rPr>
                <w:sz w:val="20"/>
              </w:rPr>
              <w:t>4–5 May</w:t>
            </w:r>
          </w:p>
        </w:tc>
        <w:tc>
          <w:tcPr>
            <w:tcW w:w="0" w:type="auto"/>
            <w:tcBorders>
              <w:bottom w:val="nil"/>
            </w:tcBorders>
            <w:vAlign w:val="center"/>
          </w:tcPr>
          <w:p w14:paraId="13048F95" w14:textId="77777777" w:rsidR="00393B3A" w:rsidRPr="00017DF8" w:rsidRDefault="00393B3A" w:rsidP="00393B3A">
            <w:pPr>
              <w:rPr>
                <w:sz w:val="20"/>
              </w:rPr>
            </w:pPr>
            <w:r w:rsidRPr="00017DF8">
              <w:rPr>
                <w:sz w:val="20"/>
              </w:rPr>
              <w:t>2960</w:t>
            </w:r>
          </w:p>
        </w:tc>
        <w:tc>
          <w:tcPr>
            <w:tcW w:w="0" w:type="auto"/>
            <w:tcBorders>
              <w:bottom w:val="nil"/>
            </w:tcBorders>
            <w:vAlign w:val="center"/>
          </w:tcPr>
          <w:p w14:paraId="310504A5" w14:textId="77777777" w:rsidR="00393B3A" w:rsidRPr="00017DF8" w:rsidRDefault="00393B3A" w:rsidP="00393B3A">
            <w:pPr>
              <w:rPr>
                <w:sz w:val="20"/>
              </w:rPr>
            </w:pPr>
            <w:r w:rsidRPr="00017DF8">
              <w:rPr>
                <w:sz w:val="20"/>
              </w:rPr>
              <w:t>35</w:t>
            </w:r>
          </w:p>
        </w:tc>
        <w:tc>
          <w:tcPr>
            <w:tcW w:w="0" w:type="auto"/>
            <w:tcBorders>
              <w:bottom w:val="nil"/>
            </w:tcBorders>
            <w:vAlign w:val="center"/>
          </w:tcPr>
          <w:p w14:paraId="28900CA7" w14:textId="77777777" w:rsidR="00393B3A" w:rsidRPr="00017DF8" w:rsidRDefault="00393B3A" w:rsidP="00393B3A">
            <w:pPr>
              <w:rPr>
                <w:sz w:val="20"/>
              </w:rPr>
            </w:pPr>
            <w:r w:rsidRPr="00017DF8">
              <w:rPr>
                <w:sz w:val="20"/>
              </w:rPr>
              <w:t>34</w:t>
            </w:r>
          </w:p>
        </w:tc>
        <w:tc>
          <w:tcPr>
            <w:tcW w:w="0" w:type="auto"/>
            <w:tcBorders>
              <w:bottom w:val="nil"/>
            </w:tcBorders>
            <w:vAlign w:val="center"/>
          </w:tcPr>
          <w:p w14:paraId="39422CEC" w14:textId="77777777" w:rsidR="00393B3A" w:rsidRPr="00017DF8" w:rsidRDefault="00393B3A" w:rsidP="00393B3A">
            <w:pPr>
              <w:rPr>
                <w:sz w:val="20"/>
              </w:rPr>
            </w:pPr>
            <w:r w:rsidRPr="00017DF8">
              <w:rPr>
                <w:sz w:val="20"/>
              </w:rPr>
              <w:t>8</w:t>
            </w:r>
          </w:p>
        </w:tc>
        <w:tc>
          <w:tcPr>
            <w:tcW w:w="0" w:type="auto"/>
            <w:tcBorders>
              <w:bottom w:val="nil"/>
            </w:tcBorders>
            <w:vAlign w:val="center"/>
          </w:tcPr>
          <w:p w14:paraId="3AC233CC" w14:textId="77777777" w:rsidR="00393B3A" w:rsidRPr="00017DF8" w:rsidRDefault="00393B3A" w:rsidP="00393B3A">
            <w:pPr>
              <w:rPr>
                <w:sz w:val="20"/>
              </w:rPr>
            </w:pPr>
            <w:r w:rsidRPr="00017DF8">
              <w:rPr>
                <w:sz w:val="20"/>
              </w:rPr>
              <w:t>12</w:t>
            </w:r>
          </w:p>
        </w:tc>
        <w:tc>
          <w:tcPr>
            <w:tcW w:w="0" w:type="auto"/>
            <w:tcBorders>
              <w:bottom w:val="nil"/>
            </w:tcBorders>
            <w:vAlign w:val="center"/>
          </w:tcPr>
          <w:p w14:paraId="4749FFB0" w14:textId="77777777" w:rsidR="00393B3A" w:rsidRPr="00017DF8" w:rsidRDefault="00393B3A" w:rsidP="00393B3A">
            <w:pPr>
              <w:rPr>
                <w:sz w:val="20"/>
              </w:rPr>
            </w:pPr>
            <w:r w:rsidRPr="00017DF8">
              <w:rPr>
                <w:sz w:val="20"/>
              </w:rPr>
              <w:t>6</w:t>
            </w:r>
          </w:p>
        </w:tc>
        <w:tc>
          <w:tcPr>
            <w:tcW w:w="0" w:type="auto"/>
            <w:tcBorders>
              <w:bottom w:val="nil"/>
              <w:right w:val="single" w:sz="4" w:space="0" w:color="auto"/>
            </w:tcBorders>
            <w:vAlign w:val="center"/>
          </w:tcPr>
          <w:p w14:paraId="7CE2CFF6" w14:textId="77777777" w:rsidR="00393B3A" w:rsidRPr="00017DF8" w:rsidRDefault="00393B3A" w:rsidP="00393B3A">
            <w:pPr>
              <w:rPr>
                <w:sz w:val="20"/>
              </w:rPr>
            </w:pPr>
            <w:r w:rsidRPr="00017DF8">
              <w:rPr>
                <w:sz w:val="20"/>
              </w:rPr>
              <w:t>5</w:t>
            </w:r>
          </w:p>
        </w:tc>
      </w:tr>
      <w:tr w:rsidR="00393B3A" w:rsidRPr="00E42E1D" w14:paraId="4581A808" w14:textId="77777777" w:rsidTr="00393B3A">
        <w:trPr>
          <w:jc w:val="center"/>
        </w:trPr>
        <w:tc>
          <w:tcPr>
            <w:tcW w:w="0" w:type="auto"/>
            <w:tcBorders>
              <w:top w:val="nil"/>
              <w:left w:val="single" w:sz="4" w:space="0" w:color="auto"/>
              <w:bottom w:val="nil"/>
            </w:tcBorders>
            <w:vAlign w:val="center"/>
          </w:tcPr>
          <w:p w14:paraId="536314E4" w14:textId="77777777" w:rsidR="00393B3A" w:rsidRPr="00017DF8" w:rsidRDefault="00393B3A" w:rsidP="00393B3A">
            <w:pPr>
              <w:rPr>
                <w:sz w:val="20"/>
              </w:rPr>
            </w:pPr>
            <w:r w:rsidRPr="00017DF8">
              <w:rPr>
                <w:bCs/>
                <w:sz w:val="20"/>
              </w:rPr>
              <w:t>TNS UK</w:t>
            </w:r>
          </w:p>
        </w:tc>
        <w:tc>
          <w:tcPr>
            <w:tcW w:w="0" w:type="auto"/>
            <w:tcBorders>
              <w:top w:val="nil"/>
              <w:bottom w:val="nil"/>
            </w:tcBorders>
          </w:tcPr>
          <w:p w14:paraId="1B2550B0" w14:textId="77777777" w:rsidR="00393B3A" w:rsidRPr="00017DF8" w:rsidRDefault="00393B3A" w:rsidP="00393B3A">
            <w:pPr>
              <w:rPr>
                <w:sz w:val="20"/>
              </w:rPr>
            </w:pPr>
            <w:r w:rsidRPr="00017DF8">
              <w:rPr>
                <w:sz w:val="20"/>
              </w:rPr>
              <w:t>O</w:t>
            </w:r>
          </w:p>
        </w:tc>
        <w:tc>
          <w:tcPr>
            <w:tcW w:w="0" w:type="auto"/>
            <w:tcBorders>
              <w:top w:val="nil"/>
              <w:bottom w:val="nil"/>
            </w:tcBorders>
            <w:vAlign w:val="center"/>
          </w:tcPr>
          <w:p w14:paraId="01952BF6" w14:textId="77777777" w:rsidR="00393B3A" w:rsidRPr="00017DF8" w:rsidRDefault="00393B3A" w:rsidP="00393B3A">
            <w:pPr>
              <w:rPr>
                <w:sz w:val="20"/>
              </w:rPr>
            </w:pPr>
            <w:r w:rsidRPr="00017DF8">
              <w:rPr>
                <w:sz w:val="20"/>
              </w:rPr>
              <w:t>30/4–4/5</w:t>
            </w:r>
          </w:p>
        </w:tc>
        <w:tc>
          <w:tcPr>
            <w:tcW w:w="0" w:type="auto"/>
            <w:tcBorders>
              <w:top w:val="nil"/>
              <w:bottom w:val="nil"/>
            </w:tcBorders>
            <w:vAlign w:val="center"/>
          </w:tcPr>
          <w:p w14:paraId="52C41C70" w14:textId="77777777" w:rsidR="00393B3A" w:rsidRPr="00017DF8" w:rsidRDefault="00393B3A" w:rsidP="00393B3A">
            <w:pPr>
              <w:rPr>
                <w:sz w:val="20"/>
              </w:rPr>
            </w:pPr>
            <w:r w:rsidRPr="00017DF8">
              <w:rPr>
                <w:sz w:val="20"/>
              </w:rPr>
              <w:t>1185</w:t>
            </w:r>
          </w:p>
        </w:tc>
        <w:tc>
          <w:tcPr>
            <w:tcW w:w="0" w:type="auto"/>
            <w:tcBorders>
              <w:top w:val="nil"/>
              <w:bottom w:val="nil"/>
            </w:tcBorders>
            <w:vAlign w:val="center"/>
          </w:tcPr>
          <w:p w14:paraId="4883C4A3" w14:textId="77777777" w:rsidR="00393B3A" w:rsidRPr="00017DF8" w:rsidRDefault="00393B3A" w:rsidP="00393B3A">
            <w:pPr>
              <w:rPr>
                <w:sz w:val="20"/>
              </w:rPr>
            </w:pPr>
            <w:r w:rsidRPr="00017DF8">
              <w:rPr>
                <w:sz w:val="20"/>
              </w:rPr>
              <w:t>33</w:t>
            </w:r>
          </w:p>
        </w:tc>
        <w:tc>
          <w:tcPr>
            <w:tcW w:w="0" w:type="auto"/>
            <w:tcBorders>
              <w:top w:val="nil"/>
              <w:bottom w:val="nil"/>
            </w:tcBorders>
            <w:vAlign w:val="center"/>
          </w:tcPr>
          <w:p w14:paraId="021B7F41" w14:textId="77777777" w:rsidR="00393B3A" w:rsidRPr="00017DF8" w:rsidRDefault="00393B3A" w:rsidP="00393B3A">
            <w:pPr>
              <w:rPr>
                <w:sz w:val="20"/>
              </w:rPr>
            </w:pPr>
            <w:r w:rsidRPr="00017DF8">
              <w:rPr>
                <w:sz w:val="20"/>
              </w:rPr>
              <w:t>32</w:t>
            </w:r>
          </w:p>
        </w:tc>
        <w:tc>
          <w:tcPr>
            <w:tcW w:w="0" w:type="auto"/>
            <w:tcBorders>
              <w:top w:val="nil"/>
              <w:bottom w:val="nil"/>
            </w:tcBorders>
            <w:vAlign w:val="center"/>
          </w:tcPr>
          <w:p w14:paraId="73ED9283" w14:textId="77777777" w:rsidR="00393B3A" w:rsidRPr="00017DF8" w:rsidRDefault="00393B3A" w:rsidP="00393B3A">
            <w:pPr>
              <w:rPr>
                <w:sz w:val="20"/>
              </w:rPr>
            </w:pPr>
            <w:r w:rsidRPr="00017DF8">
              <w:rPr>
                <w:sz w:val="20"/>
              </w:rPr>
              <w:t>8</w:t>
            </w:r>
          </w:p>
        </w:tc>
        <w:tc>
          <w:tcPr>
            <w:tcW w:w="0" w:type="auto"/>
            <w:tcBorders>
              <w:top w:val="nil"/>
              <w:bottom w:val="nil"/>
            </w:tcBorders>
            <w:vAlign w:val="center"/>
          </w:tcPr>
          <w:p w14:paraId="7C1AAABE" w14:textId="77777777" w:rsidR="00393B3A" w:rsidRPr="00017DF8" w:rsidRDefault="00393B3A" w:rsidP="00393B3A">
            <w:pPr>
              <w:rPr>
                <w:sz w:val="20"/>
              </w:rPr>
            </w:pPr>
            <w:r w:rsidRPr="00017DF8">
              <w:rPr>
                <w:sz w:val="20"/>
              </w:rPr>
              <w:t>14</w:t>
            </w:r>
          </w:p>
        </w:tc>
        <w:tc>
          <w:tcPr>
            <w:tcW w:w="0" w:type="auto"/>
            <w:tcBorders>
              <w:top w:val="nil"/>
              <w:bottom w:val="nil"/>
            </w:tcBorders>
            <w:vAlign w:val="center"/>
          </w:tcPr>
          <w:p w14:paraId="2615353C" w14:textId="77777777" w:rsidR="00393B3A" w:rsidRPr="00017DF8" w:rsidRDefault="00393B3A" w:rsidP="00393B3A">
            <w:pPr>
              <w:rPr>
                <w:sz w:val="20"/>
              </w:rPr>
            </w:pPr>
            <w:r w:rsidRPr="00017DF8">
              <w:rPr>
                <w:sz w:val="20"/>
              </w:rPr>
              <w:t>6</w:t>
            </w:r>
          </w:p>
        </w:tc>
        <w:tc>
          <w:tcPr>
            <w:tcW w:w="0" w:type="auto"/>
            <w:tcBorders>
              <w:top w:val="nil"/>
              <w:bottom w:val="nil"/>
              <w:right w:val="single" w:sz="4" w:space="0" w:color="auto"/>
            </w:tcBorders>
            <w:vAlign w:val="center"/>
          </w:tcPr>
          <w:p w14:paraId="16A7FC2A" w14:textId="77777777" w:rsidR="00393B3A" w:rsidRPr="00017DF8" w:rsidRDefault="00393B3A" w:rsidP="00393B3A">
            <w:pPr>
              <w:rPr>
                <w:sz w:val="20"/>
              </w:rPr>
            </w:pPr>
            <w:r w:rsidRPr="00017DF8">
              <w:rPr>
                <w:sz w:val="20"/>
              </w:rPr>
              <w:t>6</w:t>
            </w:r>
          </w:p>
        </w:tc>
      </w:tr>
      <w:tr w:rsidR="00393B3A" w:rsidRPr="00E42E1D" w14:paraId="13FC21DA" w14:textId="77777777" w:rsidTr="00393B3A">
        <w:trPr>
          <w:jc w:val="center"/>
        </w:trPr>
        <w:tc>
          <w:tcPr>
            <w:tcW w:w="0" w:type="auto"/>
            <w:tcBorders>
              <w:top w:val="nil"/>
              <w:left w:val="single" w:sz="4" w:space="0" w:color="auto"/>
            </w:tcBorders>
            <w:vAlign w:val="center"/>
          </w:tcPr>
          <w:p w14:paraId="1A180D68" w14:textId="77777777" w:rsidR="00393B3A" w:rsidRPr="00017DF8" w:rsidRDefault="00393B3A" w:rsidP="00393B3A">
            <w:pPr>
              <w:rPr>
                <w:sz w:val="20"/>
              </w:rPr>
            </w:pPr>
            <w:r w:rsidRPr="00017DF8">
              <w:rPr>
                <w:bCs/>
                <w:sz w:val="20"/>
              </w:rPr>
              <w:t>Ashcroft*</w:t>
            </w:r>
          </w:p>
        </w:tc>
        <w:tc>
          <w:tcPr>
            <w:tcW w:w="0" w:type="auto"/>
            <w:tcBorders>
              <w:top w:val="nil"/>
            </w:tcBorders>
          </w:tcPr>
          <w:p w14:paraId="27C701BC" w14:textId="77777777" w:rsidR="00393B3A" w:rsidRPr="00017DF8" w:rsidRDefault="00393B3A" w:rsidP="00393B3A">
            <w:pPr>
              <w:rPr>
                <w:sz w:val="20"/>
              </w:rPr>
            </w:pPr>
            <w:r w:rsidRPr="00017DF8">
              <w:rPr>
                <w:sz w:val="20"/>
              </w:rPr>
              <w:t>P</w:t>
            </w:r>
          </w:p>
        </w:tc>
        <w:tc>
          <w:tcPr>
            <w:tcW w:w="0" w:type="auto"/>
            <w:tcBorders>
              <w:top w:val="nil"/>
            </w:tcBorders>
            <w:vAlign w:val="center"/>
          </w:tcPr>
          <w:p w14:paraId="189A508E" w14:textId="77777777" w:rsidR="00393B3A" w:rsidRPr="00017DF8" w:rsidRDefault="00393B3A" w:rsidP="00393B3A">
            <w:pPr>
              <w:rPr>
                <w:sz w:val="20"/>
              </w:rPr>
            </w:pPr>
            <w:r w:rsidRPr="00017DF8">
              <w:rPr>
                <w:sz w:val="20"/>
              </w:rPr>
              <w:t>5–6 May</w:t>
            </w:r>
          </w:p>
        </w:tc>
        <w:tc>
          <w:tcPr>
            <w:tcW w:w="0" w:type="auto"/>
            <w:tcBorders>
              <w:top w:val="nil"/>
            </w:tcBorders>
            <w:vAlign w:val="center"/>
          </w:tcPr>
          <w:p w14:paraId="73112775" w14:textId="77777777" w:rsidR="00393B3A" w:rsidRPr="00017DF8" w:rsidRDefault="00393B3A" w:rsidP="00393B3A">
            <w:pPr>
              <w:rPr>
                <w:sz w:val="20"/>
              </w:rPr>
            </w:pPr>
            <w:r w:rsidRPr="00017DF8">
              <w:rPr>
                <w:sz w:val="20"/>
              </w:rPr>
              <w:t>3028</w:t>
            </w:r>
          </w:p>
        </w:tc>
        <w:tc>
          <w:tcPr>
            <w:tcW w:w="0" w:type="auto"/>
            <w:tcBorders>
              <w:top w:val="nil"/>
            </w:tcBorders>
            <w:vAlign w:val="center"/>
          </w:tcPr>
          <w:p w14:paraId="7423A578" w14:textId="77777777" w:rsidR="00393B3A" w:rsidRPr="00017DF8" w:rsidRDefault="00393B3A" w:rsidP="00393B3A">
            <w:pPr>
              <w:rPr>
                <w:sz w:val="20"/>
              </w:rPr>
            </w:pPr>
            <w:r w:rsidRPr="00017DF8">
              <w:rPr>
                <w:sz w:val="20"/>
              </w:rPr>
              <w:t>33</w:t>
            </w:r>
          </w:p>
        </w:tc>
        <w:tc>
          <w:tcPr>
            <w:tcW w:w="0" w:type="auto"/>
            <w:tcBorders>
              <w:top w:val="nil"/>
            </w:tcBorders>
            <w:vAlign w:val="center"/>
          </w:tcPr>
          <w:p w14:paraId="168FD113" w14:textId="77777777" w:rsidR="00393B3A" w:rsidRPr="00017DF8" w:rsidRDefault="00393B3A" w:rsidP="00393B3A">
            <w:pPr>
              <w:rPr>
                <w:sz w:val="20"/>
              </w:rPr>
            </w:pPr>
            <w:r w:rsidRPr="00017DF8">
              <w:rPr>
                <w:sz w:val="20"/>
              </w:rPr>
              <w:t>33</w:t>
            </w:r>
          </w:p>
        </w:tc>
        <w:tc>
          <w:tcPr>
            <w:tcW w:w="0" w:type="auto"/>
            <w:tcBorders>
              <w:top w:val="nil"/>
            </w:tcBorders>
            <w:vAlign w:val="center"/>
          </w:tcPr>
          <w:p w14:paraId="26548FB5" w14:textId="77777777" w:rsidR="00393B3A" w:rsidRPr="00017DF8" w:rsidRDefault="00393B3A" w:rsidP="00393B3A">
            <w:pPr>
              <w:rPr>
                <w:sz w:val="20"/>
              </w:rPr>
            </w:pPr>
            <w:r w:rsidRPr="00017DF8">
              <w:rPr>
                <w:sz w:val="20"/>
              </w:rPr>
              <w:t>10</w:t>
            </w:r>
          </w:p>
        </w:tc>
        <w:tc>
          <w:tcPr>
            <w:tcW w:w="0" w:type="auto"/>
            <w:tcBorders>
              <w:top w:val="nil"/>
            </w:tcBorders>
            <w:vAlign w:val="center"/>
          </w:tcPr>
          <w:p w14:paraId="1519E960" w14:textId="77777777" w:rsidR="00393B3A" w:rsidRPr="00017DF8" w:rsidRDefault="00393B3A" w:rsidP="00393B3A">
            <w:pPr>
              <w:rPr>
                <w:sz w:val="20"/>
              </w:rPr>
            </w:pPr>
            <w:r w:rsidRPr="00017DF8">
              <w:rPr>
                <w:sz w:val="20"/>
              </w:rPr>
              <w:t>11</w:t>
            </w:r>
          </w:p>
        </w:tc>
        <w:tc>
          <w:tcPr>
            <w:tcW w:w="0" w:type="auto"/>
            <w:tcBorders>
              <w:top w:val="nil"/>
            </w:tcBorders>
            <w:vAlign w:val="center"/>
          </w:tcPr>
          <w:p w14:paraId="1E1ABA74" w14:textId="77777777" w:rsidR="00393B3A" w:rsidRPr="00017DF8" w:rsidRDefault="00393B3A" w:rsidP="00393B3A">
            <w:pPr>
              <w:rPr>
                <w:sz w:val="20"/>
              </w:rPr>
            </w:pPr>
            <w:r w:rsidRPr="00017DF8">
              <w:rPr>
                <w:sz w:val="20"/>
              </w:rPr>
              <w:t>6</w:t>
            </w:r>
          </w:p>
        </w:tc>
        <w:tc>
          <w:tcPr>
            <w:tcW w:w="0" w:type="auto"/>
            <w:tcBorders>
              <w:top w:val="nil"/>
              <w:right w:val="single" w:sz="4" w:space="0" w:color="auto"/>
            </w:tcBorders>
            <w:vAlign w:val="center"/>
          </w:tcPr>
          <w:p w14:paraId="026FBEEC" w14:textId="77777777" w:rsidR="00393B3A" w:rsidRPr="00017DF8" w:rsidRDefault="00393B3A" w:rsidP="00393B3A">
            <w:pPr>
              <w:rPr>
                <w:sz w:val="20"/>
              </w:rPr>
            </w:pPr>
            <w:r w:rsidRPr="00017DF8">
              <w:rPr>
                <w:sz w:val="20"/>
              </w:rPr>
              <w:t>8</w:t>
            </w:r>
          </w:p>
        </w:tc>
      </w:tr>
      <w:tr w:rsidR="00393B3A" w:rsidRPr="00E42E1D" w14:paraId="023B811C" w14:textId="77777777" w:rsidTr="00393B3A">
        <w:trPr>
          <w:jc w:val="center"/>
        </w:trPr>
        <w:tc>
          <w:tcPr>
            <w:tcW w:w="0" w:type="auto"/>
            <w:tcBorders>
              <w:left w:val="single" w:sz="4" w:space="0" w:color="auto"/>
            </w:tcBorders>
            <w:vAlign w:val="center"/>
          </w:tcPr>
          <w:p w14:paraId="4AAB71ED" w14:textId="77777777" w:rsidR="00393B3A" w:rsidRPr="00017DF8" w:rsidRDefault="00393B3A" w:rsidP="00393B3A">
            <w:pPr>
              <w:rPr>
                <w:bCs/>
                <w:sz w:val="20"/>
              </w:rPr>
            </w:pPr>
            <w:r w:rsidRPr="00017DF8">
              <w:rPr>
                <w:bCs/>
                <w:sz w:val="20"/>
              </w:rPr>
              <w:t>BMG*</w:t>
            </w:r>
          </w:p>
        </w:tc>
        <w:tc>
          <w:tcPr>
            <w:tcW w:w="0" w:type="auto"/>
          </w:tcPr>
          <w:p w14:paraId="2E3E77C0" w14:textId="77777777" w:rsidR="00393B3A" w:rsidRPr="00017DF8" w:rsidRDefault="00393B3A" w:rsidP="00393B3A">
            <w:pPr>
              <w:rPr>
                <w:sz w:val="20"/>
              </w:rPr>
            </w:pPr>
            <w:r w:rsidRPr="00017DF8">
              <w:rPr>
                <w:sz w:val="20"/>
              </w:rPr>
              <w:t>O</w:t>
            </w:r>
          </w:p>
        </w:tc>
        <w:tc>
          <w:tcPr>
            <w:tcW w:w="0" w:type="auto"/>
            <w:vAlign w:val="center"/>
          </w:tcPr>
          <w:p w14:paraId="2D84D4BF" w14:textId="77777777" w:rsidR="00393B3A" w:rsidRPr="00017DF8" w:rsidRDefault="00393B3A" w:rsidP="00393B3A">
            <w:pPr>
              <w:rPr>
                <w:sz w:val="20"/>
              </w:rPr>
            </w:pPr>
            <w:r w:rsidRPr="00017DF8">
              <w:rPr>
                <w:sz w:val="20"/>
              </w:rPr>
              <w:t>3–5 May</w:t>
            </w:r>
          </w:p>
        </w:tc>
        <w:tc>
          <w:tcPr>
            <w:tcW w:w="0" w:type="auto"/>
            <w:vAlign w:val="center"/>
          </w:tcPr>
          <w:p w14:paraId="5BE26E9D" w14:textId="77777777" w:rsidR="00393B3A" w:rsidRPr="00017DF8" w:rsidRDefault="00393B3A" w:rsidP="00393B3A">
            <w:pPr>
              <w:rPr>
                <w:sz w:val="20"/>
              </w:rPr>
            </w:pPr>
            <w:r w:rsidRPr="00017DF8">
              <w:rPr>
                <w:sz w:val="20"/>
              </w:rPr>
              <w:t>1009</w:t>
            </w:r>
          </w:p>
        </w:tc>
        <w:tc>
          <w:tcPr>
            <w:tcW w:w="0" w:type="auto"/>
            <w:vAlign w:val="center"/>
          </w:tcPr>
          <w:p w14:paraId="18BA64F7" w14:textId="77777777" w:rsidR="00393B3A" w:rsidRPr="00017DF8" w:rsidRDefault="00393B3A" w:rsidP="00393B3A">
            <w:pPr>
              <w:rPr>
                <w:sz w:val="20"/>
              </w:rPr>
            </w:pPr>
            <w:r w:rsidRPr="00017DF8">
              <w:rPr>
                <w:sz w:val="20"/>
              </w:rPr>
              <w:t>34</w:t>
            </w:r>
          </w:p>
        </w:tc>
        <w:tc>
          <w:tcPr>
            <w:tcW w:w="0" w:type="auto"/>
            <w:vAlign w:val="center"/>
          </w:tcPr>
          <w:p w14:paraId="41C008BC" w14:textId="77777777" w:rsidR="00393B3A" w:rsidRPr="00017DF8" w:rsidRDefault="00393B3A" w:rsidP="00393B3A">
            <w:pPr>
              <w:rPr>
                <w:sz w:val="20"/>
              </w:rPr>
            </w:pPr>
            <w:r w:rsidRPr="00017DF8">
              <w:rPr>
                <w:sz w:val="20"/>
              </w:rPr>
              <w:t>34</w:t>
            </w:r>
          </w:p>
        </w:tc>
        <w:tc>
          <w:tcPr>
            <w:tcW w:w="0" w:type="auto"/>
            <w:vAlign w:val="center"/>
          </w:tcPr>
          <w:p w14:paraId="7F1BE631" w14:textId="77777777" w:rsidR="00393B3A" w:rsidRPr="00017DF8" w:rsidRDefault="00393B3A" w:rsidP="00393B3A">
            <w:pPr>
              <w:rPr>
                <w:sz w:val="20"/>
              </w:rPr>
            </w:pPr>
            <w:r w:rsidRPr="00017DF8">
              <w:rPr>
                <w:sz w:val="20"/>
              </w:rPr>
              <w:t>10</w:t>
            </w:r>
          </w:p>
        </w:tc>
        <w:tc>
          <w:tcPr>
            <w:tcW w:w="0" w:type="auto"/>
            <w:vAlign w:val="center"/>
          </w:tcPr>
          <w:p w14:paraId="6C5AD418" w14:textId="77777777" w:rsidR="00393B3A" w:rsidRPr="00017DF8" w:rsidRDefault="00393B3A" w:rsidP="00393B3A">
            <w:pPr>
              <w:rPr>
                <w:sz w:val="20"/>
              </w:rPr>
            </w:pPr>
            <w:r w:rsidRPr="00017DF8">
              <w:rPr>
                <w:sz w:val="20"/>
              </w:rPr>
              <w:t>12</w:t>
            </w:r>
          </w:p>
        </w:tc>
        <w:tc>
          <w:tcPr>
            <w:tcW w:w="0" w:type="auto"/>
            <w:vAlign w:val="center"/>
          </w:tcPr>
          <w:p w14:paraId="738784F1" w14:textId="77777777" w:rsidR="00393B3A" w:rsidRPr="00017DF8" w:rsidRDefault="00393B3A" w:rsidP="00393B3A">
            <w:pPr>
              <w:rPr>
                <w:sz w:val="20"/>
              </w:rPr>
            </w:pPr>
            <w:r w:rsidRPr="00017DF8">
              <w:rPr>
                <w:sz w:val="20"/>
              </w:rPr>
              <w:t>4</w:t>
            </w:r>
          </w:p>
        </w:tc>
        <w:tc>
          <w:tcPr>
            <w:tcW w:w="0" w:type="auto"/>
            <w:tcBorders>
              <w:right w:val="single" w:sz="4" w:space="0" w:color="auto"/>
            </w:tcBorders>
            <w:vAlign w:val="center"/>
          </w:tcPr>
          <w:p w14:paraId="310404DE" w14:textId="77777777" w:rsidR="00393B3A" w:rsidRPr="00017DF8" w:rsidRDefault="00393B3A" w:rsidP="00393B3A">
            <w:pPr>
              <w:rPr>
                <w:sz w:val="20"/>
              </w:rPr>
            </w:pPr>
            <w:r w:rsidRPr="00017DF8">
              <w:rPr>
                <w:sz w:val="20"/>
              </w:rPr>
              <w:t>6</w:t>
            </w:r>
          </w:p>
        </w:tc>
      </w:tr>
      <w:tr w:rsidR="00393B3A" w:rsidRPr="00E42E1D" w14:paraId="3FA0A8F3" w14:textId="77777777" w:rsidTr="00393B3A">
        <w:trPr>
          <w:jc w:val="center"/>
        </w:trPr>
        <w:tc>
          <w:tcPr>
            <w:tcW w:w="0" w:type="auto"/>
            <w:tcBorders>
              <w:left w:val="single" w:sz="4" w:space="0" w:color="auto"/>
            </w:tcBorders>
            <w:vAlign w:val="center"/>
          </w:tcPr>
          <w:p w14:paraId="3FD4B516" w14:textId="77777777" w:rsidR="00393B3A" w:rsidRPr="00017DF8" w:rsidRDefault="00393B3A" w:rsidP="00393B3A">
            <w:pPr>
              <w:rPr>
                <w:sz w:val="20"/>
              </w:rPr>
            </w:pPr>
            <w:r w:rsidRPr="00017DF8">
              <w:rPr>
                <w:sz w:val="20"/>
              </w:rPr>
              <w:t>SurveyMonkey*</w:t>
            </w:r>
          </w:p>
        </w:tc>
        <w:tc>
          <w:tcPr>
            <w:tcW w:w="0" w:type="auto"/>
          </w:tcPr>
          <w:p w14:paraId="5E33E363" w14:textId="77777777" w:rsidR="00393B3A" w:rsidRPr="00017DF8" w:rsidRDefault="00393B3A" w:rsidP="00393B3A">
            <w:pPr>
              <w:rPr>
                <w:sz w:val="20"/>
              </w:rPr>
            </w:pPr>
            <w:r w:rsidRPr="00017DF8">
              <w:rPr>
                <w:sz w:val="20"/>
              </w:rPr>
              <w:t>O</w:t>
            </w:r>
          </w:p>
        </w:tc>
        <w:tc>
          <w:tcPr>
            <w:tcW w:w="0" w:type="auto"/>
            <w:vAlign w:val="center"/>
          </w:tcPr>
          <w:p w14:paraId="07A72802" w14:textId="77777777" w:rsidR="00393B3A" w:rsidRPr="00017DF8" w:rsidRDefault="00393B3A" w:rsidP="00393B3A">
            <w:pPr>
              <w:rPr>
                <w:sz w:val="20"/>
              </w:rPr>
            </w:pPr>
            <w:r w:rsidRPr="00017DF8">
              <w:rPr>
                <w:sz w:val="20"/>
              </w:rPr>
              <w:t>30/4-6/5</w:t>
            </w:r>
          </w:p>
        </w:tc>
        <w:tc>
          <w:tcPr>
            <w:tcW w:w="0" w:type="auto"/>
            <w:vAlign w:val="center"/>
          </w:tcPr>
          <w:p w14:paraId="32B67C71" w14:textId="77777777" w:rsidR="00393B3A" w:rsidRPr="00017DF8" w:rsidRDefault="00393B3A" w:rsidP="00393B3A">
            <w:pPr>
              <w:rPr>
                <w:sz w:val="20"/>
              </w:rPr>
            </w:pPr>
            <w:r w:rsidRPr="00017DF8">
              <w:rPr>
                <w:sz w:val="20"/>
              </w:rPr>
              <w:t>18131</w:t>
            </w:r>
          </w:p>
        </w:tc>
        <w:tc>
          <w:tcPr>
            <w:tcW w:w="0" w:type="auto"/>
            <w:vAlign w:val="center"/>
          </w:tcPr>
          <w:p w14:paraId="1DD0B8DE" w14:textId="77777777" w:rsidR="00393B3A" w:rsidRPr="00017DF8" w:rsidRDefault="00393B3A" w:rsidP="00393B3A">
            <w:pPr>
              <w:rPr>
                <w:sz w:val="20"/>
              </w:rPr>
            </w:pPr>
            <w:r w:rsidRPr="00017DF8">
              <w:rPr>
                <w:sz w:val="20"/>
              </w:rPr>
              <w:t>34</w:t>
            </w:r>
          </w:p>
        </w:tc>
        <w:tc>
          <w:tcPr>
            <w:tcW w:w="0" w:type="auto"/>
            <w:vAlign w:val="center"/>
          </w:tcPr>
          <w:p w14:paraId="6B50F0DE" w14:textId="77777777" w:rsidR="00393B3A" w:rsidRPr="00017DF8" w:rsidRDefault="00393B3A" w:rsidP="00393B3A">
            <w:pPr>
              <w:rPr>
                <w:sz w:val="20"/>
              </w:rPr>
            </w:pPr>
            <w:r w:rsidRPr="00017DF8">
              <w:rPr>
                <w:sz w:val="20"/>
              </w:rPr>
              <w:t>28</w:t>
            </w:r>
          </w:p>
        </w:tc>
        <w:tc>
          <w:tcPr>
            <w:tcW w:w="0" w:type="auto"/>
            <w:vAlign w:val="center"/>
          </w:tcPr>
          <w:p w14:paraId="1B3554C9" w14:textId="77777777" w:rsidR="00393B3A" w:rsidRPr="00017DF8" w:rsidRDefault="00393B3A" w:rsidP="00393B3A">
            <w:pPr>
              <w:rPr>
                <w:sz w:val="20"/>
              </w:rPr>
            </w:pPr>
            <w:r w:rsidRPr="00017DF8">
              <w:rPr>
                <w:sz w:val="20"/>
              </w:rPr>
              <w:t>7</w:t>
            </w:r>
          </w:p>
        </w:tc>
        <w:tc>
          <w:tcPr>
            <w:tcW w:w="0" w:type="auto"/>
            <w:vAlign w:val="center"/>
          </w:tcPr>
          <w:p w14:paraId="6802584B" w14:textId="77777777" w:rsidR="00393B3A" w:rsidRPr="00017DF8" w:rsidRDefault="00393B3A" w:rsidP="00393B3A">
            <w:pPr>
              <w:rPr>
                <w:sz w:val="20"/>
              </w:rPr>
            </w:pPr>
            <w:r w:rsidRPr="00017DF8">
              <w:rPr>
                <w:sz w:val="20"/>
              </w:rPr>
              <w:t>13</w:t>
            </w:r>
          </w:p>
        </w:tc>
        <w:tc>
          <w:tcPr>
            <w:tcW w:w="0" w:type="auto"/>
            <w:vAlign w:val="center"/>
          </w:tcPr>
          <w:p w14:paraId="3D0214B5" w14:textId="77777777" w:rsidR="00393B3A" w:rsidRPr="00017DF8" w:rsidRDefault="00393B3A" w:rsidP="00393B3A">
            <w:pPr>
              <w:rPr>
                <w:sz w:val="20"/>
              </w:rPr>
            </w:pPr>
            <w:r w:rsidRPr="00017DF8">
              <w:rPr>
                <w:sz w:val="20"/>
              </w:rPr>
              <w:t>8</w:t>
            </w:r>
          </w:p>
        </w:tc>
        <w:tc>
          <w:tcPr>
            <w:tcW w:w="0" w:type="auto"/>
            <w:tcBorders>
              <w:right w:val="single" w:sz="4" w:space="0" w:color="auto"/>
            </w:tcBorders>
            <w:vAlign w:val="center"/>
          </w:tcPr>
          <w:p w14:paraId="13E126F8" w14:textId="77777777" w:rsidR="00393B3A" w:rsidRPr="00017DF8" w:rsidRDefault="00393B3A" w:rsidP="00393B3A">
            <w:pPr>
              <w:rPr>
                <w:sz w:val="20"/>
              </w:rPr>
            </w:pPr>
            <w:r w:rsidRPr="00017DF8">
              <w:rPr>
                <w:sz w:val="20"/>
              </w:rPr>
              <w:t>9</w:t>
            </w:r>
          </w:p>
        </w:tc>
      </w:tr>
      <w:tr w:rsidR="00393B3A" w:rsidRPr="00E42E1D" w14:paraId="7A2061CF" w14:textId="77777777" w:rsidTr="00393B3A">
        <w:trPr>
          <w:jc w:val="center"/>
        </w:trPr>
        <w:tc>
          <w:tcPr>
            <w:tcW w:w="0" w:type="auto"/>
            <w:tcBorders>
              <w:left w:val="single" w:sz="4" w:space="0" w:color="auto"/>
            </w:tcBorders>
            <w:vAlign w:val="center"/>
          </w:tcPr>
          <w:p w14:paraId="117E363E" w14:textId="77777777" w:rsidR="00393B3A" w:rsidRPr="00017DF8" w:rsidRDefault="00393B3A" w:rsidP="00393B3A">
            <w:pPr>
              <w:rPr>
                <w:bCs/>
                <w:sz w:val="20"/>
              </w:rPr>
            </w:pPr>
          </w:p>
          <w:p w14:paraId="31F39256" w14:textId="77777777" w:rsidR="00393B3A" w:rsidRPr="00017DF8" w:rsidRDefault="00393B3A" w:rsidP="00393B3A">
            <w:pPr>
              <w:rPr>
                <w:sz w:val="20"/>
              </w:rPr>
            </w:pPr>
            <w:r w:rsidRPr="00017DF8">
              <w:rPr>
                <w:bCs/>
                <w:sz w:val="20"/>
              </w:rPr>
              <w:t>Election result</w:t>
            </w:r>
          </w:p>
        </w:tc>
        <w:tc>
          <w:tcPr>
            <w:tcW w:w="0" w:type="auto"/>
          </w:tcPr>
          <w:p w14:paraId="6841AE5A" w14:textId="77777777" w:rsidR="00393B3A" w:rsidRPr="00017DF8" w:rsidRDefault="00393B3A" w:rsidP="00393B3A">
            <w:pPr>
              <w:rPr>
                <w:sz w:val="20"/>
              </w:rPr>
            </w:pPr>
          </w:p>
        </w:tc>
        <w:tc>
          <w:tcPr>
            <w:tcW w:w="0" w:type="auto"/>
            <w:vAlign w:val="center"/>
          </w:tcPr>
          <w:p w14:paraId="3ACAACFB" w14:textId="77777777" w:rsidR="00393B3A" w:rsidRPr="00017DF8" w:rsidRDefault="00393B3A" w:rsidP="00393B3A">
            <w:pPr>
              <w:rPr>
                <w:sz w:val="20"/>
              </w:rPr>
            </w:pPr>
          </w:p>
        </w:tc>
        <w:tc>
          <w:tcPr>
            <w:tcW w:w="0" w:type="auto"/>
            <w:vAlign w:val="center"/>
          </w:tcPr>
          <w:p w14:paraId="0C5ADD72" w14:textId="77777777" w:rsidR="00393B3A" w:rsidRPr="00017DF8" w:rsidRDefault="00393B3A" w:rsidP="00393B3A">
            <w:pPr>
              <w:rPr>
                <w:sz w:val="20"/>
              </w:rPr>
            </w:pPr>
          </w:p>
        </w:tc>
        <w:tc>
          <w:tcPr>
            <w:tcW w:w="0" w:type="auto"/>
            <w:vAlign w:val="center"/>
          </w:tcPr>
          <w:p w14:paraId="14EE241A" w14:textId="77777777" w:rsidR="00393B3A" w:rsidRPr="00017DF8" w:rsidRDefault="00393B3A" w:rsidP="00393B3A">
            <w:pPr>
              <w:rPr>
                <w:sz w:val="20"/>
              </w:rPr>
            </w:pPr>
          </w:p>
          <w:p w14:paraId="0EEBAA14" w14:textId="77777777" w:rsidR="00393B3A" w:rsidRPr="00017DF8" w:rsidRDefault="00393B3A" w:rsidP="00393B3A">
            <w:pPr>
              <w:rPr>
                <w:sz w:val="20"/>
              </w:rPr>
            </w:pPr>
            <w:r w:rsidRPr="00017DF8">
              <w:rPr>
                <w:sz w:val="20"/>
              </w:rPr>
              <w:t>37.7</w:t>
            </w:r>
          </w:p>
        </w:tc>
        <w:tc>
          <w:tcPr>
            <w:tcW w:w="0" w:type="auto"/>
            <w:vAlign w:val="center"/>
          </w:tcPr>
          <w:p w14:paraId="01E87053" w14:textId="77777777" w:rsidR="00393B3A" w:rsidRPr="00017DF8" w:rsidRDefault="00393B3A" w:rsidP="00393B3A">
            <w:pPr>
              <w:rPr>
                <w:sz w:val="20"/>
              </w:rPr>
            </w:pPr>
          </w:p>
          <w:p w14:paraId="4D29D653" w14:textId="77777777" w:rsidR="00393B3A" w:rsidRPr="00017DF8" w:rsidRDefault="00393B3A" w:rsidP="00393B3A">
            <w:pPr>
              <w:rPr>
                <w:sz w:val="20"/>
              </w:rPr>
            </w:pPr>
            <w:r w:rsidRPr="00017DF8">
              <w:rPr>
                <w:sz w:val="20"/>
              </w:rPr>
              <w:t>31.2</w:t>
            </w:r>
          </w:p>
        </w:tc>
        <w:tc>
          <w:tcPr>
            <w:tcW w:w="0" w:type="auto"/>
            <w:vAlign w:val="center"/>
          </w:tcPr>
          <w:p w14:paraId="59101481" w14:textId="77777777" w:rsidR="00393B3A" w:rsidRPr="00017DF8" w:rsidRDefault="00393B3A" w:rsidP="00393B3A">
            <w:pPr>
              <w:rPr>
                <w:sz w:val="20"/>
              </w:rPr>
            </w:pPr>
          </w:p>
          <w:p w14:paraId="58EF8E5A" w14:textId="77777777" w:rsidR="00393B3A" w:rsidRPr="00017DF8" w:rsidRDefault="00393B3A" w:rsidP="00393B3A">
            <w:pPr>
              <w:rPr>
                <w:sz w:val="20"/>
              </w:rPr>
            </w:pPr>
            <w:r w:rsidRPr="00017DF8">
              <w:rPr>
                <w:sz w:val="20"/>
              </w:rPr>
              <w:t>8.1</w:t>
            </w:r>
          </w:p>
        </w:tc>
        <w:tc>
          <w:tcPr>
            <w:tcW w:w="0" w:type="auto"/>
            <w:vAlign w:val="center"/>
          </w:tcPr>
          <w:p w14:paraId="7934E557" w14:textId="77777777" w:rsidR="00393B3A" w:rsidRPr="00017DF8" w:rsidRDefault="00393B3A" w:rsidP="00393B3A">
            <w:pPr>
              <w:rPr>
                <w:sz w:val="20"/>
              </w:rPr>
            </w:pPr>
          </w:p>
          <w:p w14:paraId="7D4F21DA" w14:textId="77777777" w:rsidR="00393B3A" w:rsidRPr="00017DF8" w:rsidRDefault="00393B3A" w:rsidP="00393B3A">
            <w:pPr>
              <w:rPr>
                <w:sz w:val="20"/>
              </w:rPr>
            </w:pPr>
            <w:r w:rsidRPr="00017DF8">
              <w:rPr>
                <w:sz w:val="20"/>
              </w:rPr>
              <w:t>12.9</w:t>
            </w:r>
          </w:p>
        </w:tc>
        <w:tc>
          <w:tcPr>
            <w:tcW w:w="0" w:type="auto"/>
            <w:vAlign w:val="center"/>
          </w:tcPr>
          <w:p w14:paraId="5FD2B416" w14:textId="77777777" w:rsidR="00393B3A" w:rsidRPr="00017DF8" w:rsidRDefault="00393B3A" w:rsidP="00393B3A">
            <w:pPr>
              <w:rPr>
                <w:sz w:val="20"/>
              </w:rPr>
            </w:pPr>
          </w:p>
          <w:p w14:paraId="31538EA1" w14:textId="77777777" w:rsidR="00393B3A" w:rsidRPr="00017DF8" w:rsidRDefault="00393B3A" w:rsidP="00393B3A">
            <w:pPr>
              <w:rPr>
                <w:sz w:val="20"/>
              </w:rPr>
            </w:pPr>
            <w:r w:rsidRPr="00017DF8">
              <w:rPr>
                <w:sz w:val="20"/>
              </w:rPr>
              <w:t>3.8</w:t>
            </w:r>
          </w:p>
        </w:tc>
        <w:tc>
          <w:tcPr>
            <w:tcW w:w="0" w:type="auto"/>
            <w:tcBorders>
              <w:right w:val="single" w:sz="4" w:space="0" w:color="auto"/>
            </w:tcBorders>
            <w:vAlign w:val="center"/>
          </w:tcPr>
          <w:p w14:paraId="6D9379C5" w14:textId="77777777" w:rsidR="00393B3A" w:rsidRPr="00017DF8" w:rsidRDefault="00393B3A" w:rsidP="00393B3A">
            <w:pPr>
              <w:rPr>
                <w:sz w:val="20"/>
              </w:rPr>
            </w:pPr>
          </w:p>
          <w:p w14:paraId="4DB37F1D" w14:textId="77777777" w:rsidR="00393B3A" w:rsidRPr="00017DF8" w:rsidRDefault="00393B3A" w:rsidP="00393B3A">
            <w:pPr>
              <w:rPr>
                <w:sz w:val="20"/>
              </w:rPr>
            </w:pPr>
            <w:r w:rsidRPr="00017DF8">
              <w:rPr>
                <w:sz w:val="20"/>
              </w:rPr>
              <w:t>6.4</w:t>
            </w:r>
          </w:p>
        </w:tc>
      </w:tr>
      <w:tr w:rsidR="00393B3A" w:rsidRPr="00E42E1D" w14:paraId="30434082" w14:textId="77777777" w:rsidTr="00393B3A">
        <w:trPr>
          <w:jc w:val="center"/>
        </w:trPr>
        <w:tc>
          <w:tcPr>
            <w:tcW w:w="0" w:type="auto"/>
            <w:gridSpan w:val="2"/>
            <w:tcBorders>
              <w:left w:val="single" w:sz="4" w:space="0" w:color="auto"/>
              <w:bottom w:val="single" w:sz="4" w:space="0" w:color="auto"/>
            </w:tcBorders>
            <w:vAlign w:val="center"/>
          </w:tcPr>
          <w:p w14:paraId="47554014" w14:textId="77777777" w:rsidR="00393B3A" w:rsidRPr="00017DF8" w:rsidRDefault="00393B3A" w:rsidP="00393B3A">
            <w:pPr>
              <w:rPr>
                <w:sz w:val="20"/>
              </w:rPr>
            </w:pPr>
            <w:r w:rsidRPr="00017DF8">
              <w:rPr>
                <w:bCs/>
                <w:i/>
                <w:iCs/>
                <w:sz w:val="20"/>
              </w:rPr>
              <w:t>Mean absolute error</w:t>
            </w:r>
          </w:p>
        </w:tc>
        <w:tc>
          <w:tcPr>
            <w:tcW w:w="0" w:type="auto"/>
            <w:tcBorders>
              <w:bottom w:val="single" w:sz="4" w:space="0" w:color="auto"/>
            </w:tcBorders>
            <w:vAlign w:val="center"/>
          </w:tcPr>
          <w:p w14:paraId="2C881F1A" w14:textId="77777777" w:rsidR="00393B3A" w:rsidRPr="00017DF8" w:rsidRDefault="00393B3A" w:rsidP="00393B3A">
            <w:pPr>
              <w:rPr>
                <w:sz w:val="20"/>
              </w:rPr>
            </w:pPr>
          </w:p>
        </w:tc>
        <w:tc>
          <w:tcPr>
            <w:tcW w:w="0" w:type="auto"/>
            <w:tcBorders>
              <w:bottom w:val="single" w:sz="4" w:space="0" w:color="auto"/>
            </w:tcBorders>
            <w:vAlign w:val="center"/>
          </w:tcPr>
          <w:p w14:paraId="7D1DE822" w14:textId="77777777" w:rsidR="00393B3A" w:rsidRPr="00017DF8" w:rsidRDefault="00393B3A" w:rsidP="00393B3A">
            <w:pPr>
              <w:rPr>
                <w:sz w:val="20"/>
              </w:rPr>
            </w:pPr>
          </w:p>
        </w:tc>
        <w:tc>
          <w:tcPr>
            <w:tcW w:w="0" w:type="auto"/>
            <w:tcBorders>
              <w:bottom w:val="single" w:sz="4" w:space="0" w:color="auto"/>
            </w:tcBorders>
            <w:vAlign w:val="center"/>
          </w:tcPr>
          <w:p w14:paraId="7F5F4953" w14:textId="77777777" w:rsidR="00393B3A" w:rsidRPr="00017DF8" w:rsidRDefault="00393B3A" w:rsidP="00393B3A">
            <w:pPr>
              <w:rPr>
                <w:sz w:val="20"/>
              </w:rPr>
            </w:pPr>
            <w:r>
              <w:rPr>
                <w:i/>
                <w:iCs/>
                <w:sz w:val="20"/>
              </w:rPr>
              <w:t>3.9</w:t>
            </w:r>
          </w:p>
        </w:tc>
        <w:tc>
          <w:tcPr>
            <w:tcW w:w="0" w:type="auto"/>
            <w:tcBorders>
              <w:bottom w:val="single" w:sz="4" w:space="0" w:color="auto"/>
            </w:tcBorders>
            <w:vAlign w:val="center"/>
          </w:tcPr>
          <w:p w14:paraId="058CE16D" w14:textId="77777777" w:rsidR="00393B3A" w:rsidRPr="00017DF8" w:rsidRDefault="00393B3A" w:rsidP="00393B3A">
            <w:pPr>
              <w:rPr>
                <w:sz w:val="20"/>
              </w:rPr>
            </w:pPr>
            <w:r>
              <w:rPr>
                <w:i/>
                <w:iCs/>
                <w:sz w:val="20"/>
              </w:rPr>
              <w:t>2.7</w:t>
            </w:r>
          </w:p>
        </w:tc>
        <w:tc>
          <w:tcPr>
            <w:tcW w:w="0" w:type="auto"/>
            <w:tcBorders>
              <w:bottom w:val="single" w:sz="4" w:space="0" w:color="auto"/>
            </w:tcBorders>
            <w:vAlign w:val="center"/>
          </w:tcPr>
          <w:p w14:paraId="08B0D836" w14:textId="77777777" w:rsidR="00393B3A" w:rsidRPr="00017DF8" w:rsidRDefault="00393B3A" w:rsidP="00393B3A">
            <w:pPr>
              <w:rPr>
                <w:sz w:val="20"/>
              </w:rPr>
            </w:pPr>
            <w:r>
              <w:rPr>
                <w:i/>
                <w:iCs/>
                <w:sz w:val="20"/>
              </w:rPr>
              <w:t>0.9</w:t>
            </w:r>
          </w:p>
        </w:tc>
        <w:tc>
          <w:tcPr>
            <w:tcW w:w="0" w:type="auto"/>
            <w:tcBorders>
              <w:bottom w:val="single" w:sz="4" w:space="0" w:color="auto"/>
            </w:tcBorders>
            <w:vAlign w:val="center"/>
          </w:tcPr>
          <w:p w14:paraId="03633948" w14:textId="77777777" w:rsidR="00393B3A" w:rsidRPr="00017DF8" w:rsidRDefault="00393B3A" w:rsidP="00393B3A">
            <w:pPr>
              <w:rPr>
                <w:sz w:val="20"/>
              </w:rPr>
            </w:pPr>
            <w:r w:rsidRPr="00017DF8">
              <w:rPr>
                <w:i/>
                <w:iCs/>
                <w:sz w:val="20"/>
              </w:rPr>
              <w:t>1.4</w:t>
            </w:r>
          </w:p>
        </w:tc>
        <w:tc>
          <w:tcPr>
            <w:tcW w:w="0" w:type="auto"/>
            <w:tcBorders>
              <w:bottom w:val="single" w:sz="4" w:space="0" w:color="auto"/>
            </w:tcBorders>
            <w:vAlign w:val="center"/>
          </w:tcPr>
          <w:p w14:paraId="10993256" w14:textId="77777777" w:rsidR="00393B3A" w:rsidRPr="00017DF8" w:rsidRDefault="00393B3A" w:rsidP="00393B3A">
            <w:pPr>
              <w:rPr>
                <w:sz w:val="20"/>
              </w:rPr>
            </w:pPr>
            <w:r>
              <w:rPr>
                <w:i/>
                <w:iCs/>
                <w:sz w:val="20"/>
              </w:rPr>
              <w:t>1.3</w:t>
            </w:r>
          </w:p>
        </w:tc>
        <w:tc>
          <w:tcPr>
            <w:tcW w:w="0" w:type="auto"/>
            <w:tcBorders>
              <w:bottom w:val="single" w:sz="4" w:space="0" w:color="auto"/>
              <w:right w:val="single" w:sz="4" w:space="0" w:color="auto"/>
            </w:tcBorders>
            <w:vAlign w:val="center"/>
          </w:tcPr>
          <w:p w14:paraId="602CC30A" w14:textId="77777777" w:rsidR="00393B3A" w:rsidRPr="00017DF8" w:rsidRDefault="00393B3A" w:rsidP="00393B3A">
            <w:pPr>
              <w:rPr>
                <w:i/>
                <w:sz w:val="20"/>
              </w:rPr>
            </w:pPr>
            <w:r>
              <w:rPr>
                <w:i/>
                <w:sz w:val="20"/>
              </w:rPr>
              <w:t>1.1</w:t>
            </w:r>
          </w:p>
        </w:tc>
      </w:tr>
    </w:tbl>
    <w:p w14:paraId="568C3313" w14:textId="72DB20AE" w:rsidR="007614AE" w:rsidRPr="00326FD9" w:rsidRDefault="00996A75" w:rsidP="00E42E1D">
      <w:pPr>
        <w:spacing w:after="0" w:line="240" w:lineRule="auto"/>
        <w:rPr>
          <w:sz w:val="18"/>
        </w:rPr>
      </w:pPr>
      <w:r w:rsidRPr="00326FD9">
        <w:rPr>
          <w:sz w:val="18"/>
        </w:rPr>
        <w:t>†</w:t>
      </w:r>
      <w:r w:rsidR="007614AE" w:rsidRPr="00326FD9">
        <w:rPr>
          <w:sz w:val="18"/>
        </w:rPr>
        <w:t xml:space="preserve"> O=online, P=phone</w:t>
      </w:r>
    </w:p>
    <w:p w14:paraId="46369B28" w14:textId="7D1B1D41" w:rsidR="007614AE" w:rsidRPr="00326FD9" w:rsidRDefault="00996A75" w:rsidP="00E42E1D">
      <w:pPr>
        <w:spacing w:after="0" w:line="240" w:lineRule="auto"/>
        <w:rPr>
          <w:sz w:val="18"/>
        </w:rPr>
      </w:pPr>
      <w:r w:rsidRPr="00326FD9">
        <w:rPr>
          <w:sz w:val="18"/>
        </w:rPr>
        <w:t xml:space="preserve">‡ </w:t>
      </w:r>
      <w:r w:rsidR="007614AE" w:rsidRPr="00326FD9">
        <w:rPr>
          <w:sz w:val="18"/>
        </w:rPr>
        <w:t xml:space="preserve">Conservative, Labour, Liberal Democrat, UK Independence Party, Green Party, </w:t>
      </w:r>
      <w:r w:rsidR="00CF3CD7" w:rsidRPr="00326FD9">
        <w:rPr>
          <w:sz w:val="18"/>
        </w:rPr>
        <w:t>all others combined</w:t>
      </w:r>
    </w:p>
    <w:p w14:paraId="487FAA9F" w14:textId="5733E426" w:rsidR="00E42E1D" w:rsidRPr="00326FD9" w:rsidRDefault="00E42E1D" w:rsidP="00E42E1D">
      <w:pPr>
        <w:spacing w:after="0" w:line="240" w:lineRule="auto"/>
        <w:rPr>
          <w:sz w:val="18"/>
        </w:rPr>
      </w:pPr>
      <w:r w:rsidRPr="00326FD9">
        <w:rPr>
          <w:sz w:val="18"/>
        </w:rPr>
        <w:t xml:space="preserve"> </w:t>
      </w:r>
      <w:r w:rsidR="00996A75" w:rsidRPr="00326FD9">
        <w:rPr>
          <w:sz w:val="18"/>
        </w:rPr>
        <w:t xml:space="preserve">* </w:t>
      </w:r>
      <w:r w:rsidR="007614AE" w:rsidRPr="00326FD9">
        <w:rPr>
          <w:sz w:val="18"/>
        </w:rPr>
        <w:t xml:space="preserve">Not </w:t>
      </w:r>
      <w:r w:rsidRPr="00326FD9">
        <w:rPr>
          <w:sz w:val="18"/>
        </w:rPr>
        <w:t xml:space="preserve">members of </w:t>
      </w:r>
      <w:r w:rsidR="00E2560E" w:rsidRPr="00326FD9">
        <w:rPr>
          <w:sz w:val="18"/>
        </w:rPr>
        <w:t xml:space="preserve">the </w:t>
      </w:r>
      <w:r w:rsidRPr="00326FD9">
        <w:rPr>
          <w:sz w:val="18"/>
        </w:rPr>
        <w:t>Brit</w:t>
      </w:r>
      <w:r w:rsidR="007614AE" w:rsidRPr="00326FD9">
        <w:rPr>
          <w:sz w:val="18"/>
        </w:rPr>
        <w:t xml:space="preserve">ish Polling Council </w:t>
      </w:r>
      <w:r w:rsidR="00CF3CD7" w:rsidRPr="00326FD9">
        <w:rPr>
          <w:sz w:val="18"/>
        </w:rPr>
        <w:t xml:space="preserve">(BPC) </w:t>
      </w:r>
      <w:r w:rsidR="007614AE" w:rsidRPr="00326FD9">
        <w:rPr>
          <w:sz w:val="18"/>
        </w:rPr>
        <w:t>in May 2015</w:t>
      </w:r>
    </w:p>
    <w:p w14:paraId="5C4F6E36" w14:textId="4B082752" w:rsidR="00891C09" w:rsidRPr="00326FD9" w:rsidRDefault="00891C09" w:rsidP="00E42E1D">
      <w:pPr>
        <w:spacing w:after="0" w:line="240" w:lineRule="auto"/>
        <w:rPr>
          <w:sz w:val="18"/>
        </w:rPr>
      </w:pPr>
    </w:p>
    <w:p w14:paraId="5B413C67" w14:textId="77777777" w:rsidR="0060536E" w:rsidRDefault="0060536E" w:rsidP="0060536E"/>
    <w:p w14:paraId="0E882BF4" w14:textId="77777777" w:rsidR="000E0B82" w:rsidRDefault="000E0B82" w:rsidP="000E0B82">
      <w:pPr>
        <w:spacing w:before="100" w:beforeAutospacing="1"/>
        <w:ind w:left="720" w:hanging="720"/>
        <w:jc w:val="both"/>
        <w:rPr>
          <w:bCs/>
        </w:rPr>
      </w:pPr>
      <w:r w:rsidRPr="007E4A10">
        <w:rPr>
          <w:bCs/>
        </w:rPr>
        <w:t xml:space="preserve">Table 2. Measures of uncertainty in estimates of voting intention </w:t>
      </w:r>
      <w:r>
        <w:rPr>
          <w:bCs/>
        </w:rPr>
        <w:t>from the final polls: Point estimates and 95% interval estimates for the Conservative-Labour difference, and standard errors (</w:t>
      </w:r>
      <w:proofErr w:type="spellStart"/>
      <w:r>
        <w:rPr>
          <w:bCs/>
        </w:rPr>
        <w:t>s.e.</w:t>
      </w:r>
      <w:proofErr w:type="spellEnd"/>
      <w:r>
        <w:rPr>
          <w:bCs/>
        </w:rPr>
        <w:t>) and estimated design effects (d</w:t>
      </w:r>
      <w:r w:rsidRPr="007E4A10">
        <w:rPr>
          <w:bCs/>
          <w:vertAlign w:val="superscript"/>
        </w:rPr>
        <w:t>2</w:t>
      </w:r>
      <w:r>
        <w:rPr>
          <w:bCs/>
        </w:rPr>
        <w:t>)</w:t>
      </w:r>
      <w:r w:rsidRPr="007E4A10">
        <w:rPr>
          <w:bCs/>
        </w:rPr>
        <w:t xml:space="preserve"> </w:t>
      </w:r>
      <w:r>
        <w:rPr>
          <w:bCs/>
        </w:rPr>
        <w:t xml:space="preserve">for the Conservative and Labour vote shares. </w:t>
      </w:r>
    </w:p>
    <w:tbl>
      <w:tblPr>
        <w:tblStyle w:val="TableGrid"/>
        <w:tblW w:w="0" w:type="auto"/>
        <w:tblInd w:w="1170" w:type="dxa"/>
        <w:tblLook w:val="04A0" w:firstRow="1" w:lastRow="0" w:firstColumn="1" w:lastColumn="0" w:noHBand="0" w:noVBand="1"/>
      </w:tblPr>
      <w:tblGrid>
        <w:gridCol w:w="1252"/>
        <w:gridCol w:w="947"/>
        <w:gridCol w:w="605"/>
        <w:gridCol w:w="1804"/>
        <w:gridCol w:w="665"/>
        <w:gridCol w:w="607"/>
        <w:gridCol w:w="523"/>
        <w:gridCol w:w="607"/>
        <w:gridCol w:w="663"/>
      </w:tblGrid>
      <w:tr w:rsidR="000E0B82" w14:paraId="1E9BBC03" w14:textId="77777777" w:rsidTr="000E0B82">
        <w:tc>
          <w:tcPr>
            <w:tcW w:w="0" w:type="auto"/>
            <w:tcBorders>
              <w:left w:val="nil"/>
              <w:bottom w:val="single" w:sz="4" w:space="0" w:color="auto"/>
              <w:right w:val="nil"/>
            </w:tcBorders>
          </w:tcPr>
          <w:p w14:paraId="5491E6B8" w14:textId="77777777" w:rsidR="000E0B82" w:rsidRDefault="000E0B82" w:rsidP="000E0B82">
            <w:r>
              <w:t>Pollster</w:t>
            </w:r>
          </w:p>
        </w:tc>
        <w:tc>
          <w:tcPr>
            <w:tcW w:w="947" w:type="dxa"/>
            <w:tcBorders>
              <w:left w:val="nil"/>
              <w:bottom w:val="single" w:sz="4" w:space="0" w:color="auto"/>
              <w:right w:val="nil"/>
            </w:tcBorders>
          </w:tcPr>
          <w:p w14:paraId="7C4D15A7" w14:textId="77777777" w:rsidR="000E0B82" w:rsidRPr="00017DF8" w:rsidRDefault="000E0B82" w:rsidP="000E0B82">
            <w:pPr>
              <w:rPr>
                <w:sz w:val="20"/>
              </w:rPr>
            </w:pPr>
            <w:r w:rsidRPr="00017DF8">
              <w:rPr>
                <w:sz w:val="20"/>
              </w:rPr>
              <w:t>Survey mode†</w:t>
            </w:r>
          </w:p>
        </w:tc>
        <w:tc>
          <w:tcPr>
            <w:tcW w:w="2409" w:type="dxa"/>
            <w:gridSpan w:val="2"/>
            <w:tcBorders>
              <w:left w:val="nil"/>
              <w:bottom w:val="single" w:sz="4" w:space="0" w:color="auto"/>
              <w:right w:val="nil"/>
            </w:tcBorders>
          </w:tcPr>
          <w:p w14:paraId="3444AEB1" w14:textId="77777777" w:rsidR="000E0B82" w:rsidRDefault="000E0B82" w:rsidP="000E0B82">
            <w:r>
              <w:t>Con-Lab (%)</w:t>
            </w:r>
          </w:p>
          <w:p w14:paraId="49EE7C11" w14:textId="77777777" w:rsidR="000E0B82" w:rsidRDefault="000E0B82" w:rsidP="000E0B82">
            <w:r>
              <w:t>(election result = +6.5%)</w:t>
            </w:r>
          </w:p>
        </w:tc>
        <w:tc>
          <w:tcPr>
            <w:tcW w:w="1272" w:type="dxa"/>
            <w:gridSpan w:val="2"/>
            <w:tcBorders>
              <w:left w:val="nil"/>
              <w:bottom w:val="single" w:sz="4" w:space="0" w:color="auto"/>
              <w:right w:val="nil"/>
            </w:tcBorders>
          </w:tcPr>
          <w:p w14:paraId="5D1A61C1" w14:textId="77777777" w:rsidR="000E0B82" w:rsidRDefault="000E0B82" w:rsidP="000E0B82"/>
          <w:p w14:paraId="58251130" w14:textId="77777777" w:rsidR="000E0B82" w:rsidRDefault="000E0B82" w:rsidP="000E0B82">
            <w:r>
              <w:t>Con (%)</w:t>
            </w:r>
          </w:p>
        </w:tc>
        <w:tc>
          <w:tcPr>
            <w:tcW w:w="0" w:type="auto"/>
            <w:gridSpan w:val="2"/>
            <w:tcBorders>
              <w:left w:val="nil"/>
              <w:bottom w:val="single" w:sz="4" w:space="0" w:color="auto"/>
              <w:right w:val="nil"/>
            </w:tcBorders>
          </w:tcPr>
          <w:p w14:paraId="211143BE" w14:textId="77777777" w:rsidR="000E0B82" w:rsidRDefault="000E0B82" w:rsidP="000E0B82"/>
          <w:p w14:paraId="2E6099AE" w14:textId="77777777" w:rsidR="000E0B82" w:rsidRDefault="000E0B82" w:rsidP="000E0B82">
            <w:r>
              <w:t>Lab (%)</w:t>
            </w:r>
          </w:p>
        </w:tc>
        <w:tc>
          <w:tcPr>
            <w:tcW w:w="0" w:type="auto"/>
            <w:tcBorders>
              <w:left w:val="nil"/>
              <w:bottom w:val="single" w:sz="4" w:space="0" w:color="auto"/>
              <w:right w:val="nil"/>
            </w:tcBorders>
          </w:tcPr>
          <w:p w14:paraId="4AF470E4" w14:textId="77777777" w:rsidR="000E0B82" w:rsidRDefault="000E0B82" w:rsidP="000E0B82"/>
        </w:tc>
      </w:tr>
      <w:tr w:rsidR="000E0B82" w14:paraId="3E7B18C7" w14:textId="77777777" w:rsidTr="000E0B82">
        <w:tc>
          <w:tcPr>
            <w:tcW w:w="0" w:type="auto"/>
            <w:tcBorders>
              <w:left w:val="nil"/>
              <w:bottom w:val="nil"/>
              <w:right w:val="nil"/>
            </w:tcBorders>
          </w:tcPr>
          <w:p w14:paraId="5788891E" w14:textId="77777777" w:rsidR="000E0B82" w:rsidRDefault="000E0B82" w:rsidP="000E0B82"/>
        </w:tc>
        <w:tc>
          <w:tcPr>
            <w:tcW w:w="947" w:type="dxa"/>
            <w:tcBorders>
              <w:left w:val="nil"/>
              <w:bottom w:val="nil"/>
              <w:right w:val="nil"/>
            </w:tcBorders>
          </w:tcPr>
          <w:p w14:paraId="2C012F6C" w14:textId="77777777" w:rsidR="000E0B82" w:rsidRPr="00017DF8" w:rsidRDefault="000E0B82" w:rsidP="000E0B82">
            <w:pPr>
              <w:rPr>
                <w:sz w:val="20"/>
              </w:rPr>
            </w:pPr>
          </w:p>
        </w:tc>
        <w:tc>
          <w:tcPr>
            <w:tcW w:w="605" w:type="dxa"/>
            <w:tcBorders>
              <w:left w:val="nil"/>
              <w:bottom w:val="nil"/>
              <w:right w:val="nil"/>
            </w:tcBorders>
          </w:tcPr>
          <w:p w14:paraId="44850ED0" w14:textId="77777777" w:rsidR="000E0B82" w:rsidRDefault="000E0B82" w:rsidP="000E0B82">
            <w:r>
              <w:t>Est.</w:t>
            </w:r>
          </w:p>
        </w:tc>
        <w:tc>
          <w:tcPr>
            <w:tcW w:w="1804" w:type="dxa"/>
            <w:tcBorders>
              <w:left w:val="nil"/>
              <w:bottom w:val="nil"/>
              <w:right w:val="nil"/>
            </w:tcBorders>
          </w:tcPr>
          <w:p w14:paraId="3F960D77" w14:textId="77777777" w:rsidR="000E0B82" w:rsidRDefault="000E0B82" w:rsidP="000E0B82">
            <w:r>
              <w:t>95% interval*</w:t>
            </w:r>
          </w:p>
        </w:tc>
        <w:tc>
          <w:tcPr>
            <w:tcW w:w="665" w:type="dxa"/>
            <w:tcBorders>
              <w:left w:val="nil"/>
              <w:bottom w:val="nil"/>
              <w:right w:val="nil"/>
            </w:tcBorders>
          </w:tcPr>
          <w:p w14:paraId="7A8F6824" w14:textId="77777777" w:rsidR="000E0B82" w:rsidRDefault="000E0B82" w:rsidP="000E0B82">
            <w:proofErr w:type="spellStart"/>
            <w:r>
              <w:t>s.e.</w:t>
            </w:r>
            <w:proofErr w:type="spellEnd"/>
          </w:p>
        </w:tc>
        <w:tc>
          <w:tcPr>
            <w:tcW w:w="0" w:type="auto"/>
            <w:tcBorders>
              <w:left w:val="nil"/>
              <w:bottom w:val="nil"/>
              <w:right w:val="nil"/>
            </w:tcBorders>
          </w:tcPr>
          <w:p w14:paraId="6A9B2C14" w14:textId="77777777" w:rsidR="000E0B82" w:rsidRDefault="000E0B82" w:rsidP="000E0B82">
            <w:r>
              <w:t>d</w:t>
            </w:r>
            <w:r w:rsidRPr="00AC4AF6">
              <w:rPr>
                <w:vertAlign w:val="superscript"/>
              </w:rPr>
              <w:t>2</w:t>
            </w:r>
          </w:p>
        </w:tc>
        <w:tc>
          <w:tcPr>
            <w:tcW w:w="0" w:type="auto"/>
            <w:tcBorders>
              <w:left w:val="nil"/>
              <w:bottom w:val="nil"/>
              <w:right w:val="nil"/>
            </w:tcBorders>
          </w:tcPr>
          <w:p w14:paraId="5DF6F6F9" w14:textId="77777777" w:rsidR="000E0B82" w:rsidRDefault="000E0B82" w:rsidP="000E0B82">
            <w:proofErr w:type="spellStart"/>
            <w:r>
              <w:t>s.e.</w:t>
            </w:r>
            <w:proofErr w:type="spellEnd"/>
          </w:p>
        </w:tc>
        <w:tc>
          <w:tcPr>
            <w:tcW w:w="0" w:type="auto"/>
            <w:tcBorders>
              <w:left w:val="nil"/>
              <w:bottom w:val="nil"/>
              <w:right w:val="nil"/>
            </w:tcBorders>
          </w:tcPr>
          <w:p w14:paraId="666D8406" w14:textId="77777777" w:rsidR="000E0B82" w:rsidRDefault="000E0B82" w:rsidP="000E0B82">
            <w:r>
              <w:t>d</w:t>
            </w:r>
            <w:r w:rsidRPr="00AC4AF6">
              <w:rPr>
                <w:vertAlign w:val="superscript"/>
              </w:rPr>
              <w:t>2</w:t>
            </w:r>
          </w:p>
        </w:tc>
        <w:tc>
          <w:tcPr>
            <w:tcW w:w="0" w:type="auto"/>
            <w:tcBorders>
              <w:left w:val="nil"/>
              <w:bottom w:val="nil"/>
              <w:right w:val="nil"/>
            </w:tcBorders>
          </w:tcPr>
          <w:p w14:paraId="126EC4A8" w14:textId="12D9415F" w:rsidR="000E0B82" w:rsidRDefault="00C23A83">
            <w:pPr>
              <w:jc w:val="right"/>
            </w:pPr>
            <w:r>
              <w:t>n</w:t>
            </w:r>
          </w:p>
        </w:tc>
      </w:tr>
      <w:tr w:rsidR="000E0B82" w14:paraId="157B5567" w14:textId="77777777" w:rsidTr="000E0B82">
        <w:tc>
          <w:tcPr>
            <w:tcW w:w="0" w:type="auto"/>
            <w:tcBorders>
              <w:top w:val="nil"/>
              <w:left w:val="nil"/>
              <w:bottom w:val="nil"/>
              <w:right w:val="nil"/>
            </w:tcBorders>
          </w:tcPr>
          <w:p w14:paraId="13726988" w14:textId="77777777" w:rsidR="000E0B82" w:rsidRDefault="000E0B82" w:rsidP="000E0B82">
            <w:proofErr w:type="spellStart"/>
            <w:r>
              <w:t>Populus</w:t>
            </w:r>
            <w:proofErr w:type="spellEnd"/>
          </w:p>
        </w:tc>
        <w:tc>
          <w:tcPr>
            <w:tcW w:w="947" w:type="dxa"/>
            <w:tcBorders>
              <w:top w:val="nil"/>
              <w:left w:val="nil"/>
              <w:bottom w:val="nil"/>
              <w:right w:val="nil"/>
            </w:tcBorders>
          </w:tcPr>
          <w:p w14:paraId="274734B7" w14:textId="77777777" w:rsidR="000E0B82" w:rsidRPr="00017DF8" w:rsidRDefault="000E0B82" w:rsidP="000E0B82">
            <w:pPr>
              <w:rPr>
                <w:sz w:val="20"/>
              </w:rPr>
            </w:pPr>
            <w:r w:rsidRPr="00017DF8">
              <w:rPr>
                <w:sz w:val="20"/>
              </w:rPr>
              <w:t>O</w:t>
            </w:r>
          </w:p>
        </w:tc>
        <w:tc>
          <w:tcPr>
            <w:tcW w:w="605" w:type="dxa"/>
            <w:tcBorders>
              <w:top w:val="nil"/>
              <w:left w:val="nil"/>
              <w:bottom w:val="nil"/>
              <w:right w:val="nil"/>
            </w:tcBorders>
          </w:tcPr>
          <w:p w14:paraId="71BE0DB2" w14:textId="77777777" w:rsidR="000E0B82" w:rsidRDefault="000E0B82" w:rsidP="000E0B82">
            <w:r>
              <w:t>-0.1</w:t>
            </w:r>
          </w:p>
        </w:tc>
        <w:tc>
          <w:tcPr>
            <w:tcW w:w="1804" w:type="dxa"/>
            <w:tcBorders>
              <w:top w:val="nil"/>
              <w:left w:val="nil"/>
              <w:bottom w:val="nil"/>
              <w:right w:val="nil"/>
            </w:tcBorders>
          </w:tcPr>
          <w:p w14:paraId="23204EDE" w14:textId="77777777" w:rsidR="000E0B82" w:rsidRDefault="000E0B82" w:rsidP="000E0B82">
            <w:r>
              <w:t>(-2.5; +2.0)</w:t>
            </w:r>
          </w:p>
        </w:tc>
        <w:tc>
          <w:tcPr>
            <w:tcW w:w="665" w:type="dxa"/>
            <w:tcBorders>
              <w:top w:val="nil"/>
              <w:left w:val="nil"/>
              <w:bottom w:val="nil"/>
              <w:right w:val="nil"/>
            </w:tcBorders>
          </w:tcPr>
          <w:p w14:paraId="297E4F06" w14:textId="77777777" w:rsidR="000E0B82" w:rsidRDefault="000E0B82" w:rsidP="000E0B82">
            <w:r>
              <w:t>0.7</w:t>
            </w:r>
          </w:p>
        </w:tc>
        <w:tc>
          <w:tcPr>
            <w:tcW w:w="0" w:type="auto"/>
            <w:tcBorders>
              <w:top w:val="nil"/>
              <w:left w:val="nil"/>
              <w:bottom w:val="nil"/>
              <w:right w:val="nil"/>
            </w:tcBorders>
          </w:tcPr>
          <w:p w14:paraId="6DAA71BE" w14:textId="77777777" w:rsidR="000E0B82" w:rsidRDefault="000E0B82" w:rsidP="000E0B82">
            <w:r>
              <w:t>0.82</w:t>
            </w:r>
          </w:p>
        </w:tc>
        <w:tc>
          <w:tcPr>
            <w:tcW w:w="0" w:type="auto"/>
            <w:tcBorders>
              <w:top w:val="nil"/>
              <w:left w:val="nil"/>
              <w:bottom w:val="nil"/>
              <w:right w:val="nil"/>
            </w:tcBorders>
          </w:tcPr>
          <w:p w14:paraId="3EDA7AB0" w14:textId="77777777" w:rsidR="000E0B82" w:rsidRDefault="000E0B82" w:rsidP="000E0B82">
            <w:r>
              <w:t>0.7</w:t>
            </w:r>
          </w:p>
        </w:tc>
        <w:tc>
          <w:tcPr>
            <w:tcW w:w="0" w:type="auto"/>
            <w:tcBorders>
              <w:top w:val="nil"/>
              <w:left w:val="nil"/>
              <w:bottom w:val="nil"/>
              <w:right w:val="nil"/>
            </w:tcBorders>
          </w:tcPr>
          <w:p w14:paraId="5EA184BB" w14:textId="77777777" w:rsidR="000E0B82" w:rsidRDefault="000E0B82" w:rsidP="000E0B82">
            <w:r>
              <w:t>0.73</w:t>
            </w:r>
          </w:p>
        </w:tc>
        <w:tc>
          <w:tcPr>
            <w:tcW w:w="0" w:type="auto"/>
            <w:tcBorders>
              <w:top w:val="nil"/>
              <w:left w:val="nil"/>
              <w:bottom w:val="nil"/>
              <w:right w:val="nil"/>
            </w:tcBorders>
          </w:tcPr>
          <w:p w14:paraId="756DEF1E" w14:textId="77777777" w:rsidR="000E0B82" w:rsidRDefault="000E0B82" w:rsidP="000E0B82">
            <w:pPr>
              <w:jc w:val="right"/>
            </w:pPr>
            <w:r>
              <w:t>3695</w:t>
            </w:r>
          </w:p>
        </w:tc>
      </w:tr>
      <w:tr w:rsidR="000E0B82" w14:paraId="34C0C14F" w14:textId="77777777" w:rsidTr="000E0B82">
        <w:tc>
          <w:tcPr>
            <w:tcW w:w="0" w:type="auto"/>
            <w:tcBorders>
              <w:top w:val="nil"/>
              <w:left w:val="nil"/>
              <w:bottom w:val="nil"/>
              <w:right w:val="nil"/>
            </w:tcBorders>
          </w:tcPr>
          <w:p w14:paraId="3787FB81" w14:textId="77777777" w:rsidR="000E0B82" w:rsidRDefault="000E0B82" w:rsidP="000E0B82">
            <w:proofErr w:type="spellStart"/>
            <w:r>
              <w:t>Ipsos</w:t>
            </w:r>
            <w:proofErr w:type="spellEnd"/>
            <w:r>
              <w:t>-MORI</w:t>
            </w:r>
          </w:p>
        </w:tc>
        <w:tc>
          <w:tcPr>
            <w:tcW w:w="947" w:type="dxa"/>
            <w:tcBorders>
              <w:top w:val="nil"/>
              <w:left w:val="nil"/>
              <w:bottom w:val="nil"/>
              <w:right w:val="nil"/>
            </w:tcBorders>
          </w:tcPr>
          <w:p w14:paraId="76C84858" w14:textId="77777777" w:rsidR="000E0B82" w:rsidRPr="00017DF8" w:rsidRDefault="000E0B82" w:rsidP="000E0B82">
            <w:pPr>
              <w:rPr>
                <w:sz w:val="20"/>
              </w:rPr>
            </w:pPr>
            <w:r w:rsidRPr="00017DF8">
              <w:rPr>
                <w:sz w:val="20"/>
              </w:rPr>
              <w:t>P</w:t>
            </w:r>
          </w:p>
        </w:tc>
        <w:tc>
          <w:tcPr>
            <w:tcW w:w="605" w:type="dxa"/>
            <w:tcBorders>
              <w:top w:val="nil"/>
              <w:left w:val="nil"/>
              <w:bottom w:val="nil"/>
              <w:right w:val="nil"/>
            </w:tcBorders>
          </w:tcPr>
          <w:p w14:paraId="7C8C58EB" w14:textId="77777777" w:rsidR="000E0B82" w:rsidRDefault="000E0B82" w:rsidP="000E0B82">
            <w:r>
              <w:t>-0.3</w:t>
            </w:r>
          </w:p>
        </w:tc>
        <w:tc>
          <w:tcPr>
            <w:tcW w:w="1804" w:type="dxa"/>
            <w:tcBorders>
              <w:top w:val="nil"/>
              <w:left w:val="nil"/>
              <w:bottom w:val="nil"/>
              <w:right w:val="nil"/>
            </w:tcBorders>
          </w:tcPr>
          <w:p w14:paraId="2F3C2070" w14:textId="77777777" w:rsidR="000E0B82" w:rsidRDefault="000E0B82" w:rsidP="000E0B82">
            <w:r>
              <w:t>(-6.6; +6.1)</w:t>
            </w:r>
          </w:p>
        </w:tc>
        <w:tc>
          <w:tcPr>
            <w:tcW w:w="665" w:type="dxa"/>
            <w:tcBorders>
              <w:top w:val="nil"/>
              <w:left w:val="nil"/>
              <w:bottom w:val="nil"/>
              <w:right w:val="nil"/>
            </w:tcBorders>
          </w:tcPr>
          <w:p w14:paraId="30B54646" w14:textId="77777777" w:rsidR="000E0B82" w:rsidRDefault="000E0B82" w:rsidP="000E0B82">
            <w:r>
              <w:t>1.8</w:t>
            </w:r>
          </w:p>
        </w:tc>
        <w:tc>
          <w:tcPr>
            <w:tcW w:w="0" w:type="auto"/>
            <w:tcBorders>
              <w:top w:val="nil"/>
              <w:left w:val="nil"/>
              <w:bottom w:val="nil"/>
              <w:right w:val="nil"/>
            </w:tcBorders>
          </w:tcPr>
          <w:p w14:paraId="3555C040" w14:textId="77777777" w:rsidR="000E0B82" w:rsidRDefault="000E0B82" w:rsidP="000E0B82">
            <w:r>
              <w:t>1.37</w:t>
            </w:r>
          </w:p>
        </w:tc>
        <w:tc>
          <w:tcPr>
            <w:tcW w:w="0" w:type="auto"/>
            <w:tcBorders>
              <w:top w:val="nil"/>
              <w:left w:val="nil"/>
              <w:bottom w:val="nil"/>
              <w:right w:val="nil"/>
            </w:tcBorders>
          </w:tcPr>
          <w:p w14:paraId="35BD2267" w14:textId="77777777" w:rsidR="000E0B82" w:rsidRDefault="000E0B82" w:rsidP="000E0B82">
            <w:r>
              <w:t>1.9</w:t>
            </w:r>
          </w:p>
        </w:tc>
        <w:tc>
          <w:tcPr>
            <w:tcW w:w="0" w:type="auto"/>
            <w:tcBorders>
              <w:top w:val="nil"/>
              <w:left w:val="nil"/>
              <w:bottom w:val="nil"/>
              <w:right w:val="nil"/>
            </w:tcBorders>
          </w:tcPr>
          <w:p w14:paraId="33DDAA60" w14:textId="77777777" w:rsidR="000E0B82" w:rsidRDefault="000E0B82" w:rsidP="000E0B82">
            <w:r>
              <w:t>1.40</w:t>
            </w:r>
          </w:p>
        </w:tc>
        <w:tc>
          <w:tcPr>
            <w:tcW w:w="0" w:type="auto"/>
            <w:tcBorders>
              <w:top w:val="nil"/>
              <w:left w:val="nil"/>
              <w:bottom w:val="nil"/>
              <w:right w:val="nil"/>
            </w:tcBorders>
          </w:tcPr>
          <w:p w14:paraId="59DE005C" w14:textId="77777777" w:rsidR="000E0B82" w:rsidRDefault="000E0B82" w:rsidP="000E0B82">
            <w:pPr>
              <w:jc w:val="right"/>
            </w:pPr>
            <w:r>
              <w:t>928</w:t>
            </w:r>
          </w:p>
        </w:tc>
      </w:tr>
      <w:tr w:rsidR="000E0B82" w14:paraId="16D545C8" w14:textId="77777777" w:rsidTr="000E0B82">
        <w:tc>
          <w:tcPr>
            <w:tcW w:w="0" w:type="auto"/>
            <w:tcBorders>
              <w:top w:val="nil"/>
              <w:left w:val="nil"/>
              <w:bottom w:val="nil"/>
              <w:right w:val="nil"/>
            </w:tcBorders>
          </w:tcPr>
          <w:p w14:paraId="61C4BF26" w14:textId="77777777" w:rsidR="000E0B82" w:rsidRDefault="000E0B82" w:rsidP="000E0B82">
            <w:proofErr w:type="spellStart"/>
            <w:r>
              <w:t>YouGov</w:t>
            </w:r>
            <w:proofErr w:type="spellEnd"/>
          </w:p>
        </w:tc>
        <w:tc>
          <w:tcPr>
            <w:tcW w:w="947" w:type="dxa"/>
            <w:tcBorders>
              <w:top w:val="nil"/>
              <w:left w:val="nil"/>
              <w:bottom w:val="nil"/>
              <w:right w:val="nil"/>
            </w:tcBorders>
          </w:tcPr>
          <w:p w14:paraId="53E611A2" w14:textId="77777777" w:rsidR="000E0B82" w:rsidRPr="00017DF8" w:rsidRDefault="000E0B82" w:rsidP="000E0B82">
            <w:pPr>
              <w:rPr>
                <w:sz w:val="20"/>
              </w:rPr>
            </w:pPr>
            <w:r w:rsidRPr="00017DF8">
              <w:rPr>
                <w:sz w:val="20"/>
              </w:rPr>
              <w:t>O</w:t>
            </w:r>
          </w:p>
        </w:tc>
        <w:tc>
          <w:tcPr>
            <w:tcW w:w="605" w:type="dxa"/>
            <w:tcBorders>
              <w:top w:val="nil"/>
              <w:left w:val="nil"/>
              <w:bottom w:val="nil"/>
              <w:right w:val="nil"/>
            </w:tcBorders>
          </w:tcPr>
          <w:p w14:paraId="3C3F6538" w14:textId="77777777" w:rsidR="000E0B82" w:rsidRDefault="000E0B82" w:rsidP="000E0B82">
            <w:r>
              <w:t>+0.4</w:t>
            </w:r>
          </w:p>
        </w:tc>
        <w:tc>
          <w:tcPr>
            <w:tcW w:w="1804" w:type="dxa"/>
            <w:tcBorders>
              <w:top w:val="nil"/>
              <w:left w:val="nil"/>
              <w:bottom w:val="nil"/>
              <w:right w:val="nil"/>
            </w:tcBorders>
          </w:tcPr>
          <w:p w14:paraId="671AE85D" w14:textId="77777777" w:rsidR="000E0B82" w:rsidRDefault="000E0B82" w:rsidP="000E0B82">
            <w:r>
              <w:t>(-1.1; +1.8)</w:t>
            </w:r>
          </w:p>
        </w:tc>
        <w:tc>
          <w:tcPr>
            <w:tcW w:w="665" w:type="dxa"/>
            <w:tcBorders>
              <w:top w:val="nil"/>
              <w:left w:val="nil"/>
              <w:bottom w:val="nil"/>
              <w:right w:val="nil"/>
            </w:tcBorders>
          </w:tcPr>
          <w:p w14:paraId="0E511B85" w14:textId="77777777" w:rsidR="000E0B82" w:rsidRDefault="000E0B82" w:rsidP="000E0B82">
            <w:r>
              <w:t>0.4</w:t>
            </w:r>
          </w:p>
        </w:tc>
        <w:tc>
          <w:tcPr>
            <w:tcW w:w="0" w:type="auto"/>
            <w:tcBorders>
              <w:top w:val="nil"/>
              <w:left w:val="nil"/>
              <w:bottom w:val="nil"/>
              <w:right w:val="nil"/>
            </w:tcBorders>
          </w:tcPr>
          <w:p w14:paraId="589967BA" w14:textId="77777777" w:rsidR="000E0B82" w:rsidRDefault="000E0B82" w:rsidP="000E0B82">
            <w:r>
              <w:t>0.76</w:t>
            </w:r>
          </w:p>
        </w:tc>
        <w:tc>
          <w:tcPr>
            <w:tcW w:w="0" w:type="auto"/>
            <w:tcBorders>
              <w:top w:val="nil"/>
              <w:left w:val="nil"/>
              <w:bottom w:val="nil"/>
              <w:right w:val="nil"/>
            </w:tcBorders>
          </w:tcPr>
          <w:p w14:paraId="102D1D12" w14:textId="77777777" w:rsidR="000E0B82" w:rsidRDefault="000E0B82" w:rsidP="000E0B82">
            <w:r>
              <w:t>0.4</w:t>
            </w:r>
          </w:p>
        </w:tc>
        <w:tc>
          <w:tcPr>
            <w:tcW w:w="0" w:type="auto"/>
            <w:tcBorders>
              <w:top w:val="nil"/>
              <w:left w:val="nil"/>
              <w:bottom w:val="nil"/>
              <w:right w:val="nil"/>
            </w:tcBorders>
          </w:tcPr>
          <w:p w14:paraId="2DC0EE7E" w14:textId="77777777" w:rsidR="000E0B82" w:rsidRDefault="000E0B82" w:rsidP="000E0B82">
            <w:r>
              <w:t>0.76</w:t>
            </w:r>
          </w:p>
        </w:tc>
        <w:tc>
          <w:tcPr>
            <w:tcW w:w="0" w:type="auto"/>
            <w:tcBorders>
              <w:top w:val="nil"/>
              <w:left w:val="nil"/>
              <w:bottom w:val="nil"/>
              <w:right w:val="nil"/>
            </w:tcBorders>
          </w:tcPr>
          <w:p w14:paraId="5D8A1F07" w14:textId="77777777" w:rsidR="000E0B82" w:rsidRDefault="000E0B82" w:rsidP="000E0B82">
            <w:pPr>
              <w:jc w:val="right"/>
            </w:pPr>
            <w:r>
              <w:t>9064</w:t>
            </w:r>
          </w:p>
        </w:tc>
      </w:tr>
      <w:tr w:rsidR="000E0B82" w14:paraId="398E0F6F" w14:textId="77777777" w:rsidTr="000E0B82">
        <w:tc>
          <w:tcPr>
            <w:tcW w:w="0" w:type="auto"/>
            <w:tcBorders>
              <w:top w:val="nil"/>
              <w:left w:val="nil"/>
              <w:bottom w:val="nil"/>
              <w:right w:val="nil"/>
            </w:tcBorders>
          </w:tcPr>
          <w:p w14:paraId="0EE2D543" w14:textId="77777777" w:rsidR="000E0B82" w:rsidRDefault="000E0B82" w:rsidP="000E0B82">
            <w:proofErr w:type="spellStart"/>
            <w:r>
              <w:t>ComRes</w:t>
            </w:r>
            <w:proofErr w:type="spellEnd"/>
          </w:p>
        </w:tc>
        <w:tc>
          <w:tcPr>
            <w:tcW w:w="947" w:type="dxa"/>
            <w:tcBorders>
              <w:top w:val="nil"/>
              <w:left w:val="nil"/>
              <w:bottom w:val="nil"/>
              <w:right w:val="nil"/>
            </w:tcBorders>
          </w:tcPr>
          <w:p w14:paraId="2F1C2962" w14:textId="77777777" w:rsidR="000E0B82" w:rsidRPr="00017DF8" w:rsidRDefault="000E0B82" w:rsidP="000E0B82">
            <w:pPr>
              <w:rPr>
                <w:sz w:val="20"/>
              </w:rPr>
            </w:pPr>
            <w:r w:rsidRPr="00017DF8">
              <w:rPr>
                <w:sz w:val="20"/>
              </w:rPr>
              <w:t>P</w:t>
            </w:r>
          </w:p>
        </w:tc>
        <w:tc>
          <w:tcPr>
            <w:tcW w:w="605" w:type="dxa"/>
            <w:tcBorders>
              <w:top w:val="nil"/>
              <w:left w:val="nil"/>
              <w:bottom w:val="nil"/>
              <w:right w:val="nil"/>
            </w:tcBorders>
          </w:tcPr>
          <w:p w14:paraId="666C575C" w14:textId="77777777" w:rsidR="000E0B82" w:rsidRDefault="000E0B82" w:rsidP="000E0B82">
            <w:r>
              <w:t>+0.8</w:t>
            </w:r>
          </w:p>
        </w:tc>
        <w:tc>
          <w:tcPr>
            <w:tcW w:w="1804" w:type="dxa"/>
            <w:tcBorders>
              <w:top w:val="nil"/>
              <w:left w:val="nil"/>
              <w:bottom w:val="nil"/>
              <w:right w:val="nil"/>
            </w:tcBorders>
          </w:tcPr>
          <w:p w14:paraId="65605E8E" w14:textId="77777777" w:rsidR="000E0B82" w:rsidRDefault="000E0B82" w:rsidP="000E0B82">
            <w:r>
              <w:t>(-4.6; +6.3)</w:t>
            </w:r>
          </w:p>
        </w:tc>
        <w:tc>
          <w:tcPr>
            <w:tcW w:w="665" w:type="dxa"/>
            <w:tcBorders>
              <w:top w:val="nil"/>
              <w:left w:val="nil"/>
              <w:bottom w:val="nil"/>
              <w:right w:val="nil"/>
            </w:tcBorders>
          </w:tcPr>
          <w:p w14:paraId="3D184A46" w14:textId="77777777" w:rsidR="000E0B82" w:rsidRDefault="000E0B82" w:rsidP="000E0B82">
            <w:r>
              <w:t>1.5</w:t>
            </w:r>
          </w:p>
        </w:tc>
        <w:tc>
          <w:tcPr>
            <w:tcW w:w="0" w:type="auto"/>
            <w:tcBorders>
              <w:top w:val="nil"/>
              <w:left w:val="nil"/>
              <w:bottom w:val="nil"/>
              <w:right w:val="nil"/>
            </w:tcBorders>
          </w:tcPr>
          <w:p w14:paraId="67E62D5A" w14:textId="77777777" w:rsidR="000E0B82" w:rsidRDefault="000E0B82" w:rsidP="000E0B82">
            <w:r>
              <w:t>0.86</w:t>
            </w:r>
          </w:p>
        </w:tc>
        <w:tc>
          <w:tcPr>
            <w:tcW w:w="0" w:type="auto"/>
            <w:tcBorders>
              <w:top w:val="nil"/>
              <w:left w:val="nil"/>
              <w:bottom w:val="nil"/>
              <w:right w:val="nil"/>
            </w:tcBorders>
          </w:tcPr>
          <w:p w14:paraId="0466D24E" w14:textId="77777777" w:rsidR="000E0B82" w:rsidRDefault="000E0B82" w:rsidP="000E0B82">
            <w:r>
              <w:t>1.9</w:t>
            </w:r>
          </w:p>
        </w:tc>
        <w:tc>
          <w:tcPr>
            <w:tcW w:w="0" w:type="auto"/>
            <w:tcBorders>
              <w:top w:val="nil"/>
              <w:left w:val="nil"/>
              <w:bottom w:val="nil"/>
              <w:right w:val="nil"/>
            </w:tcBorders>
          </w:tcPr>
          <w:p w14:paraId="779EB06E" w14:textId="77777777" w:rsidR="000E0B82" w:rsidRDefault="000E0B82" w:rsidP="000E0B82">
            <w:r>
              <w:t>1.30</w:t>
            </w:r>
          </w:p>
        </w:tc>
        <w:tc>
          <w:tcPr>
            <w:tcW w:w="0" w:type="auto"/>
            <w:tcBorders>
              <w:top w:val="nil"/>
              <w:left w:val="nil"/>
              <w:bottom w:val="nil"/>
              <w:right w:val="nil"/>
            </w:tcBorders>
          </w:tcPr>
          <w:p w14:paraId="1DE371B6" w14:textId="77777777" w:rsidR="000E0B82" w:rsidRDefault="000E0B82" w:rsidP="000E0B82">
            <w:pPr>
              <w:jc w:val="right"/>
            </w:pPr>
            <w:r>
              <w:t>852</w:t>
            </w:r>
          </w:p>
        </w:tc>
      </w:tr>
      <w:tr w:rsidR="000E0B82" w14:paraId="22BDFAB4" w14:textId="77777777" w:rsidTr="000E0B82">
        <w:tc>
          <w:tcPr>
            <w:tcW w:w="0" w:type="auto"/>
            <w:tcBorders>
              <w:top w:val="nil"/>
              <w:left w:val="nil"/>
              <w:bottom w:val="nil"/>
              <w:right w:val="nil"/>
            </w:tcBorders>
          </w:tcPr>
          <w:p w14:paraId="19F2F7A2" w14:textId="77777777" w:rsidR="000E0B82" w:rsidRDefault="000E0B82" w:rsidP="000E0B82">
            <w:proofErr w:type="spellStart"/>
            <w:r>
              <w:t>Survation</w:t>
            </w:r>
            <w:proofErr w:type="spellEnd"/>
          </w:p>
        </w:tc>
        <w:tc>
          <w:tcPr>
            <w:tcW w:w="947" w:type="dxa"/>
            <w:tcBorders>
              <w:top w:val="nil"/>
              <w:left w:val="nil"/>
              <w:bottom w:val="nil"/>
              <w:right w:val="nil"/>
            </w:tcBorders>
          </w:tcPr>
          <w:p w14:paraId="1912C152" w14:textId="77777777" w:rsidR="000E0B82" w:rsidRPr="00017DF8" w:rsidRDefault="000E0B82" w:rsidP="000E0B82">
            <w:pPr>
              <w:rPr>
                <w:sz w:val="20"/>
              </w:rPr>
            </w:pPr>
            <w:r w:rsidRPr="00017DF8">
              <w:rPr>
                <w:sz w:val="20"/>
              </w:rPr>
              <w:t>O</w:t>
            </w:r>
          </w:p>
        </w:tc>
        <w:tc>
          <w:tcPr>
            <w:tcW w:w="605" w:type="dxa"/>
            <w:tcBorders>
              <w:top w:val="nil"/>
              <w:left w:val="nil"/>
              <w:bottom w:val="nil"/>
              <w:right w:val="nil"/>
            </w:tcBorders>
          </w:tcPr>
          <w:p w14:paraId="7F8F147E" w14:textId="77777777" w:rsidR="000E0B82" w:rsidRDefault="000E0B82" w:rsidP="000E0B82">
            <w:r>
              <w:t>+0.1</w:t>
            </w:r>
          </w:p>
        </w:tc>
        <w:tc>
          <w:tcPr>
            <w:tcW w:w="1804" w:type="dxa"/>
            <w:tcBorders>
              <w:top w:val="nil"/>
              <w:left w:val="nil"/>
              <w:bottom w:val="nil"/>
              <w:right w:val="nil"/>
            </w:tcBorders>
          </w:tcPr>
          <w:p w14:paraId="2F121E56" w14:textId="77777777" w:rsidR="000E0B82" w:rsidRDefault="000E0B82" w:rsidP="000E0B82">
            <w:r>
              <w:t>(-2.2; +2.5)</w:t>
            </w:r>
          </w:p>
        </w:tc>
        <w:tc>
          <w:tcPr>
            <w:tcW w:w="665" w:type="dxa"/>
            <w:tcBorders>
              <w:top w:val="nil"/>
              <w:left w:val="nil"/>
              <w:bottom w:val="nil"/>
              <w:right w:val="nil"/>
            </w:tcBorders>
          </w:tcPr>
          <w:p w14:paraId="652286C2" w14:textId="77777777" w:rsidR="000E0B82" w:rsidRDefault="000E0B82" w:rsidP="000E0B82">
            <w:r>
              <w:t>0.7</w:t>
            </w:r>
          </w:p>
        </w:tc>
        <w:tc>
          <w:tcPr>
            <w:tcW w:w="0" w:type="auto"/>
            <w:tcBorders>
              <w:top w:val="nil"/>
              <w:left w:val="nil"/>
              <w:bottom w:val="nil"/>
              <w:right w:val="nil"/>
            </w:tcBorders>
          </w:tcPr>
          <w:p w14:paraId="78989F2F" w14:textId="77777777" w:rsidR="000E0B82" w:rsidRDefault="000E0B82" w:rsidP="000E0B82">
            <w:r>
              <w:t>0.79</w:t>
            </w:r>
          </w:p>
        </w:tc>
        <w:tc>
          <w:tcPr>
            <w:tcW w:w="0" w:type="auto"/>
            <w:tcBorders>
              <w:top w:val="nil"/>
              <w:left w:val="nil"/>
              <w:bottom w:val="nil"/>
              <w:right w:val="nil"/>
            </w:tcBorders>
          </w:tcPr>
          <w:p w14:paraId="121FBEB2" w14:textId="77777777" w:rsidR="000E0B82" w:rsidRDefault="000E0B82" w:rsidP="000E0B82">
            <w:r>
              <w:t>0.7</w:t>
            </w:r>
          </w:p>
        </w:tc>
        <w:tc>
          <w:tcPr>
            <w:tcW w:w="0" w:type="auto"/>
            <w:tcBorders>
              <w:top w:val="nil"/>
              <w:left w:val="nil"/>
              <w:bottom w:val="nil"/>
              <w:right w:val="nil"/>
            </w:tcBorders>
          </w:tcPr>
          <w:p w14:paraId="66E36670" w14:textId="77777777" w:rsidR="000E0B82" w:rsidRDefault="000E0B82" w:rsidP="000E0B82">
            <w:r>
              <w:t>0.85</w:t>
            </w:r>
          </w:p>
        </w:tc>
        <w:tc>
          <w:tcPr>
            <w:tcW w:w="0" w:type="auto"/>
            <w:tcBorders>
              <w:top w:val="nil"/>
              <w:left w:val="nil"/>
              <w:bottom w:val="nil"/>
              <w:right w:val="nil"/>
            </w:tcBorders>
          </w:tcPr>
          <w:p w14:paraId="3CDDC43C" w14:textId="77777777" w:rsidR="000E0B82" w:rsidRDefault="000E0B82" w:rsidP="000E0B82">
            <w:pPr>
              <w:jc w:val="right"/>
            </w:pPr>
            <w:r>
              <w:t>3412</w:t>
            </w:r>
          </w:p>
        </w:tc>
      </w:tr>
      <w:tr w:rsidR="000E0B82" w14:paraId="1A39A362" w14:textId="77777777" w:rsidTr="000E0B82">
        <w:tc>
          <w:tcPr>
            <w:tcW w:w="0" w:type="auto"/>
            <w:tcBorders>
              <w:top w:val="nil"/>
              <w:left w:val="nil"/>
              <w:bottom w:val="nil"/>
              <w:right w:val="nil"/>
            </w:tcBorders>
          </w:tcPr>
          <w:p w14:paraId="6D479B1D" w14:textId="77777777" w:rsidR="000E0B82" w:rsidRDefault="000E0B82" w:rsidP="000E0B82">
            <w:r>
              <w:t>ICM</w:t>
            </w:r>
          </w:p>
        </w:tc>
        <w:tc>
          <w:tcPr>
            <w:tcW w:w="947" w:type="dxa"/>
            <w:tcBorders>
              <w:top w:val="nil"/>
              <w:left w:val="nil"/>
              <w:bottom w:val="nil"/>
              <w:right w:val="nil"/>
            </w:tcBorders>
          </w:tcPr>
          <w:p w14:paraId="6F168B90" w14:textId="77777777" w:rsidR="000E0B82" w:rsidRPr="00017DF8" w:rsidRDefault="000E0B82" w:rsidP="000E0B82">
            <w:pPr>
              <w:rPr>
                <w:sz w:val="20"/>
              </w:rPr>
            </w:pPr>
            <w:r w:rsidRPr="00017DF8">
              <w:rPr>
                <w:sz w:val="20"/>
              </w:rPr>
              <w:t>P</w:t>
            </w:r>
          </w:p>
        </w:tc>
        <w:tc>
          <w:tcPr>
            <w:tcW w:w="605" w:type="dxa"/>
            <w:tcBorders>
              <w:top w:val="nil"/>
              <w:left w:val="nil"/>
              <w:bottom w:val="nil"/>
              <w:right w:val="nil"/>
            </w:tcBorders>
          </w:tcPr>
          <w:p w14:paraId="4EF50008" w14:textId="77777777" w:rsidR="000E0B82" w:rsidRDefault="000E0B82" w:rsidP="000E0B82">
            <w:r>
              <w:t>+0.0</w:t>
            </w:r>
          </w:p>
        </w:tc>
        <w:tc>
          <w:tcPr>
            <w:tcW w:w="1804" w:type="dxa"/>
            <w:tcBorders>
              <w:top w:val="nil"/>
              <w:left w:val="nil"/>
              <w:bottom w:val="nil"/>
              <w:right w:val="nil"/>
            </w:tcBorders>
          </w:tcPr>
          <w:p w14:paraId="280F2254" w14:textId="77777777" w:rsidR="000E0B82" w:rsidRDefault="000E0B82" w:rsidP="000E0B82">
            <w:r>
              <w:t>(-2.8; +3.1)</w:t>
            </w:r>
          </w:p>
        </w:tc>
        <w:tc>
          <w:tcPr>
            <w:tcW w:w="665" w:type="dxa"/>
            <w:tcBorders>
              <w:top w:val="nil"/>
              <w:left w:val="nil"/>
              <w:bottom w:val="nil"/>
              <w:right w:val="nil"/>
            </w:tcBorders>
          </w:tcPr>
          <w:p w14:paraId="67A4A7D0" w14:textId="77777777" w:rsidR="000E0B82" w:rsidRDefault="000E0B82" w:rsidP="000E0B82">
            <w:r>
              <w:t>0.9</w:t>
            </w:r>
          </w:p>
        </w:tc>
        <w:tc>
          <w:tcPr>
            <w:tcW w:w="0" w:type="auto"/>
            <w:tcBorders>
              <w:top w:val="nil"/>
              <w:left w:val="nil"/>
              <w:bottom w:val="nil"/>
              <w:right w:val="nil"/>
            </w:tcBorders>
          </w:tcPr>
          <w:p w14:paraId="32C6B25A" w14:textId="77777777" w:rsidR="000E0B82" w:rsidRDefault="000E0B82" w:rsidP="000E0B82">
            <w:r>
              <w:t>0.53</w:t>
            </w:r>
          </w:p>
        </w:tc>
        <w:tc>
          <w:tcPr>
            <w:tcW w:w="0" w:type="auto"/>
            <w:tcBorders>
              <w:top w:val="nil"/>
              <w:left w:val="nil"/>
              <w:bottom w:val="nil"/>
              <w:right w:val="nil"/>
            </w:tcBorders>
          </w:tcPr>
          <w:p w14:paraId="0BB4EDBB" w14:textId="77777777" w:rsidR="000E0B82" w:rsidRDefault="000E0B82" w:rsidP="000E0B82">
            <w:r>
              <w:t>1.0</w:t>
            </w:r>
          </w:p>
        </w:tc>
        <w:tc>
          <w:tcPr>
            <w:tcW w:w="0" w:type="auto"/>
            <w:tcBorders>
              <w:top w:val="nil"/>
              <w:left w:val="nil"/>
              <w:bottom w:val="nil"/>
              <w:right w:val="nil"/>
            </w:tcBorders>
          </w:tcPr>
          <w:p w14:paraId="3710D9E7" w14:textId="77777777" w:rsidR="000E0B82" w:rsidRDefault="000E0B82" w:rsidP="000E0B82">
            <w:r>
              <w:t>0.68</w:t>
            </w:r>
          </w:p>
        </w:tc>
        <w:tc>
          <w:tcPr>
            <w:tcW w:w="0" w:type="auto"/>
            <w:tcBorders>
              <w:top w:val="nil"/>
              <w:left w:val="nil"/>
              <w:bottom w:val="nil"/>
              <w:right w:val="nil"/>
            </w:tcBorders>
          </w:tcPr>
          <w:p w14:paraId="1C844AE3" w14:textId="77777777" w:rsidR="000E0B82" w:rsidRDefault="000E0B82" w:rsidP="000E0B82">
            <w:pPr>
              <w:jc w:val="right"/>
            </w:pPr>
            <w:r>
              <w:t>1681</w:t>
            </w:r>
          </w:p>
        </w:tc>
      </w:tr>
      <w:tr w:rsidR="000E0B82" w14:paraId="44C10075" w14:textId="77777777" w:rsidTr="000E0B82">
        <w:tc>
          <w:tcPr>
            <w:tcW w:w="0" w:type="auto"/>
            <w:tcBorders>
              <w:top w:val="nil"/>
              <w:left w:val="nil"/>
              <w:bottom w:val="nil"/>
              <w:right w:val="nil"/>
            </w:tcBorders>
          </w:tcPr>
          <w:p w14:paraId="303DB3EE" w14:textId="77777777" w:rsidR="000E0B82" w:rsidRDefault="000E0B82" w:rsidP="000E0B82">
            <w:proofErr w:type="spellStart"/>
            <w:r>
              <w:t>Panelbase</w:t>
            </w:r>
            <w:proofErr w:type="spellEnd"/>
          </w:p>
        </w:tc>
        <w:tc>
          <w:tcPr>
            <w:tcW w:w="947" w:type="dxa"/>
            <w:tcBorders>
              <w:top w:val="nil"/>
              <w:left w:val="nil"/>
              <w:bottom w:val="nil"/>
              <w:right w:val="nil"/>
            </w:tcBorders>
          </w:tcPr>
          <w:p w14:paraId="4A2C7652" w14:textId="77777777" w:rsidR="000E0B82" w:rsidRPr="00017DF8" w:rsidRDefault="000E0B82" w:rsidP="000E0B82">
            <w:pPr>
              <w:rPr>
                <w:sz w:val="20"/>
              </w:rPr>
            </w:pPr>
            <w:r w:rsidRPr="00017DF8">
              <w:rPr>
                <w:sz w:val="20"/>
              </w:rPr>
              <w:t>O</w:t>
            </w:r>
          </w:p>
        </w:tc>
        <w:tc>
          <w:tcPr>
            <w:tcW w:w="605" w:type="dxa"/>
            <w:tcBorders>
              <w:top w:val="nil"/>
              <w:left w:val="nil"/>
              <w:bottom w:val="nil"/>
              <w:right w:val="nil"/>
            </w:tcBorders>
          </w:tcPr>
          <w:p w14:paraId="26C3FEDC" w14:textId="77777777" w:rsidR="000E0B82" w:rsidRDefault="000E0B82" w:rsidP="000E0B82">
            <w:r>
              <w:t>-2.7</w:t>
            </w:r>
          </w:p>
        </w:tc>
        <w:tc>
          <w:tcPr>
            <w:tcW w:w="1804" w:type="dxa"/>
            <w:tcBorders>
              <w:top w:val="nil"/>
              <w:left w:val="nil"/>
              <w:bottom w:val="nil"/>
              <w:right w:val="nil"/>
            </w:tcBorders>
          </w:tcPr>
          <w:p w14:paraId="4814F3F2" w14:textId="77777777" w:rsidR="000E0B82" w:rsidRDefault="000E0B82" w:rsidP="000E0B82">
            <w:r>
              <w:t>(-5.6; +0.2)</w:t>
            </w:r>
          </w:p>
        </w:tc>
        <w:tc>
          <w:tcPr>
            <w:tcW w:w="665" w:type="dxa"/>
            <w:tcBorders>
              <w:top w:val="nil"/>
              <w:left w:val="nil"/>
              <w:bottom w:val="nil"/>
              <w:right w:val="nil"/>
            </w:tcBorders>
          </w:tcPr>
          <w:p w14:paraId="66DF6354" w14:textId="77777777" w:rsidR="000E0B82" w:rsidRDefault="000E0B82" w:rsidP="000E0B82">
            <w:r>
              <w:t>0.9</w:t>
            </w:r>
          </w:p>
        </w:tc>
        <w:tc>
          <w:tcPr>
            <w:tcW w:w="0" w:type="auto"/>
            <w:tcBorders>
              <w:top w:val="nil"/>
              <w:left w:val="nil"/>
              <w:bottom w:val="nil"/>
              <w:right w:val="nil"/>
            </w:tcBorders>
          </w:tcPr>
          <w:p w14:paraId="22F2743F" w14:textId="77777777" w:rsidR="000E0B82" w:rsidRDefault="000E0B82" w:rsidP="000E0B82">
            <w:r>
              <w:t>1.17</w:t>
            </w:r>
          </w:p>
        </w:tc>
        <w:tc>
          <w:tcPr>
            <w:tcW w:w="0" w:type="auto"/>
            <w:tcBorders>
              <w:top w:val="nil"/>
              <w:left w:val="nil"/>
              <w:bottom w:val="nil"/>
              <w:right w:val="nil"/>
            </w:tcBorders>
          </w:tcPr>
          <w:p w14:paraId="4A62497C" w14:textId="77777777" w:rsidR="000E0B82" w:rsidRDefault="000E0B82" w:rsidP="000E0B82">
            <w:r>
              <w:t>0.9</w:t>
            </w:r>
          </w:p>
        </w:tc>
        <w:tc>
          <w:tcPr>
            <w:tcW w:w="0" w:type="auto"/>
            <w:tcBorders>
              <w:top w:val="nil"/>
              <w:left w:val="nil"/>
              <w:bottom w:val="nil"/>
              <w:right w:val="nil"/>
            </w:tcBorders>
          </w:tcPr>
          <w:p w14:paraId="37AA0785" w14:textId="77777777" w:rsidR="000E0B82" w:rsidRDefault="000E0B82" w:rsidP="000E0B82">
            <w:r>
              <w:t>1.16</w:t>
            </w:r>
          </w:p>
        </w:tc>
        <w:tc>
          <w:tcPr>
            <w:tcW w:w="0" w:type="auto"/>
            <w:tcBorders>
              <w:top w:val="nil"/>
              <w:left w:val="nil"/>
              <w:bottom w:val="nil"/>
              <w:right w:val="nil"/>
            </w:tcBorders>
          </w:tcPr>
          <w:p w14:paraId="10EF3B42" w14:textId="77777777" w:rsidR="000E0B82" w:rsidRDefault="000E0B82" w:rsidP="000E0B82">
            <w:pPr>
              <w:jc w:val="right"/>
            </w:pPr>
            <w:r>
              <w:t>3019</w:t>
            </w:r>
          </w:p>
        </w:tc>
      </w:tr>
      <w:tr w:rsidR="000E0B82" w14:paraId="4D0F8C20" w14:textId="77777777" w:rsidTr="000E0B82">
        <w:tc>
          <w:tcPr>
            <w:tcW w:w="0" w:type="auto"/>
            <w:tcBorders>
              <w:top w:val="nil"/>
              <w:left w:val="nil"/>
              <w:bottom w:val="nil"/>
              <w:right w:val="nil"/>
            </w:tcBorders>
          </w:tcPr>
          <w:p w14:paraId="3B3B6C29" w14:textId="77777777" w:rsidR="000E0B82" w:rsidRDefault="000E0B82" w:rsidP="000E0B82">
            <w:proofErr w:type="spellStart"/>
            <w:r>
              <w:t>Opinium</w:t>
            </w:r>
            <w:proofErr w:type="spellEnd"/>
          </w:p>
        </w:tc>
        <w:tc>
          <w:tcPr>
            <w:tcW w:w="947" w:type="dxa"/>
            <w:tcBorders>
              <w:top w:val="nil"/>
              <w:left w:val="nil"/>
              <w:bottom w:val="nil"/>
              <w:right w:val="nil"/>
            </w:tcBorders>
          </w:tcPr>
          <w:p w14:paraId="71B12AB2" w14:textId="77777777" w:rsidR="000E0B82" w:rsidRPr="00017DF8" w:rsidRDefault="000E0B82" w:rsidP="000E0B82">
            <w:pPr>
              <w:rPr>
                <w:sz w:val="20"/>
              </w:rPr>
            </w:pPr>
            <w:r w:rsidRPr="00017DF8">
              <w:rPr>
                <w:sz w:val="20"/>
              </w:rPr>
              <w:t>O</w:t>
            </w:r>
          </w:p>
        </w:tc>
        <w:tc>
          <w:tcPr>
            <w:tcW w:w="605" w:type="dxa"/>
            <w:tcBorders>
              <w:top w:val="nil"/>
              <w:left w:val="nil"/>
              <w:bottom w:val="nil"/>
              <w:right w:val="nil"/>
            </w:tcBorders>
          </w:tcPr>
          <w:p w14:paraId="34BFEBA5" w14:textId="77777777" w:rsidR="000E0B82" w:rsidRDefault="000E0B82" w:rsidP="000E0B82">
            <w:r>
              <w:t>+0.4</w:t>
            </w:r>
          </w:p>
        </w:tc>
        <w:tc>
          <w:tcPr>
            <w:tcW w:w="1804" w:type="dxa"/>
            <w:tcBorders>
              <w:top w:val="nil"/>
              <w:left w:val="nil"/>
              <w:bottom w:val="nil"/>
              <w:right w:val="nil"/>
            </w:tcBorders>
          </w:tcPr>
          <w:p w14:paraId="41BFF1E2" w14:textId="77777777" w:rsidR="000E0B82" w:rsidRDefault="000E0B82" w:rsidP="000E0B82">
            <w:r>
              <w:t>(-1.8; +2.5)</w:t>
            </w:r>
          </w:p>
        </w:tc>
        <w:tc>
          <w:tcPr>
            <w:tcW w:w="665" w:type="dxa"/>
            <w:tcBorders>
              <w:top w:val="nil"/>
              <w:left w:val="nil"/>
              <w:bottom w:val="nil"/>
              <w:right w:val="nil"/>
            </w:tcBorders>
          </w:tcPr>
          <w:p w14:paraId="7BAF35E0" w14:textId="77777777" w:rsidR="000E0B82" w:rsidRDefault="000E0B82" w:rsidP="000E0B82">
            <w:r>
              <w:t>0.6</w:t>
            </w:r>
          </w:p>
        </w:tc>
        <w:tc>
          <w:tcPr>
            <w:tcW w:w="0" w:type="auto"/>
            <w:tcBorders>
              <w:top w:val="nil"/>
              <w:left w:val="nil"/>
              <w:bottom w:val="nil"/>
              <w:right w:val="nil"/>
            </w:tcBorders>
          </w:tcPr>
          <w:p w14:paraId="0BB2DD38" w14:textId="77777777" w:rsidR="000E0B82" w:rsidRDefault="000E0B82" w:rsidP="000E0B82">
            <w:r>
              <w:t>0.42</w:t>
            </w:r>
          </w:p>
        </w:tc>
        <w:tc>
          <w:tcPr>
            <w:tcW w:w="0" w:type="auto"/>
            <w:tcBorders>
              <w:top w:val="nil"/>
              <w:left w:val="nil"/>
              <w:bottom w:val="nil"/>
              <w:right w:val="nil"/>
            </w:tcBorders>
          </w:tcPr>
          <w:p w14:paraId="67DD7725" w14:textId="77777777" w:rsidR="000E0B82" w:rsidRDefault="000E0B82" w:rsidP="000E0B82">
            <w:r>
              <w:t>0.7</w:t>
            </w:r>
          </w:p>
        </w:tc>
        <w:tc>
          <w:tcPr>
            <w:tcW w:w="0" w:type="auto"/>
            <w:tcBorders>
              <w:top w:val="nil"/>
              <w:left w:val="nil"/>
              <w:bottom w:val="nil"/>
              <w:right w:val="nil"/>
            </w:tcBorders>
          </w:tcPr>
          <w:p w14:paraId="3630C36C" w14:textId="77777777" w:rsidR="000E0B82" w:rsidRDefault="000E0B82" w:rsidP="000E0B82">
            <w:r>
              <w:t>0.47</w:t>
            </w:r>
          </w:p>
        </w:tc>
        <w:tc>
          <w:tcPr>
            <w:tcW w:w="0" w:type="auto"/>
            <w:tcBorders>
              <w:top w:val="nil"/>
              <w:left w:val="nil"/>
              <w:bottom w:val="nil"/>
              <w:right w:val="nil"/>
            </w:tcBorders>
          </w:tcPr>
          <w:p w14:paraId="07C5DF2E" w14:textId="77777777" w:rsidR="000E0B82" w:rsidRDefault="000E0B82" w:rsidP="000E0B82">
            <w:pPr>
              <w:jc w:val="right"/>
            </w:pPr>
            <w:r>
              <w:t>2498</w:t>
            </w:r>
          </w:p>
        </w:tc>
      </w:tr>
      <w:tr w:rsidR="000E0B82" w14:paraId="3514C2A5" w14:textId="77777777" w:rsidTr="000E0B82">
        <w:tc>
          <w:tcPr>
            <w:tcW w:w="0" w:type="auto"/>
            <w:tcBorders>
              <w:top w:val="nil"/>
              <w:left w:val="nil"/>
              <w:right w:val="nil"/>
            </w:tcBorders>
          </w:tcPr>
          <w:p w14:paraId="687F8C1A" w14:textId="77777777" w:rsidR="000E0B82" w:rsidRDefault="000E0B82" w:rsidP="000E0B82">
            <w:r>
              <w:t>TNS UK</w:t>
            </w:r>
          </w:p>
        </w:tc>
        <w:tc>
          <w:tcPr>
            <w:tcW w:w="947" w:type="dxa"/>
            <w:tcBorders>
              <w:top w:val="nil"/>
              <w:left w:val="nil"/>
              <w:right w:val="nil"/>
            </w:tcBorders>
          </w:tcPr>
          <w:p w14:paraId="002EB18B" w14:textId="77777777" w:rsidR="000E0B82" w:rsidRPr="00017DF8" w:rsidRDefault="000E0B82" w:rsidP="000E0B82">
            <w:pPr>
              <w:rPr>
                <w:sz w:val="20"/>
              </w:rPr>
            </w:pPr>
            <w:r w:rsidRPr="00017DF8">
              <w:rPr>
                <w:sz w:val="20"/>
              </w:rPr>
              <w:t>O</w:t>
            </w:r>
          </w:p>
        </w:tc>
        <w:tc>
          <w:tcPr>
            <w:tcW w:w="605" w:type="dxa"/>
            <w:tcBorders>
              <w:top w:val="nil"/>
              <w:left w:val="nil"/>
              <w:right w:val="nil"/>
            </w:tcBorders>
          </w:tcPr>
          <w:p w14:paraId="1A5DCAC9" w14:textId="77777777" w:rsidR="000E0B82" w:rsidRDefault="000E0B82" w:rsidP="000E0B82">
            <w:r>
              <w:t>+0.8</w:t>
            </w:r>
          </w:p>
        </w:tc>
        <w:tc>
          <w:tcPr>
            <w:tcW w:w="1804" w:type="dxa"/>
            <w:tcBorders>
              <w:top w:val="nil"/>
              <w:left w:val="nil"/>
              <w:right w:val="nil"/>
            </w:tcBorders>
          </w:tcPr>
          <w:p w14:paraId="1B3937B9" w14:textId="77777777" w:rsidR="000E0B82" w:rsidRDefault="000E0B82" w:rsidP="000E0B82">
            <w:r>
              <w:t>(-3.6; +5.2)</w:t>
            </w:r>
          </w:p>
        </w:tc>
        <w:tc>
          <w:tcPr>
            <w:tcW w:w="665" w:type="dxa"/>
            <w:tcBorders>
              <w:top w:val="nil"/>
              <w:left w:val="nil"/>
              <w:right w:val="nil"/>
            </w:tcBorders>
          </w:tcPr>
          <w:p w14:paraId="7D1B669D" w14:textId="77777777" w:rsidR="000E0B82" w:rsidRDefault="000E0B82" w:rsidP="000E0B82">
            <w:r>
              <w:t>1.4</w:t>
            </w:r>
          </w:p>
        </w:tc>
        <w:tc>
          <w:tcPr>
            <w:tcW w:w="0" w:type="auto"/>
            <w:tcBorders>
              <w:top w:val="nil"/>
              <w:left w:val="nil"/>
              <w:right w:val="nil"/>
            </w:tcBorders>
          </w:tcPr>
          <w:p w14:paraId="1F3C801C" w14:textId="77777777" w:rsidR="000E0B82" w:rsidRDefault="000E0B82" w:rsidP="000E0B82">
            <w:r>
              <w:t>0.79</w:t>
            </w:r>
          </w:p>
        </w:tc>
        <w:tc>
          <w:tcPr>
            <w:tcW w:w="0" w:type="auto"/>
            <w:tcBorders>
              <w:top w:val="nil"/>
              <w:left w:val="nil"/>
              <w:right w:val="nil"/>
            </w:tcBorders>
          </w:tcPr>
          <w:p w14:paraId="6F0B7B60" w14:textId="77777777" w:rsidR="000E0B82" w:rsidRDefault="000E0B82" w:rsidP="000E0B82">
            <w:r>
              <w:t>1.3</w:t>
            </w:r>
          </w:p>
        </w:tc>
        <w:tc>
          <w:tcPr>
            <w:tcW w:w="0" w:type="auto"/>
            <w:tcBorders>
              <w:top w:val="nil"/>
              <w:left w:val="nil"/>
              <w:right w:val="nil"/>
            </w:tcBorders>
          </w:tcPr>
          <w:p w14:paraId="2688FD79" w14:textId="77777777" w:rsidR="000E0B82" w:rsidRDefault="000E0B82" w:rsidP="000E0B82">
            <w:r>
              <w:t>0.72</w:t>
            </w:r>
          </w:p>
        </w:tc>
        <w:tc>
          <w:tcPr>
            <w:tcW w:w="0" w:type="auto"/>
            <w:tcBorders>
              <w:top w:val="nil"/>
              <w:left w:val="nil"/>
              <w:right w:val="nil"/>
            </w:tcBorders>
          </w:tcPr>
          <w:p w14:paraId="7070DE80" w14:textId="77777777" w:rsidR="000E0B82" w:rsidRDefault="000E0B82" w:rsidP="000E0B82">
            <w:pPr>
              <w:jc w:val="right"/>
            </w:pPr>
            <w:r>
              <w:t>889</w:t>
            </w:r>
          </w:p>
        </w:tc>
      </w:tr>
    </w:tbl>
    <w:p w14:paraId="787C0E60" w14:textId="33AD8D70" w:rsidR="000E0B82" w:rsidRPr="00326FD9" w:rsidRDefault="000E0B82" w:rsidP="00326FD9">
      <w:pPr>
        <w:spacing w:before="100" w:beforeAutospacing="1" w:line="240" w:lineRule="auto"/>
        <w:jc w:val="both"/>
        <w:rPr>
          <w:sz w:val="18"/>
        </w:rPr>
      </w:pPr>
      <w:r w:rsidRPr="00326FD9">
        <w:rPr>
          <w:i/>
          <w:sz w:val="18"/>
        </w:rPr>
        <w:t>Note</w:t>
      </w:r>
      <w:r w:rsidRPr="00326FD9">
        <w:rPr>
          <w:sz w:val="18"/>
        </w:rPr>
        <w:t xml:space="preserve">: </w:t>
      </w:r>
      <w:r w:rsidRPr="00326FD9">
        <w:rPr>
          <w:bCs/>
          <w:sz w:val="18"/>
        </w:rPr>
        <w:t xml:space="preserve">The interval estimates and standard errors have been calculated </w:t>
      </w:r>
      <w:r w:rsidRPr="00326FD9">
        <w:rPr>
          <w:sz w:val="18"/>
        </w:rPr>
        <w:t xml:space="preserve">from the </w:t>
      </w:r>
      <w:proofErr w:type="spellStart"/>
      <w:r w:rsidRPr="00326FD9">
        <w:rPr>
          <w:sz w:val="18"/>
        </w:rPr>
        <w:t>microdata</w:t>
      </w:r>
      <w:proofErr w:type="spellEnd"/>
      <w:r w:rsidRPr="00326FD9">
        <w:rPr>
          <w:sz w:val="18"/>
        </w:rPr>
        <w:t xml:space="preserve"> provided by the pollsters,</w:t>
      </w:r>
      <w:r w:rsidRPr="00326FD9">
        <w:rPr>
          <w:bCs/>
          <w:sz w:val="18"/>
        </w:rPr>
        <w:t xml:space="preserve"> using bootstrap resampling with 10,000 bootstrap samples. </w:t>
      </w:r>
      <w:r w:rsidRPr="00326FD9">
        <w:rPr>
          <w:sz w:val="18"/>
        </w:rPr>
        <w:t xml:space="preserve">Some of these replicated estimates differ slightly from the published results in Table 1, mainly because of rounding and differences in algorithms used for </w:t>
      </w:r>
      <w:r w:rsidR="00E2722B">
        <w:rPr>
          <w:sz w:val="18"/>
        </w:rPr>
        <w:t xml:space="preserve">calibration </w:t>
      </w:r>
      <w:r w:rsidRPr="00326FD9">
        <w:rPr>
          <w:sz w:val="18"/>
        </w:rPr>
        <w:t xml:space="preserve">weighting. </w:t>
      </w:r>
    </w:p>
    <w:p w14:paraId="4A40824B" w14:textId="77777777" w:rsidR="000E0B82" w:rsidRPr="00326FD9" w:rsidRDefault="000E0B82" w:rsidP="00326FD9">
      <w:pPr>
        <w:spacing w:line="240" w:lineRule="auto"/>
        <w:rPr>
          <w:sz w:val="18"/>
        </w:rPr>
      </w:pPr>
      <w:r w:rsidRPr="00326FD9">
        <w:rPr>
          <w:sz w:val="18"/>
        </w:rPr>
        <w:t xml:space="preserve">* Adjusted percentile interval. </w:t>
      </w:r>
    </w:p>
    <w:p w14:paraId="27D3562F" w14:textId="2417D6CF" w:rsidR="000E0B82" w:rsidRPr="00326FD9" w:rsidRDefault="00C23A83" w:rsidP="00326FD9">
      <w:pPr>
        <w:spacing w:line="240" w:lineRule="auto"/>
        <w:rPr>
          <w:sz w:val="18"/>
        </w:rPr>
      </w:pPr>
      <w:r>
        <w:rPr>
          <w:sz w:val="18"/>
        </w:rPr>
        <w:t>n</w:t>
      </w:r>
      <w:r w:rsidR="000E0B82" w:rsidRPr="00326FD9">
        <w:rPr>
          <w:sz w:val="18"/>
        </w:rPr>
        <w:t xml:space="preserve"> = number of respondents who gave a voting intention for a party</w:t>
      </w:r>
    </w:p>
    <w:p w14:paraId="719E01DE" w14:textId="419883DD" w:rsidR="000E0B82" w:rsidRPr="00326FD9" w:rsidRDefault="000E0B82" w:rsidP="00326FD9">
      <w:pPr>
        <w:spacing w:line="240" w:lineRule="auto"/>
        <w:rPr>
          <w:sz w:val="18"/>
        </w:rPr>
      </w:pPr>
      <w:r w:rsidRPr="00326FD9">
        <w:rPr>
          <w:sz w:val="18"/>
        </w:rPr>
        <w:t>d</w:t>
      </w:r>
      <w:r w:rsidRPr="00326FD9">
        <w:rPr>
          <w:sz w:val="18"/>
          <w:vertAlign w:val="superscript"/>
        </w:rPr>
        <w:t>2</w:t>
      </w:r>
      <w:r w:rsidRPr="00326FD9">
        <w:rPr>
          <w:sz w:val="18"/>
        </w:rPr>
        <w:t xml:space="preserve"> = (</w:t>
      </w:r>
      <w:proofErr w:type="spellStart"/>
      <w:r w:rsidRPr="00326FD9">
        <w:rPr>
          <w:sz w:val="18"/>
        </w:rPr>
        <w:t>s.e.</w:t>
      </w:r>
      <w:proofErr w:type="spellEnd"/>
      <w:r w:rsidRPr="00326FD9">
        <w:rPr>
          <w:sz w:val="18"/>
        </w:rPr>
        <w:t>)</w:t>
      </w:r>
      <w:r w:rsidRPr="00326FD9">
        <w:rPr>
          <w:sz w:val="18"/>
          <w:vertAlign w:val="superscript"/>
        </w:rPr>
        <w:t>2</w:t>
      </w:r>
      <w:r w:rsidRPr="00326FD9">
        <w:rPr>
          <w:sz w:val="18"/>
        </w:rPr>
        <w:t>/[p(1-p)/</w:t>
      </w:r>
      <w:r w:rsidR="00C23A83">
        <w:rPr>
          <w:sz w:val="18"/>
        </w:rPr>
        <w:t>n</w:t>
      </w:r>
      <w:r w:rsidRPr="00326FD9">
        <w:rPr>
          <w:sz w:val="18"/>
        </w:rPr>
        <w:t>] where p is the estimated vote share.</w:t>
      </w:r>
    </w:p>
    <w:p w14:paraId="51899BAB" w14:textId="22A34077" w:rsidR="00F5325A" w:rsidRDefault="005A2E68" w:rsidP="006C37F7">
      <w:pPr>
        <w:jc w:val="both"/>
      </w:pPr>
      <w:r>
        <w:lastRenderedPageBreak/>
        <w:t xml:space="preserve">Table </w:t>
      </w:r>
      <w:r w:rsidR="000E0B82">
        <w:t>3</w:t>
      </w:r>
      <w:r w:rsidR="001B27B0">
        <w:t>. Conservative lead over Labour</w:t>
      </w:r>
      <w:r w:rsidR="00F5325A">
        <w:t xml:space="preserve"> (% for Great Britain)</w:t>
      </w:r>
      <w:r w:rsidR="001B27B0">
        <w:t>, estimated from five post-election re-contact surveys and (for the same respondents</w:t>
      </w:r>
      <w:r w:rsidR="00A8487B">
        <w:t xml:space="preserve">, </w:t>
      </w:r>
      <w:r w:rsidR="000049A3">
        <w:t xml:space="preserve">those </w:t>
      </w:r>
      <w:r w:rsidR="00A8487B">
        <w:t>who reported that they had voted</w:t>
      </w:r>
      <w:r w:rsidR="001B27B0">
        <w:t>) from polls before the election.</w:t>
      </w:r>
      <w:r w:rsidR="0060536E">
        <w:t xml:space="preserve"> The </w:t>
      </w:r>
      <w:r w:rsidR="006C37F7">
        <w:t>election result was a 6.</w:t>
      </w:r>
      <w:r w:rsidR="00E43D38">
        <w:t>5</w:t>
      </w:r>
      <w:r w:rsidR="006C37F7">
        <w:t>% Conservative lead.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55"/>
        <w:gridCol w:w="1431"/>
        <w:gridCol w:w="1189"/>
        <w:gridCol w:w="1083"/>
        <w:gridCol w:w="1365"/>
        <w:gridCol w:w="1119"/>
        <w:gridCol w:w="1390"/>
      </w:tblGrid>
      <w:tr w:rsidR="00847072" w14:paraId="079D043D" w14:textId="7E4BDD48" w:rsidTr="00847072">
        <w:tc>
          <w:tcPr>
            <w:tcW w:w="1555" w:type="dxa"/>
            <w:tcBorders>
              <w:bottom w:val="nil"/>
            </w:tcBorders>
          </w:tcPr>
          <w:p w14:paraId="7A2AE5D4" w14:textId="77777777" w:rsidR="004145D6" w:rsidRPr="00F2724D" w:rsidRDefault="004145D6" w:rsidP="006B61D0">
            <w:pPr>
              <w:spacing w:after="200" w:line="276" w:lineRule="auto"/>
              <w:rPr>
                <w:sz w:val="20"/>
              </w:rPr>
            </w:pPr>
          </w:p>
        </w:tc>
        <w:tc>
          <w:tcPr>
            <w:tcW w:w="6187" w:type="dxa"/>
            <w:gridSpan w:val="5"/>
            <w:tcBorders>
              <w:top w:val="single" w:sz="4" w:space="0" w:color="auto"/>
              <w:bottom w:val="single" w:sz="4" w:space="0" w:color="auto"/>
            </w:tcBorders>
          </w:tcPr>
          <w:p w14:paraId="365F7875" w14:textId="0612D821" w:rsidR="004145D6" w:rsidRPr="00F2724D" w:rsidRDefault="004145D6" w:rsidP="005A2E68">
            <w:pPr>
              <w:jc w:val="center"/>
              <w:rPr>
                <w:sz w:val="20"/>
              </w:rPr>
            </w:pPr>
            <w:r w:rsidRPr="00F2724D">
              <w:rPr>
                <w:sz w:val="20"/>
              </w:rPr>
              <w:t>Pollster</w:t>
            </w:r>
          </w:p>
        </w:tc>
        <w:tc>
          <w:tcPr>
            <w:tcW w:w="0" w:type="auto"/>
            <w:tcBorders>
              <w:top w:val="single" w:sz="4" w:space="0" w:color="auto"/>
              <w:bottom w:val="single" w:sz="4" w:space="0" w:color="auto"/>
            </w:tcBorders>
          </w:tcPr>
          <w:p w14:paraId="3F74FEFA" w14:textId="77777777" w:rsidR="004145D6" w:rsidRPr="00F2724D" w:rsidRDefault="004145D6" w:rsidP="005A2E68">
            <w:pPr>
              <w:spacing w:after="200" w:line="276" w:lineRule="auto"/>
              <w:jc w:val="center"/>
              <w:rPr>
                <w:sz w:val="20"/>
              </w:rPr>
            </w:pPr>
          </w:p>
        </w:tc>
      </w:tr>
      <w:tr w:rsidR="00847072" w14:paraId="4305326C" w14:textId="0666A559" w:rsidTr="00847072">
        <w:tc>
          <w:tcPr>
            <w:tcW w:w="1555" w:type="dxa"/>
            <w:tcBorders>
              <w:top w:val="nil"/>
              <w:bottom w:val="single" w:sz="4" w:space="0" w:color="auto"/>
            </w:tcBorders>
          </w:tcPr>
          <w:p w14:paraId="782E6520" w14:textId="77777777" w:rsidR="004145D6" w:rsidRPr="00F2724D" w:rsidRDefault="004145D6" w:rsidP="006B61D0">
            <w:pPr>
              <w:spacing w:after="200" w:line="276" w:lineRule="auto"/>
              <w:rPr>
                <w:sz w:val="20"/>
              </w:rPr>
            </w:pPr>
          </w:p>
        </w:tc>
        <w:tc>
          <w:tcPr>
            <w:tcW w:w="1040" w:type="dxa"/>
            <w:tcBorders>
              <w:top w:val="single" w:sz="4" w:space="0" w:color="auto"/>
              <w:bottom w:val="single" w:sz="4" w:space="0" w:color="auto"/>
            </w:tcBorders>
          </w:tcPr>
          <w:p w14:paraId="26EA7B1B" w14:textId="12721679" w:rsidR="004145D6" w:rsidRPr="00F2724D" w:rsidRDefault="004145D6" w:rsidP="00F2724D">
            <w:pPr>
              <w:jc w:val="center"/>
              <w:rPr>
                <w:sz w:val="20"/>
              </w:rPr>
            </w:pPr>
            <w:r w:rsidRPr="00F2724D">
              <w:rPr>
                <w:sz w:val="20"/>
              </w:rPr>
              <w:t>TNS</w:t>
            </w:r>
          </w:p>
        </w:tc>
        <w:tc>
          <w:tcPr>
            <w:tcW w:w="0" w:type="auto"/>
            <w:tcBorders>
              <w:top w:val="single" w:sz="4" w:space="0" w:color="auto"/>
              <w:bottom w:val="single" w:sz="4" w:space="0" w:color="auto"/>
            </w:tcBorders>
          </w:tcPr>
          <w:p w14:paraId="0C8185AA" w14:textId="2DEDF8F7" w:rsidR="004145D6" w:rsidRPr="00F2724D" w:rsidRDefault="004145D6" w:rsidP="00F2724D">
            <w:pPr>
              <w:jc w:val="center"/>
              <w:rPr>
                <w:sz w:val="20"/>
              </w:rPr>
            </w:pPr>
            <w:proofErr w:type="spellStart"/>
            <w:r w:rsidRPr="00F2724D">
              <w:rPr>
                <w:sz w:val="20"/>
              </w:rPr>
              <w:t>Populus</w:t>
            </w:r>
            <w:proofErr w:type="spellEnd"/>
          </w:p>
        </w:tc>
        <w:tc>
          <w:tcPr>
            <w:tcW w:w="0" w:type="auto"/>
            <w:tcBorders>
              <w:top w:val="single" w:sz="4" w:space="0" w:color="auto"/>
              <w:bottom w:val="single" w:sz="4" w:space="0" w:color="auto"/>
            </w:tcBorders>
          </w:tcPr>
          <w:p w14:paraId="5FF18FD7" w14:textId="62144348" w:rsidR="004145D6" w:rsidRPr="00F2724D" w:rsidRDefault="004145D6" w:rsidP="00F2724D">
            <w:pPr>
              <w:jc w:val="center"/>
              <w:rPr>
                <w:sz w:val="20"/>
              </w:rPr>
            </w:pPr>
            <w:r w:rsidRPr="00F2724D">
              <w:rPr>
                <w:sz w:val="20"/>
              </w:rPr>
              <w:t>ICM</w:t>
            </w:r>
          </w:p>
        </w:tc>
        <w:tc>
          <w:tcPr>
            <w:tcW w:w="0" w:type="auto"/>
            <w:tcBorders>
              <w:top w:val="single" w:sz="4" w:space="0" w:color="auto"/>
              <w:bottom w:val="single" w:sz="4" w:space="0" w:color="auto"/>
            </w:tcBorders>
          </w:tcPr>
          <w:p w14:paraId="51281714" w14:textId="151B4E5B" w:rsidR="004145D6" w:rsidRPr="00F2724D" w:rsidRDefault="004145D6" w:rsidP="00F2724D">
            <w:pPr>
              <w:jc w:val="center"/>
              <w:rPr>
                <w:sz w:val="20"/>
              </w:rPr>
            </w:pPr>
            <w:proofErr w:type="spellStart"/>
            <w:r w:rsidRPr="00F2724D">
              <w:rPr>
                <w:sz w:val="20"/>
              </w:rPr>
              <w:t>Survation</w:t>
            </w:r>
            <w:proofErr w:type="spellEnd"/>
          </w:p>
        </w:tc>
        <w:tc>
          <w:tcPr>
            <w:tcW w:w="0" w:type="auto"/>
            <w:tcBorders>
              <w:top w:val="single" w:sz="4" w:space="0" w:color="auto"/>
              <w:bottom w:val="single" w:sz="4" w:space="0" w:color="auto"/>
            </w:tcBorders>
          </w:tcPr>
          <w:p w14:paraId="0A0A2A4B" w14:textId="479A8659" w:rsidR="004145D6" w:rsidRPr="00F2724D" w:rsidRDefault="004145D6" w:rsidP="00F2724D">
            <w:pPr>
              <w:jc w:val="center"/>
              <w:rPr>
                <w:sz w:val="20"/>
              </w:rPr>
            </w:pPr>
            <w:proofErr w:type="spellStart"/>
            <w:r w:rsidRPr="00F2724D">
              <w:rPr>
                <w:sz w:val="20"/>
              </w:rPr>
              <w:t>Yougov</w:t>
            </w:r>
            <w:proofErr w:type="spellEnd"/>
          </w:p>
        </w:tc>
        <w:tc>
          <w:tcPr>
            <w:tcW w:w="0" w:type="auto"/>
            <w:tcBorders>
              <w:top w:val="single" w:sz="4" w:space="0" w:color="auto"/>
              <w:bottom w:val="single" w:sz="4" w:space="0" w:color="auto"/>
            </w:tcBorders>
          </w:tcPr>
          <w:p w14:paraId="2AE209B8" w14:textId="38616F78" w:rsidR="004145D6" w:rsidRPr="00F2724D" w:rsidRDefault="00847072" w:rsidP="00F2724D">
            <w:pPr>
              <w:jc w:val="center"/>
              <w:rPr>
                <w:sz w:val="20"/>
              </w:rPr>
            </w:pPr>
            <w:r>
              <w:rPr>
                <w:sz w:val="20"/>
              </w:rPr>
              <w:t>Combined**</w:t>
            </w:r>
          </w:p>
        </w:tc>
      </w:tr>
      <w:tr w:rsidR="00847072" w14:paraId="4545B9E4" w14:textId="3C9BAF23" w:rsidTr="00F2724D">
        <w:tc>
          <w:tcPr>
            <w:tcW w:w="1555" w:type="dxa"/>
            <w:tcBorders>
              <w:top w:val="single" w:sz="4" w:space="0" w:color="auto"/>
            </w:tcBorders>
          </w:tcPr>
          <w:p w14:paraId="396C3566" w14:textId="0EAAA5F9" w:rsidR="004145D6" w:rsidRPr="00F2724D" w:rsidRDefault="004145D6" w:rsidP="006B61D0">
            <w:pPr>
              <w:rPr>
                <w:sz w:val="20"/>
              </w:rPr>
            </w:pPr>
            <w:r w:rsidRPr="00F2724D">
              <w:rPr>
                <w:sz w:val="20"/>
              </w:rPr>
              <w:t>Before election</w:t>
            </w:r>
          </w:p>
        </w:tc>
        <w:tc>
          <w:tcPr>
            <w:tcW w:w="1040" w:type="dxa"/>
            <w:tcBorders>
              <w:top w:val="single" w:sz="4" w:space="0" w:color="auto"/>
            </w:tcBorders>
          </w:tcPr>
          <w:p w14:paraId="07494D92" w14:textId="63270879" w:rsidR="004145D6" w:rsidRPr="00F2724D" w:rsidRDefault="004145D6" w:rsidP="00F2724D">
            <w:pPr>
              <w:jc w:val="center"/>
              <w:rPr>
                <w:sz w:val="20"/>
              </w:rPr>
            </w:pPr>
            <w:r w:rsidRPr="00F2724D">
              <w:rPr>
                <w:sz w:val="20"/>
              </w:rPr>
              <w:t>-2.1%</w:t>
            </w:r>
          </w:p>
        </w:tc>
        <w:tc>
          <w:tcPr>
            <w:tcW w:w="0" w:type="auto"/>
            <w:tcBorders>
              <w:top w:val="single" w:sz="4" w:space="0" w:color="auto"/>
            </w:tcBorders>
          </w:tcPr>
          <w:p w14:paraId="22318068" w14:textId="689CFB85" w:rsidR="004145D6" w:rsidRPr="00F2724D" w:rsidRDefault="004145D6" w:rsidP="00F2724D">
            <w:pPr>
              <w:jc w:val="center"/>
              <w:rPr>
                <w:sz w:val="20"/>
              </w:rPr>
            </w:pPr>
            <w:r w:rsidRPr="00F2724D">
              <w:rPr>
                <w:sz w:val="20"/>
              </w:rPr>
              <w:t>-1.3%</w:t>
            </w:r>
          </w:p>
        </w:tc>
        <w:tc>
          <w:tcPr>
            <w:tcW w:w="0" w:type="auto"/>
            <w:tcBorders>
              <w:top w:val="single" w:sz="4" w:space="0" w:color="auto"/>
            </w:tcBorders>
          </w:tcPr>
          <w:p w14:paraId="6017C941" w14:textId="063F0759" w:rsidR="004145D6" w:rsidRPr="00F2724D" w:rsidRDefault="004145D6" w:rsidP="00F2724D">
            <w:pPr>
              <w:jc w:val="center"/>
              <w:rPr>
                <w:sz w:val="20"/>
              </w:rPr>
            </w:pPr>
            <w:r w:rsidRPr="00F2724D">
              <w:rPr>
                <w:sz w:val="20"/>
              </w:rPr>
              <w:t>0.0%</w:t>
            </w:r>
          </w:p>
        </w:tc>
        <w:tc>
          <w:tcPr>
            <w:tcW w:w="0" w:type="auto"/>
            <w:tcBorders>
              <w:top w:val="single" w:sz="4" w:space="0" w:color="auto"/>
            </w:tcBorders>
          </w:tcPr>
          <w:p w14:paraId="0B90BAA7" w14:textId="79E677A2" w:rsidR="004145D6" w:rsidRPr="00F2724D" w:rsidRDefault="004145D6" w:rsidP="00F2724D">
            <w:pPr>
              <w:jc w:val="center"/>
              <w:rPr>
                <w:sz w:val="20"/>
              </w:rPr>
            </w:pPr>
            <w:r w:rsidRPr="00F2724D">
              <w:rPr>
                <w:sz w:val="20"/>
              </w:rPr>
              <w:t>0.3%</w:t>
            </w:r>
          </w:p>
        </w:tc>
        <w:tc>
          <w:tcPr>
            <w:tcW w:w="0" w:type="auto"/>
            <w:tcBorders>
              <w:top w:val="single" w:sz="4" w:space="0" w:color="auto"/>
            </w:tcBorders>
          </w:tcPr>
          <w:p w14:paraId="4A554BB2" w14:textId="26AFB0B7" w:rsidR="004145D6" w:rsidRPr="00F2724D" w:rsidRDefault="004145D6" w:rsidP="00F2724D">
            <w:pPr>
              <w:jc w:val="center"/>
              <w:rPr>
                <w:sz w:val="20"/>
              </w:rPr>
            </w:pPr>
            <w:r w:rsidRPr="00F2724D">
              <w:rPr>
                <w:sz w:val="20"/>
              </w:rPr>
              <w:t>0.5%</w:t>
            </w:r>
          </w:p>
        </w:tc>
        <w:tc>
          <w:tcPr>
            <w:tcW w:w="0" w:type="auto"/>
            <w:tcBorders>
              <w:top w:val="single" w:sz="4" w:space="0" w:color="auto"/>
            </w:tcBorders>
          </w:tcPr>
          <w:p w14:paraId="3B9A9CA5" w14:textId="3FD15B56" w:rsidR="004145D6" w:rsidRPr="00F2724D" w:rsidRDefault="0073533E" w:rsidP="00F2724D">
            <w:pPr>
              <w:jc w:val="center"/>
              <w:rPr>
                <w:sz w:val="20"/>
              </w:rPr>
            </w:pPr>
            <w:r>
              <w:rPr>
                <w:sz w:val="20"/>
              </w:rPr>
              <w:t>-0</w:t>
            </w:r>
            <w:r w:rsidR="00456429">
              <w:rPr>
                <w:sz w:val="20"/>
              </w:rPr>
              <w:t>.</w:t>
            </w:r>
            <w:r w:rsidR="00A31604">
              <w:rPr>
                <w:sz w:val="20"/>
              </w:rPr>
              <w:t>2</w:t>
            </w:r>
            <w:r w:rsidR="00456429">
              <w:rPr>
                <w:sz w:val="20"/>
              </w:rPr>
              <w:t>%</w:t>
            </w:r>
          </w:p>
        </w:tc>
      </w:tr>
      <w:tr w:rsidR="00847072" w14:paraId="079E7CE9" w14:textId="357831FF" w:rsidTr="00F2724D">
        <w:tc>
          <w:tcPr>
            <w:tcW w:w="1555" w:type="dxa"/>
          </w:tcPr>
          <w:p w14:paraId="1EF92B95" w14:textId="43ADF814" w:rsidR="004145D6" w:rsidRPr="00F2724D" w:rsidRDefault="004145D6" w:rsidP="006B61D0">
            <w:pPr>
              <w:rPr>
                <w:sz w:val="20"/>
              </w:rPr>
            </w:pPr>
            <w:r w:rsidRPr="00F2724D">
              <w:rPr>
                <w:sz w:val="20"/>
              </w:rPr>
              <w:t>After election</w:t>
            </w:r>
          </w:p>
        </w:tc>
        <w:tc>
          <w:tcPr>
            <w:tcW w:w="1040" w:type="dxa"/>
          </w:tcPr>
          <w:p w14:paraId="5809BF1B" w14:textId="6969F9DA" w:rsidR="004145D6" w:rsidRPr="00F2724D" w:rsidRDefault="004145D6" w:rsidP="00F2724D">
            <w:pPr>
              <w:jc w:val="center"/>
              <w:rPr>
                <w:sz w:val="20"/>
              </w:rPr>
            </w:pPr>
            <w:r w:rsidRPr="00F2724D">
              <w:rPr>
                <w:sz w:val="20"/>
              </w:rPr>
              <w:t>1.9%</w:t>
            </w:r>
          </w:p>
        </w:tc>
        <w:tc>
          <w:tcPr>
            <w:tcW w:w="0" w:type="auto"/>
          </w:tcPr>
          <w:p w14:paraId="08F54FB2" w14:textId="21A3068D" w:rsidR="004145D6" w:rsidRPr="00F2724D" w:rsidRDefault="004145D6" w:rsidP="00F2724D">
            <w:pPr>
              <w:jc w:val="center"/>
              <w:rPr>
                <w:sz w:val="20"/>
              </w:rPr>
            </w:pPr>
            <w:r w:rsidRPr="00F2724D">
              <w:rPr>
                <w:sz w:val="20"/>
              </w:rPr>
              <w:t>-0.4%</w:t>
            </w:r>
          </w:p>
        </w:tc>
        <w:tc>
          <w:tcPr>
            <w:tcW w:w="0" w:type="auto"/>
          </w:tcPr>
          <w:p w14:paraId="45FF0DD2" w14:textId="3B0996AE" w:rsidR="004145D6" w:rsidRPr="00F2724D" w:rsidRDefault="004145D6" w:rsidP="00F2724D">
            <w:pPr>
              <w:jc w:val="center"/>
              <w:rPr>
                <w:sz w:val="20"/>
              </w:rPr>
            </w:pPr>
            <w:r w:rsidRPr="00F2724D">
              <w:rPr>
                <w:sz w:val="20"/>
              </w:rPr>
              <w:t>1.9%</w:t>
            </w:r>
          </w:p>
        </w:tc>
        <w:tc>
          <w:tcPr>
            <w:tcW w:w="0" w:type="auto"/>
          </w:tcPr>
          <w:p w14:paraId="64C206EE" w14:textId="19888DAC" w:rsidR="004145D6" w:rsidRPr="00F2724D" w:rsidRDefault="004145D6" w:rsidP="00F2724D">
            <w:pPr>
              <w:jc w:val="center"/>
              <w:rPr>
                <w:sz w:val="20"/>
              </w:rPr>
            </w:pPr>
            <w:r w:rsidRPr="00F2724D">
              <w:rPr>
                <w:sz w:val="20"/>
              </w:rPr>
              <w:t>3.8%</w:t>
            </w:r>
          </w:p>
        </w:tc>
        <w:tc>
          <w:tcPr>
            <w:tcW w:w="0" w:type="auto"/>
          </w:tcPr>
          <w:p w14:paraId="0290C9E8" w14:textId="3D1B1CEB" w:rsidR="004145D6" w:rsidRPr="00F2724D" w:rsidRDefault="004145D6" w:rsidP="00F2724D">
            <w:pPr>
              <w:jc w:val="center"/>
              <w:rPr>
                <w:sz w:val="20"/>
              </w:rPr>
            </w:pPr>
            <w:r w:rsidRPr="00F2724D">
              <w:rPr>
                <w:sz w:val="20"/>
              </w:rPr>
              <w:t>-0.8%</w:t>
            </w:r>
          </w:p>
        </w:tc>
        <w:tc>
          <w:tcPr>
            <w:tcW w:w="0" w:type="auto"/>
          </w:tcPr>
          <w:p w14:paraId="5F22C51F" w14:textId="78E3B027" w:rsidR="004145D6" w:rsidRPr="00F2724D" w:rsidRDefault="0073533E" w:rsidP="00F2724D">
            <w:pPr>
              <w:jc w:val="center"/>
              <w:rPr>
                <w:sz w:val="20"/>
              </w:rPr>
            </w:pPr>
            <w:r>
              <w:rPr>
                <w:sz w:val="20"/>
              </w:rPr>
              <w:t>+</w:t>
            </w:r>
            <w:r w:rsidR="00A31604">
              <w:rPr>
                <w:sz w:val="20"/>
              </w:rPr>
              <w:t>0</w:t>
            </w:r>
            <w:r w:rsidR="00456429">
              <w:rPr>
                <w:sz w:val="20"/>
              </w:rPr>
              <w:t>.</w:t>
            </w:r>
            <w:r w:rsidR="00A31604">
              <w:rPr>
                <w:sz w:val="20"/>
              </w:rPr>
              <w:t>4</w:t>
            </w:r>
            <w:r w:rsidR="00456429">
              <w:rPr>
                <w:sz w:val="20"/>
              </w:rPr>
              <w:t>%</w:t>
            </w:r>
          </w:p>
        </w:tc>
      </w:tr>
      <w:tr w:rsidR="00847072" w14:paraId="325C1927" w14:textId="77777777" w:rsidTr="00F2724D">
        <w:tc>
          <w:tcPr>
            <w:tcW w:w="1555" w:type="dxa"/>
          </w:tcPr>
          <w:p w14:paraId="663FDDB5" w14:textId="77777777" w:rsidR="00847072" w:rsidRPr="00847072" w:rsidRDefault="00847072" w:rsidP="006B61D0">
            <w:pPr>
              <w:rPr>
                <w:sz w:val="20"/>
              </w:rPr>
            </w:pPr>
          </w:p>
        </w:tc>
        <w:tc>
          <w:tcPr>
            <w:tcW w:w="1040" w:type="dxa"/>
          </w:tcPr>
          <w:p w14:paraId="3B294A63" w14:textId="77777777" w:rsidR="00847072" w:rsidRPr="00847072" w:rsidRDefault="00847072" w:rsidP="00847072">
            <w:pPr>
              <w:jc w:val="center"/>
              <w:rPr>
                <w:sz w:val="20"/>
              </w:rPr>
            </w:pPr>
          </w:p>
        </w:tc>
        <w:tc>
          <w:tcPr>
            <w:tcW w:w="0" w:type="auto"/>
          </w:tcPr>
          <w:p w14:paraId="3A178571" w14:textId="77777777" w:rsidR="00847072" w:rsidRPr="00847072" w:rsidRDefault="00847072" w:rsidP="00847072">
            <w:pPr>
              <w:jc w:val="center"/>
              <w:rPr>
                <w:sz w:val="20"/>
              </w:rPr>
            </w:pPr>
          </w:p>
        </w:tc>
        <w:tc>
          <w:tcPr>
            <w:tcW w:w="0" w:type="auto"/>
          </w:tcPr>
          <w:p w14:paraId="336712D9" w14:textId="77777777" w:rsidR="00847072" w:rsidRPr="00847072" w:rsidRDefault="00847072" w:rsidP="00847072">
            <w:pPr>
              <w:jc w:val="center"/>
              <w:rPr>
                <w:sz w:val="20"/>
              </w:rPr>
            </w:pPr>
          </w:p>
        </w:tc>
        <w:tc>
          <w:tcPr>
            <w:tcW w:w="0" w:type="auto"/>
          </w:tcPr>
          <w:p w14:paraId="144ADDA9" w14:textId="77777777" w:rsidR="00847072" w:rsidRPr="00847072" w:rsidRDefault="00847072" w:rsidP="00847072">
            <w:pPr>
              <w:jc w:val="center"/>
              <w:rPr>
                <w:sz w:val="20"/>
              </w:rPr>
            </w:pPr>
          </w:p>
        </w:tc>
        <w:tc>
          <w:tcPr>
            <w:tcW w:w="0" w:type="auto"/>
          </w:tcPr>
          <w:p w14:paraId="1726532C" w14:textId="77777777" w:rsidR="00847072" w:rsidRPr="00847072" w:rsidRDefault="00847072" w:rsidP="00847072">
            <w:pPr>
              <w:jc w:val="center"/>
              <w:rPr>
                <w:sz w:val="20"/>
              </w:rPr>
            </w:pPr>
          </w:p>
        </w:tc>
        <w:tc>
          <w:tcPr>
            <w:tcW w:w="0" w:type="auto"/>
          </w:tcPr>
          <w:p w14:paraId="345169FF" w14:textId="77777777" w:rsidR="00847072" w:rsidRPr="00847072" w:rsidRDefault="00847072" w:rsidP="00847072">
            <w:pPr>
              <w:jc w:val="center"/>
              <w:rPr>
                <w:sz w:val="20"/>
              </w:rPr>
            </w:pPr>
          </w:p>
        </w:tc>
      </w:tr>
      <w:tr w:rsidR="00847072" w14:paraId="65C72BF9" w14:textId="53F12D06" w:rsidTr="00F2724D">
        <w:tc>
          <w:tcPr>
            <w:tcW w:w="1555" w:type="dxa"/>
          </w:tcPr>
          <w:p w14:paraId="4C00D79F" w14:textId="1FEC4451" w:rsidR="004145D6" w:rsidRPr="00F2724D" w:rsidRDefault="00847072" w:rsidP="006B61D0">
            <w:pPr>
              <w:spacing w:after="200" w:line="276" w:lineRule="auto"/>
              <w:rPr>
                <w:sz w:val="20"/>
              </w:rPr>
            </w:pPr>
            <w:r>
              <w:rPr>
                <w:sz w:val="20"/>
              </w:rPr>
              <w:t>Difference</w:t>
            </w:r>
          </w:p>
        </w:tc>
        <w:tc>
          <w:tcPr>
            <w:tcW w:w="1040" w:type="dxa"/>
          </w:tcPr>
          <w:p w14:paraId="575CD1E4" w14:textId="0CD52256" w:rsidR="004145D6" w:rsidRPr="00F2724D" w:rsidRDefault="00847072" w:rsidP="00F2724D">
            <w:pPr>
              <w:jc w:val="center"/>
              <w:rPr>
                <w:sz w:val="20"/>
              </w:rPr>
            </w:pPr>
            <w:r>
              <w:rPr>
                <w:sz w:val="20"/>
              </w:rPr>
              <w:t>+4.0%</w:t>
            </w:r>
          </w:p>
        </w:tc>
        <w:tc>
          <w:tcPr>
            <w:tcW w:w="0" w:type="auto"/>
          </w:tcPr>
          <w:p w14:paraId="1EECFD95" w14:textId="0CFE24C4" w:rsidR="004145D6" w:rsidRPr="00F2724D" w:rsidRDefault="00847072" w:rsidP="00F2724D">
            <w:pPr>
              <w:jc w:val="center"/>
              <w:rPr>
                <w:sz w:val="20"/>
              </w:rPr>
            </w:pPr>
            <w:r>
              <w:rPr>
                <w:sz w:val="20"/>
              </w:rPr>
              <w:t>+0.9%</w:t>
            </w:r>
          </w:p>
        </w:tc>
        <w:tc>
          <w:tcPr>
            <w:tcW w:w="0" w:type="auto"/>
          </w:tcPr>
          <w:p w14:paraId="04C90A3C" w14:textId="30D20D90" w:rsidR="004145D6" w:rsidRPr="00F2724D" w:rsidRDefault="00DD2B02" w:rsidP="00F2724D">
            <w:pPr>
              <w:jc w:val="center"/>
              <w:rPr>
                <w:sz w:val="20"/>
              </w:rPr>
            </w:pPr>
            <w:r w:rsidRPr="00F2724D">
              <w:rPr>
                <w:sz w:val="20"/>
              </w:rPr>
              <w:t>+</w:t>
            </w:r>
            <w:r w:rsidR="004145D6" w:rsidRPr="00F2724D">
              <w:rPr>
                <w:sz w:val="20"/>
              </w:rPr>
              <w:t>1.8%</w:t>
            </w:r>
          </w:p>
        </w:tc>
        <w:tc>
          <w:tcPr>
            <w:tcW w:w="0" w:type="auto"/>
          </w:tcPr>
          <w:p w14:paraId="2F9A4FC1" w14:textId="6E8F0B3C" w:rsidR="004145D6" w:rsidRPr="00F2724D" w:rsidRDefault="00847072" w:rsidP="00F2724D">
            <w:pPr>
              <w:jc w:val="center"/>
              <w:rPr>
                <w:sz w:val="20"/>
              </w:rPr>
            </w:pPr>
            <w:r>
              <w:rPr>
                <w:sz w:val="20"/>
              </w:rPr>
              <w:t>+3.4%</w:t>
            </w:r>
          </w:p>
        </w:tc>
        <w:tc>
          <w:tcPr>
            <w:tcW w:w="0" w:type="auto"/>
          </w:tcPr>
          <w:p w14:paraId="4DF25C2E" w14:textId="6792FA62" w:rsidR="004145D6" w:rsidRPr="00F2724D" w:rsidRDefault="00847072" w:rsidP="00F2724D">
            <w:pPr>
              <w:jc w:val="center"/>
              <w:rPr>
                <w:sz w:val="20"/>
              </w:rPr>
            </w:pPr>
            <w:r>
              <w:rPr>
                <w:sz w:val="20"/>
              </w:rPr>
              <w:t>-1.3%</w:t>
            </w:r>
          </w:p>
        </w:tc>
        <w:tc>
          <w:tcPr>
            <w:tcW w:w="0" w:type="auto"/>
          </w:tcPr>
          <w:p w14:paraId="66591532" w14:textId="122B662B" w:rsidR="004145D6" w:rsidRPr="00F2724D" w:rsidRDefault="00847072" w:rsidP="00F2724D">
            <w:pPr>
              <w:jc w:val="center"/>
              <w:rPr>
                <w:sz w:val="20"/>
              </w:rPr>
            </w:pPr>
            <w:r>
              <w:rPr>
                <w:sz w:val="20"/>
              </w:rPr>
              <w:t>+</w:t>
            </w:r>
            <w:r w:rsidR="00A31604">
              <w:rPr>
                <w:sz w:val="20"/>
              </w:rPr>
              <w:t>0</w:t>
            </w:r>
            <w:r>
              <w:rPr>
                <w:sz w:val="20"/>
              </w:rPr>
              <w:t>.</w:t>
            </w:r>
            <w:r w:rsidR="00A31604">
              <w:rPr>
                <w:sz w:val="20"/>
              </w:rPr>
              <w:t>6</w:t>
            </w:r>
            <w:r>
              <w:rPr>
                <w:sz w:val="20"/>
              </w:rPr>
              <w:t>%</w:t>
            </w:r>
          </w:p>
        </w:tc>
      </w:tr>
      <w:tr w:rsidR="00847072" w14:paraId="7DD013D4" w14:textId="028F0D17" w:rsidTr="00F2724D">
        <w:tc>
          <w:tcPr>
            <w:tcW w:w="1555" w:type="dxa"/>
          </w:tcPr>
          <w:p w14:paraId="1A5E53CB" w14:textId="7EC57B66" w:rsidR="004145D6" w:rsidRPr="00F2724D" w:rsidRDefault="003E1584" w:rsidP="006B61D0">
            <w:pPr>
              <w:spacing w:after="200" w:line="276" w:lineRule="auto"/>
              <w:rPr>
                <w:sz w:val="20"/>
              </w:rPr>
            </w:pPr>
            <w:r>
              <w:rPr>
                <w:sz w:val="20"/>
              </w:rPr>
              <w:t>95% interval</w:t>
            </w:r>
            <w:r w:rsidR="00847072">
              <w:rPr>
                <w:sz w:val="20"/>
              </w:rPr>
              <w:t>*</w:t>
            </w:r>
          </w:p>
        </w:tc>
        <w:tc>
          <w:tcPr>
            <w:tcW w:w="1040" w:type="dxa"/>
          </w:tcPr>
          <w:p w14:paraId="3F0CDD55" w14:textId="0DC14D01" w:rsidR="00006A0B" w:rsidRPr="005D3167" w:rsidRDefault="00847072" w:rsidP="00F2724D">
            <w:pPr>
              <w:jc w:val="center"/>
              <w:rPr>
                <w:sz w:val="20"/>
                <w:szCs w:val="20"/>
              </w:rPr>
            </w:pPr>
            <w:r w:rsidRPr="00F2724D">
              <w:rPr>
                <w:sz w:val="20"/>
              </w:rPr>
              <w:t>(-</w:t>
            </w:r>
            <w:r w:rsidR="005A7691" w:rsidRPr="005D3167">
              <w:rPr>
                <w:sz w:val="20"/>
              </w:rPr>
              <w:t>0</w:t>
            </w:r>
            <w:r w:rsidRPr="00F2724D">
              <w:rPr>
                <w:sz w:val="20"/>
              </w:rPr>
              <w:t>.</w:t>
            </w:r>
            <w:r w:rsidR="005D3167" w:rsidRPr="00F2724D">
              <w:rPr>
                <w:sz w:val="20"/>
              </w:rPr>
              <w:t>5</w:t>
            </w:r>
            <w:r w:rsidRPr="00F2724D">
              <w:rPr>
                <w:sz w:val="20"/>
              </w:rPr>
              <w:t xml:space="preserve">%; </w:t>
            </w:r>
          </w:p>
          <w:p w14:paraId="2FC14493" w14:textId="502D2B6D" w:rsidR="004145D6" w:rsidRPr="00F2724D" w:rsidRDefault="00847072" w:rsidP="00F2724D">
            <w:pPr>
              <w:jc w:val="center"/>
              <w:rPr>
                <w:sz w:val="20"/>
              </w:rPr>
            </w:pPr>
            <w:r w:rsidRPr="00F2724D">
              <w:rPr>
                <w:sz w:val="20"/>
              </w:rPr>
              <w:t>+</w:t>
            </w:r>
            <w:r w:rsidR="005A7691" w:rsidRPr="005D3167">
              <w:rPr>
                <w:sz w:val="20"/>
              </w:rPr>
              <w:t>8</w:t>
            </w:r>
            <w:r w:rsidRPr="00F2724D">
              <w:rPr>
                <w:sz w:val="20"/>
              </w:rPr>
              <w:t>.</w:t>
            </w:r>
            <w:r w:rsidR="005D3167" w:rsidRPr="00F2724D">
              <w:rPr>
                <w:sz w:val="20"/>
              </w:rPr>
              <w:t>5</w:t>
            </w:r>
            <w:r w:rsidRPr="00F2724D">
              <w:rPr>
                <w:sz w:val="20"/>
              </w:rPr>
              <w:t>%)</w:t>
            </w:r>
          </w:p>
        </w:tc>
        <w:tc>
          <w:tcPr>
            <w:tcW w:w="0" w:type="auto"/>
          </w:tcPr>
          <w:p w14:paraId="695684D7" w14:textId="77777777" w:rsidR="00006A0B" w:rsidRPr="005D3167" w:rsidRDefault="00847072" w:rsidP="00F2724D">
            <w:pPr>
              <w:jc w:val="center"/>
              <w:rPr>
                <w:sz w:val="20"/>
              </w:rPr>
            </w:pPr>
            <w:r w:rsidRPr="00F2724D">
              <w:rPr>
                <w:sz w:val="20"/>
              </w:rPr>
              <w:t>(-</w:t>
            </w:r>
            <w:r w:rsidR="002457FF" w:rsidRPr="005D3167">
              <w:rPr>
                <w:sz w:val="20"/>
              </w:rPr>
              <w:t>0</w:t>
            </w:r>
            <w:r w:rsidRPr="00F2724D">
              <w:rPr>
                <w:sz w:val="20"/>
              </w:rPr>
              <w:t>.</w:t>
            </w:r>
            <w:r w:rsidR="002457FF" w:rsidRPr="005D3167">
              <w:rPr>
                <w:sz w:val="20"/>
              </w:rPr>
              <w:t>6</w:t>
            </w:r>
            <w:r w:rsidRPr="00F2724D">
              <w:rPr>
                <w:sz w:val="20"/>
              </w:rPr>
              <w:t xml:space="preserve">%; </w:t>
            </w:r>
          </w:p>
          <w:p w14:paraId="24708D3A" w14:textId="37331DD9" w:rsidR="004145D6" w:rsidRPr="00F2724D" w:rsidRDefault="00847072" w:rsidP="00F2724D">
            <w:pPr>
              <w:jc w:val="center"/>
              <w:rPr>
                <w:sz w:val="20"/>
              </w:rPr>
            </w:pPr>
            <w:r w:rsidRPr="00F2724D">
              <w:rPr>
                <w:sz w:val="20"/>
              </w:rPr>
              <w:t>+</w:t>
            </w:r>
            <w:r w:rsidR="002457FF" w:rsidRPr="005D3167">
              <w:rPr>
                <w:sz w:val="20"/>
              </w:rPr>
              <w:t>2</w:t>
            </w:r>
            <w:r w:rsidRPr="00F2724D">
              <w:rPr>
                <w:sz w:val="20"/>
              </w:rPr>
              <w:t>.</w:t>
            </w:r>
            <w:r w:rsidR="002457FF" w:rsidRPr="005D3167">
              <w:rPr>
                <w:sz w:val="20"/>
              </w:rPr>
              <w:t>4</w:t>
            </w:r>
            <w:r w:rsidRPr="00F2724D">
              <w:rPr>
                <w:sz w:val="20"/>
              </w:rPr>
              <w:t>%)</w:t>
            </w:r>
          </w:p>
        </w:tc>
        <w:tc>
          <w:tcPr>
            <w:tcW w:w="0" w:type="auto"/>
          </w:tcPr>
          <w:p w14:paraId="616FD4AA" w14:textId="77777777" w:rsidR="00006A0B" w:rsidRPr="005D3167" w:rsidRDefault="004145D6" w:rsidP="00F2724D">
            <w:pPr>
              <w:jc w:val="center"/>
              <w:rPr>
                <w:sz w:val="20"/>
              </w:rPr>
            </w:pPr>
            <w:r w:rsidRPr="00F2724D">
              <w:rPr>
                <w:sz w:val="20"/>
              </w:rPr>
              <w:t>(-0.9%</w:t>
            </w:r>
            <w:r w:rsidR="00DD2B02" w:rsidRPr="00F2724D">
              <w:rPr>
                <w:sz w:val="20"/>
              </w:rPr>
              <w:t xml:space="preserve">; </w:t>
            </w:r>
          </w:p>
          <w:p w14:paraId="0CE6AB09" w14:textId="1A3E768B" w:rsidR="004145D6" w:rsidRPr="00F2724D" w:rsidRDefault="00DD2B02" w:rsidP="00F2724D">
            <w:pPr>
              <w:jc w:val="center"/>
              <w:rPr>
                <w:sz w:val="20"/>
              </w:rPr>
            </w:pPr>
            <w:r w:rsidRPr="00F2724D">
              <w:rPr>
                <w:sz w:val="20"/>
              </w:rPr>
              <w:t>+</w:t>
            </w:r>
            <w:r w:rsidR="004145D6" w:rsidRPr="00F2724D">
              <w:rPr>
                <w:sz w:val="20"/>
              </w:rPr>
              <w:t>4.6%)</w:t>
            </w:r>
          </w:p>
        </w:tc>
        <w:tc>
          <w:tcPr>
            <w:tcW w:w="0" w:type="auto"/>
          </w:tcPr>
          <w:p w14:paraId="0FF904D1" w14:textId="77777777" w:rsidR="00006A0B" w:rsidRPr="005D3167" w:rsidRDefault="00847072" w:rsidP="00F2724D">
            <w:pPr>
              <w:jc w:val="center"/>
              <w:rPr>
                <w:sz w:val="20"/>
              </w:rPr>
            </w:pPr>
            <w:r w:rsidRPr="00F2724D">
              <w:rPr>
                <w:sz w:val="20"/>
              </w:rPr>
              <w:t>(</w:t>
            </w:r>
            <w:r w:rsidRPr="005D3167">
              <w:rPr>
                <w:sz w:val="20"/>
              </w:rPr>
              <w:t>+0</w:t>
            </w:r>
            <w:r w:rsidRPr="00F2724D">
              <w:rPr>
                <w:sz w:val="20"/>
              </w:rPr>
              <w:t>.</w:t>
            </w:r>
            <w:r w:rsidRPr="005D3167">
              <w:rPr>
                <w:sz w:val="20"/>
              </w:rPr>
              <w:t>2</w:t>
            </w:r>
            <w:r w:rsidRPr="00F2724D">
              <w:rPr>
                <w:sz w:val="20"/>
              </w:rPr>
              <w:t xml:space="preserve">%; </w:t>
            </w:r>
          </w:p>
          <w:p w14:paraId="083C3E42" w14:textId="5F3A7A39" w:rsidR="004145D6" w:rsidRPr="00F2724D" w:rsidRDefault="00847072" w:rsidP="00F2724D">
            <w:pPr>
              <w:jc w:val="center"/>
              <w:rPr>
                <w:sz w:val="20"/>
              </w:rPr>
            </w:pPr>
            <w:r w:rsidRPr="00F2724D">
              <w:rPr>
                <w:sz w:val="20"/>
              </w:rPr>
              <w:t>+</w:t>
            </w:r>
            <w:r w:rsidRPr="005D3167">
              <w:rPr>
                <w:sz w:val="20"/>
              </w:rPr>
              <w:t>6</w:t>
            </w:r>
            <w:r w:rsidRPr="00F2724D">
              <w:rPr>
                <w:sz w:val="20"/>
              </w:rPr>
              <w:t>.</w:t>
            </w:r>
            <w:r w:rsidRPr="005D3167">
              <w:rPr>
                <w:sz w:val="20"/>
              </w:rPr>
              <w:t>6</w:t>
            </w:r>
            <w:r w:rsidRPr="00F2724D">
              <w:rPr>
                <w:sz w:val="20"/>
              </w:rPr>
              <w:t>%)</w:t>
            </w:r>
          </w:p>
        </w:tc>
        <w:tc>
          <w:tcPr>
            <w:tcW w:w="0" w:type="auto"/>
          </w:tcPr>
          <w:p w14:paraId="28BBAB1B" w14:textId="407F180B" w:rsidR="00006A0B" w:rsidRPr="005D3167" w:rsidRDefault="00847072" w:rsidP="00F2724D">
            <w:pPr>
              <w:jc w:val="center"/>
              <w:rPr>
                <w:sz w:val="20"/>
              </w:rPr>
            </w:pPr>
            <w:r w:rsidRPr="00F2724D">
              <w:rPr>
                <w:sz w:val="20"/>
              </w:rPr>
              <w:t>(-</w:t>
            </w:r>
            <w:r w:rsidR="00006A0B" w:rsidRPr="005D3167">
              <w:rPr>
                <w:sz w:val="20"/>
              </w:rPr>
              <w:t>2</w:t>
            </w:r>
            <w:r w:rsidRPr="00F2724D">
              <w:rPr>
                <w:sz w:val="20"/>
              </w:rPr>
              <w:t>.</w:t>
            </w:r>
            <w:r w:rsidR="00006A0B" w:rsidRPr="005D3167">
              <w:rPr>
                <w:sz w:val="20"/>
              </w:rPr>
              <w:t>3</w:t>
            </w:r>
            <w:r w:rsidRPr="00F2724D">
              <w:rPr>
                <w:sz w:val="20"/>
              </w:rPr>
              <w:t xml:space="preserve">%; </w:t>
            </w:r>
          </w:p>
          <w:p w14:paraId="0A2D101E" w14:textId="48F61A5C" w:rsidR="004145D6" w:rsidRPr="00F2724D" w:rsidRDefault="00006A0B" w:rsidP="00F2724D">
            <w:pPr>
              <w:jc w:val="center"/>
              <w:rPr>
                <w:sz w:val="20"/>
              </w:rPr>
            </w:pPr>
            <w:r w:rsidRPr="00980A4D">
              <w:rPr>
                <w:sz w:val="20"/>
              </w:rPr>
              <w:t>-0</w:t>
            </w:r>
            <w:r w:rsidR="00847072" w:rsidRPr="00F2724D">
              <w:rPr>
                <w:sz w:val="20"/>
              </w:rPr>
              <w:t>.</w:t>
            </w:r>
            <w:r w:rsidRPr="005D3167">
              <w:rPr>
                <w:sz w:val="20"/>
              </w:rPr>
              <w:t>3</w:t>
            </w:r>
            <w:r w:rsidR="00847072" w:rsidRPr="00F2724D">
              <w:rPr>
                <w:sz w:val="20"/>
              </w:rPr>
              <w:t>%)</w:t>
            </w:r>
          </w:p>
        </w:tc>
        <w:tc>
          <w:tcPr>
            <w:tcW w:w="0" w:type="auto"/>
          </w:tcPr>
          <w:p w14:paraId="44F5CA60" w14:textId="4CC245C1" w:rsidR="004145D6" w:rsidRPr="00F2724D" w:rsidRDefault="00847072" w:rsidP="00F2724D">
            <w:pPr>
              <w:jc w:val="center"/>
              <w:rPr>
                <w:sz w:val="20"/>
              </w:rPr>
            </w:pPr>
            <w:r w:rsidRPr="00F2724D">
              <w:rPr>
                <w:sz w:val="20"/>
              </w:rPr>
              <w:t>(-</w:t>
            </w:r>
            <w:r w:rsidR="000D7735" w:rsidRPr="005D3167">
              <w:rPr>
                <w:sz w:val="20"/>
              </w:rPr>
              <w:t>0</w:t>
            </w:r>
            <w:r w:rsidRPr="00F2724D">
              <w:rPr>
                <w:sz w:val="20"/>
              </w:rPr>
              <w:t>.</w:t>
            </w:r>
            <w:r w:rsidR="005D3167" w:rsidRPr="00F2724D">
              <w:rPr>
                <w:sz w:val="20"/>
              </w:rPr>
              <w:t>2</w:t>
            </w:r>
            <w:r w:rsidRPr="00F2724D">
              <w:rPr>
                <w:sz w:val="20"/>
              </w:rPr>
              <w:t>%; +</w:t>
            </w:r>
            <w:r w:rsidR="000D7735" w:rsidRPr="005D3167">
              <w:rPr>
                <w:sz w:val="20"/>
              </w:rPr>
              <w:t>1</w:t>
            </w:r>
            <w:r w:rsidRPr="00F2724D">
              <w:rPr>
                <w:sz w:val="20"/>
              </w:rPr>
              <w:t>.</w:t>
            </w:r>
            <w:r w:rsidR="005D3167" w:rsidRPr="00F2724D">
              <w:rPr>
                <w:sz w:val="20"/>
              </w:rPr>
              <w:t>5</w:t>
            </w:r>
            <w:r w:rsidRPr="00F2724D">
              <w:rPr>
                <w:sz w:val="20"/>
              </w:rPr>
              <w:t>%)</w:t>
            </w:r>
          </w:p>
        </w:tc>
      </w:tr>
      <w:tr w:rsidR="00847072" w14:paraId="139A4685" w14:textId="2461A65C" w:rsidTr="00F2724D">
        <w:tc>
          <w:tcPr>
            <w:tcW w:w="1555" w:type="dxa"/>
          </w:tcPr>
          <w:p w14:paraId="4766E15A" w14:textId="5244AA36" w:rsidR="004145D6" w:rsidRPr="00F2724D" w:rsidRDefault="004145D6" w:rsidP="006B61D0">
            <w:pPr>
              <w:rPr>
                <w:sz w:val="20"/>
              </w:rPr>
            </w:pPr>
            <w:r w:rsidRPr="00F2724D">
              <w:rPr>
                <w:sz w:val="20"/>
              </w:rPr>
              <w:t>(Sample size)</w:t>
            </w:r>
          </w:p>
        </w:tc>
        <w:tc>
          <w:tcPr>
            <w:tcW w:w="1040" w:type="dxa"/>
          </w:tcPr>
          <w:p w14:paraId="50E01C9A" w14:textId="790E0F7A" w:rsidR="004145D6" w:rsidRPr="00F2724D" w:rsidRDefault="004145D6" w:rsidP="00F2724D">
            <w:pPr>
              <w:jc w:val="center"/>
              <w:rPr>
                <w:sz w:val="20"/>
              </w:rPr>
            </w:pPr>
            <w:r w:rsidRPr="00F2724D">
              <w:rPr>
                <w:sz w:val="20"/>
              </w:rPr>
              <w:t>(1477)</w:t>
            </w:r>
          </w:p>
        </w:tc>
        <w:tc>
          <w:tcPr>
            <w:tcW w:w="0" w:type="auto"/>
          </w:tcPr>
          <w:p w14:paraId="40B610CB" w14:textId="2A1C1108" w:rsidR="004145D6" w:rsidRPr="00F2724D" w:rsidRDefault="004145D6" w:rsidP="00F2724D">
            <w:pPr>
              <w:jc w:val="center"/>
              <w:rPr>
                <w:sz w:val="20"/>
              </w:rPr>
            </w:pPr>
            <w:r w:rsidRPr="00F2724D">
              <w:rPr>
                <w:sz w:val="20"/>
              </w:rPr>
              <w:t>(3036)</w:t>
            </w:r>
          </w:p>
        </w:tc>
        <w:tc>
          <w:tcPr>
            <w:tcW w:w="0" w:type="auto"/>
          </w:tcPr>
          <w:p w14:paraId="23AF1536" w14:textId="11C6218C" w:rsidR="004145D6" w:rsidRPr="00F2724D" w:rsidRDefault="004145D6" w:rsidP="00F2724D">
            <w:pPr>
              <w:jc w:val="center"/>
              <w:rPr>
                <w:sz w:val="20"/>
              </w:rPr>
            </w:pPr>
            <w:r w:rsidRPr="00F2724D">
              <w:rPr>
                <w:sz w:val="20"/>
              </w:rPr>
              <w:t>(2480)</w:t>
            </w:r>
          </w:p>
        </w:tc>
        <w:tc>
          <w:tcPr>
            <w:tcW w:w="0" w:type="auto"/>
          </w:tcPr>
          <w:p w14:paraId="0ECD8DD0" w14:textId="7901AFD4" w:rsidR="004145D6" w:rsidRPr="00F2724D" w:rsidRDefault="004145D6" w:rsidP="00F2724D">
            <w:pPr>
              <w:jc w:val="center"/>
              <w:rPr>
                <w:sz w:val="20"/>
              </w:rPr>
            </w:pPr>
            <w:r w:rsidRPr="00F2724D">
              <w:rPr>
                <w:sz w:val="20"/>
              </w:rPr>
              <w:t>(1525)</w:t>
            </w:r>
          </w:p>
        </w:tc>
        <w:tc>
          <w:tcPr>
            <w:tcW w:w="0" w:type="auto"/>
          </w:tcPr>
          <w:p w14:paraId="7EC62C31" w14:textId="2B74A7D1" w:rsidR="004145D6" w:rsidRPr="00F2724D" w:rsidRDefault="004145D6" w:rsidP="00F2724D">
            <w:pPr>
              <w:jc w:val="center"/>
              <w:rPr>
                <w:sz w:val="20"/>
              </w:rPr>
            </w:pPr>
            <w:r w:rsidRPr="00F2724D">
              <w:rPr>
                <w:sz w:val="20"/>
              </w:rPr>
              <w:t>(6712)</w:t>
            </w:r>
          </w:p>
        </w:tc>
        <w:tc>
          <w:tcPr>
            <w:tcW w:w="0" w:type="auto"/>
          </w:tcPr>
          <w:p w14:paraId="5137EDF7" w14:textId="4760FB21" w:rsidR="004145D6" w:rsidRPr="00F2724D" w:rsidRDefault="00847072" w:rsidP="00F2724D">
            <w:pPr>
              <w:jc w:val="center"/>
              <w:rPr>
                <w:sz w:val="20"/>
              </w:rPr>
            </w:pPr>
            <w:r>
              <w:rPr>
                <w:sz w:val="20"/>
              </w:rPr>
              <w:t>(15230)</w:t>
            </w:r>
          </w:p>
        </w:tc>
      </w:tr>
    </w:tbl>
    <w:p w14:paraId="4BFDBB54" w14:textId="54D8CBC4" w:rsidR="00DF57AF" w:rsidRDefault="00847072">
      <w:pPr>
        <w:spacing w:after="0" w:line="240" w:lineRule="auto"/>
        <w:rPr>
          <w:sz w:val="18"/>
          <w:szCs w:val="20"/>
        </w:rPr>
      </w:pPr>
      <w:r w:rsidRPr="00F2724D">
        <w:rPr>
          <w:sz w:val="18"/>
          <w:szCs w:val="20"/>
        </w:rPr>
        <w:t xml:space="preserve">* </w:t>
      </w:r>
      <w:r w:rsidR="00FB0E44" w:rsidRPr="00F2724D">
        <w:rPr>
          <w:sz w:val="18"/>
          <w:szCs w:val="20"/>
        </w:rPr>
        <w:t xml:space="preserve">Symmetric </w:t>
      </w:r>
      <w:r w:rsidR="00FB0E44">
        <w:rPr>
          <w:sz w:val="18"/>
          <w:szCs w:val="20"/>
        </w:rPr>
        <w:t>95</w:t>
      </w:r>
      <w:r w:rsidR="00980A4D">
        <w:rPr>
          <w:sz w:val="18"/>
          <w:szCs w:val="20"/>
        </w:rPr>
        <w:t xml:space="preserve">% confidence intervals, using </w:t>
      </w:r>
      <w:r w:rsidR="00FB0E44">
        <w:rPr>
          <w:sz w:val="18"/>
          <w:szCs w:val="20"/>
        </w:rPr>
        <w:t>standard error</w:t>
      </w:r>
      <w:r w:rsidR="00980A4D">
        <w:rPr>
          <w:sz w:val="18"/>
          <w:szCs w:val="20"/>
        </w:rPr>
        <w:t>s</w:t>
      </w:r>
      <w:r w:rsidR="00FB0E44">
        <w:rPr>
          <w:sz w:val="18"/>
          <w:szCs w:val="20"/>
        </w:rPr>
        <w:t xml:space="preserve"> estimated from 10,000 bootstrap resamples</w:t>
      </w:r>
      <w:r w:rsidR="00980A4D">
        <w:rPr>
          <w:sz w:val="18"/>
          <w:szCs w:val="20"/>
        </w:rPr>
        <w:t xml:space="preserve"> for each pollster</w:t>
      </w:r>
      <w:r w:rsidR="00FB0E44">
        <w:rPr>
          <w:sz w:val="18"/>
          <w:szCs w:val="20"/>
        </w:rPr>
        <w:t xml:space="preserve">. </w:t>
      </w:r>
    </w:p>
    <w:p w14:paraId="0665E761" w14:textId="214E9B5D" w:rsidR="00FB0E44" w:rsidRPr="00F2724D" w:rsidRDefault="00FB0E44">
      <w:pPr>
        <w:spacing w:after="0" w:line="240" w:lineRule="auto"/>
        <w:rPr>
          <w:sz w:val="18"/>
          <w:szCs w:val="20"/>
        </w:rPr>
      </w:pPr>
      <w:r>
        <w:rPr>
          <w:sz w:val="18"/>
          <w:szCs w:val="20"/>
        </w:rPr>
        <w:t xml:space="preserve">** Weighted average of the estimates </w:t>
      </w:r>
      <w:r w:rsidR="00CA3052">
        <w:rPr>
          <w:sz w:val="18"/>
          <w:szCs w:val="20"/>
        </w:rPr>
        <w:t xml:space="preserve">for different pollsters, </w:t>
      </w:r>
      <w:r>
        <w:rPr>
          <w:sz w:val="18"/>
          <w:szCs w:val="20"/>
        </w:rPr>
        <w:t>weighted by the</w:t>
      </w:r>
      <w:r w:rsidR="00A31604">
        <w:rPr>
          <w:sz w:val="18"/>
          <w:szCs w:val="20"/>
        </w:rPr>
        <w:t xml:space="preserve"> sample sizes.</w:t>
      </w:r>
    </w:p>
    <w:p w14:paraId="6B400ACD" w14:textId="77777777" w:rsidR="00DF57AF" w:rsidRDefault="00DF57AF">
      <w:r>
        <w:br w:type="page"/>
      </w:r>
    </w:p>
    <w:p w14:paraId="2AF23397" w14:textId="3B6AA814" w:rsidR="00DF57AF" w:rsidRDefault="00DF57AF" w:rsidP="00C84CA1">
      <w:pPr>
        <w:spacing w:after="0" w:line="240" w:lineRule="auto"/>
        <w:jc w:val="both"/>
        <w:rPr>
          <w:rFonts w:eastAsia="Times New Roman"/>
          <w:noProof/>
          <w:lang w:eastAsia="en-GB"/>
        </w:rPr>
      </w:pPr>
      <w:r w:rsidRPr="00DF57AF">
        <w:rPr>
          <w:rFonts w:eastAsia="Times New Roman"/>
          <w:noProof/>
          <w:lang w:eastAsia="en-GB"/>
        </w:rPr>
        <w:lastRenderedPageBreak/>
        <w:t xml:space="preserve">Figure </w:t>
      </w:r>
      <w:r w:rsidR="0060536E">
        <w:rPr>
          <w:rFonts w:eastAsia="Times New Roman"/>
          <w:noProof/>
          <w:lang w:eastAsia="en-GB"/>
        </w:rPr>
        <w:t>1</w:t>
      </w:r>
      <w:r w:rsidRPr="00DF57AF">
        <w:rPr>
          <w:rFonts w:eastAsia="Times New Roman"/>
          <w:noProof/>
          <w:lang w:eastAsia="en-GB"/>
        </w:rPr>
        <w:t xml:space="preserve">. </w:t>
      </w:r>
      <w:r w:rsidR="00AA6A0D">
        <w:rPr>
          <w:rFonts w:eastAsia="Times New Roman"/>
          <w:noProof/>
          <w:lang w:eastAsia="en-GB"/>
        </w:rPr>
        <w:t xml:space="preserve">Probability of turnout, estimated from </w:t>
      </w:r>
      <w:r w:rsidR="004112C6">
        <w:rPr>
          <w:rFonts w:eastAsia="Times New Roman"/>
          <w:noProof/>
          <w:lang w:eastAsia="en-GB"/>
        </w:rPr>
        <w:t>fi</w:t>
      </w:r>
      <w:r w:rsidR="00AA6A0D">
        <w:rPr>
          <w:rFonts w:eastAsia="Times New Roman"/>
          <w:noProof/>
          <w:lang w:eastAsia="en-GB"/>
        </w:rPr>
        <w:t xml:space="preserve">ve re-contact surveys, as a smoothed function of </w:t>
      </w:r>
      <w:r w:rsidR="00C84CA1">
        <w:rPr>
          <w:rFonts w:eastAsia="Times New Roman"/>
          <w:noProof/>
          <w:lang w:eastAsia="en-GB"/>
        </w:rPr>
        <w:t>turnout weights for the same respondents</w:t>
      </w:r>
      <w:r w:rsidR="00AA6A0D">
        <w:rPr>
          <w:rFonts w:eastAsia="Times New Roman"/>
          <w:noProof/>
          <w:lang w:eastAsia="en-GB"/>
        </w:rPr>
        <w:t xml:space="preserve"> </w:t>
      </w:r>
      <w:r w:rsidR="00C84CA1">
        <w:rPr>
          <w:rFonts w:eastAsia="Times New Roman"/>
          <w:noProof/>
          <w:lang w:eastAsia="en-GB"/>
        </w:rPr>
        <w:t>obtained from pre-election polls</w:t>
      </w:r>
      <w:r w:rsidR="00AA6A0D">
        <w:rPr>
          <w:rFonts w:eastAsia="Times New Roman"/>
          <w:noProof/>
          <w:lang w:eastAsia="en-GB"/>
        </w:rPr>
        <w:t xml:space="preserve"> (solid lines, with 95% confidence bands in gray shading). </w:t>
      </w:r>
      <w:r w:rsidR="00AA6A0D">
        <w:rPr>
          <w:sz w:val="23"/>
          <w:szCs w:val="23"/>
        </w:rPr>
        <w:t>The bar charts at the bottom of each plot show the relative frequencies of the values of the turnout weights.</w:t>
      </w:r>
      <w:r w:rsidR="00C84CA1">
        <w:rPr>
          <w:rFonts w:eastAsia="Times New Roman"/>
          <w:noProof/>
          <w:lang w:eastAsia="en-GB"/>
        </w:rPr>
        <w:t xml:space="preserve"> </w:t>
      </w:r>
    </w:p>
    <w:p w14:paraId="28B1FCC0" w14:textId="77777777" w:rsidR="00DF57AF" w:rsidRDefault="00DF57AF" w:rsidP="006B61D0">
      <w:pPr>
        <w:spacing w:after="0" w:line="240" w:lineRule="auto"/>
        <w:rPr>
          <w:rFonts w:eastAsia="Times New Roman"/>
          <w:noProof/>
          <w:lang w:eastAsia="en-GB"/>
        </w:rPr>
      </w:pPr>
    </w:p>
    <w:p w14:paraId="5F12168D" w14:textId="38F4DBA6" w:rsidR="00C533D1" w:rsidRDefault="00DF57AF" w:rsidP="006B61D0">
      <w:pPr>
        <w:spacing w:after="0" w:line="240" w:lineRule="auto"/>
      </w:pPr>
      <w:r>
        <w:rPr>
          <w:rFonts w:eastAsia="Times New Roman"/>
          <w:noProof/>
          <w:lang w:val="en-US" w:eastAsia="en-US"/>
        </w:rPr>
        <w:drawing>
          <wp:inline distT="0" distB="0" distL="0" distR="0" wp14:anchorId="67A9AB8C" wp14:editId="3EC51CE4">
            <wp:extent cx="5810250" cy="3910112"/>
            <wp:effectExtent l="0" t="0" r="0" b="0"/>
            <wp:docPr id="24" name="Picture 24" descr="cid:1464D49F-C097-4B22-8443-08C086B48FC2@eduroam.oxuni.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C627587-148C-4513-BC82-7ED30AC8B8E2" descr="cid:1464D49F-C097-4B22-8443-08C086B48FC2@eduroam.oxuni.org.uk"/>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2170" t="6457" r="2170" b="5146"/>
                    <a:stretch/>
                  </pic:blipFill>
                  <pic:spPr bwMode="auto">
                    <a:xfrm>
                      <a:off x="0" y="0"/>
                      <a:ext cx="5820725" cy="3917161"/>
                    </a:xfrm>
                    <a:prstGeom prst="rect">
                      <a:avLst/>
                    </a:prstGeom>
                    <a:noFill/>
                    <a:ln>
                      <a:noFill/>
                    </a:ln>
                    <a:extLst>
                      <a:ext uri="{53640926-AAD7-44d8-BBD7-CCE9431645EC}">
                        <a14:shadowObscured xmlns:a14="http://schemas.microsoft.com/office/drawing/2010/main"/>
                      </a:ext>
                    </a:extLst>
                  </pic:spPr>
                </pic:pic>
              </a:graphicData>
            </a:graphic>
          </wp:inline>
        </w:drawing>
      </w:r>
    </w:p>
    <w:p w14:paraId="249B3C42" w14:textId="77777777" w:rsidR="00C533D1" w:rsidRDefault="00C533D1">
      <w:r>
        <w:br w:type="page"/>
      </w:r>
    </w:p>
    <w:p w14:paraId="2A83A509" w14:textId="77777777" w:rsidR="00C533D1" w:rsidRDefault="00C533D1" w:rsidP="006B61D0">
      <w:pPr>
        <w:spacing w:after="0" w:line="240" w:lineRule="auto"/>
        <w:rPr>
          <w:noProof/>
          <w:lang w:eastAsia="en-GB"/>
        </w:rPr>
      </w:pPr>
    </w:p>
    <w:p w14:paraId="547AFAEF" w14:textId="6BECD8AA" w:rsidR="00C533D1" w:rsidRDefault="00C533D1" w:rsidP="00C533D1">
      <w:pPr>
        <w:spacing w:after="0" w:line="240" w:lineRule="auto"/>
        <w:jc w:val="both"/>
        <w:rPr>
          <w:noProof/>
          <w:lang w:eastAsia="en-GB"/>
        </w:rPr>
      </w:pPr>
      <w:r w:rsidRPr="00C533D1">
        <w:rPr>
          <w:noProof/>
          <w:lang w:eastAsia="en-GB"/>
        </w:rPr>
        <w:t xml:space="preserve">Figure </w:t>
      </w:r>
      <w:r>
        <w:rPr>
          <w:noProof/>
          <w:lang w:eastAsia="en-GB"/>
        </w:rPr>
        <w:t>2</w:t>
      </w:r>
      <w:r w:rsidRPr="00C533D1">
        <w:rPr>
          <w:noProof/>
          <w:lang w:eastAsia="en-GB"/>
        </w:rPr>
        <w:t>. Conservative lead over Labour (% for Great Britain), estimated f</w:t>
      </w:r>
      <w:r>
        <w:rPr>
          <w:noProof/>
          <w:lang w:eastAsia="en-GB"/>
        </w:rPr>
        <w:t>rom the final polls by the nine BPC members with different specifications of the turnout weights. From left to right, these sp</w:t>
      </w:r>
      <w:r w:rsidR="00371F06">
        <w:rPr>
          <w:noProof/>
          <w:lang w:eastAsia="en-GB"/>
        </w:rPr>
        <w:t>e</w:t>
      </w:r>
      <w:r>
        <w:rPr>
          <w:noProof/>
          <w:lang w:eastAsia="en-GB"/>
        </w:rPr>
        <w:t>cification</w:t>
      </w:r>
      <w:r w:rsidR="00371F06">
        <w:rPr>
          <w:noProof/>
          <w:lang w:eastAsia="en-GB"/>
        </w:rPr>
        <w:t>s</w:t>
      </w:r>
      <w:r>
        <w:rPr>
          <w:noProof/>
          <w:lang w:eastAsia="en-GB"/>
        </w:rPr>
        <w:t xml:space="preserve"> are: using only the respondents who said they were certain to vote; the original (</w:t>
      </w:r>
      <w:r w:rsidR="003E1584">
        <w:rPr>
          <w:noProof/>
          <w:lang w:eastAsia="en-GB"/>
        </w:rPr>
        <w:t>pollster</w:t>
      </w:r>
      <w:r>
        <w:rPr>
          <w:noProof/>
          <w:lang w:eastAsia="en-GB"/>
        </w:rPr>
        <w:t>-specific) turnout weights (p), weights of p+p*(1-p), and using all respondents with weight 1, irrespective of stated likelihood to vote.  The g</w:t>
      </w:r>
      <w:r w:rsidRPr="00C533D1">
        <w:rPr>
          <w:noProof/>
          <w:lang w:eastAsia="en-GB"/>
        </w:rPr>
        <w:t>reen line</w:t>
      </w:r>
      <w:r>
        <w:rPr>
          <w:noProof/>
          <w:lang w:eastAsia="en-GB"/>
        </w:rPr>
        <w:t xml:space="preserve"> shows the true election result (+6.</w:t>
      </w:r>
      <w:r w:rsidR="00E43D38">
        <w:rPr>
          <w:noProof/>
          <w:lang w:eastAsia="en-GB"/>
        </w:rPr>
        <w:t>5</w:t>
      </w:r>
      <w:r>
        <w:rPr>
          <w:noProof/>
          <w:lang w:eastAsia="en-GB"/>
        </w:rPr>
        <w:t>%) and the d</w:t>
      </w:r>
      <w:r w:rsidRPr="00C533D1">
        <w:rPr>
          <w:noProof/>
          <w:lang w:eastAsia="en-GB"/>
        </w:rPr>
        <w:t>ark red line</w:t>
      </w:r>
      <w:r>
        <w:rPr>
          <w:noProof/>
          <w:lang w:eastAsia="en-GB"/>
        </w:rPr>
        <w:t xml:space="preserve"> the u</w:t>
      </w:r>
      <w:r w:rsidRPr="00C533D1">
        <w:rPr>
          <w:noProof/>
          <w:lang w:eastAsia="en-GB"/>
        </w:rPr>
        <w:t>nweighted average of the figures for the nine polls.</w:t>
      </w:r>
    </w:p>
    <w:p w14:paraId="7536234B" w14:textId="0FFE6354" w:rsidR="002B0C6D" w:rsidRDefault="00C533D1" w:rsidP="006B61D0">
      <w:pPr>
        <w:spacing w:after="0" w:line="240" w:lineRule="auto"/>
      </w:pPr>
      <w:r>
        <w:rPr>
          <w:noProof/>
          <w:lang w:val="en-US" w:eastAsia="en-US"/>
        </w:rPr>
        <w:drawing>
          <wp:inline distT="0" distB="0" distL="0" distR="0" wp14:anchorId="6D0D26BA" wp14:editId="2645DC63">
            <wp:extent cx="5972175" cy="368937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656" cy="3689670"/>
                    </a:xfrm>
                    <a:prstGeom prst="rect">
                      <a:avLst/>
                    </a:prstGeom>
                    <a:noFill/>
                    <a:ln>
                      <a:noFill/>
                    </a:ln>
                  </pic:spPr>
                </pic:pic>
              </a:graphicData>
            </a:graphic>
          </wp:inline>
        </w:drawing>
      </w:r>
    </w:p>
    <w:p w14:paraId="2D353E12" w14:textId="77777777" w:rsidR="002B0C6D" w:rsidRDefault="002B0C6D">
      <w:r>
        <w:br w:type="page"/>
      </w:r>
    </w:p>
    <w:p w14:paraId="49D1A4AE" w14:textId="7840DDE0" w:rsidR="00453A90" w:rsidRDefault="00453A90" w:rsidP="00453A90">
      <w:pPr>
        <w:spacing w:after="0" w:line="240" w:lineRule="auto"/>
        <w:jc w:val="both"/>
      </w:pPr>
      <w:r>
        <w:lastRenderedPageBreak/>
        <w:t>Figure 3. E</w:t>
      </w:r>
      <w:r w:rsidRPr="00453A90">
        <w:t>stimates of voting intention for different parties (as % of vote in Great Britain)</w:t>
      </w:r>
      <w:r>
        <w:t>: British Election Study (BES; gold bars), British Social Attitudes Survey (BSA; yellow [middle</w:t>
      </w:r>
      <w:r w:rsidR="00FB4FBD">
        <w:t>]</w:t>
      </w:r>
      <w:r>
        <w:t xml:space="preserve"> bars), and the average of final polls by the nine members of the British Polling Council. </w:t>
      </w:r>
      <w:r w:rsidR="00371F06">
        <w:t>The election results are shown by the green lines.</w:t>
      </w:r>
    </w:p>
    <w:p w14:paraId="164C8105" w14:textId="6E9B06FD" w:rsidR="00F5325A" w:rsidRDefault="002B0C6D" w:rsidP="006B61D0">
      <w:pPr>
        <w:spacing w:after="0" w:line="240" w:lineRule="auto"/>
      </w:pPr>
      <w:r>
        <w:rPr>
          <w:noProof/>
          <w:lang w:val="en-US" w:eastAsia="en-US"/>
        </w:rPr>
        <w:drawing>
          <wp:inline distT="0" distB="0" distL="0" distR="0" wp14:anchorId="4C67F891" wp14:editId="46A17B07">
            <wp:extent cx="5810250" cy="4914643"/>
            <wp:effectExtent l="0" t="0" r="0" b="635"/>
            <wp:docPr id="26" name="Picture 26" descr="C:\Users\ps1r07\Downloads\BESBSApolls.barchart.no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s1r07\Downloads\BESBSApolls.barchart.nolegend.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3200" r="6149" b="7414"/>
                    <a:stretch/>
                  </pic:blipFill>
                  <pic:spPr bwMode="auto">
                    <a:xfrm>
                      <a:off x="0" y="0"/>
                      <a:ext cx="5817644" cy="4920898"/>
                    </a:xfrm>
                    <a:prstGeom prst="rect">
                      <a:avLst/>
                    </a:prstGeom>
                    <a:noFill/>
                    <a:ln>
                      <a:noFill/>
                    </a:ln>
                    <a:extLst>
                      <a:ext uri="{53640926-AAD7-44d8-BBD7-CCE9431645EC}">
                        <a14:shadowObscured xmlns:a14="http://schemas.microsoft.com/office/drawing/2010/main"/>
                      </a:ext>
                    </a:extLst>
                  </pic:spPr>
                </pic:pic>
              </a:graphicData>
            </a:graphic>
          </wp:inline>
        </w:drawing>
      </w:r>
    </w:p>
    <w:p w14:paraId="48FE44C2" w14:textId="34B7FE7C" w:rsidR="00397A9A" w:rsidRDefault="00453A90" w:rsidP="006B61D0">
      <w:pPr>
        <w:spacing w:after="0" w:line="240" w:lineRule="auto"/>
      </w:pPr>
      <w:r>
        <w:t>95% confidence intervals for BES and BSA estimates are also shown.</w:t>
      </w:r>
    </w:p>
    <w:p w14:paraId="78AC9305" w14:textId="77777777" w:rsidR="00397A9A" w:rsidRDefault="00397A9A">
      <w:pPr>
        <w:sectPr w:rsidR="00397A9A" w:rsidSect="00F2724D">
          <w:footerReference w:type="even" r:id="rId19"/>
          <w:footerReference w:type="default" r:id="rId20"/>
          <w:type w:val="continuous"/>
          <w:pgSz w:w="11906" w:h="16838" w:code="9"/>
          <w:pgMar w:top="1440" w:right="1440" w:bottom="1440" w:left="1440" w:header="709" w:footer="709" w:gutter="0"/>
          <w:pgNumType w:start="0"/>
          <w:cols w:space="708"/>
          <w:titlePg/>
          <w:docGrid w:linePitch="360"/>
        </w:sectPr>
      </w:pPr>
    </w:p>
    <w:p w14:paraId="60EFAE02" w14:textId="43BA0B92" w:rsidR="00AF1C08" w:rsidRDefault="00AF1C08" w:rsidP="00AF1C08">
      <w:pPr>
        <w:jc w:val="both"/>
      </w:pPr>
      <w:r>
        <w:rPr>
          <w:noProof/>
          <w:lang w:eastAsia="en-GB"/>
        </w:rPr>
        <w:lastRenderedPageBreak/>
        <w:t xml:space="preserve">Figure 4. </w:t>
      </w:r>
      <w:r>
        <w:t xml:space="preserve">Conservative lead over Labour (% for Great Britain), estimated from nine final polls, separately by categories of some weighting variables (clockwise from top left: </w:t>
      </w:r>
      <w:r w:rsidR="00F54D73">
        <w:t xml:space="preserve">gender, </w:t>
      </w:r>
      <w:r>
        <w:t xml:space="preserve">age group, region, and party vote in the 2010 general election).   </w:t>
      </w:r>
    </w:p>
    <w:p w14:paraId="25862AE2" w14:textId="77777777" w:rsidR="00AF1C08" w:rsidRDefault="00AF1C08" w:rsidP="00AF1C08">
      <w:pPr>
        <w:rPr>
          <w:noProof/>
          <w:lang w:eastAsia="en-GB"/>
        </w:rPr>
      </w:pPr>
      <w:r>
        <w:rPr>
          <w:noProof/>
          <w:lang w:val="en-US" w:eastAsia="en-US"/>
        </w:rPr>
        <w:drawing>
          <wp:inline distT="0" distB="0" distL="0" distR="0" wp14:anchorId="0735D79A" wp14:editId="5FDE5C39">
            <wp:extent cx="3638550" cy="2360457"/>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b="8719"/>
                    <a:stretch/>
                  </pic:blipFill>
                  <pic:spPr bwMode="auto">
                    <a:xfrm>
                      <a:off x="0" y="0"/>
                      <a:ext cx="3640864" cy="236195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n-GB"/>
        </w:rPr>
        <w:t xml:space="preserve">          </w:t>
      </w:r>
      <w:r>
        <w:rPr>
          <w:noProof/>
          <w:lang w:val="en-US" w:eastAsia="en-US"/>
        </w:rPr>
        <w:drawing>
          <wp:inline distT="0" distB="0" distL="0" distR="0" wp14:anchorId="1AA6C3E4" wp14:editId="54CC6C87">
            <wp:extent cx="3619500" cy="2166065"/>
            <wp:effectExtent l="0" t="0" r="0" b="5715"/>
            <wp:docPr id="27" name="Picture 27" descr="C:\Users\ps1r07\Downloads\ConLabD.by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s1r07\Downloads\ConLabD.byage (1).png"/>
                    <pic:cNvPicPr>
                      <a:picLocks noChangeAspect="1" noChangeArrowheads="1"/>
                    </pic:cNvPicPr>
                  </pic:nvPicPr>
                  <pic:blipFill rotWithShape="1">
                    <a:blip r:embed="rId22">
                      <a:extLst>
                        <a:ext uri="{28A0092B-C50C-407E-A947-70E740481C1C}">
                          <a14:useLocalDpi xmlns:a14="http://schemas.microsoft.com/office/drawing/2010/main" val="0"/>
                        </a:ext>
                      </a:extLst>
                    </a:blip>
                    <a:srcRect t="2050" r="1266" b="8905"/>
                    <a:stretch/>
                  </pic:blipFill>
                  <pic:spPr bwMode="auto">
                    <a:xfrm>
                      <a:off x="0" y="0"/>
                      <a:ext cx="3625249" cy="2169506"/>
                    </a:xfrm>
                    <a:prstGeom prst="rect">
                      <a:avLst/>
                    </a:prstGeom>
                    <a:noFill/>
                    <a:ln>
                      <a:noFill/>
                    </a:ln>
                    <a:extLst>
                      <a:ext uri="{53640926-AAD7-44d8-BBD7-CCE9431645EC}">
                        <a14:shadowObscured xmlns:a14="http://schemas.microsoft.com/office/drawing/2010/main"/>
                      </a:ext>
                    </a:extLst>
                  </pic:spPr>
                </pic:pic>
              </a:graphicData>
            </a:graphic>
          </wp:inline>
        </w:drawing>
      </w:r>
    </w:p>
    <w:p w14:paraId="3FD27095" w14:textId="77777777" w:rsidR="00AF1C08" w:rsidRDefault="00AF1C08" w:rsidP="00AF1C08">
      <w:pPr>
        <w:rPr>
          <w:noProof/>
          <w:lang w:eastAsia="en-GB"/>
        </w:rPr>
      </w:pPr>
      <w:r>
        <w:rPr>
          <w:noProof/>
          <w:lang w:val="en-US" w:eastAsia="en-US"/>
        </w:rPr>
        <w:drawing>
          <wp:inline distT="0" distB="0" distL="0" distR="0" wp14:anchorId="7735CBCD" wp14:editId="4605AB87">
            <wp:extent cx="3638550" cy="252943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4107" cy="2533293"/>
                    </a:xfrm>
                    <a:prstGeom prst="rect">
                      <a:avLst/>
                    </a:prstGeom>
                    <a:noFill/>
                    <a:ln>
                      <a:noFill/>
                    </a:ln>
                  </pic:spPr>
                </pic:pic>
              </a:graphicData>
            </a:graphic>
          </wp:inline>
        </w:drawing>
      </w:r>
      <w:r>
        <w:rPr>
          <w:noProof/>
          <w:lang w:eastAsia="en-GB"/>
        </w:rPr>
        <w:t xml:space="preserve">    </w:t>
      </w:r>
      <w:r>
        <w:rPr>
          <w:noProof/>
          <w:lang w:val="en-US" w:eastAsia="en-US"/>
        </w:rPr>
        <w:drawing>
          <wp:inline distT="0" distB="0" distL="0" distR="0" wp14:anchorId="38636869" wp14:editId="0B7E955B">
            <wp:extent cx="4029075" cy="2360007"/>
            <wp:effectExtent l="0" t="0" r="0" b="2540"/>
            <wp:docPr id="28" name="Picture 28" descr="C:\Users\ps1r07\Downloads\ConLabD.byreg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ps1r07\Downloads\ConLabD.byregion (1).png"/>
                    <pic:cNvPicPr>
                      <a:picLocks noChangeAspect="1" noChangeArrowheads="1"/>
                    </pic:cNvPicPr>
                  </pic:nvPicPr>
                  <pic:blipFill rotWithShape="1">
                    <a:blip r:embed="rId24">
                      <a:extLst>
                        <a:ext uri="{28A0092B-C50C-407E-A947-70E740481C1C}">
                          <a14:useLocalDpi xmlns:a14="http://schemas.microsoft.com/office/drawing/2010/main" val="0"/>
                        </a:ext>
                      </a:extLst>
                    </a:blip>
                    <a:srcRect t="2343" r="2351" b="11249"/>
                    <a:stretch/>
                  </pic:blipFill>
                  <pic:spPr bwMode="auto">
                    <a:xfrm>
                      <a:off x="0" y="0"/>
                      <a:ext cx="4038869" cy="2365743"/>
                    </a:xfrm>
                    <a:prstGeom prst="rect">
                      <a:avLst/>
                    </a:prstGeom>
                    <a:noFill/>
                    <a:ln>
                      <a:noFill/>
                    </a:ln>
                    <a:extLst>
                      <a:ext uri="{53640926-AAD7-44d8-BBD7-CCE9431645EC}">
                        <a14:shadowObscured xmlns:a14="http://schemas.microsoft.com/office/drawing/2010/main"/>
                      </a:ext>
                    </a:extLst>
                  </pic:spPr>
                </pic:pic>
              </a:graphicData>
            </a:graphic>
          </wp:inline>
        </w:drawing>
      </w:r>
    </w:p>
    <w:p w14:paraId="616C29E3" w14:textId="164B2A46" w:rsidR="00397A9A" w:rsidRDefault="00AF1C08">
      <w:pPr>
        <w:rPr>
          <w:noProof/>
          <w:lang w:eastAsia="en-GB"/>
        </w:rPr>
      </w:pPr>
      <w:r>
        <w:rPr>
          <w:noProof/>
          <w:lang w:eastAsia="en-GB"/>
        </w:rPr>
        <w:t>Dark red line: Average of the polls; Gold: Estimate from combined BES/BSA sample, with 95% c</w:t>
      </w:r>
      <w:r w:rsidR="00FB4FBD">
        <w:rPr>
          <w:noProof/>
          <w:lang w:eastAsia="en-GB"/>
        </w:rPr>
        <w:t>onfidence intervals</w:t>
      </w:r>
      <w:r>
        <w:rPr>
          <w:noProof/>
          <w:lang w:eastAsia="en-GB"/>
        </w:rPr>
        <w:t xml:space="preserve"> (2010 vote from BES only); Green: 2015 election result.</w:t>
      </w:r>
      <w:r w:rsidR="00D472A0">
        <w:rPr>
          <w:noProof/>
          <w:lang w:eastAsia="en-GB"/>
        </w:rPr>
        <w:t xml:space="preserve"> </w:t>
      </w:r>
      <w:r w:rsidR="00E67015">
        <w:rPr>
          <w:noProof/>
          <w:lang w:eastAsia="en-GB"/>
        </w:rPr>
        <w:t>In t</w:t>
      </w:r>
      <w:r w:rsidR="00D472A0">
        <w:rPr>
          <w:noProof/>
          <w:lang w:eastAsia="en-GB"/>
        </w:rPr>
        <w:t xml:space="preserve">he plot for the </w:t>
      </w:r>
      <w:r w:rsidR="00E67015">
        <w:rPr>
          <w:noProof/>
          <w:lang w:eastAsia="en-GB"/>
        </w:rPr>
        <w:t>2010 vote, the vertical axis is centered so that 0 represents the difference in the BES (which is shown on the horizontal axis; for example, among those who reported voting Conservative in 2010, the Con-Lab difference in the BES was +82%)</w:t>
      </w:r>
      <w:r w:rsidR="00D472A0">
        <w:rPr>
          <w:noProof/>
          <w:lang w:eastAsia="en-GB"/>
        </w:rPr>
        <w:t xml:space="preserve"> </w:t>
      </w:r>
    </w:p>
    <w:p w14:paraId="4501CBF5" w14:textId="40601F42" w:rsidR="00765374" w:rsidRDefault="00765374">
      <w:pPr>
        <w:sectPr w:rsidR="00765374" w:rsidSect="00AF1C08">
          <w:pgSz w:w="16838" w:h="11906" w:orient="landscape"/>
          <w:pgMar w:top="720" w:right="720" w:bottom="720" w:left="720" w:header="708" w:footer="708" w:gutter="0"/>
          <w:cols w:space="708"/>
          <w:docGrid w:linePitch="360"/>
        </w:sectPr>
      </w:pPr>
    </w:p>
    <w:p w14:paraId="4823D966" w14:textId="12C1B03B" w:rsidR="00453A90" w:rsidRDefault="00D00E24" w:rsidP="00702A8A">
      <w:r w:rsidRPr="00D00E24">
        <w:lastRenderedPageBreak/>
        <w:t xml:space="preserve">Figure </w:t>
      </w:r>
      <w:r>
        <w:t>5</w:t>
      </w:r>
      <w:r w:rsidRPr="00D00E24">
        <w:t xml:space="preserve">. </w:t>
      </w:r>
      <w:r>
        <w:t xml:space="preserve">Age distribution of the respondents aged 65 or over in three final polls, compared with the distribution in </w:t>
      </w:r>
      <w:r w:rsidR="00702A8A">
        <w:t xml:space="preserve">the British Election Study and the British Social Attitudes survey (combined sample; gold line) and in the 2011 census (green). </w:t>
      </w:r>
    </w:p>
    <w:p w14:paraId="6696B473" w14:textId="3FC24BC6" w:rsidR="00715FC5" w:rsidRDefault="00D00E24" w:rsidP="006B61D0">
      <w:pPr>
        <w:spacing w:after="0" w:line="240" w:lineRule="auto"/>
      </w:pPr>
      <w:r>
        <w:rPr>
          <w:noProof/>
          <w:lang w:val="en-US" w:eastAsia="en-US"/>
        </w:rPr>
        <w:drawing>
          <wp:inline distT="0" distB="0" distL="0" distR="0" wp14:anchorId="13334484" wp14:editId="079FF2A7">
            <wp:extent cx="5554264" cy="3429000"/>
            <wp:effectExtent l="0" t="0" r="8890" b="0"/>
            <wp:docPr id="29" name="Picture 29" descr="C:\Users\ps1r07\Downloads\Polls.agedist.65pl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ps1r07\Downloads\Polls.agedist.65plus.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7612" cy="3431067"/>
                    </a:xfrm>
                    <a:prstGeom prst="rect">
                      <a:avLst/>
                    </a:prstGeom>
                    <a:noFill/>
                    <a:ln>
                      <a:noFill/>
                    </a:ln>
                  </pic:spPr>
                </pic:pic>
              </a:graphicData>
            </a:graphic>
          </wp:inline>
        </w:drawing>
      </w:r>
    </w:p>
    <w:p w14:paraId="1BE1B4F6" w14:textId="77777777" w:rsidR="00715FC5" w:rsidRDefault="00715FC5">
      <w:r>
        <w:br w:type="page"/>
      </w:r>
    </w:p>
    <w:p w14:paraId="365FB3AC" w14:textId="29B975DB" w:rsidR="00715FC5" w:rsidRDefault="00715FC5" w:rsidP="009302A4">
      <w:r w:rsidRPr="00D00E24">
        <w:lastRenderedPageBreak/>
        <w:t xml:space="preserve">Figure </w:t>
      </w:r>
      <w:r w:rsidR="00BC67F0">
        <w:t>6</w:t>
      </w:r>
      <w:r w:rsidRPr="00D00E24">
        <w:t xml:space="preserve">. </w:t>
      </w:r>
      <w:r w:rsidR="009302A4">
        <w:t xml:space="preserve">Proportion of individuals who report that they voted in the 2010 General Election, by age band (in 2015), estimated from nine final polls, compared to the estimates from the 2015 British Election Study (gold line, with 95 confidence intervals). </w:t>
      </w:r>
    </w:p>
    <w:p w14:paraId="625A5D83" w14:textId="77777777" w:rsidR="00397A9A" w:rsidRDefault="00397A9A" w:rsidP="006B61D0">
      <w:pPr>
        <w:spacing w:after="0" w:line="240" w:lineRule="auto"/>
      </w:pPr>
    </w:p>
    <w:p w14:paraId="107CA621" w14:textId="3D3B0A38" w:rsidR="00715FC5" w:rsidRDefault="00715FC5" w:rsidP="006B61D0">
      <w:pPr>
        <w:spacing w:after="0" w:line="240" w:lineRule="auto"/>
      </w:pPr>
      <w:r>
        <w:rPr>
          <w:noProof/>
          <w:lang w:val="en-US" w:eastAsia="en-US"/>
        </w:rPr>
        <w:drawing>
          <wp:inline distT="0" distB="0" distL="0" distR="0" wp14:anchorId="51BA3D5A" wp14:editId="3B7D16AE">
            <wp:extent cx="5643654" cy="340350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2421" cy="3414825"/>
                    </a:xfrm>
                    <a:prstGeom prst="rect">
                      <a:avLst/>
                    </a:prstGeom>
                    <a:noFill/>
                  </pic:spPr>
                </pic:pic>
              </a:graphicData>
            </a:graphic>
          </wp:inline>
        </w:drawing>
      </w:r>
    </w:p>
    <w:sectPr w:rsidR="00715FC5" w:rsidSect="0076537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D501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ACE6F" w14:textId="77777777" w:rsidR="00991137" w:rsidRDefault="00991137" w:rsidP="00511576">
      <w:pPr>
        <w:spacing w:after="0" w:line="240" w:lineRule="auto"/>
      </w:pPr>
      <w:r>
        <w:separator/>
      </w:r>
    </w:p>
  </w:endnote>
  <w:endnote w:type="continuationSeparator" w:id="0">
    <w:p w14:paraId="3E3F9F7C" w14:textId="77777777" w:rsidR="00991137" w:rsidRDefault="00991137" w:rsidP="0051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55FCE" w14:textId="77777777" w:rsidR="00991137" w:rsidRDefault="00991137" w:rsidP="00EB3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D1257" w14:textId="77777777" w:rsidR="00991137" w:rsidRDefault="00991137" w:rsidP="00326F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70846" w14:textId="1604EACC" w:rsidR="00991137" w:rsidRDefault="00991137" w:rsidP="00EB3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3F9">
      <w:rPr>
        <w:rStyle w:val="PageNumber"/>
        <w:noProof/>
      </w:rPr>
      <w:t>8</w:t>
    </w:r>
    <w:r>
      <w:rPr>
        <w:rStyle w:val="PageNumber"/>
      </w:rPr>
      <w:fldChar w:fldCharType="end"/>
    </w:r>
  </w:p>
  <w:p w14:paraId="49535D48" w14:textId="77777777" w:rsidR="00991137" w:rsidRDefault="00991137" w:rsidP="00326FD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B2AC0" w14:textId="77777777" w:rsidR="00991137" w:rsidRDefault="00991137" w:rsidP="00511576">
      <w:pPr>
        <w:spacing w:after="0" w:line="240" w:lineRule="auto"/>
      </w:pPr>
      <w:r>
        <w:separator/>
      </w:r>
    </w:p>
  </w:footnote>
  <w:footnote w:type="continuationSeparator" w:id="0">
    <w:p w14:paraId="108D010C" w14:textId="77777777" w:rsidR="00991137" w:rsidRDefault="00991137" w:rsidP="00511576">
      <w:pPr>
        <w:spacing w:after="0" w:line="240" w:lineRule="auto"/>
      </w:pPr>
      <w:r>
        <w:continuationSeparator/>
      </w:r>
    </w:p>
  </w:footnote>
  <w:footnote w:id="1">
    <w:p w14:paraId="1E97B561" w14:textId="77777777" w:rsidR="00991137" w:rsidRPr="0066707C" w:rsidRDefault="00991137" w:rsidP="00B14818">
      <w:pPr>
        <w:pStyle w:val="FootnoteText"/>
      </w:pPr>
      <w:r>
        <w:rPr>
          <w:rStyle w:val="FootnoteReference"/>
        </w:rPr>
        <w:footnoteRef/>
      </w:r>
      <w:r>
        <w:t xml:space="preserve"> </w:t>
      </w:r>
      <w:r>
        <w:rPr>
          <w:i/>
        </w:rPr>
        <w:t xml:space="preserve">Address for correspondence: </w:t>
      </w:r>
      <w:r>
        <w:t>Social Statistics and Demography, University of Southampton, Southampton SO17 1BJ, UK. Email: P.Sturgis@soton.ac.uk</w:t>
      </w:r>
      <w:r>
        <w:rPr>
          <w:i/>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08C0"/>
    <w:multiLevelType w:val="hybridMultilevel"/>
    <w:tmpl w:val="D932CE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AE2DC8"/>
    <w:multiLevelType w:val="hybridMultilevel"/>
    <w:tmpl w:val="36C4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E871BA"/>
    <w:multiLevelType w:val="hybridMultilevel"/>
    <w:tmpl w:val="57FE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D1470A"/>
    <w:multiLevelType w:val="hybridMultilevel"/>
    <w:tmpl w:val="2B5CC3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5C7830AE"/>
    <w:multiLevelType w:val="hybridMultilevel"/>
    <w:tmpl w:val="5AEA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01B328D"/>
    <w:multiLevelType w:val="hybridMultilevel"/>
    <w:tmpl w:val="FFC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9C1962"/>
    <w:multiLevelType w:val="hybridMultilevel"/>
    <w:tmpl w:val="006E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A7574F"/>
    <w:multiLevelType w:val="multilevel"/>
    <w:tmpl w:val="933A9964"/>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66935C3B"/>
    <w:multiLevelType w:val="hybridMultilevel"/>
    <w:tmpl w:val="1518C1D6"/>
    <w:lvl w:ilvl="0" w:tplc="D8223CD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1D20DD"/>
    <w:multiLevelType w:val="hybridMultilevel"/>
    <w:tmpl w:val="5EE4CD86"/>
    <w:lvl w:ilvl="0" w:tplc="0409000F">
      <w:start w:val="1"/>
      <w:numFmt w:val="decimal"/>
      <w:lvlText w:val="%1."/>
      <w:lvlJc w:val="left"/>
      <w:pPr>
        <w:ind w:left="786"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9"/>
  </w:num>
  <w:num w:numId="6">
    <w:abstractNumId w:val="0"/>
  </w:num>
  <w:num w:numId="7">
    <w:abstractNumId w:val="4"/>
  </w:num>
  <w:num w:numId="8">
    <w:abstractNumId w:val="5"/>
  </w:num>
  <w:num w:numId="9">
    <w:abstractNumId w:val="2"/>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ha,J">
    <w15:presenceInfo w15:providerId="AD" w15:userId="S-1-5-21-70982057-922121612-1704399178-67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76"/>
    <w:rsid w:val="000049A3"/>
    <w:rsid w:val="000068B9"/>
    <w:rsid w:val="00006A0B"/>
    <w:rsid w:val="00012B5D"/>
    <w:rsid w:val="00013813"/>
    <w:rsid w:val="00017DF8"/>
    <w:rsid w:val="00025DB3"/>
    <w:rsid w:val="00027DE6"/>
    <w:rsid w:val="00031E97"/>
    <w:rsid w:val="00031F39"/>
    <w:rsid w:val="000337AA"/>
    <w:rsid w:val="0003465C"/>
    <w:rsid w:val="00043AC8"/>
    <w:rsid w:val="000441A6"/>
    <w:rsid w:val="00047EE8"/>
    <w:rsid w:val="00051E83"/>
    <w:rsid w:val="00052910"/>
    <w:rsid w:val="00053B23"/>
    <w:rsid w:val="00055781"/>
    <w:rsid w:val="00056288"/>
    <w:rsid w:val="000635C9"/>
    <w:rsid w:val="00063C09"/>
    <w:rsid w:val="00064F89"/>
    <w:rsid w:val="00065D3D"/>
    <w:rsid w:val="00066263"/>
    <w:rsid w:val="00066300"/>
    <w:rsid w:val="000917F5"/>
    <w:rsid w:val="00091FA1"/>
    <w:rsid w:val="000958D8"/>
    <w:rsid w:val="00097423"/>
    <w:rsid w:val="000A3C6D"/>
    <w:rsid w:val="000A5265"/>
    <w:rsid w:val="000A56AA"/>
    <w:rsid w:val="000A7B32"/>
    <w:rsid w:val="000B039F"/>
    <w:rsid w:val="000C10D4"/>
    <w:rsid w:val="000D3070"/>
    <w:rsid w:val="000D356A"/>
    <w:rsid w:val="000D6D5F"/>
    <w:rsid w:val="000D7735"/>
    <w:rsid w:val="000D77EF"/>
    <w:rsid w:val="000E0B82"/>
    <w:rsid w:val="000E499D"/>
    <w:rsid w:val="000E6537"/>
    <w:rsid w:val="000E7D0A"/>
    <w:rsid w:val="000F27BF"/>
    <w:rsid w:val="000F7D64"/>
    <w:rsid w:val="0010622B"/>
    <w:rsid w:val="00110D6F"/>
    <w:rsid w:val="00113D6F"/>
    <w:rsid w:val="00115FB8"/>
    <w:rsid w:val="00116EE3"/>
    <w:rsid w:val="0012019B"/>
    <w:rsid w:val="00120D3B"/>
    <w:rsid w:val="00121427"/>
    <w:rsid w:val="0012677D"/>
    <w:rsid w:val="00127BF3"/>
    <w:rsid w:val="001316DD"/>
    <w:rsid w:val="00133447"/>
    <w:rsid w:val="001354FF"/>
    <w:rsid w:val="0013742D"/>
    <w:rsid w:val="00151F50"/>
    <w:rsid w:val="00152BA9"/>
    <w:rsid w:val="001533B5"/>
    <w:rsid w:val="0016268C"/>
    <w:rsid w:val="00163EB5"/>
    <w:rsid w:val="001656A6"/>
    <w:rsid w:val="00171260"/>
    <w:rsid w:val="001769DB"/>
    <w:rsid w:val="0018248F"/>
    <w:rsid w:val="001827A6"/>
    <w:rsid w:val="0019558E"/>
    <w:rsid w:val="00195602"/>
    <w:rsid w:val="00196938"/>
    <w:rsid w:val="001974E2"/>
    <w:rsid w:val="001A2419"/>
    <w:rsid w:val="001A2B99"/>
    <w:rsid w:val="001A4F0C"/>
    <w:rsid w:val="001A4FFE"/>
    <w:rsid w:val="001A6E80"/>
    <w:rsid w:val="001B27B0"/>
    <w:rsid w:val="001B5CE8"/>
    <w:rsid w:val="001C26A3"/>
    <w:rsid w:val="001C59E4"/>
    <w:rsid w:val="001C679F"/>
    <w:rsid w:val="001C7A5F"/>
    <w:rsid w:val="001D0068"/>
    <w:rsid w:val="001D2953"/>
    <w:rsid w:val="001D2FD7"/>
    <w:rsid w:val="001E4777"/>
    <w:rsid w:val="001E4A28"/>
    <w:rsid w:val="001E58CF"/>
    <w:rsid w:val="001F26E0"/>
    <w:rsid w:val="001F3BE3"/>
    <w:rsid w:val="001F7E9D"/>
    <w:rsid w:val="0020207B"/>
    <w:rsid w:val="0020582E"/>
    <w:rsid w:val="00207D37"/>
    <w:rsid w:val="0021024D"/>
    <w:rsid w:val="00211BC3"/>
    <w:rsid w:val="0022047A"/>
    <w:rsid w:val="00222625"/>
    <w:rsid w:val="0022479D"/>
    <w:rsid w:val="002263CD"/>
    <w:rsid w:val="00231383"/>
    <w:rsid w:val="002356F6"/>
    <w:rsid w:val="00240485"/>
    <w:rsid w:val="002457FF"/>
    <w:rsid w:val="00251F1C"/>
    <w:rsid w:val="0025279A"/>
    <w:rsid w:val="002533C9"/>
    <w:rsid w:val="002543F9"/>
    <w:rsid w:val="002551DB"/>
    <w:rsid w:val="00261BE1"/>
    <w:rsid w:val="002669A7"/>
    <w:rsid w:val="00274216"/>
    <w:rsid w:val="00275390"/>
    <w:rsid w:val="002877ED"/>
    <w:rsid w:val="00287C01"/>
    <w:rsid w:val="00287F0C"/>
    <w:rsid w:val="002949E6"/>
    <w:rsid w:val="00294AA0"/>
    <w:rsid w:val="002A09DC"/>
    <w:rsid w:val="002B0C6D"/>
    <w:rsid w:val="002B1870"/>
    <w:rsid w:val="002B3214"/>
    <w:rsid w:val="002B36A3"/>
    <w:rsid w:val="002B4810"/>
    <w:rsid w:val="002C13E7"/>
    <w:rsid w:val="002C239A"/>
    <w:rsid w:val="002C6D2B"/>
    <w:rsid w:val="002D06D1"/>
    <w:rsid w:val="002D3882"/>
    <w:rsid w:val="002D4364"/>
    <w:rsid w:val="002D6255"/>
    <w:rsid w:val="002E0690"/>
    <w:rsid w:val="002E39EC"/>
    <w:rsid w:val="002E488B"/>
    <w:rsid w:val="002E50CB"/>
    <w:rsid w:val="002F0748"/>
    <w:rsid w:val="002F3C58"/>
    <w:rsid w:val="002F438F"/>
    <w:rsid w:val="002F5632"/>
    <w:rsid w:val="002F6172"/>
    <w:rsid w:val="002F7768"/>
    <w:rsid w:val="002F77F3"/>
    <w:rsid w:val="00306835"/>
    <w:rsid w:val="00306F96"/>
    <w:rsid w:val="00307FD1"/>
    <w:rsid w:val="003120F0"/>
    <w:rsid w:val="00312C4D"/>
    <w:rsid w:val="00326FD9"/>
    <w:rsid w:val="003304B8"/>
    <w:rsid w:val="00331475"/>
    <w:rsid w:val="00334037"/>
    <w:rsid w:val="0033482E"/>
    <w:rsid w:val="003355D4"/>
    <w:rsid w:val="00336729"/>
    <w:rsid w:val="00337548"/>
    <w:rsid w:val="00337577"/>
    <w:rsid w:val="003435ED"/>
    <w:rsid w:val="00343C6A"/>
    <w:rsid w:val="00354EA5"/>
    <w:rsid w:val="00364510"/>
    <w:rsid w:val="00366BCA"/>
    <w:rsid w:val="0037014E"/>
    <w:rsid w:val="00371F06"/>
    <w:rsid w:val="003721D9"/>
    <w:rsid w:val="00373CC3"/>
    <w:rsid w:val="00381FE6"/>
    <w:rsid w:val="00383642"/>
    <w:rsid w:val="003856CB"/>
    <w:rsid w:val="00386C44"/>
    <w:rsid w:val="0039139A"/>
    <w:rsid w:val="00393B3A"/>
    <w:rsid w:val="00394A00"/>
    <w:rsid w:val="00397A9A"/>
    <w:rsid w:val="003A6642"/>
    <w:rsid w:val="003B21EA"/>
    <w:rsid w:val="003B4297"/>
    <w:rsid w:val="003B5132"/>
    <w:rsid w:val="003C106C"/>
    <w:rsid w:val="003D35B1"/>
    <w:rsid w:val="003D46B7"/>
    <w:rsid w:val="003D55A2"/>
    <w:rsid w:val="003D7A25"/>
    <w:rsid w:val="003E1584"/>
    <w:rsid w:val="003E7CDE"/>
    <w:rsid w:val="003F1861"/>
    <w:rsid w:val="003F57B4"/>
    <w:rsid w:val="003F67C1"/>
    <w:rsid w:val="004008E4"/>
    <w:rsid w:val="00400998"/>
    <w:rsid w:val="004030D9"/>
    <w:rsid w:val="00405603"/>
    <w:rsid w:val="0040756F"/>
    <w:rsid w:val="004112C6"/>
    <w:rsid w:val="004140B0"/>
    <w:rsid w:val="004145D6"/>
    <w:rsid w:val="00416061"/>
    <w:rsid w:val="004243DF"/>
    <w:rsid w:val="00424814"/>
    <w:rsid w:val="00424CA2"/>
    <w:rsid w:val="0042538E"/>
    <w:rsid w:val="00427E95"/>
    <w:rsid w:val="0043077D"/>
    <w:rsid w:val="00433AE7"/>
    <w:rsid w:val="0043429A"/>
    <w:rsid w:val="0043554E"/>
    <w:rsid w:val="004371BD"/>
    <w:rsid w:val="00444B97"/>
    <w:rsid w:val="0045029A"/>
    <w:rsid w:val="00451058"/>
    <w:rsid w:val="00452F50"/>
    <w:rsid w:val="00453A90"/>
    <w:rsid w:val="0045562C"/>
    <w:rsid w:val="00456429"/>
    <w:rsid w:val="0046068F"/>
    <w:rsid w:val="0046321B"/>
    <w:rsid w:val="00463568"/>
    <w:rsid w:val="00470416"/>
    <w:rsid w:val="004730E2"/>
    <w:rsid w:val="00473A5C"/>
    <w:rsid w:val="00474067"/>
    <w:rsid w:val="0047435F"/>
    <w:rsid w:val="00475CAD"/>
    <w:rsid w:val="00475F38"/>
    <w:rsid w:val="00482832"/>
    <w:rsid w:val="00485BAC"/>
    <w:rsid w:val="00487C84"/>
    <w:rsid w:val="00490A74"/>
    <w:rsid w:val="00491267"/>
    <w:rsid w:val="00493DA5"/>
    <w:rsid w:val="004A04BC"/>
    <w:rsid w:val="004A27E2"/>
    <w:rsid w:val="004A3F1B"/>
    <w:rsid w:val="004A4288"/>
    <w:rsid w:val="004A7E23"/>
    <w:rsid w:val="004A7ECE"/>
    <w:rsid w:val="004B7B2E"/>
    <w:rsid w:val="004C779D"/>
    <w:rsid w:val="004D320E"/>
    <w:rsid w:val="004D6324"/>
    <w:rsid w:val="004D6E0F"/>
    <w:rsid w:val="004E04C2"/>
    <w:rsid w:val="004E4474"/>
    <w:rsid w:val="004E6519"/>
    <w:rsid w:val="004E767A"/>
    <w:rsid w:val="004F1256"/>
    <w:rsid w:val="004F3857"/>
    <w:rsid w:val="004F3CDD"/>
    <w:rsid w:val="004F699E"/>
    <w:rsid w:val="0050181B"/>
    <w:rsid w:val="00503112"/>
    <w:rsid w:val="0050782A"/>
    <w:rsid w:val="0051046B"/>
    <w:rsid w:val="00511576"/>
    <w:rsid w:val="005164A6"/>
    <w:rsid w:val="005213F7"/>
    <w:rsid w:val="00521F2A"/>
    <w:rsid w:val="00522A22"/>
    <w:rsid w:val="00527DE8"/>
    <w:rsid w:val="00532CC4"/>
    <w:rsid w:val="00532F9D"/>
    <w:rsid w:val="00536B9A"/>
    <w:rsid w:val="00537EF7"/>
    <w:rsid w:val="005421E0"/>
    <w:rsid w:val="005437FA"/>
    <w:rsid w:val="00545AB2"/>
    <w:rsid w:val="005550FB"/>
    <w:rsid w:val="00557E9F"/>
    <w:rsid w:val="00566086"/>
    <w:rsid w:val="00572BF1"/>
    <w:rsid w:val="0057449B"/>
    <w:rsid w:val="00576507"/>
    <w:rsid w:val="00576E3D"/>
    <w:rsid w:val="005844FB"/>
    <w:rsid w:val="0058519F"/>
    <w:rsid w:val="00585EBB"/>
    <w:rsid w:val="00590B51"/>
    <w:rsid w:val="00591967"/>
    <w:rsid w:val="005972D8"/>
    <w:rsid w:val="005A2E68"/>
    <w:rsid w:val="005A4C68"/>
    <w:rsid w:val="005A66F4"/>
    <w:rsid w:val="005A7691"/>
    <w:rsid w:val="005B0842"/>
    <w:rsid w:val="005B3DA2"/>
    <w:rsid w:val="005B5441"/>
    <w:rsid w:val="005C5B3F"/>
    <w:rsid w:val="005D122D"/>
    <w:rsid w:val="005D2E63"/>
    <w:rsid w:val="005D3167"/>
    <w:rsid w:val="005D5864"/>
    <w:rsid w:val="005D5E2C"/>
    <w:rsid w:val="005E2C1A"/>
    <w:rsid w:val="005E3FAD"/>
    <w:rsid w:val="005E6B8B"/>
    <w:rsid w:val="005F3721"/>
    <w:rsid w:val="00604B72"/>
    <w:rsid w:val="0060536E"/>
    <w:rsid w:val="00606B86"/>
    <w:rsid w:val="00613219"/>
    <w:rsid w:val="006159A8"/>
    <w:rsid w:val="00624589"/>
    <w:rsid w:val="00624857"/>
    <w:rsid w:val="006271C9"/>
    <w:rsid w:val="0063494E"/>
    <w:rsid w:val="00634D3E"/>
    <w:rsid w:val="00637DE2"/>
    <w:rsid w:val="00641883"/>
    <w:rsid w:val="006438F0"/>
    <w:rsid w:val="0064506F"/>
    <w:rsid w:val="00646008"/>
    <w:rsid w:val="00650F57"/>
    <w:rsid w:val="00657E06"/>
    <w:rsid w:val="0066249B"/>
    <w:rsid w:val="0066707C"/>
    <w:rsid w:val="00672F3D"/>
    <w:rsid w:val="00674E31"/>
    <w:rsid w:val="006758FE"/>
    <w:rsid w:val="00675D15"/>
    <w:rsid w:val="00680422"/>
    <w:rsid w:val="00681B96"/>
    <w:rsid w:val="0068327F"/>
    <w:rsid w:val="00683488"/>
    <w:rsid w:val="00683D4E"/>
    <w:rsid w:val="006856A3"/>
    <w:rsid w:val="00693394"/>
    <w:rsid w:val="006A0894"/>
    <w:rsid w:val="006A0B54"/>
    <w:rsid w:val="006A3524"/>
    <w:rsid w:val="006A3657"/>
    <w:rsid w:val="006A57A7"/>
    <w:rsid w:val="006B0932"/>
    <w:rsid w:val="006B61D0"/>
    <w:rsid w:val="006C37F7"/>
    <w:rsid w:val="006C465B"/>
    <w:rsid w:val="006C763C"/>
    <w:rsid w:val="006C7C98"/>
    <w:rsid w:val="006D2456"/>
    <w:rsid w:val="006D2B60"/>
    <w:rsid w:val="006E2A61"/>
    <w:rsid w:val="006E4B11"/>
    <w:rsid w:val="006F078C"/>
    <w:rsid w:val="0070046E"/>
    <w:rsid w:val="007016C4"/>
    <w:rsid w:val="00702A8A"/>
    <w:rsid w:val="00707CF8"/>
    <w:rsid w:val="007105A4"/>
    <w:rsid w:val="00714602"/>
    <w:rsid w:val="00715FB8"/>
    <w:rsid w:val="00715FC5"/>
    <w:rsid w:val="00716FCB"/>
    <w:rsid w:val="00723502"/>
    <w:rsid w:val="00726405"/>
    <w:rsid w:val="00727216"/>
    <w:rsid w:val="00735191"/>
    <w:rsid w:val="0073533E"/>
    <w:rsid w:val="00737D0A"/>
    <w:rsid w:val="00740002"/>
    <w:rsid w:val="00743B36"/>
    <w:rsid w:val="00744977"/>
    <w:rsid w:val="00745BB5"/>
    <w:rsid w:val="00745E50"/>
    <w:rsid w:val="00757965"/>
    <w:rsid w:val="00760CD8"/>
    <w:rsid w:val="007614AE"/>
    <w:rsid w:val="007616BF"/>
    <w:rsid w:val="00763D22"/>
    <w:rsid w:val="00764051"/>
    <w:rsid w:val="00765374"/>
    <w:rsid w:val="00767D72"/>
    <w:rsid w:val="00773360"/>
    <w:rsid w:val="007808E4"/>
    <w:rsid w:val="00780DF5"/>
    <w:rsid w:val="00785C88"/>
    <w:rsid w:val="00793290"/>
    <w:rsid w:val="007A033C"/>
    <w:rsid w:val="007A1152"/>
    <w:rsid w:val="007A4251"/>
    <w:rsid w:val="007B21B4"/>
    <w:rsid w:val="007B3024"/>
    <w:rsid w:val="007B5482"/>
    <w:rsid w:val="007B6F26"/>
    <w:rsid w:val="007C1170"/>
    <w:rsid w:val="007D16E1"/>
    <w:rsid w:val="007D2284"/>
    <w:rsid w:val="007D3C50"/>
    <w:rsid w:val="007D48CF"/>
    <w:rsid w:val="007D4A2B"/>
    <w:rsid w:val="007E4A61"/>
    <w:rsid w:val="007E56D7"/>
    <w:rsid w:val="007F1A2B"/>
    <w:rsid w:val="007F4EB5"/>
    <w:rsid w:val="007F53E8"/>
    <w:rsid w:val="007F58C7"/>
    <w:rsid w:val="00800805"/>
    <w:rsid w:val="00801B41"/>
    <w:rsid w:val="008031C2"/>
    <w:rsid w:val="008147EA"/>
    <w:rsid w:val="0081597E"/>
    <w:rsid w:val="00830487"/>
    <w:rsid w:val="00833EED"/>
    <w:rsid w:val="0083602F"/>
    <w:rsid w:val="00837EB9"/>
    <w:rsid w:val="0084186E"/>
    <w:rsid w:val="00843D7B"/>
    <w:rsid w:val="00847072"/>
    <w:rsid w:val="008524B9"/>
    <w:rsid w:val="0085477A"/>
    <w:rsid w:val="00857EE0"/>
    <w:rsid w:val="0086408B"/>
    <w:rsid w:val="008657E9"/>
    <w:rsid w:val="00867B9E"/>
    <w:rsid w:val="008702C7"/>
    <w:rsid w:val="008737CE"/>
    <w:rsid w:val="00874AD8"/>
    <w:rsid w:val="008805DE"/>
    <w:rsid w:val="008809A6"/>
    <w:rsid w:val="00882D40"/>
    <w:rsid w:val="00882E1A"/>
    <w:rsid w:val="00887F11"/>
    <w:rsid w:val="00891C09"/>
    <w:rsid w:val="00895354"/>
    <w:rsid w:val="008A17B6"/>
    <w:rsid w:val="008A72FC"/>
    <w:rsid w:val="008A78B0"/>
    <w:rsid w:val="008B1831"/>
    <w:rsid w:val="008B4C9C"/>
    <w:rsid w:val="008C018B"/>
    <w:rsid w:val="008C1B00"/>
    <w:rsid w:val="008C52D0"/>
    <w:rsid w:val="008C688B"/>
    <w:rsid w:val="008D0119"/>
    <w:rsid w:val="008D150E"/>
    <w:rsid w:val="008D2F86"/>
    <w:rsid w:val="008D38FA"/>
    <w:rsid w:val="008D3FAF"/>
    <w:rsid w:val="008E1276"/>
    <w:rsid w:val="008E17F8"/>
    <w:rsid w:val="008E3AB6"/>
    <w:rsid w:val="008E7BE3"/>
    <w:rsid w:val="008F06B6"/>
    <w:rsid w:val="008F0C35"/>
    <w:rsid w:val="008F1C62"/>
    <w:rsid w:val="008F3828"/>
    <w:rsid w:val="008F69B6"/>
    <w:rsid w:val="00900961"/>
    <w:rsid w:val="00903950"/>
    <w:rsid w:val="009055CA"/>
    <w:rsid w:val="00906F4E"/>
    <w:rsid w:val="00912449"/>
    <w:rsid w:val="0091381B"/>
    <w:rsid w:val="0092114C"/>
    <w:rsid w:val="00921275"/>
    <w:rsid w:val="009265F5"/>
    <w:rsid w:val="009302A4"/>
    <w:rsid w:val="009316F0"/>
    <w:rsid w:val="0094102C"/>
    <w:rsid w:val="00946408"/>
    <w:rsid w:val="00946F6A"/>
    <w:rsid w:val="00947EED"/>
    <w:rsid w:val="00965C06"/>
    <w:rsid w:val="009747EF"/>
    <w:rsid w:val="00977EC7"/>
    <w:rsid w:val="0098044D"/>
    <w:rsid w:val="009804DB"/>
    <w:rsid w:val="00980A4D"/>
    <w:rsid w:val="009819E0"/>
    <w:rsid w:val="00983CD9"/>
    <w:rsid w:val="009868C3"/>
    <w:rsid w:val="00991137"/>
    <w:rsid w:val="0099122F"/>
    <w:rsid w:val="0099253C"/>
    <w:rsid w:val="00994809"/>
    <w:rsid w:val="00995653"/>
    <w:rsid w:val="00995717"/>
    <w:rsid w:val="009963BB"/>
    <w:rsid w:val="00996A75"/>
    <w:rsid w:val="009A1157"/>
    <w:rsid w:val="009A4776"/>
    <w:rsid w:val="009A5700"/>
    <w:rsid w:val="009B0148"/>
    <w:rsid w:val="009B4E30"/>
    <w:rsid w:val="009B51A8"/>
    <w:rsid w:val="009B6580"/>
    <w:rsid w:val="009B7D76"/>
    <w:rsid w:val="009C0F51"/>
    <w:rsid w:val="009C3B68"/>
    <w:rsid w:val="009C5C20"/>
    <w:rsid w:val="009C72CA"/>
    <w:rsid w:val="009D47DE"/>
    <w:rsid w:val="009E1315"/>
    <w:rsid w:val="009E543E"/>
    <w:rsid w:val="009E5BEA"/>
    <w:rsid w:val="009F3FE7"/>
    <w:rsid w:val="009F5014"/>
    <w:rsid w:val="009F5A08"/>
    <w:rsid w:val="009F74F1"/>
    <w:rsid w:val="009F7F77"/>
    <w:rsid w:val="00A03473"/>
    <w:rsid w:val="00A10210"/>
    <w:rsid w:val="00A1173B"/>
    <w:rsid w:val="00A172B9"/>
    <w:rsid w:val="00A173EC"/>
    <w:rsid w:val="00A2150C"/>
    <w:rsid w:val="00A21E93"/>
    <w:rsid w:val="00A27CA1"/>
    <w:rsid w:val="00A30303"/>
    <w:rsid w:val="00A31604"/>
    <w:rsid w:val="00A35530"/>
    <w:rsid w:val="00A35ED0"/>
    <w:rsid w:val="00A364E5"/>
    <w:rsid w:val="00A36F37"/>
    <w:rsid w:val="00A4519E"/>
    <w:rsid w:val="00A47E8A"/>
    <w:rsid w:val="00A51C23"/>
    <w:rsid w:val="00A53803"/>
    <w:rsid w:val="00A54F55"/>
    <w:rsid w:val="00A60F92"/>
    <w:rsid w:val="00A6114F"/>
    <w:rsid w:val="00A72E98"/>
    <w:rsid w:val="00A7582C"/>
    <w:rsid w:val="00A769E1"/>
    <w:rsid w:val="00A80091"/>
    <w:rsid w:val="00A8487B"/>
    <w:rsid w:val="00A85FA7"/>
    <w:rsid w:val="00A92948"/>
    <w:rsid w:val="00A93D8E"/>
    <w:rsid w:val="00A94752"/>
    <w:rsid w:val="00A94E6D"/>
    <w:rsid w:val="00A95D9A"/>
    <w:rsid w:val="00A962F3"/>
    <w:rsid w:val="00A9745E"/>
    <w:rsid w:val="00AA58A2"/>
    <w:rsid w:val="00AA5D98"/>
    <w:rsid w:val="00AA6A0D"/>
    <w:rsid w:val="00AB371D"/>
    <w:rsid w:val="00AB3AD9"/>
    <w:rsid w:val="00AB50F9"/>
    <w:rsid w:val="00AB72EE"/>
    <w:rsid w:val="00AB743F"/>
    <w:rsid w:val="00AC1E01"/>
    <w:rsid w:val="00AC5EEE"/>
    <w:rsid w:val="00AD03CD"/>
    <w:rsid w:val="00AD0831"/>
    <w:rsid w:val="00AD6692"/>
    <w:rsid w:val="00AE459A"/>
    <w:rsid w:val="00AF0B60"/>
    <w:rsid w:val="00AF1C08"/>
    <w:rsid w:val="00AF3142"/>
    <w:rsid w:val="00AF3387"/>
    <w:rsid w:val="00AF4D9C"/>
    <w:rsid w:val="00AF52FB"/>
    <w:rsid w:val="00AF7266"/>
    <w:rsid w:val="00B051D4"/>
    <w:rsid w:val="00B05886"/>
    <w:rsid w:val="00B10C2E"/>
    <w:rsid w:val="00B13E9C"/>
    <w:rsid w:val="00B1401C"/>
    <w:rsid w:val="00B14818"/>
    <w:rsid w:val="00B20F5D"/>
    <w:rsid w:val="00B233AB"/>
    <w:rsid w:val="00B23D4D"/>
    <w:rsid w:val="00B27D4A"/>
    <w:rsid w:val="00B3007A"/>
    <w:rsid w:val="00B30382"/>
    <w:rsid w:val="00B4125E"/>
    <w:rsid w:val="00B4325F"/>
    <w:rsid w:val="00B472C3"/>
    <w:rsid w:val="00B47962"/>
    <w:rsid w:val="00B50235"/>
    <w:rsid w:val="00B52D9C"/>
    <w:rsid w:val="00B57A28"/>
    <w:rsid w:val="00B61D1D"/>
    <w:rsid w:val="00B62C29"/>
    <w:rsid w:val="00B66040"/>
    <w:rsid w:val="00B6764E"/>
    <w:rsid w:val="00B67744"/>
    <w:rsid w:val="00B70C19"/>
    <w:rsid w:val="00B71029"/>
    <w:rsid w:val="00B748D6"/>
    <w:rsid w:val="00B7577E"/>
    <w:rsid w:val="00B7762C"/>
    <w:rsid w:val="00B80C42"/>
    <w:rsid w:val="00B81051"/>
    <w:rsid w:val="00B82D29"/>
    <w:rsid w:val="00B83E2F"/>
    <w:rsid w:val="00B91627"/>
    <w:rsid w:val="00B93B73"/>
    <w:rsid w:val="00B947EC"/>
    <w:rsid w:val="00B967FC"/>
    <w:rsid w:val="00B979E6"/>
    <w:rsid w:val="00BA0CC5"/>
    <w:rsid w:val="00BA19BD"/>
    <w:rsid w:val="00BA269A"/>
    <w:rsid w:val="00BA390C"/>
    <w:rsid w:val="00BA72CF"/>
    <w:rsid w:val="00BB2896"/>
    <w:rsid w:val="00BB377A"/>
    <w:rsid w:val="00BB518C"/>
    <w:rsid w:val="00BB6C10"/>
    <w:rsid w:val="00BC0027"/>
    <w:rsid w:val="00BC67F0"/>
    <w:rsid w:val="00BD1596"/>
    <w:rsid w:val="00BD267D"/>
    <w:rsid w:val="00BD43C8"/>
    <w:rsid w:val="00BD68EF"/>
    <w:rsid w:val="00BD6BAD"/>
    <w:rsid w:val="00BE244A"/>
    <w:rsid w:val="00BE4C5F"/>
    <w:rsid w:val="00BE548F"/>
    <w:rsid w:val="00BF3846"/>
    <w:rsid w:val="00BF6227"/>
    <w:rsid w:val="00C03295"/>
    <w:rsid w:val="00C0440B"/>
    <w:rsid w:val="00C12BB0"/>
    <w:rsid w:val="00C22BD5"/>
    <w:rsid w:val="00C23A83"/>
    <w:rsid w:val="00C26EA0"/>
    <w:rsid w:val="00C31AD4"/>
    <w:rsid w:val="00C35038"/>
    <w:rsid w:val="00C37C80"/>
    <w:rsid w:val="00C421AB"/>
    <w:rsid w:val="00C42C79"/>
    <w:rsid w:val="00C46CBC"/>
    <w:rsid w:val="00C51487"/>
    <w:rsid w:val="00C533D1"/>
    <w:rsid w:val="00C5387D"/>
    <w:rsid w:val="00C56A9E"/>
    <w:rsid w:val="00C57DA0"/>
    <w:rsid w:val="00C62A7A"/>
    <w:rsid w:val="00C635D4"/>
    <w:rsid w:val="00C66349"/>
    <w:rsid w:val="00C66ED4"/>
    <w:rsid w:val="00C757E0"/>
    <w:rsid w:val="00C8230C"/>
    <w:rsid w:val="00C84CA1"/>
    <w:rsid w:val="00C86C2B"/>
    <w:rsid w:val="00C923B6"/>
    <w:rsid w:val="00CA056D"/>
    <w:rsid w:val="00CA1C09"/>
    <w:rsid w:val="00CA29D3"/>
    <w:rsid w:val="00CA3052"/>
    <w:rsid w:val="00CA4EF4"/>
    <w:rsid w:val="00CA5075"/>
    <w:rsid w:val="00CA7FBD"/>
    <w:rsid w:val="00CB0F0B"/>
    <w:rsid w:val="00CB166E"/>
    <w:rsid w:val="00CB1744"/>
    <w:rsid w:val="00CC0B13"/>
    <w:rsid w:val="00CC0F25"/>
    <w:rsid w:val="00CC2DDA"/>
    <w:rsid w:val="00CC5172"/>
    <w:rsid w:val="00CC7C91"/>
    <w:rsid w:val="00CD1AF0"/>
    <w:rsid w:val="00CD3C4D"/>
    <w:rsid w:val="00CD7E71"/>
    <w:rsid w:val="00CD7FF9"/>
    <w:rsid w:val="00CE3FA2"/>
    <w:rsid w:val="00CE517B"/>
    <w:rsid w:val="00CF3CD7"/>
    <w:rsid w:val="00CF6FBD"/>
    <w:rsid w:val="00CF798C"/>
    <w:rsid w:val="00CF7AB0"/>
    <w:rsid w:val="00CF7D01"/>
    <w:rsid w:val="00D00E24"/>
    <w:rsid w:val="00D01D06"/>
    <w:rsid w:val="00D01D6B"/>
    <w:rsid w:val="00D01FF5"/>
    <w:rsid w:val="00D0285C"/>
    <w:rsid w:val="00D045E8"/>
    <w:rsid w:val="00D05286"/>
    <w:rsid w:val="00D06973"/>
    <w:rsid w:val="00D114AE"/>
    <w:rsid w:val="00D1240C"/>
    <w:rsid w:val="00D24395"/>
    <w:rsid w:val="00D243C8"/>
    <w:rsid w:val="00D252D8"/>
    <w:rsid w:val="00D25601"/>
    <w:rsid w:val="00D25C6E"/>
    <w:rsid w:val="00D34141"/>
    <w:rsid w:val="00D35704"/>
    <w:rsid w:val="00D36BCA"/>
    <w:rsid w:val="00D402C1"/>
    <w:rsid w:val="00D43739"/>
    <w:rsid w:val="00D472A0"/>
    <w:rsid w:val="00D55DC4"/>
    <w:rsid w:val="00D60D64"/>
    <w:rsid w:val="00D715B9"/>
    <w:rsid w:val="00D73BFF"/>
    <w:rsid w:val="00D75023"/>
    <w:rsid w:val="00D815C4"/>
    <w:rsid w:val="00D85146"/>
    <w:rsid w:val="00D851B5"/>
    <w:rsid w:val="00D8535C"/>
    <w:rsid w:val="00D87006"/>
    <w:rsid w:val="00D915A4"/>
    <w:rsid w:val="00D917BA"/>
    <w:rsid w:val="00D96E4D"/>
    <w:rsid w:val="00DA3A15"/>
    <w:rsid w:val="00DA6F5E"/>
    <w:rsid w:val="00DB0B8E"/>
    <w:rsid w:val="00DB1CE5"/>
    <w:rsid w:val="00DB274C"/>
    <w:rsid w:val="00DB3203"/>
    <w:rsid w:val="00DB3B7E"/>
    <w:rsid w:val="00DB787C"/>
    <w:rsid w:val="00DC1B20"/>
    <w:rsid w:val="00DC34ED"/>
    <w:rsid w:val="00DC40CF"/>
    <w:rsid w:val="00DC605F"/>
    <w:rsid w:val="00DC7C00"/>
    <w:rsid w:val="00DD2B02"/>
    <w:rsid w:val="00DD2BB6"/>
    <w:rsid w:val="00DD60D7"/>
    <w:rsid w:val="00DE48DA"/>
    <w:rsid w:val="00DF03DF"/>
    <w:rsid w:val="00DF1198"/>
    <w:rsid w:val="00DF57AF"/>
    <w:rsid w:val="00DF6030"/>
    <w:rsid w:val="00E01072"/>
    <w:rsid w:val="00E03DC9"/>
    <w:rsid w:val="00E12057"/>
    <w:rsid w:val="00E12432"/>
    <w:rsid w:val="00E156DA"/>
    <w:rsid w:val="00E20072"/>
    <w:rsid w:val="00E243A9"/>
    <w:rsid w:val="00E24B0E"/>
    <w:rsid w:val="00E2560E"/>
    <w:rsid w:val="00E25C67"/>
    <w:rsid w:val="00E25EDF"/>
    <w:rsid w:val="00E2722B"/>
    <w:rsid w:val="00E30D07"/>
    <w:rsid w:val="00E33564"/>
    <w:rsid w:val="00E353F8"/>
    <w:rsid w:val="00E354CC"/>
    <w:rsid w:val="00E419E6"/>
    <w:rsid w:val="00E42E1D"/>
    <w:rsid w:val="00E43D38"/>
    <w:rsid w:val="00E50161"/>
    <w:rsid w:val="00E54C73"/>
    <w:rsid w:val="00E57168"/>
    <w:rsid w:val="00E60456"/>
    <w:rsid w:val="00E63CFF"/>
    <w:rsid w:val="00E64D33"/>
    <w:rsid w:val="00E67015"/>
    <w:rsid w:val="00E71F45"/>
    <w:rsid w:val="00E724BF"/>
    <w:rsid w:val="00E77412"/>
    <w:rsid w:val="00E863FB"/>
    <w:rsid w:val="00EA0054"/>
    <w:rsid w:val="00EA2BB3"/>
    <w:rsid w:val="00EA4FF9"/>
    <w:rsid w:val="00EB355B"/>
    <w:rsid w:val="00EB482F"/>
    <w:rsid w:val="00EB4BA7"/>
    <w:rsid w:val="00ED2513"/>
    <w:rsid w:val="00ED4336"/>
    <w:rsid w:val="00ED4843"/>
    <w:rsid w:val="00ED63E7"/>
    <w:rsid w:val="00EE552C"/>
    <w:rsid w:val="00EF21CF"/>
    <w:rsid w:val="00EF2A74"/>
    <w:rsid w:val="00EF4124"/>
    <w:rsid w:val="00EF58C6"/>
    <w:rsid w:val="00EF64EE"/>
    <w:rsid w:val="00F008B0"/>
    <w:rsid w:val="00F00DB0"/>
    <w:rsid w:val="00F06F36"/>
    <w:rsid w:val="00F1184C"/>
    <w:rsid w:val="00F118D8"/>
    <w:rsid w:val="00F16C28"/>
    <w:rsid w:val="00F23277"/>
    <w:rsid w:val="00F251A0"/>
    <w:rsid w:val="00F2724D"/>
    <w:rsid w:val="00F279F0"/>
    <w:rsid w:val="00F40ED9"/>
    <w:rsid w:val="00F50360"/>
    <w:rsid w:val="00F51419"/>
    <w:rsid w:val="00F51B44"/>
    <w:rsid w:val="00F51F22"/>
    <w:rsid w:val="00F5325A"/>
    <w:rsid w:val="00F54D73"/>
    <w:rsid w:val="00F60FD2"/>
    <w:rsid w:val="00F63538"/>
    <w:rsid w:val="00F64540"/>
    <w:rsid w:val="00F70C33"/>
    <w:rsid w:val="00F71101"/>
    <w:rsid w:val="00F811C4"/>
    <w:rsid w:val="00F8629F"/>
    <w:rsid w:val="00F86779"/>
    <w:rsid w:val="00F90A98"/>
    <w:rsid w:val="00F93C8C"/>
    <w:rsid w:val="00F94BB2"/>
    <w:rsid w:val="00F95D73"/>
    <w:rsid w:val="00FA04F4"/>
    <w:rsid w:val="00FA6215"/>
    <w:rsid w:val="00FB0B28"/>
    <w:rsid w:val="00FB0E44"/>
    <w:rsid w:val="00FB0E5D"/>
    <w:rsid w:val="00FB4FBD"/>
    <w:rsid w:val="00FB5A0F"/>
    <w:rsid w:val="00FB6CDB"/>
    <w:rsid w:val="00FC4486"/>
    <w:rsid w:val="00FD1430"/>
    <w:rsid w:val="00FD19F8"/>
    <w:rsid w:val="00FD1F27"/>
    <w:rsid w:val="00FD4A43"/>
    <w:rsid w:val="00FE28BB"/>
    <w:rsid w:val="00FE6CF2"/>
    <w:rsid w:val="00FF03F3"/>
    <w:rsid w:val="00FF10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EF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19"/>
  </w:style>
  <w:style w:type="paragraph" w:styleId="Heading1">
    <w:name w:val="heading 1"/>
    <w:basedOn w:val="Normal"/>
    <w:next w:val="Normal"/>
    <w:link w:val="Heading1Char"/>
    <w:uiPriority w:val="9"/>
    <w:qFormat/>
    <w:rsid w:val="00312C4D"/>
    <w:pPr>
      <w:keepNext/>
      <w:keepLines/>
      <w:numPr>
        <w:numId w:val="1"/>
      </w:numPr>
      <w:spacing w:before="480" w:after="0" w:line="360" w:lineRule="auto"/>
      <w:jc w:val="both"/>
      <w:outlineLvl w:val="0"/>
    </w:pPr>
    <w:rPr>
      <w:rFonts w:asciiTheme="majorHAnsi" w:eastAsiaTheme="majorEastAsia" w:hAnsiTheme="majorHAnsi" w:cstheme="majorBidi"/>
      <w:b/>
      <w:bCs/>
      <w:color w:val="345A8A" w:themeColor="accent1" w:themeShade="B5"/>
      <w:sz w:val="32"/>
      <w:szCs w:val="32"/>
      <w:lang w:eastAsia="en-US"/>
    </w:rPr>
  </w:style>
  <w:style w:type="paragraph" w:styleId="Heading3">
    <w:name w:val="heading 3"/>
    <w:basedOn w:val="Normal"/>
    <w:next w:val="Normal"/>
    <w:link w:val="Heading3Char"/>
    <w:uiPriority w:val="9"/>
    <w:semiHidden/>
    <w:unhideWhenUsed/>
    <w:qFormat/>
    <w:rsid w:val="00C26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1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576"/>
    <w:rPr>
      <w:sz w:val="20"/>
      <w:szCs w:val="20"/>
    </w:rPr>
  </w:style>
  <w:style w:type="character" w:styleId="FootnoteReference">
    <w:name w:val="footnote reference"/>
    <w:basedOn w:val="DefaultParagraphFont"/>
    <w:uiPriority w:val="99"/>
    <w:unhideWhenUsed/>
    <w:rsid w:val="00511576"/>
    <w:rPr>
      <w:vertAlign w:val="superscript"/>
    </w:rPr>
  </w:style>
  <w:style w:type="paragraph" w:styleId="BalloonText">
    <w:name w:val="Balloon Text"/>
    <w:basedOn w:val="Normal"/>
    <w:link w:val="BalloonTextChar"/>
    <w:uiPriority w:val="99"/>
    <w:semiHidden/>
    <w:unhideWhenUsed/>
    <w:rsid w:val="00511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76"/>
    <w:rPr>
      <w:rFonts w:ascii="Tahoma" w:hAnsi="Tahoma" w:cs="Tahoma"/>
      <w:sz w:val="16"/>
      <w:szCs w:val="16"/>
    </w:rPr>
  </w:style>
  <w:style w:type="character" w:styleId="Hyperlink">
    <w:name w:val="Hyperlink"/>
    <w:basedOn w:val="DefaultParagraphFont"/>
    <w:uiPriority w:val="99"/>
    <w:unhideWhenUsed/>
    <w:rsid w:val="00312C4D"/>
    <w:rPr>
      <w:color w:val="0000FF" w:themeColor="hyperlink"/>
      <w:u w:val="single"/>
    </w:rPr>
  </w:style>
  <w:style w:type="character" w:customStyle="1" w:styleId="Heading1Char">
    <w:name w:val="Heading 1 Char"/>
    <w:basedOn w:val="DefaultParagraphFont"/>
    <w:link w:val="Heading1"/>
    <w:uiPriority w:val="9"/>
    <w:rsid w:val="00312C4D"/>
    <w:rPr>
      <w:rFonts w:asciiTheme="majorHAnsi" w:eastAsiaTheme="majorEastAsia" w:hAnsiTheme="majorHAnsi" w:cstheme="majorBidi"/>
      <w:b/>
      <w:bCs/>
      <w:color w:val="345A8A" w:themeColor="accent1" w:themeShade="B5"/>
      <w:sz w:val="32"/>
      <w:szCs w:val="32"/>
      <w:lang w:eastAsia="en-US"/>
    </w:rPr>
  </w:style>
  <w:style w:type="character" w:customStyle="1" w:styleId="Heading3Char">
    <w:name w:val="Heading 3 Char"/>
    <w:basedOn w:val="DefaultParagraphFont"/>
    <w:link w:val="Heading3"/>
    <w:uiPriority w:val="9"/>
    <w:semiHidden/>
    <w:rsid w:val="00C26E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42E1D"/>
    <w:rPr>
      <w:color w:val="800080" w:themeColor="followedHyperlink"/>
      <w:u w:val="single"/>
    </w:rPr>
  </w:style>
  <w:style w:type="character" w:styleId="PlaceholderText">
    <w:name w:val="Placeholder Text"/>
    <w:basedOn w:val="DefaultParagraphFont"/>
    <w:uiPriority w:val="99"/>
    <w:semiHidden/>
    <w:rsid w:val="00FE6CF2"/>
    <w:rPr>
      <w:color w:val="808080"/>
    </w:rPr>
  </w:style>
  <w:style w:type="character" w:styleId="CommentReference">
    <w:name w:val="annotation reference"/>
    <w:basedOn w:val="DefaultParagraphFont"/>
    <w:uiPriority w:val="99"/>
    <w:semiHidden/>
    <w:unhideWhenUsed/>
    <w:rsid w:val="000A3C6D"/>
    <w:rPr>
      <w:sz w:val="18"/>
      <w:szCs w:val="18"/>
    </w:rPr>
  </w:style>
  <w:style w:type="paragraph" w:styleId="CommentText">
    <w:name w:val="annotation text"/>
    <w:basedOn w:val="Normal"/>
    <w:link w:val="CommentTextChar"/>
    <w:uiPriority w:val="99"/>
    <w:semiHidden/>
    <w:unhideWhenUsed/>
    <w:rsid w:val="000A3C6D"/>
    <w:pPr>
      <w:spacing w:line="240" w:lineRule="auto"/>
    </w:pPr>
    <w:rPr>
      <w:sz w:val="24"/>
      <w:szCs w:val="24"/>
    </w:rPr>
  </w:style>
  <w:style w:type="character" w:customStyle="1" w:styleId="CommentTextChar">
    <w:name w:val="Comment Text Char"/>
    <w:basedOn w:val="DefaultParagraphFont"/>
    <w:link w:val="CommentText"/>
    <w:uiPriority w:val="99"/>
    <w:semiHidden/>
    <w:rsid w:val="000A3C6D"/>
    <w:rPr>
      <w:sz w:val="24"/>
      <w:szCs w:val="24"/>
    </w:rPr>
  </w:style>
  <w:style w:type="paragraph" w:styleId="CommentSubject">
    <w:name w:val="annotation subject"/>
    <w:basedOn w:val="CommentText"/>
    <w:next w:val="CommentText"/>
    <w:link w:val="CommentSubjectChar"/>
    <w:uiPriority w:val="99"/>
    <w:semiHidden/>
    <w:unhideWhenUsed/>
    <w:rsid w:val="000A3C6D"/>
    <w:rPr>
      <w:b/>
      <w:bCs/>
      <w:sz w:val="20"/>
      <w:szCs w:val="20"/>
    </w:rPr>
  </w:style>
  <w:style w:type="character" w:customStyle="1" w:styleId="CommentSubjectChar">
    <w:name w:val="Comment Subject Char"/>
    <w:basedOn w:val="CommentTextChar"/>
    <w:link w:val="CommentSubject"/>
    <w:uiPriority w:val="99"/>
    <w:semiHidden/>
    <w:rsid w:val="000A3C6D"/>
    <w:rPr>
      <w:b/>
      <w:bCs/>
      <w:sz w:val="20"/>
      <w:szCs w:val="20"/>
    </w:rPr>
  </w:style>
  <w:style w:type="paragraph" w:styleId="Revision">
    <w:name w:val="Revision"/>
    <w:hidden/>
    <w:uiPriority w:val="99"/>
    <w:semiHidden/>
    <w:rsid w:val="00624857"/>
    <w:pPr>
      <w:spacing w:after="0" w:line="240" w:lineRule="auto"/>
    </w:pPr>
  </w:style>
  <w:style w:type="paragraph" w:styleId="ListParagraph">
    <w:name w:val="List Paragraph"/>
    <w:basedOn w:val="Normal"/>
    <w:uiPriority w:val="34"/>
    <w:qFormat/>
    <w:rsid w:val="006A0894"/>
    <w:pPr>
      <w:ind w:left="720"/>
      <w:contextualSpacing/>
    </w:pPr>
  </w:style>
  <w:style w:type="character" w:styleId="Strong">
    <w:name w:val="Strong"/>
    <w:basedOn w:val="DefaultParagraphFont"/>
    <w:uiPriority w:val="22"/>
    <w:qFormat/>
    <w:rsid w:val="00222625"/>
    <w:rPr>
      <w:b/>
      <w:bCs/>
    </w:rPr>
  </w:style>
  <w:style w:type="table" w:customStyle="1" w:styleId="TableGrid1">
    <w:name w:val="Table Grid1"/>
    <w:basedOn w:val="TableNormal"/>
    <w:next w:val="TableGrid"/>
    <w:uiPriority w:val="59"/>
    <w:rsid w:val="00393B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64F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4F89"/>
  </w:style>
  <w:style w:type="character" w:styleId="PageNumber">
    <w:name w:val="page number"/>
    <w:basedOn w:val="DefaultParagraphFont"/>
    <w:uiPriority w:val="99"/>
    <w:semiHidden/>
    <w:unhideWhenUsed/>
    <w:rsid w:val="00064F89"/>
  </w:style>
  <w:style w:type="paragraph" w:styleId="Header">
    <w:name w:val="header"/>
    <w:basedOn w:val="Normal"/>
    <w:link w:val="HeaderChar"/>
    <w:uiPriority w:val="99"/>
    <w:unhideWhenUsed/>
    <w:rsid w:val="00A172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2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119"/>
  </w:style>
  <w:style w:type="paragraph" w:styleId="Heading1">
    <w:name w:val="heading 1"/>
    <w:basedOn w:val="Normal"/>
    <w:next w:val="Normal"/>
    <w:link w:val="Heading1Char"/>
    <w:uiPriority w:val="9"/>
    <w:qFormat/>
    <w:rsid w:val="00312C4D"/>
    <w:pPr>
      <w:keepNext/>
      <w:keepLines/>
      <w:numPr>
        <w:numId w:val="1"/>
      </w:numPr>
      <w:spacing w:before="480" w:after="0" w:line="360" w:lineRule="auto"/>
      <w:jc w:val="both"/>
      <w:outlineLvl w:val="0"/>
    </w:pPr>
    <w:rPr>
      <w:rFonts w:asciiTheme="majorHAnsi" w:eastAsiaTheme="majorEastAsia" w:hAnsiTheme="majorHAnsi" w:cstheme="majorBidi"/>
      <w:b/>
      <w:bCs/>
      <w:color w:val="345A8A" w:themeColor="accent1" w:themeShade="B5"/>
      <w:sz w:val="32"/>
      <w:szCs w:val="32"/>
      <w:lang w:eastAsia="en-US"/>
    </w:rPr>
  </w:style>
  <w:style w:type="paragraph" w:styleId="Heading3">
    <w:name w:val="heading 3"/>
    <w:basedOn w:val="Normal"/>
    <w:next w:val="Normal"/>
    <w:link w:val="Heading3Char"/>
    <w:uiPriority w:val="9"/>
    <w:semiHidden/>
    <w:unhideWhenUsed/>
    <w:qFormat/>
    <w:rsid w:val="00C26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1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1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1576"/>
    <w:rPr>
      <w:sz w:val="20"/>
      <w:szCs w:val="20"/>
    </w:rPr>
  </w:style>
  <w:style w:type="character" w:styleId="FootnoteReference">
    <w:name w:val="footnote reference"/>
    <w:basedOn w:val="DefaultParagraphFont"/>
    <w:uiPriority w:val="99"/>
    <w:unhideWhenUsed/>
    <w:rsid w:val="00511576"/>
    <w:rPr>
      <w:vertAlign w:val="superscript"/>
    </w:rPr>
  </w:style>
  <w:style w:type="paragraph" w:styleId="BalloonText">
    <w:name w:val="Balloon Text"/>
    <w:basedOn w:val="Normal"/>
    <w:link w:val="BalloonTextChar"/>
    <w:uiPriority w:val="99"/>
    <w:semiHidden/>
    <w:unhideWhenUsed/>
    <w:rsid w:val="00511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76"/>
    <w:rPr>
      <w:rFonts w:ascii="Tahoma" w:hAnsi="Tahoma" w:cs="Tahoma"/>
      <w:sz w:val="16"/>
      <w:szCs w:val="16"/>
    </w:rPr>
  </w:style>
  <w:style w:type="character" w:styleId="Hyperlink">
    <w:name w:val="Hyperlink"/>
    <w:basedOn w:val="DefaultParagraphFont"/>
    <w:uiPriority w:val="99"/>
    <w:unhideWhenUsed/>
    <w:rsid w:val="00312C4D"/>
    <w:rPr>
      <w:color w:val="0000FF" w:themeColor="hyperlink"/>
      <w:u w:val="single"/>
    </w:rPr>
  </w:style>
  <w:style w:type="character" w:customStyle="1" w:styleId="Heading1Char">
    <w:name w:val="Heading 1 Char"/>
    <w:basedOn w:val="DefaultParagraphFont"/>
    <w:link w:val="Heading1"/>
    <w:uiPriority w:val="9"/>
    <w:rsid w:val="00312C4D"/>
    <w:rPr>
      <w:rFonts w:asciiTheme="majorHAnsi" w:eastAsiaTheme="majorEastAsia" w:hAnsiTheme="majorHAnsi" w:cstheme="majorBidi"/>
      <w:b/>
      <w:bCs/>
      <w:color w:val="345A8A" w:themeColor="accent1" w:themeShade="B5"/>
      <w:sz w:val="32"/>
      <w:szCs w:val="32"/>
      <w:lang w:eastAsia="en-US"/>
    </w:rPr>
  </w:style>
  <w:style w:type="character" w:customStyle="1" w:styleId="Heading3Char">
    <w:name w:val="Heading 3 Char"/>
    <w:basedOn w:val="DefaultParagraphFont"/>
    <w:link w:val="Heading3"/>
    <w:uiPriority w:val="9"/>
    <w:semiHidden/>
    <w:rsid w:val="00C26E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42E1D"/>
    <w:rPr>
      <w:color w:val="800080" w:themeColor="followedHyperlink"/>
      <w:u w:val="single"/>
    </w:rPr>
  </w:style>
  <w:style w:type="character" w:styleId="PlaceholderText">
    <w:name w:val="Placeholder Text"/>
    <w:basedOn w:val="DefaultParagraphFont"/>
    <w:uiPriority w:val="99"/>
    <w:semiHidden/>
    <w:rsid w:val="00FE6CF2"/>
    <w:rPr>
      <w:color w:val="808080"/>
    </w:rPr>
  </w:style>
  <w:style w:type="character" w:styleId="CommentReference">
    <w:name w:val="annotation reference"/>
    <w:basedOn w:val="DefaultParagraphFont"/>
    <w:uiPriority w:val="99"/>
    <w:semiHidden/>
    <w:unhideWhenUsed/>
    <w:rsid w:val="000A3C6D"/>
    <w:rPr>
      <w:sz w:val="18"/>
      <w:szCs w:val="18"/>
    </w:rPr>
  </w:style>
  <w:style w:type="paragraph" w:styleId="CommentText">
    <w:name w:val="annotation text"/>
    <w:basedOn w:val="Normal"/>
    <w:link w:val="CommentTextChar"/>
    <w:uiPriority w:val="99"/>
    <w:semiHidden/>
    <w:unhideWhenUsed/>
    <w:rsid w:val="000A3C6D"/>
    <w:pPr>
      <w:spacing w:line="240" w:lineRule="auto"/>
    </w:pPr>
    <w:rPr>
      <w:sz w:val="24"/>
      <w:szCs w:val="24"/>
    </w:rPr>
  </w:style>
  <w:style w:type="character" w:customStyle="1" w:styleId="CommentTextChar">
    <w:name w:val="Comment Text Char"/>
    <w:basedOn w:val="DefaultParagraphFont"/>
    <w:link w:val="CommentText"/>
    <w:uiPriority w:val="99"/>
    <w:semiHidden/>
    <w:rsid w:val="000A3C6D"/>
    <w:rPr>
      <w:sz w:val="24"/>
      <w:szCs w:val="24"/>
    </w:rPr>
  </w:style>
  <w:style w:type="paragraph" w:styleId="CommentSubject">
    <w:name w:val="annotation subject"/>
    <w:basedOn w:val="CommentText"/>
    <w:next w:val="CommentText"/>
    <w:link w:val="CommentSubjectChar"/>
    <w:uiPriority w:val="99"/>
    <w:semiHidden/>
    <w:unhideWhenUsed/>
    <w:rsid w:val="000A3C6D"/>
    <w:rPr>
      <w:b/>
      <w:bCs/>
      <w:sz w:val="20"/>
      <w:szCs w:val="20"/>
    </w:rPr>
  </w:style>
  <w:style w:type="character" w:customStyle="1" w:styleId="CommentSubjectChar">
    <w:name w:val="Comment Subject Char"/>
    <w:basedOn w:val="CommentTextChar"/>
    <w:link w:val="CommentSubject"/>
    <w:uiPriority w:val="99"/>
    <w:semiHidden/>
    <w:rsid w:val="000A3C6D"/>
    <w:rPr>
      <w:b/>
      <w:bCs/>
      <w:sz w:val="20"/>
      <w:szCs w:val="20"/>
    </w:rPr>
  </w:style>
  <w:style w:type="paragraph" w:styleId="Revision">
    <w:name w:val="Revision"/>
    <w:hidden/>
    <w:uiPriority w:val="99"/>
    <w:semiHidden/>
    <w:rsid w:val="00624857"/>
    <w:pPr>
      <w:spacing w:after="0" w:line="240" w:lineRule="auto"/>
    </w:pPr>
  </w:style>
  <w:style w:type="paragraph" w:styleId="ListParagraph">
    <w:name w:val="List Paragraph"/>
    <w:basedOn w:val="Normal"/>
    <w:uiPriority w:val="34"/>
    <w:qFormat/>
    <w:rsid w:val="006A0894"/>
    <w:pPr>
      <w:ind w:left="720"/>
      <w:contextualSpacing/>
    </w:pPr>
  </w:style>
  <w:style w:type="character" w:styleId="Strong">
    <w:name w:val="Strong"/>
    <w:basedOn w:val="DefaultParagraphFont"/>
    <w:uiPriority w:val="22"/>
    <w:qFormat/>
    <w:rsid w:val="00222625"/>
    <w:rPr>
      <w:b/>
      <w:bCs/>
    </w:rPr>
  </w:style>
  <w:style w:type="table" w:customStyle="1" w:styleId="TableGrid1">
    <w:name w:val="Table Grid1"/>
    <w:basedOn w:val="TableNormal"/>
    <w:next w:val="TableGrid"/>
    <w:uiPriority w:val="59"/>
    <w:rsid w:val="00393B3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64F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064F89"/>
  </w:style>
  <w:style w:type="character" w:styleId="PageNumber">
    <w:name w:val="page number"/>
    <w:basedOn w:val="DefaultParagraphFont"/>
    <w:uiPriority w:val="99"/>
    <w:semiHidden/>
    <w:unhideWhenUsed/>
    <w:rsid w:val="00064F89"/>
  </w:style>
  <w:style w:type="paragraph" w:styleId="Header">
    <w:name w:val="header"/>
    <w:basedOn w:val="Normal"/>
    <w:link w:val="HeaderChar"/>
    <w:uiPriority w:val="99"/>
    <w:unhideWhenUsed/>
    <w:rsid w:val="00A172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1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778621">
      <w:bodyDiv w:val="1"/>
      <w:marLeft w:val="0"/>
      <w:marRight w:val="0"/>
      <w:marTop w:val="0"/>
      <w:marBottom w:val="0"/>
      <w:divBdr>
        <w:top w:val="none" w:sz="0" w:space="0" w:color="auto"/>
        <w:left w:val="none" w:sz="0" w:space="0" w:color="auto"/>
        <w:bottom w:val="none" w:sz="0" w:space="0" w:color="auto"/>
        <w:right w:val="none" w:sz="0" w:space="0" w:color="auto"/>
      </w:divBdr>
      <w:divsChild>
        <w:div w:id="1353192473">
          <w:marLeft w:val="0"/>
          <w:marRight w:val="0"/>
          <w:marTop w:val="0"/>
          <w:marBottom w:val="0"/>
          <w:divBdr>
            <w:top w:val="none" w:sz="0" w:space="0" w:color="auto"/>
            <w:left w:val="none" w:sz="0" w:space="0" w:color="auto"/>
            <w:bottom w:val="none" w:sz="0" w:space="0" w:color="auto"/>
            <w:right w:val="none" w:sz="0" w:space="0" w:color="auto"/>
          </w:divBdr>
        </w:div>
        <w:div w:id="356472321">
          <w:marLeft w:val="0"/>
          <w:marRight w:val="0"/>
          <w:marTop w:val="0"/>
          <w:marBottom w:val="0"/>
          <w:divBdr>
            <w:top w:val="none" w:sz="0" w:space="0" w:color="auto"/>
            <w:left w:val="none" w:sz="0" w:space="0" w:color="auto"/>
            <w:bottom w:val="none" w:sz="0" w:space="0" w:color="auto"/>
            <w:right w:val="none" w:sz="0" w:space="0" w:color="auto"/>
          </w:divBdr>
        </w:div>
        <w:div w:id="170072119">
          <w:marLeft w:val="0"/>
          <w:marRight w:val="0"/>
          <w:marTop w:val="0"/>
          <w:marBottom w:val="0"/>
          <w:divBdr>
            <w:top w:val="none" w:sz="0" w:space="0" w:color="auto"/>
            <w:left w:val="none" w:sz="0" w:space="0" w:color="auto"/>
            <w:bottom w:val="none" w:sz="0" w:space="0" w:color="auto"/>
            <w:right w:val="none" w:sz="0" w:space="0" w:color="auto"/>
          </w:divBdr>
        </w:div>
        <w:div w:id="350571928">
          <w:marLeft w:val="0"/>
          <w:marRight w:val="0"/>
          <w:marTop w:val="0"/>
          <w:marBottom w:val="0"/>
          <w:divBdr>
            <w:top w:val="none" w:sz="0" w:space="0" w:color="auto"/>
            <w:left w:val="none" w:sz="0" w:space="0" w:color="auto"/>
            <w:bottom w:val="none" w:sz="0" w:space="0" w:color="auto"/>
            <w:right w:val="none" w:sz="0" w:space="0" w:color="auto"/>
          </w:divBdr>
        </w:div>
        <w:div w:id="1311062243">
          <w:marLeft w:val="0"/>
          <w:marRight w:val="0"/>
          <w:marTop w:val="0"/>
          <w:marBottom w:val="0"/>
          <w:divBdr>
            <w:top w:val="none" w:sz="0" w:space="0" w:color="auto"/>
            <w:left w:val="none" w:sz="0" w:space="0" w:color="auto"/>
            <w:bottom w:val="none" w:sz="0" w:space="0" w:color="auto"/>
            <w:right w:val="none" w:sz="0" w:space="0" w:color="auto"/>
          </w:divBdr>
        </w:div>
        <w:div w:id="92480872">
          <w:marLeft w:val="0"/>
          <w:marRight w:val="0"/>
          <w:marTop w:val="0"/>
          <w:marBottom w:val="0"/>
          <w:divBdr>
            <w:top w:val="none" w:sz="0" w:space="0" w:color="auto"/>
            <w:left w:val="none" w:sz="0" w:space="0" w:color="auto"/>
            <w:bottom w:val="none" w:sz="0" w:space="0" w:color="auto"/>
            <w:right w:val="none" w:sz="0" w:space="0" w:color="auto"/>
          </w:divBdr>
        </w:div>
      </w:divsChild>
    </w:div>
    <w:div w:id="1230730177">
      <w:bodyDiv w:val="1"/>
      <w:marLeft w:val="0"/>
      <w:marRight w:val="0"/>
      <w:marTop w:val="0"/>
      <w:marBottom w:val="0"/>
      <w:divBdr>
        <w:top w:val="none" w:sz="0" w:space="0" w:color="auto"/>
        <w:left w:val="none" w:sz="0" w:space="0" w:color="auto"/>
        <w:bottom w:val="none" w:sz="0" w:space="0" w:color="auto"/>
        <w:right w:val="none" w:sz="0" w:space="0" w:color="auto"/>
      </w:divBdr>
    </w:div>
    <w:div w:id="17141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apor.org/AAPOR_Main/media/MainSiteFiles/AAPOR_Rept_FINAL-Rev-4-13-09.pdf" TargetMode="External"/><Relationship Id="rId20" Type="http://schemas.openxmlformats.org/officeDocument/2006/relationships/footer" Target="footer2.xml"/><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image" Target="media/image7.png"/><Relationship Id="rId25" Type="http://schemas.openxmlformats.org/officeDocument/2006/relationships/image" Target="media/image8.png"/><Relationship Id="rId26" Type="http://schemas.openxmlformats.org/officeDocument/2006/relationships/image" Target="media/image9.png"/><Relationship Id="rId27" Type="http://schemas.openxmlformats.org/officeDocument/2006/relationships/fontTable" Target="fontTable.xml"/><Relationship Id="rId28" Type="http://schemas.openxmlformats.org/officeDocument/2006/relationships/theme" Target="theme/theme1.xml"/><Relationship Id="rId29" Type="http://schemas.microsoft.com/office/2011/relationships/commentsExtended" Target="commentsExtended.xml"/><Relationship Id="rId30" Type="http://schemas.microsoft.com/office/2011/relationships/people" Target="people.xml"/><Relationship Id="rId10" Type="http://schemas.openxmlformats.org/officeDocument/2006/relationships/hyperlink" Target="http://www.britishelectionstudy.com/bes-resources/f2f-v1-0-release-note/" TargetMode="External"/><Relationship Id="rId11" Type="http://schemas.openxmlformats.org/officeDocument/2006/relationships/hyperlink" Target="http://researchbriefings.files.parliament.uk/documents/CBP-7186/CBP-7186.pdf" TargetMode="External"/><Relationship Id="rId12" Type="http://schemas.openxmlformats.org/officeDocument/2006/relationships/hyperlink" Target="http://www.pewresearch.org/files/2016/01/PM_2016-01-07_likely-voters_FINAL.pdf" TargetMode="External"/><Relationship Id="rId13" Type="http://schemas.openxmlformats.org/officeDocument/2006/relationships/hyperlink" Target="https://d25d2506sfb94s.cloudfront.net/cumulus_uploads/document/x4ae830iac/YouGov%20%E2%80%93%20GE2015%20Post%20Mortem.pdf" TargetMode="External"/><Relationship Id="rId14" Type="http://schemas.openxmlformats.org/officeDocument/2006/relationships/hyperlink" Target="http://eprints.soton.ac.uk/390588/1/Report_final_revised.pdf" TargetMode="External"/><Relationship Id="rId15" Type="http://schemas.openxmlformats.org/officeDocument/2006/relationships/image" Target="media/image1.png"/><Relationship Id="rId16" Type="http://schemas.openxmlformats.org/officeDocument/2006/relationships/image" Target="cid:1464D49F-C097-4B22-8443-08C086B48FC2@eduroam.oxuni.org.uk" TargetMode="External"/><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4EA60-56EC-EB43-A5A4-EA979EDF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12502</Words>
  <Characters>71265</Characters>
  <Application>Microsoft Macintosh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Sturgis P.</dc:creator>
  <cp:lastModifiedBy>Patrick</cp:lastModifiedBy>
  <cp:revision>2</cp:revision>
  <dcterms:created xsi:type="dcterms:W3CDTF">2017-08-09T14:30:00Z</dcterms:created>
  <dcterms:modified xsi:type="dcterms:W3CDTF">2017-08-09T14:30:00Z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