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4DE1D2" w14:textId="77777777" w:rsidR="00B97873" w:rsidRPr="00726915" w:rsidRDefault="00B97873" w:rsidP="005E6770">
      <w:pPr>
        <w:pStyle w:val="Heading1"/>
        <w:spacing w:line="276" w:lineRule="auto"/>
        <w:rPr>
          <w:color w:val="000000" w:themeColor="text1"/>
          <w:lang w:val="en-US"/>
        </w:rPr>
      </w:pPr>
      <w:r w:rsidRPr="00726915">
        <w:rPr>
          <w:color w:val="000000" w:themeColor="text1"/>
          <w:lang w:val="en-US"/>
        </w:rPr>
        <w:t xml:space="preserve">Comparison of control of </w:t>
      </w:r>
      <w:r w:rsidRPr="00726915">
        <w:rPr>
          <w:i/>
          <w:color w:val="000000" w:themeColor="text1"/>
          <w:lang w:val="en-US"/>
        </w:rPr>
        <w:t>Clostridium difficile</w:t>
      </w:r>
      <w:r w:rsidRPr="00726915">
        <w:rPr>
          <w:color w:val="000000" w:themeColor="text1"/>
          <w:lang w:val="en-US"/>
        </w:rPr>
        <w:t xml:space="preserve"> infection in six English hospitals using whole-genome sequencing: Supplementary Materials</w:t>
      </w:r>
    </w:p>
    <w:p w14:paraId="3DDD1EB7" w14:textId="77777777" w:rsidR="00B97873" w:rsidRPr="00726915" w:rsidRDefault="00B97873" w:rsidP="005E6770">
      <w:pPr>
        <w:spacing w:line="276" w:lineRule="auto"/>
        <w:rPr>
          <w:color w:val="000000" w:themeColor="text1"/>
          <w:lang w:val="en-US"/>
        </w:rPr>
      </w:pPr>
    </w:p>
    <w:p w14:paraId="66F01BC2" w14:textId="77777777" w:rsidR="00B97873" w:rsidRPr="00726915" w:rsidRDefault="00B97873" w:rsidP="005E6770">
      <w:pPr>
        <w:pStyle w:val="Heading2"/>
        <w:spacing w:line="276" w:lineRule="auto"/>
        <w:rPr>
          <w:color w:val="000000" w:themeColor="text1"/>
          <w:lang w:val="en-US"/>
        </w:rPr>
      </w:pPr>
      <w:r w:rsidRPr="00726915">
        <w:rPr>
          <w:color w:val="000000" w:themeColor="text1"/>
          <w:lang w:val="en-US"/>
        </w:rPr>
        <w:t>Methods</w:t>
      </w:r>
    </w:p>
    <w:p w14:paraId="2465D40B" w14:textId="77777777" w:rsidR="00FA558F" w:rsidRPr="00726915" w:rsidRDefault="00FA558F" w:rsidP="005E6770">
      <w:pPr>
        <w:pStyle w:val="Heading3"/>
        <w:spacing w:line="276" w:lineRule="auto"/>
        <w:rPr>
          <w:color w:val="000000" w:themeColor="text1"/>
          <w:lang w:val="en-US"/>
        </w:rPr>
      </w:pPr>
      <w:r w:rsidRPr="00726915">
        <w:rPr>
          <w:color w:val="000000" w:themeColor="text1"/>
          <w:lang w:val="en-US"/>
        </w:rPr>
        <w:t>Samples and settings</w:t>
      </w:r>
    </w:p>
    <w:p w14:paraId="50038798" w14:textId="4AD67F01" w:rsidR="004719AF" w:rsidRPr="00726915" w:rsidRDefault="004719AF" w:rsidP="005E6770">
      <w:pPr>
        <w:spacing w:line="276" w:lineRule="auto"/>
        <w:rPr>
          <w:color w:val="000000" w:themeColor="text1"/>
          <w:lang w:val="en-US"/>
        </w:rPr>
      </w:pPr>
      <w:r w:rsidRPr="00726915">
        <w:rPr>
          <w:color w:val="000000" w:themeColor="text1"/>
          <w:lang w:val="en-US"/>
        </w:rPr>
        <w:t xml:space="preserve">Six hospital laboratories were studied, including a tertiary referral center and teaching hospital, Guy’s &amp; St Thomas’ NHS Foundation Trust, London, and five district general hospitals serving a mix of urban and rural populations: Great Western Hospitals NHS Foundation Trust, </w:t>
      </w:r>
      <w:proofErr w:type="spellStart"/>
      <w:r w:rsidRPr="00726915">
        <w:rPr>
          <w:color w:val="000000" w:themeColor="text1"/>
          <w:lang w:val="en-US"/>
        </w:rPr>
        <w:t>Swindon</w:t>
      </w:r>
      <w:proofErr w:type="spellEnd"/>
      <w:r w:rsidRPr="00726915">
        <w:rPr>
          <w:color w:val="000000" w:themeColor="text1"/>
          <w:lang w:val="en-US"/>
        </w:rPr>
        <w:t xml:space="preserve">, Wiltshire; </w:t>
      </w:r>
      <w:proofErr w:type="spellStart"/>
      <w:r w:rsidRPr="00726915">
        <w:rPr>
          <w:color w:val="000000" w:themeColor="text1"/>
          <w:lang w:val="en-US"/>
        </w:rPr>
        <w:t>Heatherwood</w:t>
      </w:r>
      <w:proofErr w:type="spellEnd"/>
      <w:r w:rsidRPr="00726915">
        <w:rPr>
          <w:color w:val="000000" w:themeColor="text1"/>
          <w:lang w:val="en-US"/>
        </w:rPr>
        <w:t xml:space="preserve"> and </w:t>
      </w:r>
      <w:proofErr w:type="spellStart"/>
      <w:r w:rsidRPr="00726915">
        <w:rPr>
          <w:color w:val="000000" w:themeColor="text1"/>
          <w:lang w:val="en-US"/>
        </w:rPr>
        <w:t>Wexham</w:t>
      </w:r>
      <w:proofErr w:type="spellEnd"/>
      <w:r w:rsidRPr="00726915">
        <w:rPr>
          <w:color w:val="000000" w:themeColor="text1"/>
          <w:lang w:val="en-US"/>
        </w:rPr>
        <w:t xml:space="preserve"> Park Hospitals NHS Foundation Trust, Berkshire; St Helens &amp; </w:t>
      </w:r>
      <w:proofErr w:type="spellStart"/>
      <w:r w:rsidRPr="00726915">
        <w:rPr>
          <w:color w:val="000000" w:themeColor="text1"/>
          <w:lang w:val="en-US"/>
        </w:rPr>
        <w:t>Knowsley</w:t>
      </w:r>
      <w:proofErr w:type="spellEnd"/>
      <w:r w:rsidRPr="00726915">
        <w:rPr>
          <w:color w:val="000000" w:themeColor="text1"/>
          <w:lang w:val="en-US"/>
        </w:rPr>
        <w:t xml:space="preserve"> Hospitals NHS Trust, Merseyside; </w:t>
      </w:r>
      <w:proofErr w:type="spellStart"/>
      <w:r w:rsidRPr="00726915">
        <w:rPr>
          <w:color w:val="000000" w:themeColor="text1"/>
          <w:lang w:val="en-US"/>
        </w:rPr>
        <w:t>Calderdale</w:t>
      </w:r>
      <w:proofErr w:type="spellEnd"/>
      <w:r w:rsidRPr="00726915">
        <w:rPr>
          <w:color w:val="000000" w:themeColor="text1"/>
          <w:lang w:val="en-US"/>
        </w:rPr>
        <w:t xml:space="preserve"> &amp; </w:t>
      </w:r>
      <w:proofErr w:type="spellStart"/>
      <w:r w:rsidRPr="00726915">
        <w:rPr>
          <w:color w:val="000000" w:themeColor="text1"/>
          <w:lang w:val="en-US"/>
        </w:rPr>
        <w:t>Huddersfield</w:t>
      </w:r>
      <w:proofErr w:type="spellEnd"/>
      <w:r w:rsidRPr="00726915">
        <w:rPr>
          <w:color w:val="000000" w:themeColor="text1"/>
          <w:lang w:val="en-US"/>
        </w:rPr>
        <w:t xml:space="preserve"> NHS Foundation Trust, Yorkshire; and City Hospitals Sunderland NHS Foundation Trust, Sunderland.</w:t>
      </w:r>
    </w:p>
    <w:p w14:paraId="3275B0EE" w14:textId="77777777" w:rsidR="004719AF" w:rsidRPr="00726915" w:rsidRDefault="004719AF" w:rsidP="005E6770">
      <w:pPr>
        <w:spacing w:line="276" w:lineRule="auto"/>
        <w:rPr>
          <w:color w:val="000000" w:themeColor="text1"/>
          <w:lang w:val="en-US"/>
        </w:rPr>
      </w:pPr>
    </w:p>
    <w:p w14:paraId="76A38F2B" w14:textId="69F9FE40" w:rsidR="00FA558F" w:rsidRPr="00726915" w:rsidRDefault="00560876" w:rsidP="005E6770">
      <w:pPr>
        <w:spacing w:line="276" w:lineRule="auto"/>
        <w:rPr>
          <w:color w:val="000000" w:themeColor="text1"/>
          <w:lang w:val="en-US"/>
        </w:rPr>
      </w:pPr>
      <w:r w:rsidRPr="00726915">
        <w:rPr>
          <w:color w:val="000000" w:themeColor="text1"/>
          <w:lang w:val="en-US"/>
        </w:rPr>
        <w:t xml:space="preserve">Each hospital used a combination of tests in line with the UK recommended </w:t>
      </w:r>
      <w:r w:rsidRPr="00726915">
        <w:rPr>
          <w:i/>
          <w:color w:val="000000" w:themeColor="text1"/>
          <w:lang w:val="en-US"/>
        </w:rPr>
        <w:t xml:space="preserve">C. difficile </w:t>
      </w:r>
      <w:r w:rsidR="00275C9F" w:rsidRPr="00726915">
        <w:rPr>
          <w:color w:val="000000" w:themeColor="text1"/>
          <w:lang w:val="en-US"/>
        </w:rPr>
        <w:t>testing guidance. Hospital-</w:t>
      </w:r>
      <w:r w:rsidRPr="00726915">
        <w:rPr>
          <w:color w:val="000000" w:themeColor="text1"/>
          <w:lang w:val="en-US"/>
        </w:rPr>
        <w:t>1 used toxin gene PCR as a screening test (</w:t>
      </w:r>
      <w:r w:rsidRPr="00726915">
        <w:rPr>
          <w:color w:val="000000" w:themeColor="text1"/>
        </w:rPr>
        <w:t xml:space="preserve">BD MAX C difficile PCR, BD, Franklin Lakes, NJ, USA), </w:t>
      </w:r>
      <w:r w:rsidRPr="00726915">
        <w:rPr>
          <w:color w:val="000000" w:themeColor="text1"/>
          <w:lang w:val="en-US"/>
        </w:rPr>
        <w:t>followed by confirmatory fecal toxin enzyme-linked fluorescent assay (ELFA) (</w:t>
      </w:r>
      <w:proofErr w:type="spellStart"/>
      <w:r w:rsidRPr="00726915">
        <w:rPr>
          <w:color w:val="000000" w:themeColor="text1"/>
        </w:rPr>
        <w:t>bioMérieux</w:t>
      </w:r>
      <w:proofErr w:type="spellEnd"/>
      <w:r w:rsidRPr="00726915">
        <w:rPr>
          <w:color w:val="000000" w:themeColor="text1"/>
        </w:rPr>
        <w:t> </w:t>
      </w:r>
      <w:proofErr w:type="spellStart"/>
      <w:r w:rsidRPr="00726915">
        <w:rPr>
          <w:color w:val="000000" w:themeColor="text1"/>
        </w:rPr>
        <w:t>Vidas</w:t>
      </w:r>
      <w:proofErr w:type="spellEnd"/>
      <w:r w:rsidRPr="00726915">
        <w:rPr>
          <w:color w:val="000000" w:themeColor="text1"/>
        </w:rPr>
        <w:t xml:space="preserve"> C. difficile toxin AB, </w:t>
      </w:r>
      <w:proofErr w:type="spellStart"/>
      <w:r w:rsidRPr="00726915">
        <w:rPr>
          <w:color w:val="000000" w:themeColor="text1"/>
        </w:rPr>
        <w:t>bioMérieux</w:t>
      </w:r>
      <w:proofErr w:type="spellEnd"/>
      <w:r w:rsidRPr="00726915">
        <w:rPr>
          <w:color w:val="000000" w:themeColor="text1"/>
        </w:rPr>
        <w:t xml:space="preserve"> UK, Basingstoke, UK). </w:t>
      </w:r>
      <w:r w:rsidR="00275C9F" w:rsidRPr="00726915">
        <w:rPr>
          <w:color w:val="000000" w:themeColor="text1"/>
          <w:lang w:val="en-US"/>
        </w:rPr>
        <w:t>Hospital-</w:t>
      </w:r>
      <w:r w:rsidRPr="00726915">
        <w:rPr>
          <w:color w:val="000000" w:themeColor="text1"/>
          <w:lang w:val="en-US"/>
        </w:rPr>
        <w:t>2 used a combined enzyme immunoassay (EIA) to detect glutamate dehydrogenase (GDH) and fecal toxin (</w:t>
      </w:r>
      <w:proofErr w:type="spellStart"/>
      <w:r w:rsidRPr="00726915">
        <w:rPr>
          <w:color w:val="000000" w:themeColor="text1"/>
          <w:lang w:val="en-US"/>
        </w:rPr>
        <w:t>TechLab</w:t>
      </w:r>
      <w:proofErr w:type="spellEnd"/>
      <w:r w:rsidRPr="00726915">
        <w:rPr>
          <w:color w:val="000000" w:themeColor="text1"/>
          <w:lang w:val="en-US"/>
        </w:rPr>
        <w:t xml:space="preserve"> C diff </w:t>
      </w:r>
      <w:proofErr w:type="spellStart"/>
      <w:r w:rsidRPr="00726915">
        <w:rPr>
          <w:color w:val="000000" w:themeColor="text1"/>
          <w:lang w:val="en-US"/>
        </w:rPr>
        <w:t>Quik</w:t>
      </w:r>
      <w:proofErr w:type="spellEnd"/>
      <w:r w:rsidRPr="00726915">
        <w:rPr>
          <w:color w:val="000000" w:themeColor="text1"/>
          <w:lang w:val="en-US"/>
        </w:rPr>
        <w:t xml:space="preserve"> Check Complete, </w:t>
      </w:r>
      <w:proofErr w:type="spellStart"/>
      <w:r w:rsidRPr="00726915">
        <w:rPr>
          <w:color w:val="000000" w:themeColor="text1"/>
          <w:lang w:val="en-US"/>
        </w:rPr>
        <w:t>Techlab</w:t>
      </w:r>
      <w:proofErr w:type="spellEnd"/>
      <w:r w:rsidRPr="00726915">
        <w:rPr>
          <w:color w:val="000000" w:themeColor="text1"/>
          <w:lang w:val="en-US"/>
        </w:rPr>
        <w:t xml:space="preserve">, </w:t>
      </w:r>
      <w:r w:rsidRPr="00726915">
        <w:rPr>
          <w:color w:val="000000" w:themeColor="text1"/>
        </w:rPr>
        <w:t>Blacksburg, VA, USA)</w:t>
      </w:r>
      <w:r w:rsidR="00C32B2A" w:rsidRPr="00726915">
        <w:rPr>
          <w:color w:val="000000" w:themeColor="text1"/>
        </w:rPr>
        <w:t>.</w:t>
      </w:r>
      <w:r w:rsidRPr="00726915">
        <w:rPr>
          <w:color w:val="000000" w:themeColor="text1"/>
        </w:rPr>
        <w:t xml:space="preserve"> </w:t>
      </w:r>
      <w:r w:rsidR="00275C9F" w:rsidRPr="00726915">
        <w:rPr>
          <w:color w:val="000000" w:themeColor="text1"/>
          <w:lang w:val="en-US"/>
        </w:rPr>
        <w:t>Hospital-</w:t>
      </w:r>
      <w:r w:rsidRPr="00726915">
        <w:rPr>
          <w:color w:val="000000" w:themeColor="text1"/>
          <w:lang w:val="en-US"/>
        </w:rPr>
        <w:t>3 used a combined EIA to detect GDH and fecal toxin (</w:t>
      </w:r>
      <w:proofErr w:type="spellStart"/>
      <w:r w:rsidRPr="00726915">
        <w:rPr>
          <w:color w:val="000000" w:themeColor="text1"/>
          <w:lang w:val="en-US"/>
        </w:rPr>
        <w:t>TechLab</w:t>
      </w:r>
      <w:proofErr w:type="spellEnd"/>
      <w:r w:rsidRPr="00726915">
        <w:rPr>
          <w:color w:val="000000" w:themeColor="text1"/>
          <w:lang w:val="en-US"/>
        </w:rPr>
        <w:t xml:space="preserve"> C diff </w:t>
      </w:r>
      <w:proofErr w:type="spellStart"/>
      <w:r w:rsidRPr="00726915">
        <w:rPr>
          <w:color w:val="000000" w:themeColor="text1"/>
          <w:lang w:val="en-US"/>
        </w:rPr>
        <w:t>Quik</w:t>
      </w:r>
      <w:proofErr w:type="spellEnd"/>
      <w:r w:rsidRPr="00726915">
        <w:rPr>
          <w:color w:val="000000" w:themeColor="text1"/>
          <w:lang w:val="en-US"/>
        </w:rPr>
        <w:t xml:space="preserve"> Check Complete, </w:t>
      </w:r>
      <w:proofErr w:type="spellStart"/>
      <w:r w:rsidRPr="00726915">
        <w:rPr>
          <w:color w:val="000000" w:themeColor="text1"/>
          <w:lang w:val="en-US"/>
        </w:rPr>
        <w:t>Techlab</w:t>
      </w:r>
      <w:proofErr w:type="spellEnd"/>
      <w:r w:rsidRPr="00726915">
        <w:rPr>
          <w:color w:val="000000" w:themeColor="text1"/>
          <w:lang w:val="en-US"/>
        </w:rPr>
        <w:t xml:space="preserve">, </w:t>
      </w:r>
      <w:r w:rsidRPr="00726915">
        <w:rPr>
          <w:color w:val="000000" w:themeColor="text1"/>
        </w:rPr>
        <w:t>Blacksburg, VA, USA)</w:t>
      </w:r>
      <w:r w:rsidRPr="00726915">
        <w:rPr>
          <w:color w:val="000000" w:themeColor="text1"/>
          <w:lang w:val="en-US"/>
        </w:rPr>
        <w:t xml:space="preserve">. </w:t>
      </w:r>
      <w:r w:rsidR="00275C9F" w:rsidRPr="00726915">
        <w:rPr>
          <w:color w:val="000000" w:themeColor="text1"/>
        </w:rPr>
        <w:t>Hospital-</w:t>
      </w:r>
      <w:r w:rsidRPr="00726915">
        <w:rPr>
          <w:color w:val="000000" w:themeColor="text1"/>
        </w:rPr>
        <w:t xml:space="preserve">4 used separate GDH and </w:t>
      </w:r>
      <w:proofErr w:type="spellStart"/>
      <w:r w:rsidRPr="00726915">
        <w:rPr>
          <w:color w:val="000000" w:themeColor="text1"/>
        </w:rPr>
        <w:t>fecal</w:t>
      </w:r>
      <w:proofErr w:type="spellEnd"/>
      <w:r w:rsidRPr="00726915">
        <w:rPr>
          <w:color w:val="000000" w:themeColor="text1"/>
        </w:rPr>
        <w:t xml:space="preserve"> toxin EIA tests (</w:t>
      </w:r>
      <w:proofErr w:type="spellStart"/>
      <w:r w:rsidRPr="00726915">
        <w:rPr>
          <w:color w:val="000000" w:themeColor="text1"/>
          <w:lang w:val="en-US"/>
        </w:rPr>
        <w:t>TechLab</w:t>
      </w:r>
      <w:proofErr w:type="spellEnd"/>
      <w:r w:rsidRPr="00726915">
        <w:rPr>
          <w:color w:val="000000" w:themeColor="text1"/>
          <w:lang w:val="en-US"/>
        </w:rPr>
        <w:t xml:space="preserve"> C diff Chek-60 and </w:t>
      </w:r>
      <w:proofErr w:type="spellStart"/>
      <w:r w:rsidRPr="00726915">
        <w:rPr>
          <w:color w:val="000000" w:themeColor="text1"/>
          <w:lang w:val="en-US"/>
        </w:rPr>
        <w:t>TechLab</w:t>
      </w:r>
      <w:proofErr w:type="spellEnd"/>
      <w:r w:rsidRPr="00726915">
        <w:rPr>
          <w:color w:val="000000" w:themeColor="text1"/>
          <w:lang w:val="en-US"/>
        </w:rPr>
        <w:t xml:space="preserve"> C diff </w:t>
      </w:r>
      <w:proofErr w:type="spellStart"/>
      <w:r w:rsidRPr="00726915">
        <w:rPr>
          <w:color w:val="000000" w:themeColor="text1"/>
          <w:lang w:val="en-US"/>
        </w:rPr>
        <w:t>Tox</w:t>
      </w:r>
      <w:proofErr w:type="spellEnd"/>
      <w:r w:rsidRPr="00726915">
        <w:rPr>
          <w:color w:val="000000" w:themeColor="text1"/>
          <w:lang w:val="en-US"/>
        </w:rPr>
        <w:t xml:space="preserve"> A/B II, respectively, both </w:t>
      </w:r>
      <w:proofErr w:type="spellStart"/>
      <w:r w:rsidRPr="00726915">
        <w:rPr>
          <w:color w:val="000000" w:themeColor="text1"/>
          <w:lang w:val="en-US"/>
        </w:rPr>
        <w:t>Techlab</w:t>
      </w:r>
      <w:proofErr w:type="spellEnd"/>
      <w:r w:rsidRPr="00726915">
        <w:rPr>
          <w:color w:val="000000" w:themeColor="text1"/>
          <w:lang w:val="en-US"/>
        </w:rPr>
        <w:t xml:space="preserve">, </w:t>
      </w:r>
      <w:r w:rsidRPr="00726915">
        <w:rPr>
          <w:color w:val="000000" w:themeColor="text1"/>
        </w:rPr>
        <w:t xml:space="preserve">Blacksburg, VA, USA). </w:t>
      </w:r>
      <w:r w:rsidR="00275C9F" w:rsidRPr="00726915">
        <w:rPr>
          <w:color w:val="000000" w:themeColor="text1"/>
          <w:lang w:val="en-US"/>
        </w:rPr>
        <w:t>Hospital-</w:t>
      </w:r>
      <w:r w:rsidRPr="00726915">
        <w:rPr>
          <w:color w:val="000000" w:themeColor="text1"/>
          <w:lang w:val="en-US"/>
        </w:rPr>
        <w:t>5 used a GDH EIA (</w:t>
      </w:r>
      <w:proofErr w:type="spellStart"/>
      <w:r w:rsidRPr="00726915">
        <w:rPr>
          <w:color w:val="000000" w:themeColor="text1"/>
          <w:lang w:val="en-US"/>
        </w:rPr>
        <w:t>Prolab</w:t>
      </w:r>
      <w:proofErr w:type="spellEnd"/>
      <w:r w:rsidRPr="00726915">
        <w:rPr>
          <w:color w:val="000000" w:themeColor="text1"/>
          <w:lang w:val="en-US"/>
        </w:rPr>
        <w:t xml:space="preserve"> GDH EIA, Pro-Lab Diagnostics, Toronto, Canada), a fecal toxin ELFA (</w:t>
      </w:r>
      <w:proofErr w:type="spellStart"/>
      <w:r w:rsidRPr="00726915">
        <w:rPr>
          <w:color w:val="000000" w:themeColor="text1"/>
        </w:rPr>
        <w:t>bioMérieux</w:t>
      </w:r>
      <w:proofErr w:type="spellEnd"/>
      <w:r w:rsidRPr="00726915">
        <w:rPr>
          <w:color w:val="000000" w:themeColor="text1"/>
        </w:rPr>
        <w:t> </w:t>
      </w:r>
      <w:proofErr w:type="spellStart"/>
      <w:r w:rsidRPr="00726915">
        <w:rPr>
          <w:color w:val="000000" w:themeColor="text1"/>
        </w:rPr>
        <w:t>Vidas</w:t>
      </w:r>
      <w:proofErr w:type="spellEnd"/>
      <w:r w:rsidRPr="00726915">
        <w:rPr>
          <w:color w:val="000000" w:themeColor="text1"/>
        </w:rPr>
        <w:t xml:space="preserve"> C. difficile toxin AB, </w:t>
      </w:r>
      <w:proofErr w:type="spellStart"/>
      <w:r w:rsidRPr="00726915">
        <w:rPr>
          <w:color w:val="000000" w:themeColor="text1"/>
        </w:rPr>
        <w:t>bioMérieux</w:t>
      </w:r>
      <w:proofErr w:type="spellEnd"/>
      <w:r w:rsidRPr="00726915">
        <w:rPr>
          <w:color w:val="000000" w:themeColor="text1"/>
        </w:rPr>
        <w:t xml:space="preserve"> UK, Basingstoke, UK)</w:t>
      </w:r>
      <w:r w:rsidRPr="00726915">
        <w:rPr>
          <w:color w:val="000000" w:themeColor="text1"/>
          <w:lang w:val="en-US"/>
        </w:rPr>
        <w:t xml:space="preserve">. </w:t>
      </w:r>
      <w:r w:rsidR="00275C9F" w:rsidRPr="00726915">
        <w:rPr>
          <w:color w:val="000000" w:themeColor="text1"/>
        </w:rPr>
        <w:t>Hospital-</w:t>
      </w:r>
      <w:r w:rsidRPr="00726915">
        <w:rPr>
          <w:color w:val="000000" w:themeColor="text1"/>
        </w:rPr>
        <w:t xml:space="preserve">6 used separate GDH and </w:t>
      </w:r>
      <w:proofErr w:type="spellStart"/>
      <w:r w:rsidRPr="00726915">
        <w:rPr>
          <w:color w:val="000000" w:themeColor="text1"/>
        </w:rPr>
        <w:t>fecal</w:t>
      </w:r>
      <w:proofErr w:type="spellEnd"/>
      <w:r w:rsidRPr="00726915">
        <w:rPr>
          <w:color w:val="000000" w:themeColor="text1"/>
        </w:rPr>
        <w:t xml:space="preserve"> toxin EIA tests (</w:t>
      </w:r>
      <w:proofErr w:type="spellStart"/>
      <w:r w:rsidRPr="00726915">
        <w:rPr>
          <w:color w:val="000000" w:themeColor="text1"/>
          <w:lang w:val="en-US"/>
        </w:rPr>
        <w:t>TechLab</w:t>
      </w:r>
      <w:proofErr w:type="spellEnd"/>
      <w:r w:rsidRPr="00726915">
        <w:rPr>
          <w:color w:val="000000" w:themeColor="text1"/>
          <w:lang w:val="en-US"/>
        </w:rPr>
        <w:t xml:space="preserve"> C diff </w:t>
      </w:r>
      <w:proofErr w:type="spellStart"/>
      <w:r w:rsidRPr="00726915">
        <w:rPr>
          <w:color w:val="000000" w:themeColor="text1"/>
          <w:lang w:val="en-US"/>
        </w:rPr>
        <w:t>Quik</w:t>
      </w:r>
      <w:proofErr w:type="spellEnd"/>
      <w:r w:rsidRPr="00726915">
        <w:rPr>
          <w:color w:val="000000" w:themeColor="text1"/>
          <w:lang w:val="en-US"/>
        </w:rPr>
        <w:t xml:space="preserve"> </w:t>
      </w:r>
      <w:proofErr w:type="spellStart"/>
      <w:r w:rsidRPr="00726915">
        <w:rPr>
          <w:color w:val="000000" w:themeColor="text1"/>
          <w:lang w:val="en-US"/>
        </w:rPr>
        <w:t>Chek</w:t>
      </w:r>
      <w:proofErr w:type="spellEnd"/>
      <w:r w:rsidRPr="00726915">
        <w:rPr>
          <w:color w:val="000000" w:themeColor="text1"/>
          <w:lang w:val="en-US"/>
        </w:rPr>
        <w:t xml:space="preserve">, and </w:t>
      </w:r>
      <w:proofErr w:type="spellStart"/>
      <w:r w:rsidRPr="00726915">
        <w:rPr>
          <w:color w:val="000000" w:themeColor="text1"/>
          <w:lang w:val="en-US"/>
        </w:rPr>
        <w:t>TechLab</w:t>
      </w:r>
      <w:proofErr w:type="spellEnd"/>
      <w:r w:rsidRPr="00726915">
        <w:rPr>
          <w:color w:val="000000" w:themeColor="text1"/>
          <w:lang w:val="en-US"/>
        </w:rPr>
        <w:t xml:space="preserve"> C diff </w:t>
      </w:r>
      <w:proofErr w:type="spellStart"/>
      <w:r w:rsidRPr="00726915">
        <w:rPr>
          <w:color w:val="000000" w:themeColor="text1"/>
          <w:lang w:val="en-US"/>
        </w:rPr>
        <w:t>Quik</w:t>
      </w:r>
      <w:proofErr w:type="spellEnd"/>
      <w:r w:rsidRPr="00726915">
        <w:rPr>
          <w:color w:val="000000" w:themeColor="text1"/>
          <w:lang w:val="en-US"/>
        </w:rPr>
        <w:t xml:space="preserve"> </w:t>
      </w:r>
      <w:proofErr w:type="spellStart"/>
      <w:r w:rsidRPr="00726915">
        <w:rPr>
          <w:color w:val="000000" w:themeColor="text1"/>
          <w:lang w:val="en-US"/>
        </w:rPr>
        <w:t>Chek</w:t>
      </w:r>
      <w:proofErr w:type="spellEnd"/>
      <w:r w:rsidRPr="00726915">
        <w:rPr>
          <w:color w:val="000000" w:themeColor="text1"/>
          <w:lang w:val="en-US"/>
        </w:rPr>
        <w:t xml:space="preserve"> TOX AB respectively, both </w:t>
      </w:r>
      <w:proofErr w:type="spellStart"/>
      <w:r w:rsidRPr="00726915">
        <w:rPr>
          <w:color w:val="000000" w:themeColor="text1"/>
          <w:lang w:val="en-US"/>
        </w:rPr>
        <w:t>Techlab</w:t>
      </w:r>
      <w:proofErr w:type="spellEnd"/>
      <w:r w:rsidRPr="00726915">
        <w:rPr>
          <w:color w:val="000000" w:themeColor="text1"/>
          <w:lang w:val="en-US"/>
        </w:rPr>
        <w:t xml:space="preserve">, </w:t>
      </w:r>
      <w:r w:rsidRPr="00726915">
        <w:rPr>
          <w:color w:val="000000" w:themeColor="text1"/>
        </w:rPr>
        <w:t>Blacksburg, VA</w:t>
      </w:r>
      <w:r w:rsidR="00C32B2A" w:rsidRPr="00726915">
        <w:rPr>
          <w:color w:val="000000" w:themeColor="text1"/>
        </w:rPr>
        <w:t xml:space="preserve">, USA). </w:t>
      </w:r>
      <w:r w:rsidR="00FA558F" w:rsidRPr="00726915">
        <w:rPr>
          <w:color w:val="000000" w:themeColor="text1"/>
          <w:lang w:val="en-US"/>
        </w:rPr>
        <w:t xml:space="preserve">Toxin gene PCR </w:t>
      </w:r>
      <w:r w:rsidR="00C32B2A" w:rsidRPr="00726915">
        <w:rPr>
          <w:color w:val="000000" w:themeColor="text1"/>
          <w:lang w:val="en-US"/>
        </w:rPr>
        <w:t xml:space="preserve">(Cepheid </w:t>
      </w:r>
      <w:proofErr w:type="spellStart"/>
      <w:r w:rsidR="00C32B2A" w:rsidRPr="00726915">
        <w:rPr>
          <w:color w:val="000000" w:themeColor="text1"/>
          <w:lang w:val="en-US"/>
        </w:rPr>
        <w:t>GeneXpert</w:t>
      </w:r>
      <w:proofErr w:type="spellEnd"/>
      <w:r w:rsidR="00C32B2A" w:rsidRPr="00726915">
        <w:rPr>
          <w:color w:val="000000" w:themeColor="text1"/>
          <w:lang w:val="en-US"/>
        </w:rPr>
        <w:t xml:space="preserve">, Cepheid, </w:t>
      </w:r>
      <w:proofErr w:type="gramStart"/>
      <w:r w:rsidR="00C32B2A" w:rsidRPr="00726915">
        <w:rPr>
          <w:color w:val="000000" w:themeColor="text1"/>
          <w:lang w:val="en-US"/>
        </w:rPr>
        <w:t>Sunnyvale</w:t>
      </w:r>
      <w:proofErr w:type="gramEnd"/>
      <w:r w:rsidR="00C32B2A" w:rsidRPr="00726915">
        <w:rPr>
          <w:color w:val="000000" w:themeColor="text1"/>
          <w:lang w:val="en-US"/>
        </w:rPr>
        <w:t xml:space="preserve">, CA, USA) </w:t>
      </w:r>
      <w:r w:rsidR="00FA558F" w:rsidRPr="00726915">
        <w:rPr>
          <w:color w:val="000000" w:themeColor="text1"/>
          <w:lang w:val="en-US"/>
        </w:rPr>
        <w:t>was also perfor</w:t>
      </w:r>
      <w:r w:rsidR="00275C9F" w:rsidRPr="00726915">
        <w:rPr>
          <w:color w:val="000000" w:themeColor="text1"/>
          <w:lang w:val="en-US"/>
        </w:rPr>
        <w:t>med on all samples at hospital-</w:t>
      </w:r>
      <w:r w:rsidR="00FA558F" w:rsidRPr="00726915">
        <w:rPr>
          <w:color w:val="000000" w:themeColor="text1"/>
          <w:lang w:val="en-US"/>
        </w:rPr>
        <w:t xml:space="preserve">2, </w:t>
      </w:r>
      <w:r w:rsidR="00275C9F" w:rsidRPr="00726915">
        <w:rPr>
          <w:color w:val="000000" w:themeColor="text1"/>
          <w:lang w:val="en-US"/>
        </w:rPr>
        <w:t>-</w:t>
      </w:r>
      <w:r w:rsidR="00FA558F" w:rsidRPr="00726915">
        <w:rPr>
          <w:color w:val="000000" w:themeColor="text1"/>
          <w:lang w:val="en-US"/>
        </w:rPr>
        <w:t xml:space="preserve">3, and </w:t>
      </w:r>
      <w:r w:rsidR="00275C9F" w:rsidRPr="00726915">
        <w:rPr>
          <w:color w:val="000000" w:themeColor="text1"/>
          <w:lang w:val="en-US"/>
        </w:rPr>
        <w:t>-</w:t>
      </w:r>
      <w:r w:rsidR="00FA558F" w:rsidRPr="00726915">
        <w:rPr>
          <w:color w:val="000000" w:themeColor="text1"/>
          <w:lang w:val="en-US"/>
        </w:rPr>
        <w:t>6, and on samp</w:t>
      </w:r>
      <w:r w:rsidR="00275C9F" w:rsidRPr="00726915">
        <w:rPr>
          <w:color w:val="000000" w:themeColor="text1"/>
          <w:lang w:val="en-US"/>
        </w:rPr>
        <w:t>les from inpatients at hospital-</w:t>
      </w:r>
      <w:r w:rsidR="00FA558F" w:rsidRPr="00726915">
        <w:rPr>
          <w:color w:val="000000" w:themeColor="text1"/>
          <w:lang w:val="en-US"/>
        </w:rPr>
        <w:t>5</w:t>
      </w:r>
      <w:r w:rsidRPr="00726915">
        <w:rPr>
          <w:color w:val="000000" w:themeColor="text1"/>
          <w:lang w:val="en-US"/>
        </w:rPr>
        <w:t>.</w:t>
      </w:r>
    </w:p>
    <w:p w14:paraId="7BB85277" w14:textId="77777777" w:rsidR="00B97873" w:rsidRPr="00726915" w:rsidRDefault="00B97873" w:rsidP="005E6770">
      <w:pPr>
        <w:spacing w:line="276" w:lineRule="auto"/>
        <w:rPr>
          <w:color w:val="000000" w:themeColor="text1"/>
          <w:lang w:val="en-US"/>
        </w:rPr>
      </w:pPr>
    </w:p>
    <w:p w14:paraId="69409B16" w14:textId="77777777" w:rsidR="00FA558F" w:rsidRPr="00726915" w:rsidRDefault="00FA558F" w:rsidP="005E6770">
      <w:pPr>
        <w:pStyle w:val="Heading3"/>
        <w:spacing w:line="276" w:lineRule="auto"/>
        <w:rPr>
          <w:color w:val="000000" w:themeColor="text1"/>
          <w:lang w:val="en-US"/>
        </w:rPr>
      </w:pPr>
      <w:r w:rsidRPr="00726915">
        <w:rPr>
          <w:color w:val="000000" w:themeColor="text1"/>
          <w:lang w:val="en-US"/>
        </w:rPr>
        <w:t>Sequencing</w:t>
      </w:r>
    </w:p>
    <w:p w14:paraId="6E8A7E92" w14:textId="2AE577A0" w:rsidR="00FA558F" w:rsidRPr="00726915" w:rsidRDefault="00FA558F" w:rsidP="005E6770">
      <w:pPr>
        <w:spacing w:line="276" w:lineRule="auto"/>
        <w:rPr>
          <w:color w:val="000000" w:themeColor="text1"/>
          <w:lang w:val="en-US"/>
        </w:rPr>
      </w:pPr>
      <w:r w:rsidRPr="00726915">
        <w:rPr>
          <w:color w:val="000000" w:themeColor="text1"/>
          <w:lang w:val="en-US"/>
        </w:rPr>
        <w:t xml:space="preserve">Sequences were compared using single nucleotide polymorphisms, SNPs, obtaining differences between sequences from maximum likelihood phylogenies constructed using </w:t>
      </w:r>
      <w:proofErr w:type="spellStart"/>
      <w:r w:rsidRPr="00726915">
        <w:rPr>
          <w:color w:val="000000" w:themeColor="text1"/>
          <w:lang w:val="en-US"/>
        </w:rPr>
        <w:t>PhyML</w:t>
      </w:r>
      <w:proofErr w:type="spellEnd"/>
      <w:r w:rsidRPr="00726915">
        <w:rPr>
          <w:color w:val="000000" w:themeColor="text1"/>
          <w:lang w:val="en-US"/>
        </w:rPr>
        <w:fldChar w:fldCharType="begin"/>
      </w:r>
      <w:r w:rsidR="00F262E5" w:rsidRPr="00726915">
        <w:rPr>
          <w:color w:val="000000" w:themeColor="text1"/>
          <w:lang w:val="en-US"/>
        </w:rPr>
        <w:instrText xml:space="preserve"> ADDIN PAPERS2_CITATIONS &lt;citation&gt;&lt;uuid&gt;47EBDCB2-3E06-40FB-BC3B-6FF08468CBCE&lt;/uuid&gt;&lt;priority&gt;0&lt;/priority&gt;&lt;publications&gt;&lt;publication&gt;&lt;uuid&gt;9254A70B-8B30-40DA-9A3F-0C5FFDCC0001&lt;/uuid&gt;&lt;volume&gt;52&lt;/volume&gt;&lt;startpage&gt;696&lt;/startpage&gt;&lt;publication_date&gt;99200310001200000000220000&lt;/publication_date&gt;&lt;url&gt;http://eutils.ncbi.nlm.nih.gov/entrez/eutils/elink.fcgi?dbfrom=pubmed&amp;amp;id=14530136&amp;amp;retmode=ref&amp;amp;cmd=prlinks&lt;/url&gt;&lt;type&gt;400&lt;/type&gt;&lt;title&gt;A simple, fast, and accurate algorithm to estimate large phylogenies by maximum likelihood.&lt;/title&gt;&lt;location&gt;602,0,0,0&lt;/location&gt;&lt;institution&gt;LIRMM, CNRS, 161 Rue Ada, 34392, Montpellier Cedex 5, France.&lt;/institution&gt;&lt;number&gt;5&lt;/number&gt;&lt;subtype&gt;400&lt;/subtype&gt;&lt;endpage&gt;704&lt;/endpage&gt;&lt;bundle&gt;&lt;publication&gt;&lt;title&gt;Systematic biology&lt;/title&gt;&lt;type&gt;-100&lt;/type&gt;&lt;subtype&gt;-100&lt;/subtype&gt;&lt;uuid&gt;20EF3D7F-D5AB-433D-A977-5DA63E433EA3&lt;/uuid&gt;&lt;/publication&gt;&lt;/bundle&gt;&lt;authors&gt;&lt;author&gt;&lt;firstName&gt;Stéphane&lt;/firstName&gt;&lt;lastName&gt;Guindon&lt;/lastName&gt;&lt;/author&gt;&lt;author&gt;&lt;firstName&gt;Olivier&lt;/firstName&gt;&lt;lastName&gt;Gascuel&lt;/lastName&gt;&lt;/author&gt;&lt;/authors&gt;&lt;/publication&gt;&lt;/publications&gt;&lt;cites&gt;&lt;/cites&gt;&lt;/citation&gt;</w:instrText>
      </w:r>
      <w:r w:rsidRPr="00726915">
        <w:rPr>
          <w:color w:val="000000" w:themeColor="text1"/>
          <w:lang w:val="en-US"/>
        </w:rPr>
        <w:fldChar w:fldCharType="separate"/>
      </w:r>
      <w:r w:rsidR="00F262E5" w:rsidRPr="00726915">
        <w:rPr>
          <w:rFonts w:ascii="Calibri" w:hAnsi="Calibri" w:cs="Calibri"/>
          <w:color w:val="000000" w:themeColor="text1"/>
        </w:rPr>
        <w:t>[1]</w:t>
      </w:r>
      <w:r w:rsidRPr="00726915">
        <w:rPr>
          <w:color w:val="000000" w:themeColor="text1"/>
          <w:lang w:val="en-US"/>
        </w:rPr>
        <w:fldChar w:fldCharType="end"/>
      </w:r>
      <w:r w:rsidRPr="00726915">
        <w:rPr>
          <w:color w:val="000000" w:themeColor="text1"/>
          <w:lang w:val="en-US"/>
        </w:rPr>
        <w:t xml:space="preserve"> (with generalized time-reversible substitution model and “BEST” tree topology search algorithm), corrected for the effect of recombination using </w:t>
      </w:r>
      <w:proofErr w:type="spellStart"/>
      <w:r w:rsidRPr="00726915">
        <w:rPr>
          <w:color w:val="000000" w:themeColor="text1"/>
          <w:lang w:val="en-US"/>
        </w:rPr>
        <w:t>ClonalFrameML</w:t>
      </w:r>
      <w:proofErr w:type="spellEnd"/>
      <w:r w:rsidRPr="00726915">
        <w:rPr>
          <w:color w:val="000000" w:themeColor="text1"/>
          <w:lang w:val="en-US"/>
        </w:rPr>
        <w:fldChar w:fldCharType="begin"/>
      </w:r>
      <w:r w:rsidR="00F262E5" w:rsidRPr="00726915">
        <w:rPr>
          <w:color w:val="000000" w:themeColor="text1"/>
          <w:lang w:val="en-US"/>
        </w:rPr>
        <w:instrText xml:space="preserve"> ADDIN PAPERS2_CITATIONS &lt;citation&gt;&lt;uuid&gt;B08420CE-69C6-4967-94C3-969AAB3B49D7&lt;/uuid&gt;&lt;priority&gt;0&lt;/priority&gt;&lt;publications&gt;&lt;publication&gt;&lt;uuid&gt;0AD1FADF-EC64-46B6-B1D7-1B75485B7F9A&lt;/uuid&gt;&lt;volume&gt;11&lt;/volume&gt;&lt;accepted_date&gt;99201411161200000000222000&lt;/accepted_date&gt;&lt;doi&gt;10.1371/journal.pcbi.1004041&lt;/doi&gt;&lt;startpage&gt;e1004041&lt;/startpage&gt;&lt;publication_date&gt;99201502001200000000220000&lt;/publication_date&gt;&lt;url&gt;http://journals.plos.org/ploscompbiol/article?id=10.1371/journal.pcbi.1004041&lt;/url&gt;&lt;type&gt;400&lt;/type&gt;&lt;title&gt;ClonalFrameML: efficient inference of recombination in whole bacterial genomes.&lt;/title&gt;&lt;publisher&gt;Public Library of Science&lt;/publisher&gt;&lt;submission_date&gt;99201408191200000000222000&lt;/submission_date&gt;&lt;number&gt;2&lt;/number&gt;&lt;institution&gt;Department of Infectious Disease Epidemiology, Imperial College, London, United Kingdom.&lt;/institution&gt;&lt;subtype&gt;400&lt;/subtype&gt;&lt;bundle&gt;&lt;publication&gt;&lt;publisher&gt;Public Library of Science&lt;/publisher&gt;&lt;title&gt;PLoS computational biology&lt;/title&gt;&lt;type&gt;-100&lt;/type&gt;&lt;subtype&gt;-100&lt;/subtype&gt;&lt;uuid&gt;DF588728-7A1E-4735-A838-695133EDEA85&lt;/uuid&gt;&lt;/publication&gt;&lt;/bundle&gt;&lt;authors&gt;&lt;author&gt;&lt;firstName&gt;Xavier&lt;/firstName&gt;&lt;lastName&gt;Didelot&lt;/lastName&gt;&lt;/author&gt;&lt;author&gt;&lt;firstName&gt;Daniel&lt;/firstName&gt;&lt;middleNames&gt;J&lt;/middleNames&gt;&lt;lastName&gt;Wilson&lt;/lastName&gt;&lt;/author&gt;&lt;/authors&gt;&lt;/publication&gt;&lt;/publications&gt;&lt;cites&gt;&lt;/cites&gt;&lt;/citation&gt;</w:instrText>
      </w:r>
      <w:r w:rsidRPr="00726915">
        <w:rPr>
          <w:color w:val="000000" w:themeColor="text1"/>
          <w:lang w:val="en-US"/>
        </w:rPr>
        <w:fldChar w:fldCharType="separate"/>
      </w:r>
      <w:r w:rsidR="00F262E5" w:rsidRPr="00726915">
        <w:rPr>
          <w:rFonts w:ascii="Calibri" w:hAnsi="Calibri" w:cs="Calibri"/>
          <w:color w:val="000000" w:themeColor="text1"/>
        </w:rPr>
        <w:t>[2]</w:t>
      </w:r>
      <w:r w:rsidRPr="00726915">
        <w:rPr>
          <w:color w:val="000000" w:themeColor="text1"/>
          <w:lang w:val="en-US"/>
        </w:rPr>
        <w:fldChar w:fldCharType="end"/>
      </w:r>
      <w:r w:rsidRPr="00726915">
        <w:rPr>
          <w:color w:val="000000" w:themeColor="text1"/>
          <w:lang w:val="en-US"/>
        </w:rPr>
        <w:t xml:space="preserve"> (with default settings). Sequence reads were also </w:t>
      </w:r>
      <w:r w:rsidRPr="00726915">
        <w:rPr>
          <w:bCs/>
          <w:color w:val="000000" w:themeColor="text1"/>
          <w:lang w:val="en-US"/>
        </w:rPr>
        <w:t xml:space="preserve">assembled </w:t>
      </w:r>
      <w:r w:rsidRPr="00726915">
        <w:rPr>
          <w:bCs/>
          <w:i/>
          <w:color w:val="000000" w:themeColor="text1"/>
          <w:lang w:val="en-US"/>
        </w:rPr>
        <w:t xml:space="preserve">de novo </w:t>
      </w:r>
      <w:r w:rsidRPr="00726915">
        <w:rPr>
          <w:bCs/>
          <w:color w:val="000000" w:themeColor="text1"/>
          <w:lang w:val="en-US"/>
        </w:rPr>
        <w:t>with Velvet</w:t>
      </w:r>
      <w:r w:rsidRPr="00726915">
        <w:rPr>
          <w:bCs/>
          <w:i/>
          <w:color w:val="000000" w:themeColor="text1"/>
          <w:lang w:val="en-US"/>
        </w:rPr>
        <w:t>,</w:t>
      </w:r>
      <w:r w:rsidRPr="00726915">
        <w:rPr>
          <w:bCs/>
          <w:i/>
          <w:color w:val="000000" w:themeColor="text1"/>
          <w:lang w:val="en-US"/>
        </w:rPr>
        <w:fldChar w:fldCharType="begin"/>
      </w:r>
      <w:r w:rsidR="00F262E5" w:rsidRPr="00726915">
        <w:rPr>
          <w:bCs/>
          <w:i/>
          <w:color w:val="000000" w:themeColor="text1"/>
          <w:lang w:val="en-US"/>
        </w:rPr>
        <w:instrText xml:space="preserve"> ADDIN PAPERS2_CITATIONS &lt;citation&gt;&lt;uuid&gt;896E844F-96A6-4004-B8AB-C5B28D43ADF6&lt;/uuid&gt;&lt;priority&gt;0&lt;/priority&gt;&lt;publications&gt;&lt;publication&gt;&lt;volume&gt;18&lt;/volume&gt;&lt;publication_date&gt;99200802211200000000222000&lt;/publication_date&gt;&lt;number&gt;5&lt;/number&gt;&lt;doi&gt;10.1101/gr.074492.107&lt;/doi&gt;&lt;startpage&gt;821&lt;/startpage&gt;&lt;title&gt;Velvet: Algorithms for de novo short read assembly using de Bruijn graphs&lt;/title&gt;&lt;uuid&gt;D857663C-8536-47C2-85F7-47560D513E38&lt;/uuid&gt;&lt;subtype&gt;400&lt;/subtype&gt;&lt;endpage&gt;829&lt;/endpage&gt;&lt;type&gt;400&lt;/type&gt;&lt;url&gt;http://www.genome.org/cgi/doi/10.1101/gr.074492.107&lt;/url&gt;&lt;bundle&gt;&lt;publication&gt;&lt;title&gt;Genome Research&lt;/title&gt;&lt;type&gt;-100&lt;/type&gt;&lt;subtype&gt;-100&lt;/subtype&gt;&lt;uuid&gt;77679123-4867-4933-B5B3-B12E09973977&lt;/uuid&gt;&lt;/publication&gt;&lt;/bundle&gt;&lt;authors&gt;&lt;author&gt;&lt;firstName&gt;D&lt;/firstName&gt;&lt;middleNames&gt;R&lt;/middleNames&gt;&lt;lastName&gt;Zerbino&lt;/lastName&gt;&lt;/author&gt;&lt;author&gt;&lt;firstName&gt;E&lt;/firstName&gt;&lt;lastName&gt;Birney&lt;/lastName&gt;&lt;/author&gt;&lt;/authors&gt;&lt;/publication&gt;&lt;/publications&gt;&lt;cites&gt;&lt;/cites&gt;&lt;/citation&gt;</w:instrText>
      </w:r>
      <w:r w:rsidRPr="00726915">
        <w:rPr>
          <w:bCs/>
          <w:i/>
          <w:color w:val="000000" w:themeColor="text1"/>
          <w:lang w:val="en-US"/>
        </w:rPr>
        <w:fldChar w:fldCharType="separate"/>
      </w:r>
      <w:r w:rsidR="00F262E5" w:rsidRPr="00726915">
        <w:rPr>
          <w:rFonts w:ascii="Calibri" w:hAnsi="Calibri" w:cs="Calibri"/>
          <w:color w:val="000000" w:themeColor="text1"/>
        </w:rPr>
        <w:t>[3]</w:t>
      </w:r>
      <w:r w:rsidRPr="00726915">
        <w:rPr>
          <w:color w:val="000000" w:themeColor="text1"/>
          <w:lang w:val="en-US"/>
        </w:rPr>
        <w:fldChar w:fldCharType="end"/>
      </w:r>
      <w:r w:rsidRPr="00726915">
        <w:rPr>
          <w:color w:val="000000" w:themeColor="text1"/>
          <w:lang w:val="en-US"/>
        </w:rPr>
        <w:t xml:space="preserve"> and toxigenic strains identified using BLAST searches of </w:t>
      </w:r>
      <w:r w:rsidRPr="00726915">
        <w:rPr>
          <w:i/>
          <w:color w:val="000000" w:themeColor="text1"/>
          <w:lang w:val="en-US"/>
        </w:rPr>
        <w:t xml:space="preserve">de novo </w:t>
      </w:r>
      <w:r w:rsidRPr="00726915">
        <w:rPr>
          <w:color w:val="000000" w:themeColor="text1"/>
          <w:lang w:val="en-US"/>
        </w:rPr>
        <w:t>assemblies (≥1000 nucleotide identities with toxin A or B genes).</w:t>
      </w:r>
    </w:p>
    <w:p w14:paraId="5226903D" w14:textId="77777777" w:rsidR="001B350F" w:rsidRPr="00726915" w:rsidRDefault="00726915" w:rsidP="005E6770">
      <w:pPr>
        <w:spacing w:line="276" w:lineRule="auto"/>
        <w:rPr>
          <w:color w:val="000000" w:themeColor="text1"/>
        </w:rPr>
      </w:pPr>
    </w:p>
    <w:p w14:paraId="2C784EE6" w14:textId="5B17E025" w:rsidR="00FA558F" w:rsidRPr="00726915" w:rsidRDefault="00FA558F" w:rsidP="005E6770">
      <w:pPr>
        <w:pStyle w:val="Heading3"/>
        <w:spacing w:line="276" w:lineRule="auto"/>
        <w:rPr>
          <w:color w:val="000000" w:themeColor="text1"/>
          <w:lang w:val="en-US"/>
        </w:rPr>
      </w:pPr>
      <w:r w:rsidRPr="00726915">
        <w:rPr>
          <w:color w:val="000000" w:themeColor="text1"/>
          <w:lang w:val="en-US"/>
        </w:rPr>
        <w:lastRenderedPageBreak/>
        <w:t>Risk facto</w:t>
      </w:r>
      <w:r w:rsidR="00275C9F" w:rsidRPr="00726915">
        <w:rPr>
          <w:color w:val="000000" w:themeColor="text1"/>
          <w:lang w:val="en-US"/>
        </w:rPr>
        <w:t>rs</w:t>
      </w:r>
    </w:p>
    <w:p w14:paraId="7C1C9C58" w14:textId="77777777" w:rsidR="00275C9F" w:rsidRPr="00726915" w:rsidRDefault="00275C9F" w:rsidP="005E6770">
      <w:pPr>
        <w:spacing w:line="276" w:lineRule="auto"/>
        <w:rPr>
          <w:color w:val="000000" w:themeColor="text1"/>
          <w:lang w:val="en-US"/>
        </w:rPr>
      </w:pPr>
      <w:r w:rsidRPr="00726915">
        <w:rPr>
          <w:color w:val="000000" w:themeColor="text1"/>
          <w:lang w:val="en-US"/>
        </w:rPr>
        <w:t xml:space="preserve">To assess whether the locally circulating strain mix affected estimates of the proportion of cases linked to a previous case, hospital-specific estimates were adjusted for </w:t>
      </w:r>
      <w:proofErr w:type="spellStart"/>
      <w:r w:rsidRPr="00726915">
        <w:rPr>
          <w:color w:val="000000" w:themeColor="text1"/>
          <w:lang w:val="en-US"/>
        </w:rPr>
        <w:t>ribotype</w:t>
      </w:r>
      <w:proofErr w:type="spellEnd"/>
      <w:r w:rsidRPr="00726915">
        <w:rPr>
          <w:color w:val="000000" w:themeColor="text1"/>
          <w:lang w:val="en-US"/>
        </w:rPr>
        <w:t xml:space="preserve"> using multivariate logistic regression. For each case occurring after the first 90 days at each hospital, the modelled outcome was genetic linkage with any previous case within ≤2 SNPs and ≤90 days. </w:t>
      </w:r>
      <w:proofErr w:type="spellStart"/>
      <w:r w:rsidRPr="00726915">
        <w:rPr>
          <w:color w:val="000000" w:themeColor="text1"/>
          <w:lang w:val="en-US"/>
        </w:rPr>
        <w:t>Ribotypes</w:t>
      </w:r>
      <w:proofErr w:type="spellEnd"/>
      <w:r w:rsidRPr="00726915">
        <w:rPr>
          <w:color w:val="000000" w:themeColor="text1"/>
          <w:lang w:val="en-US"/>
        </w:rPr>
        <w:t xml:space="preserve"> with 15 or more observations were considered as separate categories; </w:t>
      </w:r>
      <w:proofErr w:type="spellStart"/>
      <w:r w:rsidRPr="00726915">
        <w:rPr>
          <w:color w:val="000000" w:themeColor="text1"/>
          <w:lang w:val="en-US"/>
        </w:rPr>
        <w:t>ribotypes</w:t>
      </w:r>
      <w:proofErr w:type="spellEnd"/>
      <w:r w:rsidRPr="00726915">
        <w:rPr>
          <w:color w:val="000000" w:themeColor="text1"/>
          <w:lang w:val="en-US"/>
        </w:rPr>
        <w:t xml:space="preserve"> with less than 15 observations were combined into a single ‘other’ category, used as the reference. Marginal mean estimates for the proportion of </w:t>
      </w:r>
      <w:proofErr w:type="spellStart"/>
      <w:r w:rsidRPr="00726915">
        <w:rPr>
          <w:color w:val="000000" w:themeColor="text1"/>
          <w:lang w:val="en-US"/>
        </w:rPr>
        <w:t>cases</w:t>
      </w:r>
      <w:proofErr w:type="spellEnd"/>
      <w:r w:rsidRPr="00726915">
        <w:rPr>
          <w:color w:val="000000" w:themeColor="text1"/>
          <w:lang w:val="en-US"/>
        </w:rPr>
        <w:t xml:space="preserve"> related to a previous case either by hospital or by </w:t>
      </w:r>
      <w:proofErr w:type="spellStart"/>
      <w:r w:rsidRPr="00726915">
        <w:rPr>
          <w:color w:val="000000" w:themeColor="text1"/>
          <w:lang w:val="en-US"/>
        </w:rPr>
        <w:t>ribotype</w:t>
      </w:r>
      <w:proofErr w:type="spellEnd"/>
      <w:r w:rsidRPr="00726915">
        <w:rPr>
          <w:color w:val="000000" w:themeColor="text1"/>
          <w:lang w:val="en-US"/>
        </w:rPr>
        <w:t xml:space="preserve"> were obtained averaging over the distribution of the other factor (Stata “margins” command). All analyses were performed using Stata 14.1 (Stata Corp, College Station, TX). </w:t>
      </w:r>
    </w:p>
    <w:p w14:paraId="449B27FE" w14:textId="77777777" w:rsidR="00423FD1" w:rsidRPr="00726915" w:rsidRDefault="00423FD1" w:rsidP="005E6770">
      <w:pPr>
        <w:spacing w:line="276" w:lineRule="auto"/>
        <w:rPr>
          <w:color w:val="000000" w:themeColor="text1"/>
          <w:lang w:val="en-US"/>
        </w:rPr>
      </w:pPr>
    </w:p>
    <w:p w14:paraId="230A8409" w14:textId="77777777" w:rsidR="00343B4F" w:rsidRPr="00726915" w:rsidRDefault="00343B4F" w:rsidP="005E6770">
      <w:pPr>
        <w:pStyle w:val="Heading3"/>
        <w:spacing w:line="276" w:lineRule="auto"/>
        <w:rPr>
          <w:color w:val="000000" w:themeColor="text1"/>
        </w:rPr>
      </w:pPr>
      <w:r w:rsidRPr="00726915">
        <w:rPr>
          <w:color w:val="000000" w:themeColor="text1"/>
        </w:rPr>
        <w:t>Simulations</w:t>
      </w:r>
    </w:p>
    <w:p w14:paraId="65781520" w14:textId="3DA755FB" w:rsidR="00343B4F" w:rsidRPr="00726915" w:rsidRDefault="00343B4F" w:rsidP="005E6770">
      <w:pPr>
        <w:spacing w:line="276" w:lineRule="auto"/>
        <w:rPr>
          <w:color w:val="000000" w:themeColor="text1"/>
        </w:rPr>
      </w:pPr>
      <w:r w:rsidRPr="00726915">
        <w:rPr>
          <w:color w:val="000000" w:themeColor="text1"/>
        </w:rPr>
        <w:t xml:space="preserve">To assess the impact of incomplete sampling we simulated CDI cases occurring in patients at a hospital. Each simulation was run for 500 days, with 500 “introductions” (cases not related to a prior case through direct transmission) of CDI to the hospital randomly distributed throughout the time period. Simulating forward in time, at daily intervals, on each day, each newly diagnosed case had a random chance of resulting in a secondary case according to a specified probability. Where a secondary case occurred, the time delay between the diagnosis of the first and secondary cases was sampled from a gamma distribution (parameters shape=12, scale=2, equivalent to a median [IQR] 23 [19-28] days between transmitted cases; estimates were insensitive to the choice of parameter values provided the median generation interval remained less than 90 days). Each secondary case could then in turn potentially result in further secondary cases. Having run each simulation, a proportion of cases were randomly removed from the dataset once. Only </w:t>
      </w:r>
      <w:r w:rsidR="003F5451" w:rsidRPr="00726915">
        <w:rPr>
          <w:color w:val="000000" w:themeColor="text1"/>
        </w:rPr>
        <w:t xml:space="preserve">secondary </w:t>
      </w:r>
      <w:r w:rsidRPr="00726915">
        <w:rPr>
          <w:color w:val="000000" w:themeColor="text1"/>
        </w:rPr>
        <w:t>cases where the transmission source remained in the dataset were considered linked to a prior case and only cases from 90 days into the simulation were evaluated for a possible source.  Using this approach, we assessed the impact of sampling 100%, 90%, 80%, 70%, 60%, and 50% of true cases</w:t>
      </w:r>
      <w:r w:rsidR="003F5451" w:rsidRPr="00726915">
        <w:rPr>
          <w:color w:val="000000" w:themeColor="text1"/>
        </w:rPr>
        <w:t>,</w:t>
      </w:r>
      <w:r w:rsidRPr="00726915">
        <w:rPr>
          <w:color w:val="000000" w:themeColor="text1"/>
        </w:rPr>
        <w:t xml:space="preserve"> on the proportion of observed cases linked to a prior observed case, when the underlying probability of a secondary case was 0.25 and 0.5. Each simulation was run 1000 times and performed in R version 3.2.1.</w:t>
      </w:r>
    </w:p>
    <w:p w14:paraId="3CA86734" w14:textId="7B76D33B" w:rsidR="00BE0047" w:rsidRPr="00726915" w:rsidRDefault="0093758A" w:rsidP="005E6770">
      <w:pPr>
        <w:spacing w:line="276" w:lineRule="auto"/>
        <w:rPr>
          <w:color w:val="000000" w:themeColor="text1"/>
        </w:rPr>
      </w:pPr>
      <w:r w:rsidRPr="00726915">
        <w:rPr>
          <w:color w:val="000000" w:themeColor="text1"/>
        </w:rPr>
        <w:br w:type="column"/>
      </w:r>
    </w:p>
    <w:p w14:paraId="238C1414" w14:textId="05E2F35C" w:rsidR="00BE0047" w:rsidRPr="00726915" w:rsidRDefault="00BE0047" w:rsidP="005E6770">
      <w:pPr>
        <w:pStyle w:val="Heading2"/>
        <w:spacing w:line="276" w:lineRule="auto"/>
        <w:rPr>
          <w:color w:val="000000" w:themeColor="text1"/>
        </w:rPr>
      </w:pPr>
      <w:r w:rsidRPr="00726915">
        <w:rPr>
          <w:color w:val="000000" w:themeColor="text1"/>
        </w:rPr>
        <w:t>Results</w:t>
      </w:r>
    </w:p>
    <w:p w14:paraId="4FEB031B" w14:textId="6E9ECE03" w:rsidR="00BE0047" w:rsidRPr="00726915" w:rsidRDefault="00BE0047" w:rsidP="005E6770">
      <w:pPr>
        <w:pStyle w:val="Heading3"/>
        <w:spacing w:line="276" w:lineRule="auto"/>
        <w:rPr>
          <w:color w:val="000000" w:themeColor="text1"/>
        </w:rPr>
      </w:pPr>
      <w:r w:rsidRPr="00726915">
        <w:rPr>
          <w:color w:val="000000" w:themeColor="text1"/>
        </w:rPr>
        <w:t>Simulations</w:t>
      </w:r>
    </w:p>
    <w:p w14:paraId="7EDE977E" w14:textId="33E0A4C7" w:rsidR="00825180" w:rsidRPr="00726915" w:rsidRDefault="00825180" w:rsidP="005E6770">
      <w:pPr>
        <w:spacing w:line="276" w:lineRule="auto"/>
        <w:rPr>
          <w:color w:val="000000" w:themeColor="text1"/>
          <w:lang w:val="en-US"/>
        </w:rPr>
      </w:pPr>
      <w:r w:rsidRPr="00726915">
        <w:rPr>
          <w:color w:val="000000" w:themeColor="text1"/>
          <w:lang w:val="en-US"/>
        </w:rPr>
        <w:t>As only 144/178</w:t>
      </w:r>
      <w:r w:rsidR="00717B45" w:rsidRPr="00726915">
        <w:rPr>
          <w:color w:val="000000" w:themeColor="text1"/>
          <w:lang w:val="en-US"/>
        </w:rPr>
        <w:t xml:space="preserve"> (</w:t>
      </w:r>
      <w:r w:rsidRPr="00726915">
        <w:rPr>
          <w:color w:val="000000" w:themeColor="text1"/>
          <w:lang w:val="en-US"/>
        </w:rPr>
        <w:t>81%) of GDH-positive samples at hospital-2 were retrievable for culture we assessed the likely impact of these missing samples on the estimated proportion of linked cases by simulating transmission and sampling at a theoretical hospital (Figure S1). As sampling becomes increasingly less complete, the estimated proportion of linked cases declines proportional to the probability of a case being sampled. This potentially allows for correction of incomplete sampling if the observed proportion of linked cases is multiplied by 1</w:t>
      </w:r>
      <w:proofErr w:type="gramStart"/>
      <w:r w:rsidRPr="00726915">
        <w:rPr>
          <w:color w:val="000000" w:themeColor="text1"/>
          <w:lang w:val="en-US"/>
        </w:rPr>
        <w:t>/(</w:t>
      </w:r>
      <w:proofErr w:type="gramEnd"/>
      <w:r w:rsidRPr="00726915">
        <w:rPr>
          <w:color w:val="000000" w:themeColor="text1"/>
          <w:lang w:val="en-US"/>
        </w:rPr>
        <w:t xml:space="preserve">completeness of testing) to provide an adjusted number of linked cases. Applying this hospital-2 provides a revised estimate of 8% of cases being linked to a prior case; still </w:t>
      </w:r>
      <w:proofErr w:type="gramStart"/>
      <w:r w:rsidRPr="00726915">
        <w:rPr>
          <w:color w:val="000000" w:themeColor="text1"/>
          <w:lang w:val="en-US"/>
        </w:rPr>
        <w:t>considerably</w:t>
      </w:r>
      <w:proofErr w:type="gramEnd"/>
      <w:r w:rsidRPr="00726915">
        <w:rPr>
          <w:color w:val="000000" w:themeColor="text1"/>
          <w:lang w:val="en-US"/>
        </w:rPr>
        <w:t xml:space="preserve"> lower than the majority of the other hospitals.</w:t>
      </w:r>
    </w:p>
    <w:p w14:paraId="660D01A4" w14:textId="77777777" w:rsidR="00646C92" w:rsidRPr="00726915" w:rsidRDefault="00646C92" w:rsidP="005E6770">
      <w:pPr>
        <w:spacing w:line="276" w:lineRule="auto"/>
        <w:rPr>
          <w:color w:val="000000" w:themeColor="text1"/>
          <w:lang w:val="en-US"/>
        </w:rPr>
      </w:pPr>
    </w:p>
    <w:p w14:paraId="5D522EC4" w14:textId="1B2498DB" w:rsidR="00BE0047" w:rsidRPr="00726915" w:rsidRDefault="00646C92" w:rsidP="005E6770">
      <w:pPr>
        <w:spacing w:line="276" w:lineRule="auto"/>
        <w:rPr>
          <w:color w:val="000000" w:themeColor="text1"/>
        </w:rPr>
      </w:pPr>
      <w:r w:rsidRPr="00726915">
        <w:rPr>
          <w:noProof/>
          <w:color w:val="000000" w:themeColor="text1"/>
          <w:lang w:val="en-US"/>
        </w:rPr>
        <w:drawing>
          <wp:inline distT="0" distB="0" distL="0" distR="0" wp14:anchorId="439A09A5" wp14:editId="13D1789E">
            <wp:extent cx="5880735" cy="4276898"/>
            <wp:effectExtent l="0" t="0" r="12065" b="0"/>
            <wp:docPr id="1" name="Picture 1" descr="archive/figure%205.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chive/figure%205.pd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93696" cy="4286324"/>
                    </a:xfrm>
                    <a:prstGeom prst="rect">
                      <a:avLst/>
                    </a:prstGeom>
                    <a:noFill/>
                    <a:ln>
                      <a:noFill/>
                    </a:ln>
                  </pic:spPr>
                </pic:pic>
              </a:graphicData>
            </a:graphic>
          </wp:inline>
        </w:drawing>
      </w:r>
    </w:p>
    <w:p w14:paraId="4ACF4DE2" w14:textId="6173BDD5" w:rsidR="00343B4F" w:rsidRPr="00726915" w:rsidRDefault="00343B4F" w:rsidP="005E6770">
      <w:pPr>
        <w:spacing w:line="276" w:lineRule="auto"/>
        <w:rPr>
          <w:color w:val="000000" w:themeColor="text1"/>
        </w:rPr>
      </w:pPr>
    </w:p>
    <w:p w14:paraId="2499A2C9" w14:textId="5EB4F78B" w:rsidR="00B51870" w:rsidRPr="00726915" w:rsidRDefault="00B51870" w:rsidP="005E6770">
      <w:pPr>
        <w:spacing w:line="276" w:lineRule="auto"/>
        <w:rPr>
          <w:color w:val="000000" w:themeColor="text1"/>
          <w:lang w:val="en-US"/>
        </w:rPr>
      </w:pPr>
      <w:r w:rsidRPr="00726915">
        <w:rPr>
          <w:b/>
          <w:color w:val="000000" w:themeColor="text1"/>
          <w:lang w:val="en-US"/>
        </w:rPr>
        <w:t xml:space="preserve">Figure S1. Simulated number of cases linked to a previous case according to completeness of sampling. </w:t>
      </w:r>
      <w:r w:rsidRPr="00726915">
        <w:rPr>
          <w:color w:val="000000" w:themeColor="text1"/>
          <w:lang w:val="en-US"/>
        </w:rPr>
        <w:t xml:space="preserve">The median from 1000 simulations is </w:t>
      </w:r>
      <w:proofErr w:type="gramStart"/>
      <w:r w:rsidRPr="00726915">
        <w:rPr>
          <w:color w:val="000000" w:themeColor="text1"/>
          <w:lang w:val="en-US"/>
        </w:rPr>
        <w:t>plotted,</w:t>
      </w:r>
      <w:proofErr w:type="gramEnd"/>
      <w:r w:rsidRPr="00726915">
        <w:rPr>
          <w:color w:val="000000" w:themeColor="text1"/>
          <w:lang w:val="en-US"/>
        </w:rPr>
        <w:t xml:space="preserve"> the dashed bars show the 2.5</w:t>
      </w:r>
      <w:r w:rsidRPr="00726915">
        <w:rPr>
          <w:color w:val="000000" w:themeColor="text1"/>
          <w:vertAlign w:val="superscript"/>
          <w:lang w:val="en-US"/>
        </w:rPr>
        <w:t>th</w:t>
      </w:r>
      <w:r w:rsidRPr="00726915">
        <w:rPr>
          <w:color w:val="000000" w:themeColor="text1"/>
          <w:lang w:val="en-US"/>
        </w:rPr>
        <w:t xml:space="preserve"> to the 97.5% percentiles.</w:t>
      </w:r>
    </w:p>
    <w:p w14:paraId="1A15E143" w14:textId="77777777" w:rsidR="00B51870" w:rsidRPr="00726915" w:rsidRDefault="00B51870" w:rsidP="005E6770">
      <w:pPr>
        <w:pStyle w:val="Heading2"/>
        <w:spacing w:line="276" w:lineRule="auto"/>
        <w:rPr>
          <w:color w:val="000000" w:themeColor="text1"/>
        </w:rPr>
      </w:pPr>
    </w:p>
    <w:p w14:paraId="4C68E83E" w14:textId="712847A5" w:rsidR="00F262E5" w:rsidRPr="00726915" w:rsidRDefault="00F262E5" w:rsidP="005E6770">
      <w:pPr>
        <w:pStyle w:val="Heading2"/>
        <w:spacing w:line="276" w:lineRule="auto"/>
        <w:rPr>
          <w:color w:val="000000" w:themeColor="text1"/>
        </w:rPr>
      </w:pPr>
      <w:r w:rsidRPr="00726915">
        <w:rPr>
          <w:color w:val="000000" w:themeColor="text1"/>
        </w:rPr>
        <w:br w:type="column"/>
        <w:t>References</w:t>
      </w:r>
    </w:p>
    <w:p w14:paraId="44D0A135" w14:textId="77777777" w:rsidR="00F262E5" w:rsidRPr="00726915" w:rsidRDefault="00F262E5" w:rsidP="005E6770">
      <w:pPr>
        <w:spacing w:line="276" w:lineRule="auto"/>
        <w:rPr>
          <w:color w:val="000000" w:themeColor="text1"/>
        </w:rPr>
      </w:pPr>
    </w:p>
    <w:p w14:paraId="124CEBC6" w14:textId="77777777" w:rsidR="00F262E5" w:rsidRPr="00726915" w:rsidRDefault="00F262E5" w:rsidP="005E6770">
      <w:pPr>
        <w:widowControl w:val="0"/>
        <w:tabs>
          <w:tab w:val="left" w:pos="480"/>
        </w:tabs>
        <w:autoSpaceDE w:val="0"/>
        <w:autoSpaceDN w:val="0"/>
        <w:adjustRightInd w:val="0"/>
        <w:spacing w:after="240" w:line="276" w:lineRule="auto"/>
        <w:ind w:left="480" w:hanging="480"/>
        <w:rPr>
          <w:rFonts w:ascii="Calibri" w:hAnsi="Calibri" w:cs="Calibri"/>
          <w:color w:val="000000" w:themeColor="text1"/>
        </w:rPr>
      </w:pPr>
      <w:r w:rsidRPr="00726915">
        <w:rPr>
          <w:color w:val="000000" w:themeColor="text1"/>
        </w:rPr>
        <w:fldChar w:fldCharType="begin"/>
      </w:r>
      <w:r w:rsidRPr="00726915">
        <w:rPr>
          <w:color w:val="000000" w:themeColor="text1"/>
        </w:rPr>
        <w:instrText xml:space="preserve"> ADDIN PAPERS2_CITATIONS &lt;papers2_bibliography/&gt;</w:instrText>
      </w:r>
      <w:r w:rsidRPr="00726915">
        <w:rPr>
          <w:color w:val="000000" w:themeColor="text1"/>
        </w:rPr>
        <w:fldChar w:fldCharType="separate"/>
      </w:r>
      <w:r w:rsidRPr="00726915">
        <w:rPr>
          <w:rFonts w:ascii="Calibri" w:hAnsi="Calibri" w:cs="Calibri"/>
          <w:color w:val="000000" w:themeColor="text1"/>
        </w:rPr>
        <w:t>1.</w:t>
      </w:r>
      <w:r w:rsidRPr="00726915">
        <w:rPr>
          <w:rFonts w:ascii="Calibri" w:hAnsi="Calibri" w:cs="Calibri"/>
          <w:color w:val="000000" w:themeColor="text1"/>
        </w:rPr>
        <w:tab/>
        <w:t xml:space="preserve">Guindon S, Gascuel O. A simple, fast, and accurate algorithm to estimate large phylogenies by maximum likelihood. Syst Biol </w:t>
      </w:r>
      <w:r w:rsidRPr="00726915">
        <w:rPr>
          <w:rFonts w:ascii="Calibri" w:hAnsi="Calibri" w:cs="Calibri"/>
          <w:b/>
          <w:bCs/>
          <w:color w:val="000000" w:themeColor="text1"/>
        </w:rPr>
        <w:t>2003</w:t>
      </w:r>
      <w:r w:rsidRPr="00726915">
        <w:rPr>
          <w:rFonts w:ascii="Calibri" w:hAnsi="Calibri" w:cs="Calibri"/>
          <w:color w:val="000000" w:themeColor="text1"/>
        </w:rPr>
        <w:t xml:space="preserve">; 52:696–704. </w:t>
      </w:r>
    </w:p>
    <w:p w14:paraId="2BFDD257" w14:textId="77777777" w:rsidR="00F262E5" w:rsidRPr="00726915" w:rsidRDefault="00F262E5" w:rsidP="005E6770">
      <w:pPr>
        <w:widowControl w:val="0"/>
        <w:tabs>
          <w:tab w:val="left" w:pos="480"/>
        </w:tabs>
        <w:autoSpaceDE w:val="0"/>
        <w:autoSpaceDN w:val="0"/>
        <w:adjustRightInd w:val="0"/>
        <w:spacing w:after="240" w:line="276" w:lineRule="auto"/>
        <w:ind w:left="480" w:hanging="480"/>
        <w:rPr>
          <w:rFonts w:ascii="Calibri" w:hAnsi="Calibri" w:cs="Calibri"/>
          <w:color w:val="000000" w:themeColor="text1"/>
        </w:rPr>
      </w:pPr>
      <w:r w:rsidRPr="00726915">
        <w:rPr>
          <w:rFonts w:ascii="Calibri" w:hAnsi="Calibri" w:cs="Calibri"/>
          <w:color w:val="000000" w:themeColor="text1"/>
        </w:rPr>
        <w:t>2.</w:t>
      </w:r>
      <w:r w:rsidRPr="00726915">
        <w:rPr>
          <w:rFonts w:ascii="Calibri" w:hAnsi="Calibri" w:cs="Calibri"/>
          <w:color w:val="000000" w:themeColor="text1"/>
        </w:rPr>
        <w:tab/>
        <w:t xml:space="preserve">Didelot X, Wilson DJ. ClonalFrameML: efficient inference of recombination in whole bacterial genomes. PLoS Comput. Biol. </w:t>
      </w:r>
      <w:r w:rsidRPr="00726915">
        <w:rPr>
          <w:rFonts w:ascii="Calibri" w:hAnsi="Calibri" w:cs="Calibri"/>
          <w:b/>
          <w:bCs/>
          <w:color w:val="000000" w:themeColor="text1"/>
        </w:rPr>
        <w:t>2015</w:t>
      </w:r>
      <w:r w:rsidRPr="00726915">
        <w:rPr>
          <w:rFonts w:ascii="Calibri" w:hAnsi="Calibri" w:cs="Calibri"/>
          <w:color w:val="000000" w:themeColor="text1"/>
        </w:rPr>
        <w:t xml:space="preserve">; 11:e1004041. </w:t>
      </w:r>
    </w:p>
    <w:p w14:paraId="437B0B0D" w14:textId="77777777" w:rsidR="00F262E5" w:rsidRPr="00726915" w:rsidRDefault="00F262E5" w:rsidP="005E6770">
      <w:pPr>
        <w:widowControl w:val="0"/>
        <w:tabs>
          <w:tab w:val="left" w:pos="480"/>
        </w:tabs>
        <w:autoSpaceDE w:val="0"/>
        <w:autoSpaceDN w:val="0"/>
        <w:adjustRightInd w:val="0"/>
        <w:spacing w:after="240" w:line="276" w:lineRule="auto"/>
        <w:ind w:left="480" w:hanging="480"/>
        <w:rPr>
          <w:rFonts w:ascii="Calibri" w:hAnsi="Calibri" w:cs="Calibri"/>
          <w:color w:val="000000" w:themeColor="text1"/>
        </w:rPr>
      </w:pPr>
      <w:r w:rsidRPr="00726915">
        <w:rPr>
          <w:rFonts w:ascii="Calibri" w:hAnsi="Calibri" w:cs="Calibri"/>
          <w:color w:val="000000" w:themeColor="text1"/>
        </w:rPr>
        <w:t>3.</w:t>
      </w:r>
      <w:r w:rsidRPr="00726915">
        <w:rPr>
          <w:rFonts w:ascii="Calibri" w:hAnsi="Calibri" w:cs="Calibri"/>
          <w:color w:val="000000" w:themeColor="text1"/>
        </w:rPr>
        <w:tab/>
        <w:t xml:space="preserve">Zerbino DR, Birney E. Velvet: Algorithms for de novo short read assembly using de Bruijn graphs. Genome Res </w:t>
      </w:r>
      <w:r w:rsidRPr="00726915">
        <w:rPr>
          <w:rFonts w:ascii="Calibri" w:hAnsi="Calibri" w:cs="Calibri"/>
          <w:b/>
          <w:bCs/>
          <w:color w:val="000000" w:themeColor="text1"/>
        </w:rPr>
        <w:t>2008</w:t>
      </w:r>
      <w:r w:rsidRPr="00726915">
        <w:rPr>
          <w:rFonts w:ascii="Calibri" w:hAnsi="Calibri" w:cs="Calibri"/>
          <w:color w:val="000000" w:themeColor="text1"/>
        </w:rPr>
        <w:t xml:space="preserve">; 18:821–829. </w:t>
      </w:r>
    </w:p>
    <w:p w14:paraId="2E82AE85" w14:textId="7EACF94B" w:rsidR="00F262E5" w:rsidRPr="00726915" w:rsidRDefault="00F262E5" w:rsidP="005E6770">
      <w:pPr>
        <w:spacing w:line="276" w:lineRule="auto"/>
        <w:rPr>
          <w:color w:val="000000" w:themeColor="text1"/>
        </w:rPr>
      </w:pPr>
      <w:r w:rsidRPr="00726915">
        <w:rPr>
          <w:color w:val="000000" w:themeColor="text1"/>
        </w:rPr>
        <w:fldChar w:fldCharType="end"/>
      </w:r>
      <w:bookmarkStart w:id="0" w:name="_GoBack"/>
      <w:bookmarkEnd w:id="0"/>
    </w:p>
    <w:sectPr w:rsidR="00F262E5" w:rsidRPr="00726915" w:rsidSect="00CF2DAC">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libri Light">
    <w:altName w:val="Calibri"/>
    <w:charset w:val="00"/>
    <w:family w:val="auto"/>
    <w:pitch w:val="variable"/>
    <w:sig w:usb0="00000001" w:usb1="4000207B" w:usb2="00000000" w:usb3="00000000" w:csb0="0000019F" w:csb1="00000000"/>
  </w:font>
  <w:font w:name="Tahoma">
    <w:panose1 w:val="020B0604030504040204"/>
    <w:charset w:val="00"/>
    <w:family w:val="swiss"/>
    <w:pitch w:val="variable"/>
    <w:sig w:usb0="61002A87" w:usb1="80000000" w:usb2="00000008"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7873"/>
    <w:rsid w:val="000E6DB6"/>
    <w:rsid w:val="00275C9F"/>
    <w:rsid w:val="002F0218"/>
    <w:rsid w:val="00343B4F"/>
    <w:rsid w:val="003F5451"/>
    <w:rsid w:val="00423FD1"/>
    <w:rsid w:val="004719AF"/>
    <w:rsid w:val="00560876"/>
    <w:rsid w:val="005E6770"/>
    <w:rsid w:val="00646C92"/>
    <w:rsid w:val="00717B45"/>
    <w:rsid w:val="00726915"/>
    <w:rsid w:val="00730697"/>
    <w:rsid w:val="007F723D"/>
    <w:rsid w:val="00825180"/>
    <w:rsid w:val="008905C7"/>
    <w:rsid w:val="0093758A"/>
    <w:rsid w:val="00A47AF6"/>
    <w:rsid w:val="00AC76DC"/>
    <w:rsid w:val="00B51870"/>
    <w:rsid w:val="00B97873"/>
    <w:rsid w:val="00BE0047"/>
    <w:rsid w:val="00C32B2A"/>
    <w:rsid w:val="00C6557A"/>
    <w:rsid w:val="00CF2DAC"/>
    <w:rsid w:val="00E1080F"/>
    <w:rsid w:val="00F262E5"/>
    <w:rsid w:val="00FA55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74B9E"/>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9787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9787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A558F"/>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7873"/>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97873"/>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FA558F"/>
    <w:rPr>
      <w:rFonts w:asciiTheme="majorHAnsi" w:eastAsiaTheme="majorEastAsia" w:hAnsiTheme="majorHAnsi" w:cstheme="majorBidi"/>
      <w:color w:val="1F3763" w:themeColor="accent1" w:themeShade="7F"/>
    </w:rPr>
  </w:style>
  <w:style w:type="paragraph" w:styleId="BalloonText">
    <w:name w:val="Balloon Text"/>
    <w:basedOn w:val="Normal"/>
    <w:link w:val="BalloonTextChar"/>
    <w:uiPriority w:val="99"/>
    <w:semiHidden/>
    <w:unhideWhenUsed/>
    <w:rsid w:val="00726915"/>
    <w:rPr>
      <w:rFonts w:ascii="Tahoma" w:hAnsi="Tahoma" w:cs="Tahoma"/>
      <w:sz w:val="16"/>
      <w:szCs w:val="16"/>
    </w:rPr>
  </w:style>
  <w:style w:type="character" w:customStyle="1" w:styleId="BalloonTextChar">
    <w:name w:val="Balloon Text Char"/>
    <w:basedOn w:val="DefaultParagraphFont"/>
    <w:link w:val="BalloonText"/>
    <w:uiPriority w:val="99"/>
    <w:semiHidden/>
    <w:rsid w:val="0072691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9787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9787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A558F"/>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7873"/>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97873"/>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FA558F"/>
    <w:rPr>
      <w:rFonts w:asciiTheme="majorHAnsi" w:eastAsiaTheme="majorEastAsia" w:hAnsiTheme="majorHAnsi" w:cstheme="majorBidi"/>
      <w:color w:val="1F3763" w:themeColor="accent1" w:themeShade="7F"/>
    </w:rPr>
  </w:style>
  <w:style w:type="paragraph" w:styleId="BalloonText">
    <w:name w:val="Balloon Text"/>
    <w:basedOn w:val="Normal"/>
    <w:link w:val="BalloonTextChar"/>
    <w:uiPriority w:val="99"/>
    <w:semiHidden/>
    <w:unhideWhenUsed/>
    <w:rsid w:val="00726915"/>
    <w:rPr>
      <w:rFonts w:ascii="Tahoma" w:hAnsi="Tahoma" w:cs="Tahoma"/>
      <w:sz w:val="16"/>
      <w:szCs w:val="16"/>
    </w:rPr>
  </w:style>
  <w:style w:type="character" w:customStyle="1" w:styleId="BalloonTextChar">
    <w:name w:val="Balloon Text Char"/>
    <w:basedOn w:val="DefaultParagraphFont"/>
    <w:link w:val="BalloonText"/>
    <w:uiPriority w:val="99"/>
    <w:semiHidden/>
    <w:rsid w:val="0072691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1484</Words>
  <Characters>8459</Characters>
  <Application>Microsoft Office Word</Application>
  <DocSecurity>0</DocSecurity>
  <Lines>70</Lines>
  <Paragraphs>19</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
      <vt:lpstr>Comparison of control of Clostridium difficile infection in six English hospital</vt:lpstr>
      <vt:lpstr>    Methods</vt:lpstr>
      <vt:lpstr>        Samples and settings</vt:lpstr>
      <vt:lpstr>        Sequencing</vt:lpstr>
      <vt:lpstr>        Risk factors</vt:lpstr>
      <vt:lpstr>        Simulations</vt:lpstr>
      <vt:lpstr>    References</vt:lpstr>
    </vt:vector>
  </TitlesOfParts>
  <Company/>
  <LinksUpToDate>false</LinksUpToDate>
  <CharactersWithSpaces>9924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Eyre</dc:creator>
  <cp:keywords/>
  <dc:description/>
  <cp:lastModifiedBy>Vijayaragavan R.</cp:lastModifiedBy>
  <cp:revision>14</cp:revision>
  <dcterms:created xsi:type="dcterms:W3CDTF">2017-01-24T14:16:00Z</dcterms:created>
  <dcterms:modified xsi:type="dcterms:W3CDTF">2017-04-07T10:33:00Z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PERS2_INFO_01">
    <vt:lpwstr>&lt;info&gt;&lt;style id="http://www.zotero.org/styles/clinical-infectious-diseases"/&gt;&lt;format class="21"/&gt;&lt;count citations="3" publications="3"/&gt;&lt;/info&gt;PAPERS2_INFO_END</vt:lpwstr>
  </property>
</Properties>
</file>