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830" w:rsidRDefault="003747DD" w:rsidP="00C01696">
      <w:pPr>
        <w:spacing w:line="480" w:lineRule="auto"/>
        <w:rPr>
          <w:b/>
          <w:u w:val="single"/>
        </w:rPr>
      </w:pPr>
      <w:r>
        <w:rPr>
          <w:b/>
          <w:u w:val="single"/>
        </w:rPr>
        <w:t>Connected Material Histories: A Response</w:t>
      </w:r>
    </w:p>
    <w:p w:rsidR="00FB4204" w:rsidRDefault="00FB4204" w:rsidP="00C01696">
      <w:pPr>
        <w:spacing w:line="480" w:lineRule="auto"/>
        <w:rPr>
          <w:b/>
          <w:u w:val="single"/>
        </w:rPr>
      </w:pPr>
    </w:p>
    <w:p w:rsidR="00FB4204" w:rsidRDefault="00FB4204" w:rsidP="00C01696">
      <w:pPr>
        <w:spacing w:line="480" w:lineRule="auto"/>
        <w:rPr>
          <w:b/>
        </w:rPr>
      </w:pPr>
      <w:r>
        <w:rPr>
          <w:b/>
        </w:rPr>
        <w:t>Craig Clunas</w:t>
      </w:r>
    </w:p>
    <w:p w:rsidR="00FB4204" w:rsidRDefault="00FB4204" w:rsidP="00C01696">
      <w:pPr>
        <w:spacing w:line="480" w:lineRule="auto"/>
        <w:rPr>
          <w:b/>
        </w:rPr>
      </w:pPr>
      <w:r>
        <w:rPr>
          <w:b/>
        </w:rPr>
        <w:t>History of Art Department, University of Oxford</w:t>
      </w:r>
    </w:p>
    <w:p w:rsidR="0094029D" w:rsidRDefault="0094029D" w:rsidP="00C01696">
      <w:pPr>
        <w:spacing w:line="480" w:lineRule="auto"/>
        <w:rPr>
          <w:b/>
        </w:rPr>
      </w:pPr>
    </w:p>
    <w:p w:rsidR="00F63C0F" w:rsidRDefault="0094029D" w:rsidP="00C01696">
      <w:pPr>
        <w:spacing w:line="480" w:lineRule="auto"/>
        <w:ind w:firstLine="720"/>
      </w:pPr>
      <w:r>
        <w:t xml:space="preserve">In giving the very first lecture that </w:t>
      </w:r>
      <w:r w:rsidR="00E95C2E">
        <w:t xml:space="preserve">first year </w:t>
      </w:r>
      <w:r>
        <w:t xml:space="preserve">History of Art undergraduates at Oxford will hear, I have </w:t>
      </w:r>
      <w:r w:rsidR="00BA69E5">
        <w:t xml:space="preserve">usually </w:t>
      </w:r>
      <w:r w:rsidR="00F63C0F">
        <w:t>employed the practice</w:t>
      </w:r>
      <w:r>
        <w:t xml:space="preserve"> of giving them a sheet of paper with nothing on it but the outlines of the landmasses of the globe, and asking them to draw a line round ‘the West’. The idea was inspired by a reading of Lewis and Wigen’s 1997 book </w:t>
      </w:r>
      <w:r>
        <w:rPr>
          <w:i/>
        </w:rPr>
        <w:t>The Myth of Continents</w:t>
      </w:r>
      <w:r w:rsidR="00B13695">
        <w:t xml:space="preserve"> (‘justly celebrated’, as Sanjay Subrahmanyam says)</w:t>
      </w:r>
      <w:r>
        <w:t>, and remains a useful pedagogic act up to a point, for the reasons so clearly laid out in that book;</w:t>
      </w:r>
      <w:r w:rsidR="000039D9">
        <w:rPr>
          <w:rStyle w:val="EndnoteReference"/>
        </w:rPr>
        <w:endnoteReference w:id="1"/>
      </w:r>
      <w:r>
        <w:t xml:space="preserve"> </w:t>
      </w:r>
      <w:r w:rsidR="00F63C0F">
        <w:t xml:space="preserve">also, </w:t>
      </w:r>
      <w:r>
        <w:t>it breaks the ice, it gets a buzz of conversation going in the room</w:t>
      </w:r>
      <w:r w:rsidR="00E95C2E">
        <w:t>, it certainly foregrounds the topic</w:t>
      </w:r>
      <w:r w:rsidR="004215C9">
        <w:t>, central now to art historical enquiry,</w:t>
      </w:r>
      <w:r w:rsidR="00E95C2E">
        <w:t xml:space="preserve"> of the way in which ‘representations are social facts’</w:t>
      </w:r>
      <w:r>
        <w:t>.</w:t>
      </w:r>
      <w:r w:rsidR="00E95C2E">
        <w:rPr>
          <w:rStyle w:val="EndnoteReference"/>
        </w:rPr>
        <w:endnoteReference w:id="2"/>
      </w:r>
      <w:r>
        <w:t xml:space="preserve"> But the reason I do not ask them to draw a map round ‘the East’ is I suspect that it would be too easy</w:t>
      </w:r>
      <w:r w:rsidR="00F63C0F">
        <w:t xml:space="preserve">, </w:t>
      </w:r>
      <w:r w:rsidR="004215C9">
        <w:t xml:space="preserve">or at least done too quickly, </w:t>
      </w:r>
      <w:r w:rsidR="00F63C0F">
        <w:t>and indeed the boundaries of both ‘East’ and ‘Orient’, as ‘Europe’s Other’, can be shown to have fluctuated much less than have the boundaries of what for most Oxford students is still, if somewhat tenuously</w:t>
      </w:r>
      <w:r w:rsidR="00F6277A">
        <w:t>,</w:t>
      </w:r>
      <w:r w:rsidR="00F63C0F">
        <w:t xml:space="preserve"> ‘us’ or ‘here’. Wherever ‘the East’ is, it all </w:t>
      </w:r>
      <w:r w:rsidR="00E36164">
        <w:t xml:space="preserve">lies </w:t>
      </w:r>
      <w:r w:rsidR="00C01D7F">
        <w:t>(as Sub</w:t>
      </w:r>
      <w:r w:rsidR="00F6277A">
        <w:t>ra</w:t>
      </w:r>
      <w:r w:rsidR="00C01D7F">
        <w:t>h</w:t>
      </w:r>
      <w:r w:rsidR="00F6277A">
        <w:t xml:space="preserve">manyam points out in his essay) </w:t>
      </w:r>
      <w:r w:rsidR="00F63C0F">
        <w:t>in that a</w:t>
      </w:r>
      <w:r w:rsidR="00804248">
        <w:t xml:space="preserve">ssuredly etic part of the world </w:t>
      </w:r>
      <w:r w:rsidR="00F63C0F">
        <w:t>called Asia. I might, in the privacy of my own hard drive, choose to categorise those European images which I need for teaching as ‘Non-Eastern’ (to balance the ‘Non-Western’ rubric on which my specialist</w:t>
      </w:r>
      <w:r w:rsidR="00B13695">
        <w:t xml:space="preserve"> options appear in the syllabus</w:t>
      </w:r>
      <w:r w:rsidR="00F63C0F">
        <w:t>)</w:t>
      </w:r>
      <w:r w:rsidR="00804248">
        <w:t>. But that is not a category widely used, or at least not in my own discipline</w:t>
      </w:r>
      <w:r w:rsidR="00E36164">
        <w:t xml:space="preserve"> of art history</w:t>
      </w:r>
      <w:r w:rsidR="00804248">
        <w:t>.</w:t>
      </w:r>
    </w:p>
    <w:p w:rsidR="00B40C2D" w:rsidRPr="00B40C2D" w:rsidRDefault="00B13695" w:rsidP="00C01696">
      <w:pPr>
        <w:spacing w:line="480" w:lineRule="auto"/>
      </w:pPr>
      <w:r>
        <w:tab/>
        <w:t xml:space="preserve">The ground is </w:t>
      </w:r>
      <w:r w:rsidR="004215C9">
        <w:t xml:space="preserve">however </w:t>
      </w:r>
      <w:r>
        <w:t>no</w:t>
      </w:r>
      <w:r w:rsidR="004215C9">
        <w:t>t really that much</w:t>
      </w:r>
      <w:r>
        <w:t xml:space="preserve"> firmer when one comes to deal as a historian with ‘China’. The term </w:t>
      </w:r>
      <w:r>
        <w:rPr>
          <w:i/>
        </w:rPr>
        <w:t xml:space="preserve">Zhongguo </w:t>
      </w:r>
      <w:r w:rsidR="006E3766">
        <w:rPr>
          <w:rFonts w:hint="eastAsia"/>
        </w:rPr>
        <w:t>中國</w:t>
      </w:r>
      <w:r w:rsidR="00B40C2D">
        <w:t xml:space="preserve">, although it certainly existed, </w:t>
      </w:r>
      <w:r>
        <w:t xml:space="preserve">is </w:t>
      </w:r>
      <w:r w:rsidR="000039D9">
        <w:t xml:space="preserve">not </w:t>
      </w:r>
      <w:r w:rsidR="00B40C2D">
        <w:t xml:space="preserve">in my experience </w:t>
      </w:r>
      <w:r w:rsidR="000039D9">
        <w:t>widely</w:t>
      </w:r>
      <w:r>
        <w:t xml:space="preserve"> seen in the texts of the Ming (1368-1644)</w:t>
      </w:r>
      <w:r w:rsidR="00B40C2D">
        <w:t xml:space="preserve"> period</w:t>
      </w:r>
      <w:r>
        <w:t xml:space="preserve">, </w:t>
      </w:r>
      <w:r w:rsidR="00E36164">
        <w:t>although</w:t>
      </w:r>
      <w:r>
        <w:t xml:space="preserve"> </w:t>
      </w:r>
      <w:r w:rsidR="00B40C2D">
        <w:t xml:space="preserve">it must have </w:t>
      </w:r>
      <w:r w:rsidR="00B40C2D">
        <w:lastRenderedPageBreak/>
        <w:t xml:space="preserve">circulated since </w:t>
      </w:r>
      <w:r>
        <w:t xml:space="preserve">its standard </w:t>
      </w:r>
      <w:r w:rsidR="006E3766">
        <w:t xml:space="preserve">literal </w:t>
      </w:r>
      <w:r>
        <w:t>translation as ‘Middle Kingdom’ was first used in English</w:t>
      </w:r>
      <w:r w:rsidR="004215C9">
        <w:t xml:space="preserve"> in 1662</w:t>
      </w:r>
      <w:r w:rsidR="006E3766">
        <w:t xml:space="preserve"> (the Latin term </w:t>
      </w:r>
      <w:r w:rsidR="006E3766">
        <w:rPr>
          <w:i/>
        </w:rPr>
        <w:t xml:space="preserve">medium regnum </w:t>
      </w:r>
      <w:r w:rsidR="006E3766">
        <w:t xml:space="preserve">was in learned European usage </w:t>
      </w:r>
      <w:r w:rsidR="004215C9">
        <w:t xml:space="preserve">somewhat earlier in </w:t>
      </w:r>
      <w:r w:rsidR="006E3766">
        <w:t>the mid-se</w:t>
      </w:r>
      <w:r w:rsidR="000039D9">
        <w:t>venteenth century at the latest)</w:t>
      </w:r>
      <w:r w:rsidR="006E3766">
        <w:t>.</w:t>
      </w:r>
      <w:r w:rsidR="00DB3701">
        <w:t xml:space="preserve"> In the extensive textual accounts of the ea</w:t>
      </w:r>
      <w:r w:rsidR="006E3766">
        <w:t>rly fifteenth-century voyages led by</w:t>
      </w:r>
      <w:r w:rsidR="00DB3701">
        <w:t xml:space="preserve"> the eunuch admiral Zheng He</w:t>
      </w:r>
      <w:r w:rsidR="00C65B5A">
        <w:t xml:space="preserve"> </w:t>
      </w:r>
      <w:r w:rsidR="00C65B5A" w:rsidRPr="00C65B5A">
        <w:rPr>
          <w:rFonts w:hint="eastAsia"/>
        </w:rPr>
        <w:t>鄭和</w:t>
      </w:r>
      <w:r w:rsidR="008A1AD1">
        <w:t xml:space="preserve"> (1371-1433)</w:t>
      </w:r>
      <w:r w:rsidR="006E3766">
        <w:t>, it is</w:t>
      </w:r>
      <w:r w:rsidR="006E3766">
        <w:rPr>
          <w:rFonts w:hint="eastAsia"/>
        </w:rPr>
        <w:t xml:space="preserve"> </w:t>
      </w:r>
      <w:r w:rsidR="006E3766">
        <w:t>the dynastic term ‘Great Ming’ (</w:t>
      </w:r>
      <w:r w:rsidR="006E3766" w:rsidRPr="006E3766">
        <w:rPr>
          <w:i/>
        </w:rPr>
        <w:t>Da Ming</w:t>
      </w:r>
      <w:r w:rsidR="006E3766">
        <w:t xml:space="preserve"> </w:t>
      </w:r>
      <w:r w:rsidR="006E3766">
        <w:rPr>
          <w:rFonts w:hint="eastAsia"/>
        </w:rPr>
        <w:t>大明</w:t>
      </w:r>
      <w:r w:rsidR="006E3766">
        <w:t>), or else some variant of the term</w:t>
      </w:r>
      <w:r w:rsidR="00B40C2D">
        <w:t>s</w:t>
      </w:r>
      <w:r w:rsidR="006E3766">
        <w:t xml:space="preserve"> </w:t>
      </w:r>
      <w:r w:rsidR="006E3766">
        <w:rPr>
          <w:i/>
        </w:rPr>
        <w:t>Hua</w:t>
      </w:r>
      <w:r w:rsidR="006E3766">
        <w:t xml:space="preserve"> </w:t>
      </w:r>
      <w:r w:rsidR="006E3766">
        <w:rPr>
          <w:rFonts w:hint="eastAsia"/>
        </w:rPr>
        <w:t>華</w:t>
      </w:r>
      <w:r w:rsidR="00B40C2D">
        <w:t xml:space="preserve"> or </w:t>
      </w:r>
      <w:r w:rsidR="00B40C2D">
        <w:rPr>
          <w:i/>
        </w:rPr>
        <w:t xml:space="preserve">Xia </w:t>
      </w:r>
      <w:r w:rsidR="00B40C2D">
        <w:rPr>
          <w:rFonts w:hint="eastAsia"/>
        </w:rPr>
        <w:t>夏</w:t>
      </w:r>
      <w:r w:rsidR="006E3766">
        <w:t xml:space="preserve">, which is used to differentiate the Chinese ‘us’ from a whole range of possible ‘thems’, usually described as a number of ‘kingdoms’ </w:t>
      </w:r>
      <w:r w:rsidR="006E3766">
        <w:rPr>
          <w:i/>
        </w:rPr>
        <w:t xml:space="preserve">guo </w:t>
      </w:r>
      <w:r w:rsidR="006E3766">
        <w:rPr>
          <w:rFonts w:hint="eastAsia"/>
        </w:rPr>
        <w:t>國</w:t>
      </w:r>
      <w:r w:rsidR="00DB3701">
        <w:t>.</w:t>
      </w:r>
      <w:r w:rsidR="00DB3701">
        <w:rPr>
          <w:rStyle w:val="EndnoteReference"/>
        </w:rPr>
        <w:endnoteReference w:id="3"/>
      </w:r>
      <w:r w:rsidR="006E3766">
        <w:t xml:space="preserve"> </w:t>
      </w:r>
      <w:r w:rsidR="00B40C2D">
        <w:t xml:space="preserve">This onomastic question today takes on a much more heated aspect when talking about the use of the term </w:t>
      </w:r>
      <w:r w:rsidR="00B40C2D" w:rsidRPr="00B40C2D">
        <w:rPr>
          <w:i/>
        </w:rPr>
        <w:t>Zhongguo</w:t>
      </w:r>
      <w:r w:rsidR="00B40C2D">
        <w:t xml:space="preserve"> in the succeeding Qing dynasty (1644-1911), where it has become tied up in the ongoing and increasingly intemperate controversy over the ‘New Qing History’, a historiographical trend seen by its Chinese nationalist oppone</w:t>
      </w:r>
      <w:r w:rsidR="00F6277A">
        <w:t xml:space="preserve">nts as an attempt to </w:t>
      </w:r>
      <w:r w:rsidR="00C01D7F">
        <w:t>delegitimize</w:t>
      </w:r>
      <w:r w:rsidR="00B40C2D">
        <w:t xml:space="preserve"> the inclusion under the sovereignty of the People’s Republic of China of territories first incorporated by the Qing dynasty (a claim equally vehemently denied by the historians targeted for attack). When and how the Qing rulers used </w:t>
      </w:r>
      <w:proofErr w:type="gramStart"/>
      <w:r w:rsidR="00B40C2D">
        <w:rPr>
          <w:i/>
        </w:rPr>
        <w:t>Zhongguo</w:t>
      </w:r>
      <w:r w:rsidR="00B40C2D">
        <w:t>,</w:t>
      </w:r>
      <w:proofErr w:type="gramEnd"/>
      <w:r w:rsidR="00B40C2D">
        <w:t xml:space="preserve"> or its Manchu calque </w:t>
      </w:r>
      <w:r w:rsidR="00B40C2D" w:rsidRPr="00B40C2D">
        <w:rPr>
          <w:i/>
        </w:rPr>
        <w:t>Dulimbai gurun</w:t>
      </w:r>
      <w:r w:rsidR="00B40C2D">
        <w:t xml:space="preserve"> is a matter of considerable polemical intensity.</w:t>
      </w:r>
      <w:r w:rsidR="00550D7D">
        <w:rPr>
          <w:rStyle w:val="EndnoteReference"/>
        </w:rPr>
        <w:endnoteReference w:id="4"/>
      </w:r>
    </w:p>
    <w:p w:rsidR="00B13695" w:rsidRDefault="006E3766" w:rsidP="0089546B">
      <w:pPr>
        <w:spacing w:line="480" w:lineRule="auto"/>
        <w:ind w:firstLine="720"/>
      </w:pPr>
      <w:r>
        <w:t>This should remind us, as we discuss the issue of singular or multiple Asias, and the ‘many shifting systems’ which S</w:t>
      </w:r>
      <w:r w:rsidR="000039D9">
        <w:t>anjay Subrahman</w:t>
      </w:r>
      <w:r>
        <w:t>yam discusses in his paper in this volume, that the component parts of those systems</w:t>
      </w:r>
      <w:r w:rsidR="0089546B">
        <w:t xml:space="preserve"> (‘India’, ‘China’, Southeast Asia’)</w:t>
      </w:r>
      <w:r>
        <w:t xml:space="preserve"> are themselves shifting, in definition and in perception as much as in outline. </w:t>
      </w:r>
      <w:r w:rsidR="0089546B">
        <w:t xml:space="preserve">The many shifting </w:t>
      </w:r>
      <w:r w:rsidR="0089546B">
        <w:rPr>
          <w:i/>
        </w:rPr>
        <w:t xml:space="preserve">scholarly </w:t>
      </w:r>
      <w:r w:rsidR="0089546B">
        <w:t xml:space="preserve">systems in which the study of these areas is carried on also </w:t>
      </w:r>
      <w:proofErr w:type="gramStart"/>
      <w:r w:rsidR="0089546B">
        <w:t>needs</w:t>
      </w:r>
      <w:proofErr w:type="gramEnd"/>
      <w:r w:rsidR="0089546B">
        <w:t xml:space="preserve"> to be accounted for. </w:t>
      </w:r>
      <w:r>
        <w:t xml:space="preserve">It seems to me that those of us in the field of Chinese studies </w:t>
      </w:r>
      <w:r w:rsidR="000039D9">
        <w:t xml:space="preserve">have until recently </w:t>
      </w:r>
      <w:r>
        <w:t>lag</w:t>
      </w:r>
      <w:r w:rsidR="000039D9">
        <w:t>ged</w:t>
      </w:r>
      <w:r>
        <w:t xml:space="preserve"> some way behind our South Asianist colleagues in an address to ‘integrative’ or ‘connected</w:t>
      </w:r>
      <w:r w:rsidR="000039D9">
        <w:t>’ histories</w:t>
      </w:r>
      <w:r w:rsidR="004215C9">
        <w:t>. It is</w:t>
      </w:r>
      <w:r>
        <w:t xml:space="preserve"> not so much </w:t>
      </w:r>
      <w:r w:rsidR="004215C9">
        <w:t>that we have refused</w:t>
      </w:r>
      <w:r>
        <w:t xml:space="preserve"> to accept their existence, but </w:t>
      </w:r>
      <w:r w:rsidR="004215C9">
        <w:t xml:space="preserve">that </w:t>
      </w:r>
      <w:r>
        <w:t xml:space="preserve">in </w:t>
      </w:r>
      <w:r w:rsidR="004215C9">
        <w:t>coming late to this topic we have perhaps been</w:t>
      </w:r>
      <w:r>
        <w:t xml:space="preserve"> enthralled by the possibilities they offer </w:t>
      </w:r>
      <w:r w:rsidR="004215C9">
        <w:t>for</w:t>
      </w:r>
      <w:r w:rsidR="009230DB">
        <w:t xml:space="preserve"> escape </w:t>
      </w:r>
      <w:r>
        <w:t xml:space="preserve">from a too strictly-bounded Chinese </w:t>
      </w:r>
      <w:r w:rsidR="009230DB">
        <w:t>exceptionalism</w:t>
      </w:r>
      <w:r w:rsidR="000039D9">
        <w:t xml:space="preserve">. </w:t>
      </w:r>
      <w:r w:rsidR="004215C9">
        <w:t xml:space="preserve">It is even possibly the case that </w:t>
      </w:r>
      <w:r w:rsidR="000039D9">
        <w:t xml:space="preserve">we </w:t>
      </w:r>
      <w:r w:rsidR="009230DB">
        <w:t xml:space="preserve">have </w:t>
      </w:r>
      <w:r w:rsidR="009230DB">
        <w:lastRenderedPageBreak/>
        <w:t xml:space="preserve">leaned too far </w:t>
      </w:r>
      <w:r w:rsidR="000039D9">
        <w:t xml:space="preserve">in the other direction, </w:t>
      </w:r>
      <w:r w:rsidR="004215C9">
        <w:t xml:space="preserve">to the point where </w:t>
      </w:r>
      <w:r w:rsidR="005D6FC3">
        <w:t xml:space="preserve">the many crucial but </w:t>
      </w:r>
      <w:r w:rsidR="004215C9">
        <w:t xml:space="preserve">utterly </w:t>
      </w:r>
      <w:r w:rsidR="004215C9" w:rsidRPr="005D6FC3">
        <w:rPr>
          <w:i/>
        </w:rPr>
        <w:t>un</w:t>
      </w:r>
      <w:r w:rsidR="004215C9">
        <w:t xml:space="preserve">connected </w:t>
      </w:r>
      <w:r w:rsidR="005D6FC3">
        <w:t>manifestations of the past</w:t>
      </w:r>
      <w:r w:rsidR="004215C9">
        <w:t xml:space="preserve"> come to seem </w:t>
      </w:r>
      <w:r w:rsidR="005D6FC3">
        <w:t>dangerously ‘sinological’ and inward-looking, and correspondingly neither fashionable nor easy to fund. C</w:t>
      </w:r>
      <w:r w:rsidR="000039D9">
        <w:t>ertainly</w:t>
      </w:r>
      <w:r w:rsidR="009230DB">
        <w:t xml:space="preserve"> connectedness </w:t>
      </w:r>
      <w:r w:rsidR="000039D9">
        <w:t xml:space="preserve">has been </w:t>
      </w:r>
      <w:r w:rsidR="009230DB">
        <w:t>the master-theme of much recent work</w:t>
      </w:r>
      <w:r w:rsidR="0089546B">
        <w:t>. An</w:t>
      </w:r>
      <w:r w:rsidR="009230DB">
        <w:t xml:space="preserve"> exhibition held at the British Museum from 2014-2015</w:t>
      </w:r>
      <w:r w:rsidR="0089546B">
        <w:t xml:space="preserve"> (for which I served as co-curator)</w:t>
      </w:r>
      <w:r w:rsidR="009230DB">
        <w:t xml:space="preserve">, entitled </w:t>
      </w:r>
      <w:r w:rsidR="009230DB">
        <w:rPr>
          <w:i/>
        </w:rPr>
        <w:t>Ming: 50 Years that Changed China</w:t>
      </w:r>
      <w:r w:rsidR="009230DB">
        <w:t xml:space="preserve"> had as one of its central aims the bringing before a wide public of the recent revolution in scholarly perception of the early Ming. This sees it not as some nativist reaction to the Mongol conquest, pulling down the shutters on the outside world</w:t>
      </w:r>
      <w:r w:rsidR="00F6277A">
        <w:t>, a ‘turning away from the outside world [which] was accompanied by a growing introspection within Chinese life’</w:t>
      </w:r>
      <w:r w:rsidR="009230DB">
        <w:t xml:space="preserve">, but rather as </w:t>
      </w:r>
      <w:r w:rsidR="005D6FC3">
        <w:t xml:space="preserve">to a significant degree </w:t>
      </w:r>
      <w:r w:rsidR="009230DB">
        <w:t>another Chin</w:t>
      </w:r>
      <w:r w:rsidR="00C01D7F">
        <w:t>g</w:t>
      </w:r>
      <w:r w:rsidR="009230DB">
        <w:t>gisid successor state, captured by the cosmopolitan glamour of Mongol hegemony.</w:t>
      </w:r>
      <w:r w:rsidR="009230DB">
        <w:rPr>
          <w:rStyle w:val="EndnoteReference"/>
        </w:rPr>
        <w:endnoteReference w:id="5"/>
      </w:r>
      <w:r w:rsidR="006D010C">
        <w:t xml:space="preserve"> </w:t>
      </w:r>
      <w:r w:rsidR="00F6277A">
        <w:t xml:space="preserve">It is to avoid any hint of the introspective that </w:t>
      </w:r>
      <w:r w:rsidR="006D010C">
        <w:t xml:space="preserve">s Chinese studies as a discipline has </w:t>
      </w:r>
      <w:r w:rsidR="00F6277A">
        <w:t xml:space="preserve">perhaps </w:t>
      </w:r>
      <w:r w:rsidR="006D010C">
        <w:t>become rather over-excited about connectivity, but this ma</w:t>
      </w:r>
      <w:r w:rsidR="00F6277A">
        <w:t>y well be a necessary corrective phase, corrective</w:t>
      </w:r>
      <w:r w:rsidR="006D010C">
        <w:t xml:space="preserve"> to both the Hegelian and Cold War discourses of China’s indifference to the wider world.</w:t>
      </w:r>
    </w:p>
    <w:p w:rsidR="00D32DEA" w:rsidRDefault="006D010C" w:rsidP="00C01696">
      <w:pPr>
        <w:spacing w:line="480" w:lineRule="auto"/>
        <w:ind w:firstLine="720"/>
      </w:pPr>
      <w:r>
        <w:t xml:space="preserve">If in fact there is not one system but many shifting systems in the history of Asia, it remains the case that some are remembered after the shifts which decentralise them, and some are less remembered, or not remembered at all. In fact there seems to me to be an important distinction between remembered (or even imagined) and unremembered connections i.e. between those connections which still have a discursive presence in the imagination, even if that is backed up by little in the way of substantive fact. </w:t>
      </w:r>
      <w:r w:rsidR="00D32DEA">
        <w:t xml:space="preserve">There is no necessity for the participants in what are in fact connected systems to have any conscious awareness of each other. Thus the huge spike in the price of pepper on European markets between 1410 and 1414 (which for instance saw the price of pepper in England increase eightfold from 1410 to 1411), has been attributed by economic historians to the huge amounts of the spice purchased (or extorted) by the fleets of Admiral Zheng He at precisely this time. </w:t>
      </w:r>
      <w:r w:rsidR="00D32DEA">
        <w:lastRenderedPageBreak/>
        <w:t>It has been argued that; ‘Thus, any impact of Zheng He in deflecting pepper and other spices away from the Levant and Europe would have taken place mainly between 1411 and 1422. It is only a correlation, of course, but this exogenous Asian supply-side shock seems to offer the most likely explanations for the European pepper price spike in the early fifteenth century’.</w:t>
      </w:r>
      <w:r w:rsidR="00D32DEA">
        <w:rPr>
          <w:rStyle w:val="EndnoteReference"/>
        </w:rPr>
        <w:endnoteReference w:id="6"/>
      </w:r>
      <w:r w:rsidR="00D32DEA">
        <w:t xml:space="preserve"> The steward in an English medieval aristocratic household fretting about the huge rise in the price of pepper will have been totally unaware of its ultimate causes in Ming imperial policy, in much the same way as thieves today targeting the copper wire of the contemporary British railway system, or the lead on church roofs, will not necessarily be </w:t>
      </w:r>
      <w:r w:rsidR="00D32DEA" w:rsidRPr="00D32DEA">
        <w:rPr>
          <w:i/>
        </w:rPr>
        <w:t>au courant</w:t>
      </w:r>
      <w:r w:rsidR="00D32DEA">
        <w:t xml:space="preserve"> with the role of China’s economic growth in setting global commodity prices.</w:t>
      </w:r>
    </w:p>
    <w:p w:rsidR="006D010C" w:rsidRPr="000039D9" w:rsidRDefault="006D010C" w:rsidP="00C01696">
      <w:pPr>
        <w:spacing w:line="480" w:lineRule="auto"/>
        <w:ind w:firstLine="720"/>
      </w:pPr>
      <w:r>
        <w:t xml:space="preserve">An instructive case in this regard might that of sixteenth-century Chinese </w:t>
      </w:r>
      <w:r w:rsidR="005D6FC3">
        <w:t xml:space="preserve">and Japanese </w:t>
      </w:r>
      <w:r>
        <w:t>connections with the Latin American world. The flow of silver from the mines of Mexico and Peru to China has long been identified as one of the key drivers of late-Ming economic growth, and more recently scholars have turned their attention to the flow of Chinese goods into the Viceroyalties of New Spain and Peru.</w:t>
      </w:r>
      <w:r w:rsidR="00E10AD7">
        <w:rPr>
          <w:rStyle w:val="EndnoteReference"/>
        </w:rPr>
        <w:endnoteReference w:id="7"/>
      </w:r>
      <w:r>
        <w:t xml:space="preserve"> Measurably large communities of Chinese artisans were to be found in Lima and in</w:t>
      </w:r>
      <w:r w:rsidR="00C65B5A">
        <w:t xml:space="preserve"> Mexico City by the early 1600s, and</w:t>
      </w:r>
      <w:r>
        <w:t xml:space="preserve"> </w:t>
      </w:r>
      <w:r w:rsidR="00C65B5A">
        <w:t>o</w:t>
      </w:r>
      <w:r w:rsidR="005D6FC3">
        <w:t xml:space="preserve">ne of the very few loan-words from Japanese into a European language before the late nineteenth century is the Spanish </w:t>
      </w:r>
      <w:proofErr w:type="spellStart"/>
      <w:r w:rsidR="005D6FC3" w:rsidRPr="005D6FC3">
        <w:rPr>
          <w:i/>
        </w:rPr>
        <w:t>biombo</w:t>
      </w:r>
      <w:proofErr w:type="spellEnd"/>
      <w:r w:rsidR="005D6FC3">
        <w:t xml:space="preserve">, from the Japanese </w:t>
      </w:r>
      <w:proofErr w:type="spellStart"/>
      <w:r w:rsidR="005D6FC3" w:rsidRPr="005D6FC3">
        <w:rPr>
          <w:i/>
        </w:rPr>
        <w:t>byōbu</w:t>
      </w:r>
      <w:proofErr w:type="spellEnd"/>
      <w:r w:rsidR="00C01D7F" w:rsidRPr="00C01D7F">
        <w:rPr>
          <w:rFonts w:hint="eastAsia"/>
        </w:rPr>
        <w:t>屏風</w:t>
      </w:r>
      <w:r w:rsidR="005D6FC3">
        <w:t>, for the folding screens which became an important artistic medium in colonial New Spain.</w:t>
      </w:r>
      <w:r w:rsidR="005D6FC3">
        <w:rPr>
          <w:rStyle w:val="EndnoteReference"/>
        </w:rPr>
        <w:endnoteReference w:id="8"/>
      </w:r>
      <w:r w:rsidR="005D6FC3">
        <w:t xml:space="preserve"> </w:t>
      </w:r>
      <w:r w:rsidRPr="005D6FC3">
        <w:t>Yet</w:t>
      </w:r>
      <w:r>
        <w:t xml:space="preserve"> there is </w:t>
      </w:r>
      <w:r w:rsidR="00D72245">
        <w:t xml:space="preserve">almost </w:t>
      </w:r>
      <w:r>
        <w:t>no evidence in the textual record of Chinese awareness of Spain’s New World possessions, to match the concern felt for its conquest of the Philippines, which did very much reside within Chinese elite consciousness (and doubtless more firmly in Chinese merchant consciousness, though we have less evidence for that).</w:t>
      </w:r>
      <w:r>
        <w:rPr>
          <w:rStyle w:val="EndnoteReference"/>
        </w:rPr>
        <w:endnoteReference w:id="9"/>
      </w:r>
      <w:r>
        <w:t xml:space="preserve">  Does the visual culture of the period point to types of awareness of connectivity which the written record occludes? A painting from around 1600 which shows the urban scene of the Ming secondary capital of Nanjing pictures the numerous shop signs of its bustling streets, one of which advertises very </w:t>
      </w:r>
      <w:r>
        <w:lastRenderedPageBreak/>
        <w:t>clearly, ‘All the Goods of Both the Eastern and Western Oceans’.</w:t>
      </w:r>
      <w:r>
        <w:rPr>
          <w:rStyle w:val="EndnoteReference"/>
        </w:rPr>
        <w:endnoteReference w:id="10"/>
      </w:r>
      <w:r>
        <w:t xml:space="preserve"> The existence of specialist shops for imported exotica from far away, to match those of the ‘Chinamen’ of eighteenth-century London, suggests perhaps that some sort of awareness of connectedness through oceanic trade existed in the minds of those on the streets of the Ming capital.  These might be elite figures, like the diarist Li Rihua </w:t>
      </w:r>
      <w:r w:rsidR="00C65B5A">
        <w:rPr>
          <w:rFonts w:hint="eastAsia"/>
        </w:rPr>
        <w:t>李日華</w:t>
      </w:r>
      <w:r w:rsidR="00C65B5A">
        <w:rPr>
          <w:rFonts w:hint="eastAsia"/>
        </w:rPr>
        <w:t xml:space="preserve"> </w:t>
      </w:r>
      <w:r>
        <w:t>(1565-1635), who records purchases of Japanese lacquer and metalwork</w:t>
      </w:r>
      <w:r w:rsidR="00CB4C1D">
        <w:t xml:space="preserve"> (Japanese screens and swords were also popular among the tastemakers of Ming China)</w:t>
      </w:r>
      <w:r>
        <w:t>, as well as what may well have been vessels of Islamic or even Venetian glass (‘brought by barbarian ships from the south seas, things transformed by fire in a barbarian country’), and even on one occasion an ostrich egg</w:t>
      </w:r>
      <w:r w:rsidR="00CB4C1D">
        <w:t xml:space="preserve"> from distant Africa, which must have involved Portuguese intermediaries at some point</w:t>
      </w:r>
      <w:r>
        <w:t>.</w:t>
      </w:r>
      <w:r>
        <w:rPr>
          <w:rStyle w:val="EndnoteReference"/>
        </w:rPr>
        <w:endnoteReference w:id="11"/>
      </w:r>
      <w:r>
        <w:t xml:space="preserve">  Thus Li’s awareness of oceanic geopolitics, especially of the conflict between Dutch and Portuguese over the profits of trade with the Ming, was matched by an exposure to its actual </w:t>
      </w:r>
      <w:r w:rsidR="00C67581">
        <w:t xml:space="preserve">material </w:t>
      </w:r>
      <w:r>
        <w:t>products.</w:t>
      </w:r>
      <w:r w:rsidR="00C67581">
        <w:t xml:space="preserve"> It was not just things but also technology transfers which provided the locus through which systems of connectivity made and remade themselves. This remaking could be a ve</w:t>
      </w:r>
      <w:r w:rsidR="00CB4C1D">
        <w:t>ry rapid process. A recent essay</w:t>
      </w:r>
      <w:r w:rsidR="00C67581">
        <w:t xml:space="preserve"> by Tonio Andrade makes the convincing case that it was the extreme speed with which Chinese military forces adopted the firearms technology </w:t>
      </w:r>
      <w:r w:rsidR="00183561">
        <w:t>of their Portuguese adversaries</w:t>
      </w:r>
      <w:r w:rsidR="00C67581">
        <w:t xml:space="preserve"> which turned an advantage for the latter in a</w:t>
      </w:r>
      <w:r w:rsidR="00CB4C1D">
        <w:t>n initial</w:t>
      </w:r>
      <w:r w:rsidR="00C67581">
        <w:t xml:space="preserve"> 1521 armed clash into a much more level p</w:t>
      </w:r>
      <w:r w:rsidR="00CB4C1D">
        <w:t>laying-field by as early as the following year, when Chinese forces prevailed against their European enemies</w:t>
      </w:r>
      <w:r w:rsidR="00C67581">
        <w:t>.</w:t>
      </w:r>
      <w:r w:rsidR="00C67581">
        <w:rPr>
          <w:rStyle w:val="EndnoteReference"/>
        </w:rPr>
        <w:endnoteReference w:id="12"/>
      </w:r>
      <w:r w:rsidR="00C67581">
        <w:t xml:space="preserve"> The ‘Frankish’ guns (</w:t>
      </w:r>
      <w:r w:rsidR="00C67581">
        <w:rPr>
          <w:i/>
        </w:rPr>
        <w:t>folangji</w:t>
      </w:r>
      <w:r w:rsidR="00C67581">
        <w:t xml:space="preserve"> </w:t>
      </w:r>
      <w:r w:rsidR="000039D9">
        <w:rPr>
          <w:rStyle w:val="st"/>
          <w:rFonts w:ascii="Arial" w:hAnsi="Arial" w:cs="Arial"/>
          <w:color w:val="222222"/>
        </w:rPr>
        <w:t>佛郎</w:t>
      </w:r>
      <w:r w:rsidR="000039D9">
        <w:rPr>
          <w:rStyle w:val="st"/>
          <w:rFonts w:ascii="SimSun" w:eastAsia="SimSun" w:hAnsi="SimSun" w:cs="SimSun" w:hint="eastAsia"/>
          <w:color w:val="222222"/>
        </w:rPr>
        <w:t>機</w:t>
      </w:r>
      <w:r w:rsidR="000039D9">
        <w:rPr>
          <w:rStyle w:val="st"/>
          <w:rFonts w:eastAsia="SimSun"/>
          <w:color w:val="222222"/>
        </w:rPr>
        <w:t>) which so rapidly became part of the Chinese arsenal were being proposed for deployment on the fortifications of the north against the Mongols as early as 1529, and they rapidly became a standard part of Chinese armaments, their name (like ‘China’ itself for porcelai</w:t>
      </w:r>
      <w:r w:rsidR="00183561">
        <w:rPr>
          <w:rStyle w:val="st"/>
          <w:rFonts w:eastAsia="SimSun"/>
          <w:color w:val="222222"/>
        </w:rPr>
        <w:t>n in the west) the only reminder</w:t>
      </w:r>
      <w:r w:rsidR="000039D9">
        <w:rPr>
          <w:rStyle w:val="st"/>
          <w:rFonts w:eastAsia="SimSun"/>
          <w:color w:val="222222"/>
        </w:rPr>
        <w:t xml:space="preserve"> of a moment of violent connectedness when systems clashed. Later on in the century, the adoption of New World food crops, most particularly of maize but also of chillies</w:t>
      </w:r>
      <w:r w:rsidR="00A504B0">
        <w:rPr>
          <w:rStyle w:val="st"/>
          <w:rFonts w:eastAsia="SimSun"/>
          <w:color w:val="222222"/>
        </w:rPr>
        <w:t>, or tomatoes,</w:t>
      </w:r>
      <w:r w:rsidR="000039D9">
        <w:rPr>
          <w:rStyle w:val="st"/>
          <w:rFonts w:eastAsia="SimSun"/>
          <w:color w:val="222222"/>
        </w:rPr>
        <w:t xml:space="preserve"> was an event of equally if not more substantial moment in China’s </w:t>
      </w:r>
      <w:r w:rsidR="000039D9">
        <w:rPr>
          <w:rStyle w:val="st"/>
          <w:rFonts w:eastAsia="SimSun"/>
          <w:color w:val="222222"/>
        </w:rPr>
        <w:lastRenderedPageBreak/>
        <w:t>recent history</w:t>
      </w:r>
      <w:r w:rsidR="00A504B0">
        <w:rPr>
          <w:rStyle w:val="st"/>
          <w:rFonts w:eastAsia="SimSun"/>
          <w:color w:val="222222"/>
        </w:rPr>
        <w:t xml:space="preserve"> (imagine ‘Chinese food’ without chillies). But in this instance the names for the things retained no trace of their foreign origins, as they were adopted and naturalised in both new c</w:t>
      </w:r>
      <w:r w:rsidR="00E36164">
        <w:rPr>
          <w:rStyle w:val="st"/>
          <w:rFonts w:eastAsia="SimSun"/>
          <w:color w:val="222222"/>
        </w:rPr>
        <w:t>ultural and horticultural contexts</w:t>
      </w:r>
      <w:r w:rsidR="00A504B0">
        <w:rPr>
          <w:rStyle w:val="st"/>
          <w:rFonts w:eastAsia="SimSun"/>
          <w:color w:val="222222"/>
        </w:rPr>
        <w:t>.</w:t>
      </w:r>
    </w:p>
    <w:p w:rsidR="006D010C" w:rsidRDefault="006D010C" w:rsidP="00C01696">
      <w:pPr>
        <w:spacing w:line="480" w:lineRule="auto"/>
        <w:ind w:firstLine="720"/>
      </w:pPr>
      <w:r>
        <w:t xml:space="preserve">Material and visual culture may </w:t>
      </w:r>
      <w:r w:rsidR="00A504B0">
        <w:t xml:space="preserve">on occasion </w:t>
      </w:r>
      <w:r>
        <w:t>stand as evidence for the persistence in memory of connections which were no longer active but</w:t>
      </w:r>
      <w:r w:rsidR="00E36164">
        <w:t xml:space="preserve"> were certainly not forgotten. One</w:t>
      </w:r>
      <w:r>
        <w:t xml:space="preserve"> striking example in this case might be found in the world of Iranian courtly collecting, in an album of paintings held in the </w:t>
      </w:r>
      <w:r w:rsidR="00CB4C1D" w:rsidRPr="00CB4C1D">
        <w:t xml:space="preserve">Topkapı </w:t>
      </w:r>
      <w:r>
        <w:t>Palace in Istanbul, in what was once the collection of the Ottoman sultans. The album (</w:t>
      </w:r>
      <w:r w:rsidR="00CB4C1D" w:rsidRPr="00CB4C1D">
        <w:t>Topkapı</w:t>
      </w:r>
      <w:r>
        <w:t xml:space="preserve"> Palace Museum H. 2154) is known as the ‘Bahram Mirza Album’, after its first owner Bahram Mirza (1517-1549) brother to the Safavid Shah Tahmasp (r. 1524-1576) of </w:t>
      </w:r>
      <w:smartTag w:uri="urn:schemas-microsoft-com:office:smarttags" w:element="place">
        <w:smartTag w:uri="urn:schemas-microsoft-com:office:smarttags" w:element="country-region">
          <w:r>
            <w:t>Iran</w:t>
          </w:r>
        </w:smartTag>
      </w:smartTag>
      <w:r>
        <w:t xml:space="preserve">, for whom it was assembled in the years 1554-5 by the court artist Dust Muhammad (fl. 1531-1564). This album has a good claim to be better known as the first ‘world history of art’, since in addition to a quantity of works from different regions and different periods of the Islamicate world, it includes one European piece (described as </w:t>
      </w:r>
      <w:r w:rsidRPr="00B72CAC">
        <w:rPr>
          <w:i/>
          <w:iCs/>
        </w:rPr>
        <w:t>farangī</w:t>
      </w:r>
      <w:r>
        <w:t xml:space="preserve"> or ‘Frankish’), and a rather larger number of pictures from China. Prominent among these are two fragments of an early fifteenth-century work showing a mighty steed and its two attendant grooms, painted on silk by an anonymous master of the early Ming imperial court. The picture may have formed part of a diplomatic gift exchange between the Ming emperors of China and the other Eurasian superpower of the day, the Timurid rulers of what are now Iran and Afghanistan. </w:t>
      </w:r>
      <w:r w:rsidR="00C65B5A">
        <w:t>There is a possibility that it is a picture</w:t>
      </w:r>
      <w:r>
        <w:t xml:space="preserve"> of the very animal given as a gift to the Ming empero</w:t>
      </w:r>
      <w:r w:rsidR="00C65B5A">
        <w:t>r in 1412 by the Timurid aristocrat</w:t>
      </w:r>
      <w:r>
        <w:t xml:space="preserve"> Sayyed-Ahmad Tarhan, which was then brought back to China by a returning Ming embassy, with a painting of the horse then travelling in its turn to Herat in 1417.</w:t>
      </w:r>
      <w:r>
        <w:rPr>
          <w:rStyle w:val="EndnoteReference"/>
        </w:rPr>
        <w:endnoteReference w:id="13"/>
      </w:r>
      <w:r>
        <w:t xml:space="preserve"> An inscription in Persian</w:t>
      </w:r>
      <w:r w:rsidR="00C65B5A">
        <w:t xml:space="preserve"> above the heads of the grooms, which presumably dates from the picture’s mid-sixteenth-century remounting reads</w:t>
      </w:r>
      <w:r>
        <w:t>, ‘These paintings are from the collection of good works by the Chinese masters’.</w:t>
      </w:r>
      <w:r>
        <w:rPr>
          <w:rStyle w:val="EndnoteReference"/>
        </w:rPr>
        <w:endnoteReference w:id="14"/>
      </w:r>
      <w:r>
        <w:t xml:space="preserve"> Using the Persian word for ‘Chinese’, </w:t>
      </w:r>
      <w:r w:rsidRPr="00B72CAC">
        <w:rPr>
          <w:i/>
          <w:iCs/>
        </w:rPr>
        <w:t>khaţā’ī</w:t>
      </w:r>
      <w:r>
        <w:t xml:space="preserve"> </w:t>
      </w:r>
      <w:proofErr w:type="gramStart"/>
      <w:r>
        <w:t>(</w:t>
      </w:r>
      <w:r w:rsidR="00C65B5A">
        <w:t xml:space="preserve"> cognate</w:t>
      </w:r>
      <w:proofErr w:type="gramEnd"/>
      <w:r w:rsidR="00C65B5A">
        <w:t xml:space="preserve"> with</w:t>
      </w:r>
      <w:r>
        <w:t xml:space="preserve"> ‘Cathay’ in the European </w:t>
      </w:r>
      <w:r>
        <w:lastRenderedPageBreak/>
        <w:t>languages), the inscription identifies these as literally the first Chinese paintings, or rather the first paintings to be called ‘Chinese’.</w:t>
      </w:r>
      <w:r w:rsidR="00A504B0">
        <w:rPr>
          <w:rStyle w:val="EndnoteReference"/>
        </w:rPr>
        <w:endnoteReference w:id="15"/>
      </w:r>
      <w:r>
        <w:t xml:space="preserve"> By the time the Bahram Mirza Album was assembled in the mid-sixteenth century, the regular diplomatic intercourse between Ming and Timurid courts, which had lasted from 1387 to 1504, had come to an end, and private trade had slumped accordingly.</w:t>
      </w:r>
      <w:r w:rsidR="00C67581">
        <w:rPr>
          <w:rStyle w:val="EndnoteReference"/>
        </w:rPr>
        <w:endnoteReference w:id="16"/>
      </w:r>
      <w:r>
        <w:t xml:space="preserve"> The Ming and the </w:t>
      </w:r>
      <w:r w:rsidR="00E36164">
        <w:t xml:space="preserve">Iranian </w:t>
      </w:r>
      <w:r>
        <w:t xml:space="preserve">Safavids </w:t>
      </w:r>
      <w:r w:rsidR="00C67581">
        <w:t xml:space="preserve">(never mind the </w:t>
      </w:r>
      <w:r w:rsidR="00E36164">
        <w:t xml:space="preserve">Indian </w:t>
      </w:r>
      <w:r w:rsidR="00C67581">
        <w:t xml:space="preserve">Mughals) </w:t>
      </w:r>
      <w:r>
        <w:t>were undoubtedly much less connected</w:t>
      </w:r>
      <w:r w:rsidR="00E36164">
        <w:t>, in the sixteenth and seventeenth centuries</w:t>
      </w:r>
      <w:r w:rsidR="00C67581">
        <w:t xml:space="preserve">. But the album is evidence for a </w:t>
      </w:r>
      <w:r w:rsidR="00C67581">
        <w:rPr>
          <w:i/>
        </w:rPr>
        <w:t>memory</w:t>
      </w:r>
      <w:r w:rsidR="00C67581">
        <w:t xml:space="preserve"> of connection, at least in Safavid courtly circles, the sense that there was a China, and the products of its skilled painters were real things which might be collected and appraised in the present.</w:t>
      </w:r>
    </w:p>
    <w:p w:rsidR="00FE18B0" w:rsidRDefault="00FE18B0" w:rsidP="00C65B5A">
      <w:pPr>
        <w:spacing w:line="480" w:lineRule="auto"/>
        <w:ind w:firstLine="720"/>
      </w:pPr>
      <w:r>
        <w:t>The Ming state’s abandonment of the Zheng He voyages, whether on the grounds of unsustainable cost or because the issues of shaky legitimacy which they were designed to address had been successfully overcome, provide one of the great ‘What ifs’ for contrafactual histories and fictions alike.</w:t>
      </w:r>
      <w:r>
        <w:rPr>
          <w:rStyle w:val="EndnoteReference"/>
        </w:rPr>
        <w:endnoteReference w:id="17"/>
      </w:r>
      <w:r>
        <w:t xml:space="preserve"> But it can be demonstrated that </w:t>
      </w:r>
      <w:r w:rsidR="00D32DEA">
        <w:t xml:space="preserve">Zheng He </w:t>
      </w:r>
      <w:r>
        <w:t xml:space="preserve">was </w:t>
      </w:r>
      <w:r w:rsidR="00D32DEA">
        <w:t>never forgotten</w:t>
      </w:r>
      <w:r w:rsidR="00C65B5A">
        <w:t xml:space="preserve"> in China</w:t>
      </w:r>
      <w:r>
        <w:t xml:space="preserve">. This was true in the realm of popular culture, where the miraculous exploits of the ‘Three Jewel’ Eunuch were at the heart of </w:t>
      </w:r>
      <w:r w:rsidR="00C65B5A">
        <w:t xml:space="preserve">late-Ming </w:t>
      </w:r>
      <w:r>
        <w:t>novelistic rewritings of recent history</w:t>
      </w:r>
      <w:r w:rsidR="00D32DEA">
        <w:t>.</w:t>
      </w:r>
      <w:r w:rsidR="00D32DEA">
        <w:rPr>
          <w:rStyle w:val="EndnoteReference"/>
        </w:rPr>
        <w:endnoteReference w:id="18"/>
      </w:r>
      <w:r w:rsidR="00D32DEA">
        <w:t xml:space="preserve"> </w:t>
      </w:r>
      <w:r>
        <w:t>It was also true in the case of that quantity of geographical knowledge (surely once much more than the surviving sparse evidence) which survived the deliberate destruction of official records of the voyages at the hands of the M</w:t>
      </w:r>
      <w:r w:rsidR="00E36164">
        <w:t>ing state. Thus both the ‘Laud R</w:t>
      </w:r>
      <w:r>
        <w:t>utter’ a</w:t>
      </w:r>
      <w:r w:rsidR="00E36164">
        <w:t>nd the ‘Selden M</w:t>
      </w:r>
      <w:r>
        <w:t>ap’</w:t>
      </w:r>
      <w:r w:rsidR="00E36164">
        <w:t xml:space="preserve">, </w:t>
      </w:r>
      <w:r w:rsidR="00C65B5A">
        <w:t xml:space="preserve">unique items </w:t>
      </w:r>
      <w:r w:rsidR="00E36164">
        <w:t xml:space="preserve">coincidentally preserved in Oxford’s Bodleian Library, </w:t>
      </w:r>
      <w:r>
        <w:t>contain evidence for commercially-based memories of what Zheng He had done and where he had gone, long after Chinese sea captains themselves had given up sailing further west than Melaka</w:t>
      </w:r>
      <w:r w:rsidR="00E36164">
        <w:t xml:space="preserve">, </w:t>
      </w:r>
      <w:r w:rsidR="00C65B5A">
        <w:t xml:space="preserve">a point </w:t>
      </w:r>
      <w:r w:rsidR="00E36164">
        <w:t>beyond which, after the 1430s,</w:t>
      </w:r>
      <w:r w:rsidR="00F5217F">
        <w:t xml:space="preserve"> ‘private Chinese traders rarely went</w:t>
      </w:r>
      <w:r w:rsidR="00E36164">
        <w:t>’.</w:t>
      </w:r>
      <w:r w:rsidR="00F5217F">
        <w:rPr>
          <w:rStyle w:val="EndnoteReference"/>
        </w:rPr>
        <w:endnoteReference w:id="19"/>
      </w:r>
      <w:r w:rsidR="00F5217F">
        <w:t xml:space="preserve"> </w:t>
      </w:r>
      <w:r w:rsidR="00E36164">
        <w:t xml:space="preserve">The Selden Map, </w:t>
      </w:r>
      <w:r w:rsidR="00FA44F8">
        <w:t xml:space="preserve">studied in detail by Timothy Brook who places its creation </w:t>
      </w:r>
      <w:r w:rsidR="00E36164">
        <w:t>around 1608 in the Javanese port of Bantam</w:t>
      </w:r>
      <w:r w:rsidR="00D54BFA">
        <w:t xml:space="preserve">, is unique in that it shows actual sailing routes, stretching from more than one port in China, southeast at as far as the Moluccas and west to the northern end of the </w:t>
      </w:r>
      <w:r w:rsidR="00D54BFA">
        <w:lastRenderedPageBreak/>
        <w:t>Melaka Strait.</w:t>
      </w:r>
      <w:r w:rsidR="00E36164">
        <w:rPr>
          <w:rStyle w:val="EndnoteReference"/>
        </w:rPr>
        <w:endnoteReference w:id="20"/>
      </w:r>
      <w:r w:rsidR="00D54BFA">
        <w:t xml:space="preserve"> The very left edge of the map does identify one port however as </w:t>
      </w:r>
      <w:r w:rsidR="00D54BFA">
        <w:rPr>
          <w:i/>
        </w:rPr>
        <w:t>Guli</w:t>
      </w:r>
      <w:r w:rsidR="00C65B5A">
        <w:t xml:space="preserve"> </w:t>
      </w:r>
      <w:r w:rsidR="00C65B5A">
        <w:rPr>
          <w:rFonts w:hint="eastAsia"/>
        </w:rPr>
        <w:t>古里</w:t>
      </w:r>
      <w:r w:rsidR="00D54BFA">
        <w:t>, Calicut or the modern Kozhikode, the crucial no</w:t>
      </w:r>
      <w:r w:rsidR="00C22F47">
        <w:t>dal point where eastern Indian O</w:t>
      </w:r>
      <w:r w:rsidR="00D54BFA">
        <w:t>cean and western Indian Ocean networks intersected. It had been one of the key destinations of the Zheng He voyages, it</w:t>
      </w:r>
      <w:r w:rsidR="00C22F47">
        <w:t>s</w:t>
      </w:r>
      <w:r w:rsidR="00D54BFA">
        <w:t xml:space="preserve"> rulers</w:t>
      </w:r>
      <w:r w:rsidR="00C22F47">
        <w:t xml:space="preserve"> (whether willingly or not)</w:t>
      </w:r>
      <w:r w:rsidR="00D54BFA">
        <w:t xml:space="preserve"> entering into the network of courtly gift exchange with the Ming emperors though the exchange of precious objects. In the ‘Overall Survey of the Ocean Shores’ (</w:t>
      </w:r>
      <w:r w:rsidR="00D54BFA" w:rsidRPr="00C22F47">
        <w:rPr>
          <w:i/>
        </w:rPr>
        <w:t>Ying ya sheng lan</w:t>
      </w:r>
      <w:r w:rsidR="00C65B5A" w:rsidRPr="00C65B5A">
        <w:rPr>
          <w:rFonts w:hint="eastAsia"/>
        </w:rPr>
        <w:t>瀛涯勝覽</w:t>
      </w:r>
      <w:r w:rsidR="00D54BFA">
        <w:t>) by Ma Huan</w:t>
      </w:r>
      <w:r w:rsidR="00C65B5A" w:rsidRPr="00C65B5A">
        <w:rPr>
          <w:rFonts w:hint="eastAsia"/>
        </w:rPr>
        <w:t>馬歡</w:t>
      </w:r>
      <w:r w:rsidR="00C65B5A">
        <w:t xml:space="preserve"> </w:t>
      </w:r>
      <w:r w:rsidR="00D54BFA">
        <w:t>(born. c. 1380), we learn how the King of Calicut; ‘</w:t>
      </w:r>
      <w:r w:rsidR="00D54BFA" w:rsidRPr="006B4B56">
        <w:t xml:space="preserve">wished to send tribute; [so] he took fifty </w:t>
      </w:r>
      <w:r w:rsidR="00D54BFA" w:rsidRPr="00D54BFA">
        <w:rPr>
          <w:i/>
        </w:rPr>
        <w:t>liang</w:t>
      </w:r>
      <w:r w:rsidR="00D54BFA" w:rsidRPr="006B4B56">
        <w:t xml:space="preserve"> of fine red gold and ordered the foreign craftsmen to draw it out into gold threads as fine as a hair; these were strung together to form a ribbon, which was made into a jewelled girdle with incrustations of all kinds of precious stones and large pearls…</w:t>
      </w:r>
      <w:r w:rsidR="00D54BFA">
        <w:t>’</w:t>
      </w:r>
      <w:r w:rsidR="00D54BFA" w:rsidRPr="006B4B56">
        <w:rPr>
          <w:rStyle w:val="EndnoteReference"/>
        </w:rPr>
        <w:endnoteReference w:id="21"/>
      </w:r>
      <w:r w:rsidR="00C22F47">
        <w:t xml:space="preserve"> By 1608, when the Selden Map was drawn, no Chinese ships of any kind, and certainly not the imposing fleets of the early Ming, ever put in </w:t>
      </w:r>
      <w:r w:rsidR="0087173F">
        <w:t>at this still-important point of contact</w:t>
      </w:r>
      <w:r w:rsidR="00C22F47">
        <w:t xml:space="preserve">. However as Timothy Brook has shown, a colophon on the map indicates that an awareness of its importance, and its role as a jumping-off point for voyages to destinations much further west, survived at least two centuries after the peak of Ming imperial intervention in the region. The </w:t>
      </w:r>
      <w:r w:rsidR="0087173F">
        <w:t xml:space="preserve">Selden Map </w:t>
      </w:r>
      <w:r w:rsidR="00C22F47">
        <w:t xml:space="preserve">colophon gives sailing directions for three regions: for Aden, on the south coast of the Arabian </w:t>
      </w:r>
      <w:r w:rsidR="00C01D7F">
        <w:t>Peninsula</w:t>
      </w:r>
      <w:r w:rsidR="00C22F47">
        <w:t>, for Dhofar, in modern Oman, and for the port of Hormuz at the entrance to the Persian Gulf.</w:t>
      </w:r>
      <w:r w:rsidR="00C22F47">
        <w:rPr>
          <w:rStyle w:val="EndnoteReference"/>
        </w:rPr>
        <w:endnoteReference w:id="22"/>
      </w:r>
      <w:r w:rsidR="00C22F47">
        <w:t xml:space="preserve"> Thus a memory of the connection between China and the Persian Gulf does persist in this unique </w:t>
      </w:r>
      <w:r w:rsidR="00E95C2E">
        <w:t>manuscript source, but who is to say that it does not represent what was once a much widely-distributed body of knowledge, which the enormous Chinese textual record, so heavy in the concerns of certain elites and so deficient in those of others, particularly mercantile ones, simply did not care to preserve and transmit?</w:t>
      </w:r>
      <w:r w:rsidR="00D72245">
        <w:t xml:space="preserve"> Given the lack of direct contact between them after the early fifteenth centu</w:t>
      </w:r>
      <w:r w:rsidR="00C01D7F">
        <w:t>r</w:t>
      </w:r>
      <w:r w:rsidR="00D72245">
        <w:t>y, w</w:t>
      </w:r>
      <w:r>
        <w:t>ere the Indian Ocean and</w:t>
      </w:r>
      <w:r w:rsidR="00F5217F">
        <w:t xml:space="preserve"> the Sinosphere</w:t>
      </w:r>
      <w:r>
        <w:t xml:space="preserve"> then totally separate</w:t>
      </w:r>
      <w:r w:rsidR="00F5217F">
        <w:t xml:space="preserve">? Or does this persistence of the former in the memory of the latter </w:t>
      </w:r>
      <w:r w:rsidR="00D72245">
        <w:t xml:space="preserve">(and probably vice-versa as well) </w:t>
      </w:r>
      <w:r w:rsidR="00F5217F">
        <w:t>mean that a connection remains</w:t>
      </w:r>
      <w:r w:rsidR="00D72245">
        <w:t>?</w:t>
      </w:r>
      <w:r w:rsidR="00F5217F">
        <w:rPr>
          <w:rStyle w:val="EndnoteReference"/>
        </w:rPr>
        <w:endnoteReference w:id="23"/>
      </w:r>
      <w:r w:rsidR="00F5217F">
        <w:t xml:space="preserve">  </w:t>
      </w:r>
      <w:r w:rsidR="00D72245">
        <w:t xml:space="preserve">It seems to come </w:t>
      </w:r>
      <w:r w:rsidR="00D72245">
        <w:lastRenderedPageBreak/>
        <w:t xml:space="preserve">down to the degree to which </w:t>
      </w:r>
      <w:proofErr w:type="gramStart"/>
      <w:r w:rsidR="00D72245">
        <w:t>an awareness</w:t>
      </w:r>
      <w:proofErr w:type="gramEnd"/>
      <w:r w:rsidR="00D72245">
        <w:t xml:space="preserve"> can be thought to equate to a significance. </w:t>
      </w:r>
      <w:r w:rsidR="00F5217F">
        <w:t xml:space="preserve">No Japanese visitor set foot in China for centuries after the </w:t>
      </w:r>
      <w:r w:rsidR="00D72245">
        <w:t xml:space="preserve">early seventeenth-century </w:t>
      </w:r>
      <w:r w:rsidR="00F5217F">
        <w:t xml:space="preserve">Tokugawa state’s policy of </w:t>
      </w:r>
      <w:r w:rsidR="00C01D7F">
        <w:rPr>
          <w:i/>
        </w:rPr>
        <w:t>sa</w:t>
      </w:r>
      <w:r w:rsidR="00F5217F">
        <w:rPr>
          <w:i/>
        </w:rPr>
        <w:t>koku</w:t>
      </w:r>
      <w:r w:rsidR="00C01D7F" w:rsidRPr="00C01D7F">
        <w:rPr>
          <w:rFonts w:hint="eastAsia"/>
        </w:rPr>
        <w:t>鎖国</w:t>
      </w:r>
      <w:r w:rsidR="00D72245">
        <w:t>, ‘closing the nation’; b</w:t>
      </w:r>
      <w:r w:rsidR="00F5217F">
        <w:t>ut surely no-one would argue that this meant that China had ceased to matter</w:t>
      </w:r>
      <w:r w:rsidR="00D72245">
        <w:t xml:space="preserve"> in Japan</w:t>
      </w:r>
      <w:r w:rsidR="00F5217F">
        <w:t xml:space="preserve">, </w:t>
      </w:r>
      <w:r w:rsidR="00D72245">
        <w:t xml:space="preserve">for it surely did so, </w:t>
      </w:r>
      <w:r w:rsidR="00F5217F">
        <w:t>not only to Japanese intellectuals who eagerly consumed its imported products, but to a much wider and more diverse audience of urban and aristocratic consumers as well.</w:t>
      </w:r>
    </w:p>
    <w:p w:rsidR="00D72245" w:rsidRDefault="00D72245" w:rsidP="00C01696">
      <w:pPr>
        <w:spacing w:line="480" w:lineRule="auto"/>
      </w:pPr>
      <w:r>
        <w:tab/>
        <w:t>The Qing period (1644-1911) and particularly its apogee in the reigns of the Kangxi, Yongzheng and Qianlong emperors from 1662 to 1795, has long been seen as one marked by a courtly cosmopolitanism in which the visual and material cultures of the wider world attested to imagined if not actual connections at the very apex of the imperium</w:t>
      </w:r>
      <w:r w:rsidR="00475AFC">
        <w:t xml:space="preserve">. As work </w:t>
      </w:r>
      <w:r w:rsidR="00C01D7F">
        <w:t>proceeds</w:t>
      </w:r>
      <w:r w:rsidR="00475AFC">
        <w:t xml:space="preserve"> in this area, we get a stronger and stronger sense of the ways in which the old orientalist trope of a China uninterested in the outside world is simply not sustainable. To give just one example of the kind of careful work which is uncovering previously unsuspected connectivities, </w:t>
      </w:r>
      <w:r w:rsidR="00CB4C1D">
        <w:t xml:space="preserve">Lai Yu-chih has demonstrated that recent European innovations in natural history, the fruits of the ‘voyages of discovery’, were being consumed in China </w:t>
      </w:r>
      <w:r w:rsidR="006F015F">
        <w:t>in the century or so</w:t>
      </w:r>
      <w:r w:rsidR="00CB4C1D">
        <w:t xml:space="preserve"> after their publication. Sanjay Subrahmanyam is able to point to ‘extensive borrowing from European knowledge’ in the Ottoman context, but this knowledge had </w:t>
      </w:r>
      <w:proofErr w:type="gramStart"/>
      <w:r w:rsidR="00CB4C1D">
        <w:t xml:space="preserve">in  </w:t>
      </w:r>
      <w:r w:rsidR="006F015F">
        <w:t>a</w:t>
      </w:r>
      <w:r w:rsidR="00CB4C1D">
        <w:t>ddition</w:t>
      </w:r>
      <w:proofErr w:type="gramEnd"/>
      <w:r w:rsidR="00CB4C1D">
        <w:t xml:space="preserve"> a much wider circulation. The cassowary, an impressively large flightless bird found in New Guinea, was </w:t>
      </w:r>
      <w:r w:rsidR="00EC1450">
        <w:t xml:space="preserve">first </w:t>
      </w:r>
      <w:r w:rsidR="00CB4C1D">
        <w:t>introduced to European audiences</w:t>
      </w:r>
      <w:r w:rsidR="006F015F">
        <w:t xml:space="preserve"> when a specimen was brought to the Netherlands in 1597. Another specimen was given to Louis XIV in 1671; the bird died after</w:t>
      </w:r>
      <w:r w:rsidR="00CB4C1D">
        <w:t xml:space="preserve"> </w:t>
      </w:r>
      <w:r w:rsidR="006F015F">
        <w:t xml:space="preserve">four years, but was then dissected by </w:t>
      </w:r>
      <w:r w:rsidR="00CB4C1D">
        <w:t>the French savant</w:t>
      </w:r>
      <w:r w:rsidR="006F015F">
        <w:t xml:space="preserve"> and anatomist </w:t>
      </w:r>
      <w:r w:rsidR="00CB4C1D">
        <w:t>Claude Perrault</w:t>
      </w:r>
      <w:r w:rsidR="006F015F">
        <w:t xml:space="preserve"> (1613-1688), who published his </w:t>
      </w:r>
      <w:r w:rsidR="006F015F" w:rsidRPr="006F015F">
        <w:rPr>
          <w:i/>
        </w:rPr>
        <w:t>Mémoires Pour Servir à l’Histoire Naturelle des Animaux</w:t>
      </w:r>
      <w:r w:rsidR="006F015F">
        <w:t xml:space="preserve"> between 1671 and 1676. It can be demonstrated that this text then provides the immediate source for the ‘Imperial Inscription for the Picture of Emo Birds’ of 1774</w:t>
      </w:r>
      <w:r w:rsidR="00EC1450">
        <w:t>, by the Qianlong emperor (r. 1736-1795)</w:t>
      </w:r>
      <w:r w:rsidR="006F015F">
        <w:t xml:space="preserve">.  In an annotation to one of the poems which the </w:t>
      </w:r>
      <w:r w:rsidR="00EC1450">
        <w:t xml:space="preserve">Qing </w:t>
      </w:r>
      <w:r w:rsidR="006F015F">
        <w:t xml:space="preserve">emperor wrote </w:t>
      </w:r>
      <w:r w:rsidR="006F015F">
        <w:lastRenderedPageBreak/>
        <w:t>on these natural marvels it states, ‘</w:t>
      </w:r>
      <w:r w:rsidR="00EC1450">
        <w:t xml:space="preserve">Westerners have an illustrated book which describes this bird’s appearance and anatomy in great detail. The King of </w:t>
      </w:r>
      <w:r w:rsidR="00EC1450" w:rsidRPr="00EC1450">
        <w:rPr>
          <w:i/>
        </w:rPr>
        <w:t>Folangji</w:t>
      </w:r>
      <w:r w:rsidR="00EC1450">
        <w:t xml:space="preserve"> ordered the creation and circulation of the book…</w:t>
      </w:r>
      <w:proofErr w:type="gramStart"/>
      <w:r w:rsidR="00EC1450">
        <w:t>’,</w:t>
      </w:r>
      <w:proofErr w:type="gramEnd"/>
      <w:r w:rsidR="00EC1450">
        <w:t xml:space="preserve"> making it clear (as indeed does the correspondence of the texts themselves), that Perrault’s volume was in circulation at the Beijing court.</w:t>
      </w:r>
      <w:r w:rsidR="00EC1450" w:rsidRPr="00EC1450">
        <w:rPr>
          <w:rStyle w:val="EndnoteReference"/>
        </w:rPr>
        <w:t xml:space="preserve"> </w:t>
      </w:r>
      <w:r w:rsidR="00EC1450">
        <w:rPr>
          <w:rStyle w:val="EndnoteReference"/>
        </w:rPr>
        <w:endnoteReference w:id="24"/>
      </w:r>
      <w:r w:rsidR="00EC1450">
        <w:t xml:space="preserve"> As Lai</w:t>
      </w:r>
      <w:r w:rsidR="00E10AD7">
        <w:t xml:space="preserve"> shows</w:t>
      </w:r>
      <w:r w:rsidR="00EC1450">
        <w:t>, while the Qing imperial court, and in particular its visual culture, ‘was beyond doubt a constituent part of the early modern world’, this is not to say that th</w:t>
      </w:r>
      <w:r w:rsidR="00C01D7F">
        <w:t>is early modern world was one, r</w:t>
      </w:r>
      <w:r w:rsidR="00EC1450">
        <w:t>a</w:t>
      </w:r>
      <w:r w:rsidR="00C01D7F">
        <w:t>t</w:t>
      </w:r>
      <w:r w:rsidR="00EC1450">
        <w:t>her it is the case here that ‘we see how information from the globalized world, manifested in the form of the cassowary, was rewritten into a Chinese political narrative; or to l</w:t>
      </w:r>
      <w:r w:rsidR="00CE6720">
        <w:t>o</w:t>
      </w:r>
      <w:r w:rsidR="00EC1450">
        <w:t>ok at it from another perspective, how Qianlong viewed the globalized world from within the perspective of the Chinese political rhetoric.’</w:t>
      </w:r>
      <w:r w:rsidR="00EC1450">
        <w:rPr>
          <w:rStyle w:val="EndnoteReference"/>
        </w:rPr>
        <w:endnoteReference w:id="25"/>
      </w:r>
      <w:r w:rsidR="00CE6720">
        <w:t xml:space="preserve"> </w:t>
      </w:r>
    </w:p>
    <w:p w:rsidR="00CE6720" w:rsidRDefault="00CE6720" w:rsidP="00C01696">
      <w:pPr>
        <w:spacing w:line="480" w:lineRule="auto"/>
      </w:pPr>
      <w:r>
        <w:tab/>
        <w:t xml:space="preserve">The incorporative aesthetics (not to speak of the incorporative political ideology) of the Qing imperial formation leads to some extremely eloquent images and objects, which are increasingly becoming central to our understanding of the period, and which go way beyond the older formulations of ‘China and the West’. The courtly interest in fixed point perspective, mediated by Jesuit members of the imperial court workshops, has long been a topic of </w:t>
      </w:r>
      <w:r w:rsidR="00BE6F04">
        <w:t xml:space="preserve">art historical </w:t>
      </w:r>
      <w:r>
        <w:t xml:space="preserve">study, but more recent scholarship takes it </w:t>
      </w:r>
      <w:r w:rsidR="00BE6F04">
        <w:t>in a very different direction from merely seeing it as a ‘Chinese response’ to a set of pictorial conventions often assumed (if in an unspoken way) to be in some sense more advanced in the pursuit of mimesis, the ultimate aim of all picturing in the influential overview of Ernst Gombrich.</w:t>
      </w:r>
      <w:r w:rsidR="00BE6F04">
        <w:rPr>
          <w:rStyle w:val="EndnoteReference"/>
        </w:rPr>
        <w:endnoteReference w:id="26"/>
      </w:r>
      <w:r w:rsidR="00BE6F04">
        <w:t xml:space="preserve"> The sack by British and French troops in 1864 of the Qing ‘Summer Palace’ destroyed or dispersed a great deal o</w:t>
      </w:r>
      <w:r w:rsidR="003747DD">
        <w:t>f the imported exotica which were</w:t>
      </w:r>
      <w:r w:rsidR="00BE6F04">
        <w:t xml:space="preserve"> housed there, but there </w:t>
      </w:r>
      <w:r w:rsidR="003747DD">
        <w:t xml:space="preserve">do still </w:t>
      </w:r>
      <w:r w:rsidR="00BE6F04">
        <w:t>survive telling artefacts like the bow case of the Qianlong emperor, this supreme talisman in the construction of ‘Manchu’ identity being covered in a French silk textile.</w:t>
      </w:r>
      <w:r w:rsidR="00BE6F04">
        <w:rPr>
          <w:rStyle w:val="EndnoteReference"/>
        </w:rPr>
        <w:endnoteReference w:id="27"/>
      </w:r>
      <w:r w:rsidR="00F6455E">
        <w:t xml:space="preserve"> And there are tantalising hints that this taste for wrapping objects of great symbolic importance in imported textiles may not have been restricted to the imperial court. A surviving volume of the ‘Chunhua Era Rubbings’, a </w:t>
      </w:r>
      <w:r w:rsidR="00F6455E">
        <w:lastRenderedPageBreak/>
        <w:t xml:space="preserve">treasure of Chinese calligraphy (the most prestigious of all visual cultural practices) </w:t>
      </w:r>
      <w:r w:rsidR="00C57006">
        <w:t>which does not have a provenance in the imperial collections, is nevertheless also wrapped in a French eighteenth-century silk.</w:t>
      </w:r>
      <w:r w:rsidR="00C57006">
        <w:rPr>
          <w:rStyle w:val="EndnoteReference"/>
        </w:rPr>
        <w:endnoteReference w:id="28"/>
      </w:r>
      <w:r w:rsidR="00C57006">
        <w:t xml:space="preserve"> How are we to understand this practice of covering things we might see as essentially ‘Manchu’ or ‘Chi</w:t>
      </w:r>
      <w:r w:rsidR="003747DD">
        <w:t>nese’ in imported fabrics? H</w:t>
      </w:r>
      <w:r w:rsidR="00C57006">
        <w:t xml:space="preserve">ow widespread was it (the survival rate of textiles is in inverse proportion to their importance in the early modern world in all sorts of contexts)? And finally, do such material presences speak of any sort of ‘connection’, or are they more properly to be understood as being a way of keeping connections at bay? The work of David Porter would </w:t>
      </w:r>
      <w:r w:rsidR="0053648B">
        <w:t xml:space="preserve">certainly </w:t>
      </w:r>
      <w:r w:rsidR="00C57006">
        <w:t>see appropriations, in carefully controlled circumstances, of a Chinese aesthetic as being central to constructions of cultural, national and gender identities in eighteenth-century England.</w:t>
      </w:r>
      <w:r w:rsidR="00C57006">
        <w:rPr>
          <w:rStyle w:val="EndnoteReference"/>
        </w:rPr>
        <w:endnoteReference w:id="29"/>
      </w:r>
      <w:r w:rsidR="0053648B">
        <w:t xml:space="preserve"> Would we </w:t>
      </w:r>
      <w:r w:rsidR="00AF60AB">
        <w:t xml:space="preserve">not </w:t>
      </w:r>
      <w:r w:rsidR="0053648B">
        <w:t>be justified in seeing the many Chinese appropriations of foreign things and images</w:t>
      </w:r>
      <w:r w:rsidR="00AF60AB">
        <w:t>, for example clocks</w:t>
      </w:r>
      <w:r w:rsidR="00C01D7F">
        <w:t xml:space="preserve"> and mirrors</w:t>
      </w:r>
      <w:r w:rsidR="00AF60AB">
        <w:t>,</w:t>
      </w:r>
      <w:r w:rsidR="0053648B">
        <w:t xml:space="preserve"> as being equally constructive?</w:t>
      </w:r>
      <w:r w:rsidR="00AF60AB" w:rsidRPr="00AF60AB">
        <w:rPr>
          <w:rStyle w:val="EndnoteReference"/>
        </w:rPr>
        <w:t xml:space="preserve"> </w:t>
      </w:r>
      <w:r w:rsidR="00AF60AB">
        <w:rPr>
          <w:rStyle w:val="EndnoteReference"/>
        </w:rPr>
        <w:endnoteReference w:id="30"/>
      </w:r>
    </w:p>
    <w:p w:rsidR="004100B4" w:rsidRDefault="0053648B" w:rsidP="00C01696">
      <w:pPr>
        <w:spacing w:line="480" w:lineRule="auto"/>
      </w:pPr>
      <w:r>
        <w:tab/>
        <w:t xml:space="preserve">In terms of the study of China’s past, the advantage of Sanjay Subrahmanyam’s injunction to see Asia not as one but as many, while at the same time paying attention to the material and visual traces of connected histories (the plural here is particularly important), is that it directs our attention to those moments of connection which link the Ming and Qing empires to other parts of the world than simply Europe. </w:t>
      </w:r>
      <w:r w:rsidR="004100B4">
        <w:t xml:space="preserve">Subrahmanyam’s identification of the thirteenth century as ‘a moment when India and China turned their backs on each other’, following the failure of the Mongol attempts on the territories of the Delhi Sultanate, may be true in the larger sense, but </w:t>
      </w:r>
      <w:r w:rsidR="006A5F8C">
        <w:t>we still need to factor into</w:t>
      </w:r>
      <w:r w:rsidR="004100B4">
        <w:t xml:space="preserve"> the account the </w:t>
      </w:r>
      <w:r w:rsidR="003747DD">
        <w:t xml:space="preserve">eighteenth-century </w:t>
      </w:r>
      <w:r w:rsidR="004100B4">
        <w:t xml:space="preserve">Qing understanding of </w:t>
      </w:r>
      <w:r w:rsidR="004100B4">
        <w:rPr>
          <w:i/>
        </w:rPr>
        <w:t>Hendusitan</w:t>
      </w:r>
      <w:r w:rsidR="004100B4">
        <w:t xml:space="preserve"> </w:t>
      </w:r>
      <w:r w:rsidR="00C01D7F">
        <w:rPr>
          <w:rFonts w:hint="eastAsia"/>
        </w:rPr>
        <w:t>痕都斯坦</w:t>
      </w:r>
      <w:r w:rsidR="004100B4">
        <w:t>as materialised in the ‘Hindustan jades’ so valued at court and celebrated in the poetry of the Qianlong emperor, who wrote no fewer than seventy-four poems on this topic from 1768 onwards.</w:t>
      </w:r>
      <w:r w:rsidR="004100B4">
        <w:rPr>
          <w:rStyle w:val="EndnoteReference"/>
        </w:rPr>
        <w:endnoteReference w:id="31"/>
      </w:r>
      <w:r w:rsidR="006A5F8C">
        <w:t xml:space="preserve"> As Mathew Mosca has meticulously demonstrated, the Qing </w:t>
      </w:r>
      <w:r w:rsidR="000404AB">
        <w:t xml:space="preserve">emperor’s </w:t>
      </w:r>
      <w:r w:rsidR="006A5F8C">
        <w:rPr>
          <w:i/>
        </w:rPr>
        <w:t>Hend</w:t>
      </w:r>
      <w:r w:rsidR="00AF60AB">
        <w:rPr>
          <w:i/>
        </w:rPr>
        <w:t>usitan</w:t>
      </w:r>
      <w:r w:rsidR="00AF60AB">
        <w:t xml:space="preserve"> was not the same as ‘India’, and at the conceptual level the degree of confusion was considerable. But at the level of the </w:t>
      </w:r>
      <w:r w:rsidR="00AF60AB">
        <w:lastRenderedPageBreak/>
        <w:t>objects themselves, a story is told of a whole range of poorly documented (or rather totally undocumented) connections with a whole range of areas beyond the Qing frontiers, since the category ‘Hindustan jades’ can be shown to include objects which were made not only in workshops in the Mughal realms but also in Central Asia and even in the Ottoman empire.</w:t>
      </w:r>
      <w:r w:rsidR="00AF60AB">
        <w:rPr>
          <w:rStyle w:val="EndnoteReference"/>
        </w:rPr>
        <w:endnoteReference w:id="32"/>
      </w:r>
    </w:p>
    <w:p w:rsidR="000404AB" w:rsidRDefault="002F69C5" w:rsidP="003747DD">
      <w:pPr>
        <w:spacing w:line="480" w:lineRule="auto"/>
        <w:ind w:firstLine="720"/>
      </w:pPr>
      <w:r>
        <w:t xml:space="preserve">Very recently, a special issue of the journal </w:t>
      </w:r>
      <w:r>
        <w:rPr>
          <w:i/>
        </w:rPr>
        <w:t>Art History</w:t>
      </w:r>
      <w:r>
        <w:t xml:space="preserve"> has been given over to the theme of ‘Objects in Motion in the Early Modern World’, its thirteen papers giving a snapshot of some of the </w:t>
      </w:r>
      <w:r w:rsidR="00613C5F">
        <w:t xml:space="preserve">innovative </w:t>
      </w:r>
      <w:r>
        <w:t>scholarship now looking at the ways in which the ‘social lives’ or ‘cultural biographies’ of objects and images track a range of different connectivities of the period 1500 to 1800.</w:t>
      </w:r>
      <w:r w:rsidR="00613C5F">
        <w:rPr>
          <w:rStyle w:val="EndnoteReference"/>
        </w:rPr>
        <w:endnoteReference w:id="33"/>
      </w:r>
      <w:r>
        <w:t xml:space="preserve"> </w:t>
      </w:r>
      <w:r w:rsidR="00613C5F">
        <w:t xml:space="preserve">In one of these papers, Sandy Prita Meier re-examines the taste for Chinese porcelain on the part of the Swahili patricians of coastal east Africa, who from at least the thirteenth century were incorporating these ceramic wares into houses, mosques and tombs. </w:t>
      </w:r>
      <w:r w:rsidR="00F441D2">
        <w:t>She cites Robert Finlay’s argument that ‘the globalization of material culture initially came to pass under Chinese auspices’, so pervasive was ‘China’ on the early modern world market.</w:t>
      </w:r>
      <w:r w:rsidR="00F441D2" w:rsidRPr="00F441D2">
        <w:rPr>
          <w:rStyle w:val="EndnoteReference"/>
        </w:rPr>
        <w:t xml:space="preserve"> </w:t>
      </w:r>
      <w:r w:rsidR="00F441D2">
        <w:rPr>
          <w:rStyle w:val="EndnoteReference"/>
        </w:rPr>
        <w:endnoteReference w:id="34"/>
      </w:r>
      <w:r w:rsidR="00F441D2">
        <w:t xml:space="preserve"> It is tempting to see the prominence of ceramics as again materialising the memory of direct connections between China and East Africa which had once existed with a brief intensity. But rather than point in the direction of China (in either sense) ushering in a global or even an Asian-centred or an Indian Ocean-centred realm of uniformity, her work draws attention to the specific contingent history of Chinese porcelain in East Africa</w:t>
      </w:r>
      <w:r w:rsidR="00F54C08">
        <w:t>, and to the removal in the colonial period of the great majority of old specimens of ceramics to European collections, where the African stage in their biography became totally effaced and forgotten through the operations of the museum and the art market. She points to the ways in which ceramics acted not just as markers of an elite status, of the ability to deploy goods from far away in space and time which is such a common feature of wealth and power in so many societies, but also how the accumulation of great quantities of the material ‘acted as a</w:t>
      </w:r>
      <w:r w:rsidR="00087E02">
        <w:t xml:space="preserve"> </w:t>
      </w:r>
      <w:r w:rsidR="00F54C08">
        <w:t xml:space="preserve">tangible presence of mercantile power in Swahili spaces of daily life’, manifesting </w:t>
      </w:r>
      <w:r w:rsidR="00F54C08">
        <w:lastRenderedPageBreak/>
        <w:t>‘mercantile materiality in its ‘pure’ form as a commodity’.</w:t>
      </w:r>
      <w:r w:rsidR="00F54C08">
        <w:rPr>
          <w:rStyle w:val="EndnoteReference"/>
        </w:rPr>
        <w:endnoteReference w:id="35"/>
      </w:r>
      <w:r w:rsidR="00087E02">
        <w:t xml:space="preserve">  This and its companion essays constitute work which goes much further than a simple interest in ‘encounters’ between relatively undifferentiated entities called ‘Asia’, ‘Africa’, </w:t>
      </w:r>
      <w:r w:rsidR="003747DD">
        <w:t>‘</w:t>
      </w:r>
      <w:r w:rsidR="00087E02">
        <w:t>the West</w:t>
      </w:r>
      <w:r w:rsidR="003747DD">
        <w:t>’</w:t>
      </w:r>
      <w:r w:rsidR="00087E02">
        <w:t xml:space="preserve">. It stands </w:t>
      </w:r>
      <w:r w:rsidR="003747DD">
        <w:t xml:space="preserve">as a materially-grounded counterpart to </w:t>
      </w:r>
      <w:r w:rsidR="00087E02">
        <w:t xml:space="preserve">other </w:t>
      </w:r>
      <w:r w:rsidR="000404AB">
        <w:t xml:space="preserve">kinds of integrative history </w:t>
      </w:r>
      <w:r w:rsidR="003747DD">
        <w:t xml:space="preserve">such as the </w:t>
      </w:r>
      <w:r>
        <w:t xml:space="preserve">work of Johan </w:t>
      </w:r>
      <w:r w:rsidR="000404AB">
        <w:t>Elverskog</w:t>
      </w:r>
      <w:r>
        <w:t xml:space="preserve"> (cited bySubrahmanyam)</w:t>
      </w:r>
      <w:r w:rsidR="000404AB">
        <w:t xml:space="preserve">, </w:t>
      </w:r>
      <w:r>
        <w:t xml:space="preserve">which acts as a </w:t>
      </w:r>
      <w:r w:rsidR="000404AB">
        <w:t>continuation of the ideas of Joseph Fletcher</w:t>
      </w:r>
      <w:r>
        <w:t>, and in</w:t>
      </w:r>
      <w:r w:rsidR="00087E02">
        <w:t>deed goes even further than Fletcher</w:t>
      </w:r>
      <w:r>
        <w:t xml:space="preserve"> in its willingness to deconstruct religions as bounded entities.</w:t>
      </w:r>
      <w:r w:rsidR="003747DD" w:rsidRPr="003747DD">
        <w:rPr>
          <w:rStyle w:val="EndnoteReference"/>
        </w:rPr>
        <w:t xml:space="preserve"> </w:t>
      </w:r>
      <w:r w:rsidR="003747DD">
        <w:rPr>
          <w:rStyle w:val="EndnoteReference"/>
        </w:rPr>
        <w:endnoteReference w:id="36"/>
      </w:r>
      <w:r>
        <w:t xml:space="preserve"> </w:t>
      </w:r>
    </w:p>
    <w:p w:rsidR="00DF557D" w:rsidRDefault="00DF557D" w:rsidP="00C01696">
      <w:pPr>
        <w:spacing w:line="480" w:lineRule="auto"/>
      </w:pPr>
      <w:r>
        <w:tab/>
        <w:t xml:space="preserve">But this work may not be welcomed everywhere, as those with an investment in the conceptual integrity of ‘Islam’, ‘Buddhism’, ‘the West’, ‘China’ are certainly willing to loudly proclaim. </w:t>
      </w:r>
      <w:r w:rsidR="00C01696">
        <w:t xml:space="preserve">Subrahmanyam rightly draws our attention to ‘the limits of networks and circuits’, and reminds us that, ‘Not everything was connected and not all the time’. This is undoubtedly true, and salutary, and worth remembering, especially in the present age when historical connections are deployed very specifically in pursuit of contemporary aims, as with the modern Chinese party-state’s deployment of an eirenic, trade-centred picture of the actually rather bellicose Zheng He voyages. </w:t>
      </w:r>
      <w:r w:rsidR="00F6277A">
        <w:t>In a more nuanced picture, the fact of material persistence, and the</w:t>
      </w:r>
      <w:r w:rsidR="00C01D7F">
        <w:rPr>
          <w:rFonts w:hint="eastAsia"/>
        </w:rPr>
        <w:t xml:space="preserve"> </w:t>
      </w:r>
      <w:r w:rsidR="00F6277A">
        <w:t>study of the way in which an object or image that resulted from a past connection can continue to exist in the physical space as well as in the speech and imagination of those who encounter it, should, if we do it right, be able to play a helpful role</w:t>
      </w:r>
      <w:r w:rsidR="00C01D7F">
        <w:rPr>
          <w:rFonts w:hint="eastAsia"/>
        </w:rPr>
        <w:t>。</w:t>
      </w:r>
    </w:p>
    <w:p w:rsidR="0053648B" w:rsidRPr="00F5217F" w:rsidRDefault="0053648B" w:rsidP="00C01696">
      <w:pPr>
        <w:spacing w:line="480" w:lineRule="auto"/>
      </w:pPr>
    </w:p>
    <w:p w:rsidR="006D010C" w:rsidRDefault="006D010C" w:rsidP="00C01696">
      <w:pPr>
        <w:spacing w:line="480" w:lineRule="auto"/>
        <w:ind w:firstLine="720"/>
      </w:pPr>
    </w:p>
    <w:p w:rsidR="00804248" w:rsidRDefault="00804248"/>
    <w:p w:rsidR="002A44D6" w:rsidRDefault="002A44D6"/>
    <w:p w:rsidR="00B555A0" w:rsidRDefault="00B555A0"/>
    <w:p w:rsidR="00B555A0" w:rsidRDefault="00B555A0"/>
    <w:p w:rsidR="00B555A0" w:rsidRDefault="00B555A0"/>
    <w:p w:rsidR="002A44D6" w:rsidRDefault="002A44D6"/>
    <w:p w:rsidR="00E6034F" w:rsidRDefault="00E6034F"/>
    <w:p w:rsidR="004B6A1C" w:rsidRDefault="004B6A1C"/>
    <w:p w:rsidR="00B555A0" w:rsidRDefault="00B555A0"/>
    <w:p w:rsidR="00237577" w:rsidRDefault="00237577"/>
    <w:p w:rsidR="00237577" w:rsidRDefault="00237577"/>
    <w:p w:rsidR="00237577" w:rsidRDefault="00237577"/>
    <w:p w:rsidR="004B6A1C" w:rsidRDefault="004B6A1C"/>
    <w:p w:rsidR="004B6A1C" w:rsidRDefault="004B6A1C" w:rsidP="004B6A1C"/>
    <w:p w:rsidR="004B6A1C" w:rsidRDefault="004B6A1C" w:rsidP="004B6A1C"/>
    <w:p w:rsidR="00B555A0" w:rsidRDefault="00B555A0" w:rsidP="004B6A1C"/>
    <w:p w:rsidR="004B6A1C" w:rsidRDefault="004B6A1C"/>
    <w:p w:rsidR="00EF083E" w:rsidRDefault="00EF083E"/>
    <w:p w:rsidR="00D32DEA" w:rsidRDefault="00D32DEA"/>
    <w:p w:rsidR="0094029D" w:rsidRPr="0094029D" w:rsidRDefault="0094029D"/>
    <w:sectPr w:rsidR="0094029D" w:rsidRPr="0094029D" w:rsidSect="00E054DD">
      <w:headerReference w:type="default" r:id="rId7"/>
      <w:footerReference w:type="default" r:id="rId8"/>
      <w:endnotePr>
        <w:numFmt w:val="decimal"/>
      </w:endnotePr>
      <w:pgSz w:w="11906" w:h="16838"/>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0AD7" w:rsidRDefault="00E10AD7" w:rsidP="00FB4204">
      <w:r>
        <w:separator/>
      </w:r>
    </w:p>
  </w:endnote>
  <w:endnote w:type="continuationSeparator" w:id="0">
    <w:p w:rsidR="00E10AD7" w:rsidRDefault="00E10AD7" w:rsidP="00FB4204">
      <w:r>
        <w:continuationSeparator/>
      </w:r>
    </w:p>
  </w:endnote>
  <w:endnote w:id="1">
    <w:p w:rsidR="00E10AD7" w:rsidRPr="004B6A1C" w:rsidRDefault="00E10AD7" w:rsidP="000039D9">
      <w:pPr>
        <w:pStyle w:val="EndnoteText"/>
        <w:rPr>
          <w:sz w:val="24"/>
          <w:szCs w:val="24"/>
        </w:rPr>
      </w:pPr>
      <w:r w:rsidRPr="004B6A1C">
        <w:rPr>
          <w:rStyle w:val="EndnoteReference"/>
          <w:sz w:val="24"/>
          <w:szCs w:val="24"/>
        </w:rPr>
        <w:endnoteRef/>
      </w:r>
      <w:r w:rsidRPr="004B6A1C">
        <w:rPr>
          <w:sz w:val="24"/>
          <w:szCs w:val="24"/>
        </w:rPr>
        <w:t xml:space="preserve"> Martin W. Lewis and Kären E. Wigen, </w:t>
      </w:r>
      <w:r w:rsidRPr="004B6A1C">
        <w:rPr>
          <w:i/>
          <w:sz w:val="24"/>
          <w:szCs w:val="24"/>
        </w:rPr>
        <w:t xml:space="preserve">The Myth of Continents: </w:t>
      </w:r>
      <w:proofErr w:type="gramStart"/>
      <w:r w:rsidRPr="004B6A1C">
        <w:rPr>
          <w:i/>
          <w:sz w:val="24"/>
          <w:szCs w:val="24"/>
        </w:rPr>
        <w:t>A</w:t>
      </w:r>
      <w:proofErr w:type="gramEnd"/>
      <w:r w:rsidRPr="004B6A1C">
        <w:rPr>
          <w:i/>
          <w:sz w:val="24"/>
          <w:szCs w:val="24"/>
        </w:rPr>
        <w:t xml:space="preserve"> Critique of Metageography</w:t>
      </w:r>
      <w:r w:rsidRPr="004B6A1C">
        <w:rPr>
          <w:sz w:val="24"/>
          <w:szCs w:val="24"/>
        </w:rPr>
        <w:t xml:space="preserve"> (Berkele</w:t>
      </w:r>
      <w:r>
        <w:rPr>
          <w:sz w:val="24"/>
          <w:szCs w:val="24"/>
        </w:rPr>
        <w:t>y/Los Angeles/London: Universit</w:t>
      </w:r>
      <w:r w:rsidRPr="004B6A1C">
        <w:rPr>
          <w:sz w:val="24"/>
          <w:szCs w:val="24"/>
        </w:rPr>
        <w:t>y of California Press, 1997), especially pp. 49-53.</w:t>
      </w:r>
    </w:p>
    <w:p w:rsidR="00E10AD7" w:rsidRPr="004215C9" w:rsidRDefault="00E10AD7" w:rsidP="000039D9">
      <w:pPr>
        <w:pStyle w:val="EndnoteText"/>
        <w:rPr>
          <w:sz w:val="24"/>
          <w:szCs w:val="24"/>
        </w:rPr>
      </w:pPr>
    </w:p>
  </w:endnote>
  <w:endnote w:id="2">
    <w:p w:rsidR="00E10AD7" w:rsidRPr="004215C9" w:rsidRDefault="00E10AD7">
      <w:pPr>
        <w:pStyle w:val="EndnoteText"/>
        <w:rPr>
          <w:sz w:val="24"/>
          <w:szCs w:val="24"/>
        </w:rPr>
      </w:pPr>
      <w:r w:rsidRPr="004215C9">
        <w:rPr>
          <w:rStyle w:val="EndnoteReference"/>
          <w:sz w:val="24"/>
          <w:szCs w:val="24"/>
        </w:rPr>
        <w:endnoteRef/>
      </w:r>
      <w:r w:rsidRPr="004215C9">
        <w:rPr>
          <w:sz w:val="24"/>
          <w:szCs w:val="24"/>
        </w:rPr>
        <w:t xml:space="preserve">  Paul Rabinow, ‘Representations Are Social Facts: Modernity and Post-Modernity in Anthropology’, in James Clifford and George E. Marcus </w:t>
      </w:r>
      <w:proofErr w:type="gramStart"/>
      <w:r w:rsidRPr="004215C9">
        <w:rPr>
          <w:sz w:val="24"/>
          <w:szCs w:val="24"/>
        </w:rPr>
        <w:t>eds</w:t>
      </w:r>
      <w:proofErr w:type="gramEnd"/>
      <w:r w:rsidRPr="004215C9">
        <w:rPr>
          <w:sz w:val="24"/>
          <w:szCs w:val="24"/>
        </w:rPr>
        <w:t xml:space="preserve">, </w:t>
      </w:r>
      <w:r w:rsidRPr="004215C9">
        <w:rPr>
          <w:i/>
          <w:sz w:val="24"/>
          <w:szCs w:val="24"/>
        </w:rPr>
        <w:t>Writing Culture: The Poetics and Politics of Ethnography</w:t>
      </w:r>
      <w:r w:rsidRPr="004215C9">
        <w:rPr>
          <w:sz w:val="24"/>
          <w:szCs w:val="24"/>
        </w:rPr>
        <w:t xml:space="preserve"> (Berkeley/Los Angeles/London:</w:t>
      </w:r>
      <w:r>
        <w:rPr>
          <w:sz w:val="24"/>
          <w:szCs w:val="24"/>
        </w:rPr>
        <w:t xml:space="preserve"> </w:t>
      </w:r>
      <w:r w:rsidRPr="004215C9">
        <w:rPr>
          <w:sz w:val="24"/>
          <w:szCs w:val="24"/>
        </w:rPr>
        <w:t>University of California Press, 1986), pp. 234-61.</w:t>
      </w:r>
    </w:p>
    <w:p w:rsidR="00E10AD7" w:rsidRPr="004215C9" w:rsidRDefault="00E10AD7">
      <w:pPr>
        <w:pStyle w:val="EndnoteText"/>
        <w:rPr>
          <w:sz w:val="24"/>
          <w:szCs w:val="24"/>
        </w:rPr>
      </w:pPr>
    </w:p>
  </w:endnote>
  <w:endnote w:id="3">
    <w:p w:rsidR="00E10AD7" w:rsidRPr="00DB3701" w:rsidRDefault="00E10AD7">
      <w:pPr>
        <w:pStyle w:val="EndnoteText"/>
        <w:rPr>
          <w:sz w:val="24"/>
          <w:szCs w:val="24"/>
        </w:rPr>
      </w:pPr>
      <w:r w:rsidRPr="00DB3701">
        <w:rPr>
          <w:rStyle w:val="EndnoteReference"/>
          <w:sz w:val="24"/>
          <w:szCs w:val="24"/>
        </w:rPr>
        <w:endnoteRef/>
      </w:r>
      <w:r w:rsidRPr="00DB3701">
        <w:rPr>
          <w:sz w:val="24"/>
          <w:szCs w:val="24"/>
        </w:rPr>
        <w:t xml:space="preserve">  Craig Clunas and Jessica Harrison-Hall </w:t>
      </w:r>
      <w:proofErr w:type="gramStart"/>
      <w:r w:rsidRPr="00DB3701">
        <w:rPr>
          <w:sz w:val="24"/>
          <w:szCs w:val="24"/>
        </w:rPr>
        <w:t>eds</w:t>
      </w:r>
      <w:proofErr w:type="gramEnd"/>
      <w:r w:rsidRPr="00DB3701">
        <w:rPr>
          <w:sz w:val="24"/>
          <w:szCs w:val="24"/>
        </w:rPr>
        <w:t xml:space="preserve">, </w:t>
      </w:r>
      <w:r w:rsidRPr="00DB3701">
        <w:rPr>
          <w:i/>
          <w:sz w:val="24"/>
          <w:szCs w:val="24"/>
        </w:rPr>
        <w:t>Ming: 50 Years that Changed China</w:t>
      </w:r>
      <w:r w:rsidRPr="00DB3701">
        <w:rPr>
          <w:sz w:val="24"/>
          <w:szCs w:val="24"/>
        </w:rPr>
        <w:t xml:space="preserve"> (London: British Museum Press, 2015).</w:t>
      </w:r>
    </w:p>
    <w:p w:rsidR="00E10AD7" w:rsidRPr="00550D7D" w:rsidRDefault="00E10AD7">
      <w:pPr>
        <w:pStyle w:val="EndnoteText"/>
        <w:rPr>
          <w:sz w:val="24"/>
          <w:szCs w:val="24"/>
        </w:rPr>
      </w:pPr>
    </w:p>
  </w:endnote>
  <w:endnote w:id="4">
    <w:p w:rsidR="00E10AD7" w:rsidRPr="00550D7D" w:rsidRDefault="00E10AD7">
      <w:pPr>
        <w:pStyle w:val="EndnoteText"/>
        <w:rPr>
          <w:sz w:val="24"/>
          <w:szCs w:val="24"/>
        </w:rPr>
      </w:pPr>
      <w:r w:rsidRPr="00550D7D">
        <w:rPr>
          <w:rStyle w:val="EndnoteReference"/>
          <w:sz w:val="24"/>
          <w:szCs w:val="24"/>
        </w:rPr>
        <w:endnoteRef/>
      </w:r>
      <w:r w:rsidRPr="00550D7D">
        <w:rPr>
          <w:sz w:val="24"/>
          <w:szCs w:val="24"/>
        </w:rPr>
        <w:t xml:space="preserve">  For one view see Gang Zhao, ‘Reinventing China: Imperial Qing Ideology and the Rise of Modern Chinese National Identity in the Early Twentieth Century’, </w:t>
      </w:r>
      <w:r w:rsidRPr="00550D7D">
        <w:rPr>
          <w:i/>
          <w:sz w:val="24"/>
          <w:szCs w:val="24"/>
        </w:rPr>
        <w:t>Modern China</w:t>
      </w:r>
      <w:r w:rsidRPr="00550D7D">
        <w:rPr>
          <w:sz w:val="24"/>
          <w:szCs w:val="24"/>
        </w:rPr>
        <w:t xml:space="preserve">, 32.1 (2006), pp. 3-30. A sense of the intensity of the debate can be gained from the blog-post ‘Putting Things in Context; a contribution to the NQH debate by Professor Mark C. Elliott’, posted May 21, 2015 on the blog History, Ethics and Faith in China </w:t>
      </w:r>
      <w:hyperlink r:id="rId1" w:history="1">
        <w:r w:rsidRPr="00550D7D">
          <w:rPr>
            <w:rStyle w:val="Hyperlink"/>
            <w:sz w:val="24"/>
            <w:szCs w:val="24"/>
          </w:rPr>
          <w:t>http://history-in-china.net/2015/05/21/putting-things-in-context-a-contribution-to-the-nqh-debate-by-professor-mark-c-elliott/</w:t>
        </w:r>
      </w:hyperlink>
      <w:r w:rsidRPr="00550D7D">
        <w:rPr>
          <w:sz w:val="24"/>
          <w:szCs w:val="24"/>
        </w:rPr>
        <w:t xml:space="preserve"> [accessed 22 September 2015].</w:t>
      </w:r>
    </w:p>
    <w:p w:rsidR="00E10AD7" w:rsidRPr="00550D7D" w:rsidRDefault="00E10AD7">
      <w:pPr>
        <w:pStyle w:val="EndnoteText"/>
        <w:rPr>
          <w:sz w:val="24"/>
          <w:szCs w:val="24"/>
        </w:rPr>
      </w:pPr>
    </w:p>
  </w:endnote>
  <w:endnote w:id="5">
    <w:p w:rsidR="00E10AD7" w:rsidRDefault="00E10AD7" w:rsidP="0089546B">
      <w:r>
        <w:rPr>
          <w:rStyle w:val="EndnoteReference"/>
        </w:rPr>
        <w:endnoteRef/>
      </w:r>
      <w:r>
        <w:t xml:space="preserve"> The quote is from John K. Fairbank, Edwin O. Reischauer, Albert M Craig, </w:t>
      </w:r>
      <w:proofErr w:type="gramStart"/>
      <w:r>
        <w:t>East</w:t>
      </w:r>
      <w:proofErr w:type="gramEnd"/>
      <w:r>
        <w:t xml:space="preserve"> Asia: Tradition and Transformation (Boston: Houghton Mifflin, 1973), p. 178. For an expression of more recent understanding see David M. Robinson</w:t>
      </w:r>
      <w:r w:rsidRPr="00D22B64">
        <w:t xml:space="preserve">, ‘The Ming court and the legacy of the Yuan </w:t>
      </w:r>
      <w:r>
        <w:t>Mongols’, in David M. Robinson, ed.</w:t>
      </w:r>
      <w:r w:rsidRPr="00D22B64">
        <w:t xml:space="preserve">, </w:t>
      </w:r>
      <w:r w:rsidRPr="00D22B64">
        <w:rPr>
          <w:rFonts w:eastAsia="Times New Roman"/>
          <w:i/>
          <w:iCs/>
        </w:rPr>
        <w:t>Culture, Courtiers, and Competition: The Ming Court (1368–1644)</w:t>
      </w:r>
      <w:r w:rsidRPr="00D22B64">
        <w:rPr>
          <w:rFonts w:eastAsia="Times New Roman"/>
          <w:iCs/>
        </w:rPr>
        <w:t>,</w:t>
      </w:r>
      <w:r w:rsidRPr="00D22B64">
        <w:rPr>
          <w:rFonts w:eastAsia="Times New Roman"/>
          <w:i/>
          <w:iCs/>
        </w:rPr>
        <w:t xml:space="preserve"> </w:t>
      </w:r>
      <w:r>
        <w:rPr>
          <w:rFonts w:eastAsia="Times New Roman"/>
          <w:iCs/>
        </w:rPr>
        <w:t>(</w:t>
      </w:r>
      <w:r>
        <w:rPr>
          <w:rFonts w:eastAsia="Times New Roman"/>
        </w:rPr>
        <w:t>Cambridge</w:t>
      </w:r>
      <w:r w:rsidRPr="00D22B64">
        <w:rPr>
          <w:rFonts w:eastAsia="Times New Roman"/>
        </w:rPr>
        <w:t xml:space="preserve"> MA</w:t>
      </w:r>
      <w:r>
        <w:rPr>
          <w:rFonts w:eastAsia="Times New Roman"/>
        </w:rPr>
        <w:t>: Harvard University Press)</w:t>
      </w:r>
      <w:r w:rsidRPr="00D22B64">
        <w:rPr>
          <w:rFonts w:eastAsia="Times New Roman"/>
        </w:rPr>
        <w:t>, 2008, pp. 365–421.</w:t>
      </w:r>
    </w:p>
    <w:p w:rsidR="00E10AD7" w:rsidRDefault="00E10AD7">
      <w:pPr>
        <w:pStyle w:val="EndnoteText"/>
      </w:pPr>
    </w:p>
  </w:endnote>
  <w:endnote w:id="6">
    <w:p w:rsidR="00E10AD7" w:rsidRDefault="00E10AD7" w:rsidP="00D32DEA">
      <w:r w:rsidRPr="004B6A1C">
        <w:rPr>
          <w:rStyle w:val="EndnoteReference"/>
        </w:rPr>
        <w:endnoteRef/>
      </w:r>
      <w:r w:rsidRPr="004B6A1C">
        <w:t xml:space="preserve">  Kevin H. O’Rourke and Jeffrey G. Williamson, ‘Did Vasco da Gama matter for European markets</w:t>
      </w:r>
      <w:r>
        <w:t>?</w:t>
      </w:r>
      <w:proofErr w:type="gramStart"/>
      <w:r w:rsidRPr="004B6A1C">
        <w:t>’,</w:t>
      </w:r>
      <w:proofErr w:type="gramEnd"/>
      <w:r w:rsidRPr="004B6A1C">
        <w:t xml:space="preserve"> </w:t>
      </w:r>
      <w:r w:rsidRPr="004B6A1C">
        <w:rPr>
          <w:i/>
        </w:rPr>
        <w:t>Economic Hist</w:t>
      </w:r>
      <w:r>
        <w:rPr>
          <w:i/>
        </w:rPr>
        <w:t>o</w:t>
      </w:r>
      <w:r w:rsidRPr="004B6A1C">
        <w:rPr>
          <w:i/>
        </w:rPr>
        <w:t>ry Review</w:t>
      </w:r>
      <w:r w:rsidRPr="004B6A1C">
        <w:t>,</w:t>
      </w:r>
      <w:r>
        <w:t xml:space="preserve"> 62.3 (</w:t>
      </w:r>
      <w:r w:rsidRPr="004B6A1C">
        <w:t>2009</w:t>
      </w:r>
      <w:r>
        <w:t>)</w:t>
      </w:r>
      <w:r w:rsidRPr="004B6A1C">
        <w:t>, pp. 655-84</w:t>
      </w:r>
      <w:r>
        <w:t xml:space="preserve"> (p. 633); T’ien Ju-kang, ‘Chêng Ho’s Voyages and the Distribution of Pepper in China’, </w:t>
      </w:r>
      <w:r>
        <w:rPr>
          <w:i/>
        </w:rPr>
        <w:t>Journal of the Royal Asiatic Society of Great Britain and Ireland</w:t>
      </w:r>
      <w:r>
        <w:t>, 2 (1981), pp. 186-97.</w:t>
      </w:r>
    </w:p>
    <w:p w:rsidR="00E10AD7" w:rsidRPr="005D6FC3" w:rsidRDefault="00E10AD7" w:rsidP="00D32DEA">
      <w:pPr>
        <w:pStyle w:val="EndnoteText"/>
        <w:rPr>
          <w:sz w:val="24"/>
          <w:szCs w:val="24"/>
        </w:rPr>
      </w:pPr>
    </w:p>
  </w:endnote>
  <w:endnote w:id="7">
    <w:p w:rsidR="00E10AD7" w:rsidRDefault="00E10AD7" w:rsidP="00E10AD7">
      <w:r>
        <w:rPr>
          <w:rStyle w:val="EndnoteReference"/>
        </w:rPr>
        <w:endnoteRef/>
      </w:r>
      <w:r>
        <w:t xml:space="preserve">  Dana </w:t>
      </w:r>
      <w:proofErr w:type="spellStart"/>
      <w:r>
        <w:t>Leibsohn</w:t>
      </w:r>
      <w:proofErr w:type="spellEnd"/>
      <w:r>
        <w:t>, ‘</w:t>
      </w:r>
      <w:r w:rsidRPr="00AF0546">
        <w:t>Made in Mexico, Made in China</w:t>
      </w:r>
      <w:r>
        <w:t>’, in</w:t>
      </w:r>
      <w:r w:rsidRPr="00AF0546">
        <w:t xml:space="preserve"> Donna Pierce and Ronal</w:t>
      </w:r>
      <w:r>
        <w:t xml:space="preserve">d </w:t>
      </w:r>
      <w:proofErr w:type="spellStart"/>
      <w:proofErr w:type="gramStart"/>
      <w:r w:rsidRPr="00AF0546">
        <w:t>Otsuka</w:t>
      </w:r>
      <w:proofErr w:type="spellEnd"/>
      <w:r w:rsidRPr="00AF0546">
        <w:rPr>
          <w:i/>
        </w:rPr>
        <w:t xml:space="preserve"> </w:t>
      </w:r>
      <w:r>
        <w:t xml:space="preserve"> eds</w:t>
      </w:r>
      <w:proofErr w:type="gramEnd"/>
      <w:r>
        <w:t xml:space="preserve">., </w:t>
      </w:r>
      <w:r w:rsidRPr="00AF0546">
        <w:rPr>
          <w:i/>
        </w:rPr>
        <w:t>At the Crossroads: The Arts of Spanish America and Early Global Trade, 1492-1850. Papers from the 2010 Mayer Symposium</w:t>
      </w:r>
      <w:r>
        <w:t>, (</w:t>
      </w:r>
      <w:r w:rsidRPr="00AF0546">
        <w:t>Denver: Denver Art Museum</w:t>
      </w:r>
      <w:r>
        <w:t>, 2012), pp. 11-40.</w:t>
      </w:r>
    </w:p>
    <w:p w:rsidR="00E10AD7" w:rsidRDefault="00E10AD7">
      <w:pPr>
        <w:pStyle w:val="EndnoteText"/>
      </w:pPr>
    </w:p>
  </w:endnote>
  <w:endnote w:id="8">
    <w:p w:rsidR="00E10AD7" w:rsidRPr="005D6FC3" w:rsidRDefault="00E10AD7">
      <w:pPr>
        <w:pStyle w:val="EndnoteText"/>
        <w:rPr>
          <w:sz w:val="24"/>
          <w:szCs w:val="24"/>
        </w:rPr>
      </w:pPr>
      <w:r w:rsidRPr="005D6FC3">
        <w:rPr>
          <w:rStyle w:val="EndnoteReference"/>
          <w:sz w:val="24"/>
          <w:szCs w:val="24"/>
        </w:rPr>
        <w:endnoteRef/>
      </w:r>
      <w:r w:rsidRPr="005D6FC3">
        <w:rPr>
          <w:sz w:val="24"/>
          <w:szCs w:val="24"/>
        </w:rPr>
        <w:t xml:space="preserve">  </w:t>
      </w:r>
      <w:proofErr w:type="spellStart"/>
      <w:r w:rsidRPr="005D6FC3">
        <w:rPr>
          <w:sz w:val="24"/>
          <w:szCs w:val="24"/>
        </w:rPr>
        <w:t>Sofía</w:t>
      </w:r>
      <w:proofErr w:type="spellEnd"/>
      <w:r w:rsidRPr="005D6FC3">
        <w:rPr>
          <w:sz w:val="24"/>
          <w:szCs w:val="24"/>
        </w:rPr>
        <w:t xml:space="preserve"> </w:t>
      </w:r>
      <w:proofErr w:type="spellStart"/>
      <w:r w:rsidRPr="005D6FC3">
        <w:rPr>
          <w:sz w:val="24"/>
          <w:szCs w:val="24"/>
        </w:rPr>
        <w:t>Sanabrais</w:t>
      </w:r>
      <w:proofErr w:type="spellEnd"/>
      <w:r w:rsidRPr="005D6FC3">
        <w:rPr>
          <w:sz w:val="24"/>
          <w:szCs w:val="24"/>
        </w:rPr>
        <w:t xml:space="preserve">, ‘From </w:t>
      </w:r>
      <w:proofErr w:type="spellStart"/>
      <w:r w:rsidRPr="005D6FC3">
        <w:rPr>
          <w:i/>
          <w:sz w:val="24"/>
          <w:szCs w:val="24"/>
        </w:rPr>
        <w:t>Byōbu</w:t>
      </w:r>
      <w:proofErr w:type="spellEnd"/>
      <w:r w:rsidRPr="005D6FC3">
        <w:rPr>
          <w:sz w:val="24"/>
          <w:szCs w:val="24"/>
        </w:rPr>
        <w:t xml:space="preserve"> to </w:t>
      </w:r>
      <w:proofErr w:type="spellStart"/>
      <w:r w:rsidRPr="005D6FC3">
        <w:rPr>
          <w:i/>
          <w:sz w:val="24"/>
          <w:szCs w:val="24"/>
        </w:rPr>
        <w:t>Biombo</w:t>
      </w:r>
      <w:proofErr w:type="spellEnd"/>
      <w:r w:rsidRPr="005D6FC3">
        <w:rPr>
          <w:sz w:val="24"/>
          <w:szCs w:val="24"/>
        </w:rPr>
        <w:t xml:space="preserve">: the Transformation of the Japanese Folding Screen in Colonial Mexico’, </w:t>
      </w:r>
      <w:r w:rsidRPr="005D6FC3">
        <w:rPr>
          <w:i/>
          <w:sz w:val="24"/>
          <w:szCs w:val="24"/>
        </w:rPr>
        <w:t>Art History</w:t>
      </w:r>
      <w:r w:rsidRPr="005D6FC3">
        <w:rPr>
          <w:sz w:val="24"/>
          <w:szCs w:val="24"/>
        </w:rPr>
        <w:t>, 38.4 (2015), pp. 778-91.</w:t>
      </w:r>
    </w:p>
    <w:p w:rsidR="00E10AD7" w:rsidRPr="005D6FC3" w:rsidRDefault="00E10AD7">
      <w:pPr>
        <w:pStyle w:val="EndnoteText"/>
        <w:rPr>
          <w:sz w:val="24"/>
          <w:szCs w:val="24"/>
        </w:rPr>
      </w:pPr>
    </w:p>
  </w:endnote>
  <w:endnote w:id="9">
    <w:p w:rsidR="00E10AD7" w:rsidRPr="00D72245" w:rsidRDefault="00E10AD7" w:rsidP="006D010C">
      <w:pPr>
        <w:pStyle w:val="EndnoteText"/>
        <w:rPr>
          <w:i/>
          <w:sz w:val="24"/>
          <w:szCs w:val="24"/>
        </w:rPr>
      </w:pPr>
      <w:r w:rsidRPr="00AF08EF">
        <w:rPr>
          <w:rStyle w:val="EndnoteReference"/>
          <w:sz w:val="24"/>
          <w:szCs w:val="24"/>
        </w:rPr>
        <w:endnoteRef/>
      </w:r>
      <w:r w:rsidRPr="00AF08EF">
        <w:rPr>
          <w:sz w:val="24"/>
          <w:szCs w:val="24"/>
        </w:rPr>
        <w:t xml:space="preserve">  Ryan Dominic Crewe, ‘Pacific Purgatory: Spanish Dominicans, Chinese Sangleys and the Entanglement of Mission and Commerce in </w:t>
      </w:r>
      <w:r>
        <w:rPr>
          <w:sz w:val="24"/>
          <w:szCs w:val="24"/>
        </w:rPr>
        <w:t>M</w:t>
      </w:r>
      <w:r w:rsidRPr="00AF08EF">
        <w:rPr>
          <w:sz w:val="24"/>
          <w:szCs w:val="24"/>
        </w:rPr>
        <w:t xml:space="preserve">anila, 1580-1620’, </w:t>
      </w:r>
      <w:r w:rsidRPr="00AF08EF">
        <w:rPr>
          <w:i/>
          <w:sz w:val="24"/>
          <w:szCs w:val="24"/>
        </w:rPr>
        <w:t>Journal of Early Modern History</w:t>
      </w:r>
      <w:r w:rsidRPr="00AF08EF">
        <w:rPr>
          <w:sz w:val="24"/>
          <w:szCs w:val="24"/>
        </w:rPr>
        <w:t>, 19.4 (2015), pp. 337-65.</w:t>
      </w:r>
      <w:r>
        <w:rPr>
          <w:sz w:val="24"/>
          <w:szCs w:val="24"/>
        </w:rPr>
        <w:t xml:space="preserve"> For an enigmatic reference to a painter who deserves to have a reputation in </w:t>
      </w:r>
      <w:r>
        <w:rPr>
          <w:i/>
          <w:sz w:val="24"/>
          <w:szCs w:val="24"/>
        </w:rPr>
        <w:t>Yamolijia</w:t>
      </w:r>
      <w:r>
        <w:rPr>
          <w:sz w:val="24"/>
          <w:szCs w:val="24"/>
        </w:rPr>
        <w:t xml:space="preserve"> (America) see Craig Clunas, </w:t>
      </w:r>
      <w:r w:rsidRPr="00D72245">
        <w:rPr>
          <w:i/>
          <w:sz w:val="24"/>
          <w:szCs w:val="24"/>
        </w:rPr>
        <w:t>Pictures and Visuality in Early Modern China</w:t>
      </w:r>
      <w:r>
        <w:rPr>
          <w:sz w:val="24"/>
          <w:szCs w:val="24"/>
        </w:rPr>
        <w:t>, (</w:t>
      </w:r>
      <w:r w:rsidRPr="00D72245">
        <w:rPr>
          <w:sz w:val="24"/>
          <w:szCs w:val="24"/>
        </w:rPr>
        <w:t>London: Reaktion Books, 1997)</w:t>
      </w:r>
      <w:r>
        <w:rPr>
          <w:sz w:val="24"/>
          <w:szCs w:val="24"/>
        </w:rPr>
        <w:t>, pp. 177-8.</w:t>
      </w:r>
    </w:p>
    <w:p w:rsidR="00E10AD7" w:rsidRPr="00A351B1" w:rsidRDefault="00E10AD7" w:rsidP="006D010C">
      <w:pPr>
        <w:pStyle w:val="EndnoteText"/>
        <w:rPr>
          <w:sz w:val="24"/>
          <w:szCs w:val="24"/>
        </w:rPr>
      </w:pPr>
    </w:p>
  </w:endnote>
  <w:endnote w:id="10">
    <w:p w:rsidR="00E10AD7" w:rsidRPr="00A351B1" w:rsidRDefault="00E10AD7" w:rsidP="006D010C">
      <w:pPr>
        <w:pStyle w:val="EndnoteText"/>
        <w:rPr>
          <w:sz w:val="24"/>
          <w:szCs w:val="24"/>
        </w:rPr>
      </w:pPr>
      <w:r w:rsidRPr="00A351B1">
        <w:rPr>
          <w:rStyle w:val="EndnoteReference"/>
          <w:sz w:val="24"/>
          <w:szCs w:val="24"/>
        </w:rPr>
        <w:endnoteRef/>
      </w:r>
      <w:r w:rsidRPr="00A351B1">
        <w:rPr>
          <w:sz w:val="24"/>
          <w:szCs w:val="24"/>
        </w:rPr>
        <w:t xml:space="preserve">  Craig Clunas, </w:t>
      </w:r>
      <w:r w:rsidRPr="00A351B1">
        <w:rPr>
          <w:i/>
          <w:sz w:val="24"/>
          <w:szCs w:val="24"/>
        </w:rPr>
        <w:t xml:space="preserve">Empire of Great Brightness: Visual and Material Cultures of Ming China </w:t>
      </w:r>
      <w:r w:rsidRPr="00A351B1">
        <w:rPr>
          <w:sz w:val="24"/>
          <w:szCs w:val="24"/>
        </w:rPr>
        <w:t>(London: Reaktion Books, 2007), p. 90.</w:t>
      </w:r>
    </w:p>
    <w:p w:rsidR="00E10AD7" w:rsidRPr="00674918" w:rsidRDefault="00E10AD7" w:rsidP="006D010C">
      <w:pPr>
        <w:pStyle w:val="EndnoteText"/>
        <w:rPr>
          <w:i/>
          <w:sz w:val="24"/>
          <w:szCs w:val="24"/>
        </w:rPr>
      </w:pPr>
    </w:p>
  </w:endnote>
  <w:endnote w:id="11">
    <w:p w:rsidR="00E10AD7" w:rsidRPr="00674918" w:rsidRDefault="00E10AD7" w:rsidP="006D010C">
      <w:pPr>
        <w:pStyle w:val="EndnoteText"/>
        <w:rPr>
          <w:sz w:val="24"/>
          <w:szCs w:val="24"/>
        </w:rPr>
      </w:pPr>
      <w:r w:rsidRPr="00674918">
        <w:rPr>
          <w:rStyle w:val="EndnoteReference"/>
          <w:sz w:val="24"/>
          <w:szCs w:val="24"/>
        </w:rPr>
        <w:endnoteRef/>
      </w:r>
      <w:r w:rsidRPr="00674918">
        <w:rPr>
          <w:sz w:val="24"/>
          <w:szCs w:val="24"/>
        </w:rPr>
        <w:t xml:space="preserve">  Craig Clunas, ‘The Art Market in 17</w:t>
      </w:r>
      <w:r w:rsidRPr="00674918">
        <w:rPr>
          <w:sz w:val="24"/>
          <w:szCs w:val="24"/>
          <w:vertAlign w:val="superscript"/>
        </w:rPr>
        <w:t>th</w:t>
      </w:r>
      <w:r w:rsidRPr="00674918">
        <w:rPr>
          <w:sz w:val="24"/>
          <w:szCs w:val="24"/>
        </w:rPr>
        <w:t xml:space="preserve"> Century China: The Evidence of the Li Rihua Diary’, </w:t>
      </w:r>
      <w:r w:rsidRPr="00674918">
        <w:rPr>
          <w:i/>
          <w:sz w:val="24"/>
          <w:szCs w:val="24"/>
        </w:rPr>
        <w:t>Meishushi yu guannianshi</w:t>
      </w:r>
      <w:r w:rsidRPr="00674918">
        <w:rPr>
          <w:sz w:val="24"/>
          <w:szCs w:val="24"/>
        </w:rPr>
        <w:t>, 1 (2003), pp. 201-23 (pp. 216-7).</w:t>
      </w:r>
    </w:p>
    <w:p w:rsidR="00E10AD7" w:rsidRPr="00674918" w:rsidRDefault="00E10AD7" w:rsidP="006D010C">
      <w:pPr>
        <w:pStyle w:val="EndnoteText"/>
        <w:rPr>
          <w:sz w:val="24"/>
          <w:szCs w:val="24"/>
        </w:rPr>
      </w:pPr>
    </w:p>
  </w:endnote>
  <w:endnote w:id="12">
    <w:p w:rsidR="00E10AD7" w:rsidRPr="00B555A0" w:rsidRDefault="00E10AD7" w:rsidP="00C67581">
      <w:pPr>
        <w:pStyle w:val="EndnoteText"/>
        <w:rPr>
          <w:sz w:val="24"/>
          <w:szCs w:val="24"/>
        </w:rPr>
      </w:pPr>
      <w:r w:rsidRPr="00B555A0">
        <w:rPr>
          <w:rStyle w:val="EndnoteReference"/>
          <w:sz w:val="24"/>
          <w:szCs w:val="24"/>
        </w:rPr>
        <w:endnoteRef/>
      </w:r>
      <w:r w:rsidRPr="00B555A0">
        <w:rPr>
          <w:sz w:val="24"/>
          <w:szCs w:val="24"/>
        </w:rPr>
        <w:t xml:space="preserve">  Tonio Andrade, ‘Cannibals with Cannons: The Sino-Portuguese Clashes of 1521-22 and the early Chinese Adoption of Western Guns’, </w:t>
      </w:r>
      <w:r w:rsidRPr="00B555A0">
        <w:rPr>
          <w:i/>
          <w:sz w:val="24"/>
          <w:szCs w:val="24"/>
        </w:rPr>
        <w:t>Journal of Early Modern History</w:t>
      </w:r>
      <w:r w:rsidRPr="00B555A0">
        <w:rPr>
          <w:sz w:val="24"/>
          <w:szCs w:val="24"/>
        </w:rPr>
        <w:t>, 19.4 (2015), 311-36.</w:t>
      </w:r>
    </w:p>
    <w:p w:rsidR="00E10AD7" w:rsidRPr="00B555A0" w:rsidRDefault="00E10AD7" w:rsidP="00C67581">
      <w:pPr>
        <w:pStyle w:val="EndnoteText"/>
        <w:rPr>
          <w:sz w:val="24"/>
          <w:szCs w:val="24"/>
        </w:rPr>
      </w:pPr>
    </w:p>
  </w:endnote>
  <w:endnote w:id="13">
    <w:p w:rsidR="00E10AD7" w:rsidRPr="00DF6D46" w:rsidRDefault="00E10AD7" w:rsidP="006D010C">
      <w:pPr>
        <w:pStyle w:val="EndnoteText"/>
        <w:rPr>
          <w:sz w:val="24"/>
          <w:szCs w:val="24"/>
        </w:rPr>
      </w:pPr>
      <w:r w:rsidRPr="00DF6D46">
        <w:rPr>
          <w:rStyle w:val="EndnoteReference"/>
        </w:rPr>
        <w:endnoteRef/>
      </w:r>
      <w:r>
        <w:rPr>
          <w:sz w:val="24"/>
          <w:szCs w:val="24"/>
        </w:rPr>
        <w:t xml:space="preserve"> </w:t>
      </w:r>
      <w:r w:rsidRPr="00DF6D46">
        <w:rPr>
          <w:sz w:val="24"/>
          <w:szCs w:val="24"/>
        </w:rPr>
        <w:t xml:space="preserve">This is the surmise in W. M. Thackston, </w:t>
      </w:r>
      <w:r w:rsidRPr="00DF6D46">
        <w:rPr>
          <w:i/>
          <w:iCs/>
          <w:sz w:val="24"/>
          <w:szCs w:val="24"/>
        </w:rPr>
        <w:t xml:space="preserve">Album Prefaces and Other Documents </w:t>
      </w:r>
      <w:proofErr w:type="gramStart"/>
      <w:r w:rsidRPr="00DF6D46">
        <w:rPr>
          <w:i/>
          <w:iCs/>
          <w:sz w:val="24"/>
          <w:szCs w:val="24"/>
        </w:rPr>
        <w:t>On</w:t>
      </w:r>
      <w:proofErr w:type="gramEnd"/>
      <w:r w:rsidRPr="00DF6D46">
        <w:rPr>
          <w:i/>
          <w:iCs/>
          <w:sz w:val="24"/>
          <w:szCs w:val="24"/>
        </w:rPr>
        <w:t xml:space="preserve"> the History of Calligraphers and Painter</w:t>
      </w:r>
      <w:r w:rsidRPr="00DF6D46">
        <w:rPr>
          <w:sz w:val="24"/>
          <w:szCs w:val="24"/>
        </w:rPr>
        <w:t>, Studies and Sources in Islamic Art and Architecture (Leiden 2001), p. 53.</w:t>
      </w:r>
      <w:r>
        <w:rPr>
          <w:sz w:val="24"/>
          <w:szCs w:val="24"/>
        </w:rPr>
        <w:t xml:space="preserve"> See too Ralph Kauz, ‘Gift Exchange between Iran, Central Asia, and China under the Ming dynasty, 1368-1644’, in Linda Komaroff and Sheila Blair eds., </w:t>
      </w:r>
      <w:r>
        <w:rPr>
          <w:i/>
          <w:iCs/>
          <w:sz w:val="24"/>
          <w:szCs w:val="24"/>
        </w:rPr>
        <w:t xml:space="preserve">Gifts of the Sultan: The Arts of Giving at the Islamic </w:t>
      </w:r>
      <w:r w:rsidRPr="00DF6D46">
        <w:rPr>
          <w:sz w:val="24"/>
          <w:szCs w:val="24"/>
        </w:rPr>
        <w:t>Courts</w:t>
      </w:r>
      <w:r>
        <w:rPr>
          <w:sz w:val="24"/>
          <w:szCs w:val="24"/>
        </w:rPr>
        <w:t xml:space="preserve"> (</w:t>
      </w:r>
      <w:smartTag w:uri="urn:schemas-microsoft-com:office:smarttags" w:element="place">
        <w:smartTag w:uri="urn:schemas-microsoft-com:office:smarttags" w:element="City">
          <w:r>
            <w:rPr>
              <w:sz w:val="24"/>
              <w:szCs w:val="24"/>
            </w:rPr>
            <w:t>Houston</w:t>
          </w:r>
        </w:smartTag>
      </w:smartTag>
      <w:r>
        <w:rPr>
          <w:sz w:val="24"/>
          <w:szCs w:val="24"/>
        </w:rPr>
        <w:t xml:space="preserve">, 2011), </w:t>
      </w:r>
      <w:r w:rsidRPr="00B40634">
        <w:rPr>
          <w:bCs/>
          <w:sz w:val="24"/>
          <w:szCs w:val="24"/>
        </w:rPr>
        <w:t xml:space="preserve">pp. </w:t>
      </w:r>
      <w:r>
        <w:rPr>
          <w:bCs/>
          <w:sz w:val="24"/>
          <w:szCs w:val="24"/>
        </w:rPr>
        <w:t>115-21</w:t>
      </w:r>
      <w:r w:rsidRPr="00B40634">
        <w:rPr>
          <w:bCs/>
          <w:sz w:val="24"/>
          <w:szCs w:val="24"/>
        </w:rPr>
        <w:t>.</w:t>
      </w:r>
    </w:p>
    <w:p w:rsidR="00E10AD7" w:rsidRPr="00DF6D46" w:rsidRDefault="00E10AD7" w:rsidP="006D010C">
      <w:pPr>
        <w:pStyle w:val="EndnoteText"/>
      </w:pPr>
    </w:p>
  </w:endnote>
  <w:endnote w:id="14">
    <w:p w:rsidR="00E10AD7" w:rsidRDefault="00E10AD7" w:rsidP="006D010C">
      <w:r w:rsidRPr="002E6136">
        <w:rPr>
          <w:rStyle w:val="EndnoteReference"/>
        </w:rPr>
        <w:endnoteRef/>
      </w:r>
      <w:r>
        <w:t xml:space="preserve"> David J. </w:t>
      </w:r>
      <w:r w:rsidRPr="002E6136">
        <w:t xml:space="preserve">Roxburgh, </w:t>
      </w:r>
      <w:proofErr w:type="gramStart"/>
      <w:r>
        <w:rPr>
          <w:i/>
          <w:iCs/>
        </w:rPr>
        <w:t>The</w:t>
      </w:r>
      <w:proofErr w:type="gramEnd"/>
      <w:r>
        <w:rPr>
          <w:i/>
          <w:iCs/>
        </w:rPr>
        <w:t xml:space="preserve"> Persian Album 1400-1600: From Dispersal to Collection </w:t>
      </w:r>
      <w:r>
        <w:t xml:space="preserve">(New Haven CT and London, 2005), </w:t>
      </w:r>
      <w:r w:rsidRPr="002E6136">
        <w:t>pp. 295-304.</w:t>
      </w:r>
      <w:r>
        <w:t xml:space="preserve"> </w:t>
      </w:r>
    </w:p>
    <w:p w:rsidR="00E10AD7" w:rsidRPr="00A504B0" w:rsidRDefault="00E10AD7" w:rsidP="006D010C">
      <w:pPr>
        <w:pStyle w:val="EndnoteText"/>
        <w:rPr>
          <w:sz w:val="24"/>
          <w:szCs w:val="24"/>
        </w:rPr>
      </w:pPr>
    </w:p>
  </w:endnote>
  <w:endnote w:id="15">
    <w:p w:rsidR="00E10AD7" w:rsidRPr="00A504B0" w:rsidRDefault="00E10AD7">
      <w:pPr>
        <w:pStyle w:val="EndnoteText"/>
        <w:rPr>
          <w:sz w:val="24"/>
          <w:szCs w:val="24"/>
        </w:rPr>
      </w:pPr>
      <w:r w:rsidRPr="00A504B0">
        <w:rPr>
          <w:rStyle w:val="EndnoteReference"/>
          <w:sz w:val="24"/>
          <w:szCs w:val="24"/>
        </w:rPr>
        <w:endnoteRef/>
      </w:r>
      <w:r w:rsidRPr="00A504B0">
        <w:rPr>
          <w:sz w:val="24"/>
          <w:szCs w:val="24"/>
        </w:rPr>
        <w:t xml:space="preserve">  Craig Clunas, </w:t>
      </w:r>
      <w:r w:rsidRPr="00A504B0">
        <w:rPr>
          <w:i/>
          <w:sz w:val="24"/>
          <w:szCs w:val="24"/>
        </w:rPr>
        <w:t xml:space="preserve">Chinese </w:t>
      </w:r>
      <w:r>
        <w:rPr>
          <w:i/>
          <w:sz w:val="24"/>
          <w:szCs w:val="24"/>
        </w:rPr>
        <w:t>P</w:t>
      </w:r>
      <w:r w:rsidRPr="00A504B0">
        <w:rPr>
          <w:i/>
          <w:sz w:val="24"/>
          <w:szCs w:val="24"/>
        </w:rPr>
        <w:t>ainting and its Audiences</w:t>
      </w:r>
      <w:r w:rsidRPr="00A504B0">
        <w:rPr>
          <w:sz w:val="24"/>
          <w:szCs w:val="24"/>
        </w:rPr>
        <w:t xml:space="preserve"> (Princeton and London: Princeton University Press, forthcoming).</w:t>
      </w:r>
    </w:p>
    <w:p w:rsidR="00E10AD7" w:rsidRPr="00A504B0" w:rsidRDefault="00E10AD7">
      <w:pPr>
        <w:pStyle w:val="EndnoteText"/>
        <w:rPr>
          <w:sz w:val="24"/>
          <w:szCs w:val="24"/>
        </w:rPr>
      </w:pPr>
    </w:p>
  </w:endnote>
  <w:endnote w:id="16">
    <w:p w:rsidR="00E10AD7" w:rsidRPr="00C67581" w:rsidRDefault="00E10AD7">
      <w:pPr>
        <w:pStyle w:val="EndnoteText"/>
        <w:rPr>
          <w:sz w:val="24"/>
          <w:szCs w:val="24"/>
        </w:rPr>
      </w:pPr>
      <w:r w:rsidRPr="00C67581">
        <w:rPr>
          <w:rStyle w:val="EndnoteReference"/>
          <w:sz w:val="24"/>
          <w:szCs w:val="24"/>
        </w:rPr>
        <w:endnoteRef/>
      </w:r>
      <w:r w:rsidRPr="00C67581">
        <w:rPr>
          <w:sz w:val="24"/>
          <w:szCs w:val="24"/>
        </w:rPr>
        <w:t xml:space="preserve"> Zhang Wende, </w:t>
      </w:r>
      <w:r w:rsidRPr="00C67581">
        <w:rPr>
          <w:i/>
          <w:sz w:val="24"/>
          <w:szCs w:val="24"/>
        </w:rPr>
        <w:t>Ming yu Tiemuer wangchao guanxishi yanjiu</w:t>
      </w:r>
      <w:r w:rsidRPr="00C67581">
        <w:rPr>
          <w:sz w:val="24"/>
          <w:szCs w:val="24"/>
        </w:rPr>
        <w:t xml:space="preserve"> (Beijing: Zhonghua shuju, 2006), pp. 266-74.</w:t>
      </w:r>
    </w:p>
    <w:p w:rsidR="00E10AD7" w:rsidRPr="00FE18B0" w:rsidRDefault="00E10AD7">
      <w:pPr>
        <w:pStyle w:val="EndnoteText"/>
        <w:rPr>
          <w:sz w:val="24"/>
          <w:szCs w:val="24"/>
        </w:rPr>
      </w:pPr>
    </w:p>
  </w:endnote>
  <w:endnote w:id="17">
    <w:p w:rsidR="00E10AD7" w:rsidRPr="0087173F" w:rsidRDefault="00E10AD7">
      <w:pPr>
        <w:pStyle w:val="EndnoteText"/>
        <w:rPr>
          <w:sz w:val="24"/>
          <w:szCs w:val="24"/>
        </w:rPr>
      </w:pPr>
      <w:r w:rsidRPr="00FE18B0">
        <w:rPr>
          <w:rStyle w:val="EndnoteReference"/>
          <w:sz w:val="24"/>
          <w:szCs w:val="24"/>
        </w:rPr>
        <w:endnoteRef/>
      </w:r>
      <w:r>
        <w:rPr>
          <w:sz w:val="24"/>
          <w:szCs w:val="24"/>
        </w:rPr>
        <w:t xml:space="preserve">  One engaging fictional example of ‘alternative history’ is </w:t>
      </w:r>
      <w:r w:rsidRPr="00FE18B0">
        <w:rPr>
          <w:sz w:val="24"/>
          <w:szCs w:val="24"/>
        </w:rPr>
        <w:t xml:space="preserve">Kim Stanley Robinson, </w:t>
      </w:r>
      <w:r>
        <w:rPr>
          <w:i/>
          <w:sz w:val="24"/>
          <w:szCs w:val="24"/>
        </w:rPr>
        <w:t xml:space="preserve">The Years of Rice and Salt </w:t>
      </w:r>
      <w:r>
        <w:rPr>
          <w:sz w:val="24"/>
          <w:szCs w:val="24"/>
        </w:rPr>
        <w:t>(New York: Bantam Books, 2002).</w:t>
      </w:r>
    </w:p>
    <w:p w:rsidR="00E10AD7" w:rsidRPr="00FE18B0" w:rsidRDefault="00E10AD7">
      <w:pPr>
        <w:pStyle w:val="EndnoteText"/>
        <w:rPr>
          <w:sz w:val="24"/>
          <w:szCs w:val="24"/>
        </w:rPr>
      </w:pPr>
    </w:p>
  </w:endnote>
  <w:endnote w:id="18">
    <w:p w:rsidR="00E10AD7" w:rsidRPr="00237577" w:rsidRDefault="00E10AD7" w:rsidP="00D32DEA">
      <w:pPr>
        <w:pStyle w:val="EndnoteText"/>
        <w:rPr>
          <w:sz w:val="24"/>
          <w:szCs w:val="24"/>
        </w:rPr>
      </w:pPr>
      <w:r w:rsidRPr="00237577">
        <w:rPr>
          <w:rStyle w:val="EndnoteReference"/>
          <w:sz w:val="24"/>
          <w:szCs w:val="24"/>
        </w:rPr>
        <w:endnoteRef/>
      </w:r>
      <w:r w:rsidRPr="00237577">
        <w:rPr>
          <w:sz w:val="24"/>
          <w:szCs w:val="24"/>
        </w:rPr>
        <w:t xml:space="preserve">  Scott W. Gregory, ‘Daydreaming Dynasty: </w:t>
      </w:r>
      <w:r w:rsidRPr="00237577">
        <w:rPr>
          <w:i/>
          <w:sz w:val="24"/>
          <w:szCs w:val="24"/>
        </w:rPr>
        <w:t>The Eunuch Sanbao’s Journeys in the Western Seas</w:t>
      </w:r>
      <w:r w:rsidRPr="00237577">
        <w:rPr>
          <w:sz w:val="24"/>
          <w:szCs w:val="24"/>
        </w:rPr>
        <w:t xml:space="preserve"> and “Present-Day” Fiction of the Ming</w:t>
      </w:r>
      <w:r>
        <w:rPr>
          <w:sz w:val="24"/>
          <w:szCs w:val="24"/>
        </w:rPr>
        <w:t>’</w:t>
      </w:r>
      <w:r w:rsidRPr="00237577">
        <w:rPr>
          <w:sz w:val="24"/>
          <w:szCs w:val="24"/>
        </w:rPr>
        <w:t xml:space="preserve">, </w:t>
      </w:r>
      <w:r w:rsidRPr="00237577">
        <w:rPr>
          <w:i/>
          <w:sz w:val="24"/>
          <w:szCs w:val="24"/>
        </w:rPr>
        <w:t>Ming Studies</w:t>
      </w:r>
      <w:r w:rsidRPr="00237577">
        <w:rPr>
          <w:sz w:val="24"/>
          <w:szCs w:val="24"/>
        </w:rPr>
        <w:t>, 70 (2014), pp. 10-28.</w:t>
      </w:r>
    </w:p>
    <w:p w:rsidR="00E10AD7" w:rsidRPr="00237577" w:rsidRDefault="00E10AD7" w:rsidP="00D32DEA">
      <w:pPr>
        <w:pStyle w:val="EndnoteText"/>
        <w:rPr>
          <w:sz w:val="24"/>
          <w:szCs w:val="24"/>
        </w:rPr>
      </w:pPr>
    </w:p>
  </w:endnote>
  <w:endnote w:id="19">
    <w:p w:rsidR="00E10AD7" w:rsidRDefault="00E10AD7" w:rsidP="00F5217F">
      <w:pPr>
        <w:pStyle w:val="EndnoteText"/>
        <w:rPr>
          <w:sz w:val="24"/>
          <w:szCs w:val="24"/>
        </w:rPr>
      </w:pPr>
      <w:r w:rsidRPr="00371CA4">
        <w:rPr>
          <w:rStyle w:val="EndnoteReference"/>
          <w:sz w:val="24"/>
          <w:szCs w:val="24"/>
        </w:rPr>
        <w:endnoteRef/>
      </w:r>
      <w:r w:rsidRPr="00371CA4">
        <w:rPr>
          <w:sz w:val="24"/>
          <w:szCs w:val="24"/>
        </w:rPr>
        <w:t xml:space="preserve">  Matthew W. Mosca, </w:t>
      </w:r>
      <w:r w:rsidRPr="00371CA4">
        <w:rPr>
          <w:i/>
          <w:sz w:val="24"/>
          <w:szCs w:val="24"/>
        </w:rPr>
        <w:t>From Frontier Policy to Foreign Policy: The Question of India and the Transformation of Geopolitics in Qing China</w:t>
      </w:r>
      <w:r w:rsidRPr="00371CA4">
        <w:rPr>
          <w:sz w:val="24"/>
          <w:szCs w:val="24"/>
        </w:rPr>
        <w:t xml:space="preserve"> (Stanford: Stanford University Press, 2013), p. 48</w:t>
      </w:r>
      <w:r>
        <w:rPr>
          <w:sz w:val="24"/>
          <w:szCs w:val="24"/>
        </w:rPr>
        <w:t>.</w:t>
      </w:r>
    </w:p>
    <w:p w:rsidR="00E10AD7" w:rsidRPr="00B555A0" w:rsidRDefault="00E10AD7" w:rsidP="00F5217F">
      <w:pPr>
        <w:pStyle w:val="EndnoteText"/>
        <w:rPr>
          <w:sz w:val="24"/>
          <w:szCs w:val="24"/>
        </w:rPr>
      </w:pPr>
    </w:p>
  </w:endnote>
  <w:endnote w:id="20">
    <w:p w:rsidR="00E10AD7" w:rsidRPr="00FE18B0" w:rsidRDefault="00E10AD7" w:rsidP="00E36164">
      <w:pPr>
        <w:pStyle w:val="EndnoteText"/>
        <w:rPr>
          <w:sz w:val="24"/>
          <w:szCs w:val="24"/>
        </w:rPr>
      </w:pPr>
      <w:r w:rsidRPr="00FE18B0">
        <w:rPr>
          <w:rStyle w:val="EndnoteReference"/>
          <w:sz w:val="24"/>
          <w:szCs w:val="24"/>
        </w:rPr>
        <w:endnoteRef/>
      </w:r>
      <w:r w:rsidRPr="00FE18B0">
        <w:rPr>
          <w:sz w:val="24"/>
          <w:szCs w:val="24"/>
        </w:rPr>
        <w:t xml:space="preserve">  Timothy Brook, ‘How to Sail from Calicut to Hormuz: Traces of the Zheng He Voyages in Late-Ming Navigational Materials’, in Craig Clunas, Jessica Harrison-Hall and Yu-ping Luk, eds, </w:t>
      </w:r>
      <w:r w:rsidRPr="00FE18B0">
        <w:rPr>
          <w:i/>
          <w:iCs/>
          <w:sz w:val="24"/>
          <w:szCs w:val="24"/>
        </w:rPr>
        <w:t>Ming China: Courts and Contacts 1400-1450</w:t>
      </w:r>
      <w:r w:rsidRPr="00FE18B0">
        <w:rPr>
          <w:sz w:val="24"/>
          <w:szCs w:val="24"/>
        </w:rPr>
        <w:t xml:space="preserve"> (London: British Museum Press, forthcoming).</w:t>
      </w:r>
      <w:r>
        <w:rPr>
          <w:sz w:val="24"/>
          <w:szCs w:val="24"/>
        </w:rPr>
        <w:t xml:space="preserve"> On the Selden map see </w:t>
      </w:r>
      <w:hyperlink r:id="rId2" w:history="1">
        <w:r w:rsidRPr="00CA3473">
          <w:rPr>
            <w:rStyle w:val="Hyperlink"/>
            <w:sz w:val="24"/>
            <w:szCs w:val="24"/>
          </w:rPr>
          <w:t>http://seldenmap.bodleian.ox.ac.uk/</w:t>
        </w:r>
      </w:hyperlink>
      <w:r>
        <w:rPr>
          <w:sz w:val="24"/>
          <w:szCs w:val="24"/>
        </w:rPr>
        <w:t xml:space="preserve"> and Timothy Brook, </w:t>
      </w:r>
      <w:r w:rsidRPr="00237577">
        <w:rPr>
          <w:i/>
          <w:sz w:val="24"/>
          <w:szCs w:val="24"/>
        </w:rPr>
        <w:t>Mr Selden’s Map of China: Decoding the Secrets of a Vanished Cartographer</w:t>
      </w:r>
      <w:r>
        <w:rPr>
          <w:sz w:val="24"/>
          <w:szCs w:val="24"/>
        </w:rPr>
        <w:t xml:space="preserve"> (New York/London/New Delhi/Sydney: Bloomsbury Press, 2013).</w:t>
      </w:r>
    </w:p>
    <w:p w:rsidR="00E10AD7" w:rsidRPr="00FE18B0" w:rsidRDefault="00E10AD7" w:rsidP="00E36164">
      <w:pPr>
        <w:pStyle w:val="EndnoteText"/>
        <w:rPr>
          <w:sz w:val="24"/>
          <w:szCs w:val="24"/>
        </w:rPr>
      </w:pPr>
    </w:p>
  </w:endnote>
  <w:endnote w:id="21">
    <w:p w:rsidR="00E10AD7" w:rsidRDefault="00E10AD7" w:rsidP="00C22F47">
      <w:r w:rsidRPr="00EC6807">
        <w:rPr>
          <w:rStyle w:val="EndnoteReference"/>
        </w:rPr>
        <w:endnoteRef/>
      </w:r>
      <w:r w:rsidRPr="00EC6807">
        <w:t xml:space="preserve"> Ma Huan, </w:t>
      </w:r>
      <w:r w:rsidRPr="00C22F47">
        <w:rPr>
          <w:i/>
        </w:rPr>
        <w:t>Ying-yai Sheng-lan: The Overall Survey of the Ocean’s Shores [1433],</w:t>
      </w:r>
      <w:r w:rsidRPr="00EC6807">
        <w:t xml:space="preserve"> translate</w:t>
      </w:r>
      <w:r>
        <w:t>d and edited by J. V. G. Mills (</w:t>
      </w:r>
      <w:r w:rsidRPr="00EC6807">
        <w:t xml:space="preserve">Cambridge, </w:t>
      </w:r>
      <w:r>
        <w:t xml:space="preserve">Cambridge University Press: </w:t>
      </w:r>
      <w:r w:rsidRPr="00EC6807">
        <w:t>1970</w:t>
      </w:r>
      <w:r>
        <w:t xml:space="preserve">), p. 146, cited in Craig Clunas, ‘Precious Stones and Ming Culture, 1400-1450’, </w:t>
      </w:r>
      <w:r w:rsidRPr="00FE18B0">
        <w:t xml:space="preserve">in Craig Clunas, Jessica Harrison-Hall and Yu-ping Luk, eds, </w:t>
      </w:r>
      <w:r w:rsidRPr="00FE18B0">
        <w:rPr>
          <w:i/>
          <w:iCs/>
        </w:rPr>
        <w:t>Ming China: Courts and Contacts 1400-1450</w:t>
      </w:r>
      <w:r w:rsidRPr="00FE18B0">
        <w:t xml:space="preserve"> (London: British Museum Press, forthcoming).</w:t>
      </w:r>
    </w:p>
    <w:p w:rsidR="00E10AD7" w:rsidRPr="00C22F47" w:rsidRDefault="00E10AD7" w:rsidP="00D54BFA">
      <w:pPr>
        <w:pStyle w:val="EndnoteText"/>
        <w:rPr>
          <w:sz w:val="24"/>
          <w:szCs w:val="24"/>
        </w:rPr>
      </w:pPr>
    </w:p>
  </w:endnote>
  <w:endnote w:id="22">
    <w:p w:rsidR="00E10AD7" w:rsidRPr="00C22F47" w:rsidRDefault="00E10AD7">
      <w:pPr>
        <w:pStyle w:val="EndnoteText"/>
        <w:rPr>
          <w:sz w:val="24"/>
          <w:szCs w:val="24"/>
        </w:rPr>
      </w:pPr>
      <w:r w:rsidRPr="00C22F47">
        <w:rPr>
          <w:rStyle w:val="EndnoteReference"/>
          <w:sz w:val="24"/>
          <w:szCs w:val="24"/>
        </w:rPr>
        <w:endnoteRef/>
      </w:r>
      <w:r w:rsidRPr="00C22F47">
        <w:rPr>
          <w:sz w:val="24"/>
          <w:szCs w:val="24"/>
        </w:rPr>
        <w:t xml:space="preserve">  For a full translation and discussion see Brook, ‘How to Sail from Calicut to Hormuz’.</w:t>
      </w:r>
    </w:p>
    <w:p w:rsidR="00E10AD7" w:rsidRPr="00C22F47" w:rsidRDefault="00E10AD7">
      <w:pPr>
        <w:pStyle w:val="EndnoteText"/>
        <w:rPr>
          <w:sz w:val="24"/>
          <w:szCs w:val="24"/>
        </w:rPr>
      </w:pPr>
    </w:p>
  </w:endnote>
  <w:endnote w:id="23">
    <w:p w:rsidR="00E10AD7" w:rsidRPr="00087E02" w:rsidRDefault="00E10AD7" w:rsidP="00F5217F">
      <w:pPr>
        <w:pStyle w:val="EndnoteText"/>
        <w:rPr>
          <w:sz w:val="24"/>
          <w:szCs w:val="24"/>
        </w:rPr>
      </w:pPr>
      <w:r w:rsidRPr="00B555A0">
        <w:rPr>
          <w:rStyle w:val="EndnoteReference"/>
          <w:sz w:val="24"/>
          <w:szCs w:val="24"/>
        </w:rPr>
        <w:endnoteRef/>
      </w:r>
      <w:r>
        <w:rPr>
          <w:sz w:val="24"/>
          <w:szCs w:val="24"/>
        </w:rPr>
        <w:t xml:space="preserve"> The idea of ‘Sinosphere’ depends on </w:t>
      </w:r>
      <w:r w:rsidRPr="00B555A0">
        <w:rPr>
          <w:sz w:val="24"/>
          <w:szCs w:val="24"/>
        </w:rPr>
        <w:t xml:space="preserve">Joshua Vogel, </w:t>
      </w:r>
      <w:r w:rsidRPr="00B555A0">
        <w:rPr>
          <w:i/>
          <w:sz w:val="24"/>
          <w:szCs w:val="24"/>
        </w:rPr>
        <w:t>Articulating the Sinosphere</w:t>
      </w:r>
      <w:r>
        <w:rPr>
          <w:i/>
          <w:sz w:val="24"/>
          <w:szCs w:val="24"/>
        </w:rPr>
        <w:t>: Sino-Japanese Relations in Space and Time</w:t>
      </w:r>
      <w:r>
        <w:rPr>
          <w:sz w:val="24"/>
          <w:szCs w:val="24"/>
        </w:rPr>
        <w:t xml:space="preserve"> (Cambridge MA and London: Harvard University Press, 2009).</w:t>
      </w:r>
    </w:p>
    <w:p w:rsidR="00E10AD7" w:rsidRPr="00EC1450" w:rsidRDefault="00E10AD7" w:rsidP="00F5217F">
      <w:pPr>
        <w:pStyle w:val="EndnoteText"/>
      </w:pPr>
    </w:p>
  </w:endnote>
  <w:endnote w:id="24">
    <w:p w:rsidR="00E10AD7" w:rsidRDefault="00E10AD7" w:rsidP="00EC1450">
      <w:pPr>
        <w:pStyle w:val="EndnoteText"/>
        <w:rPr>
          <w:sz w:val="24"/>
          <w:szCs w:val="24"/>
        </w:rPr>
      </w:pPr>
      <w:r>
        <w:rPr>
          <w:rStyle w:val="EndnoteReference"/>
        </w:rPr>
        <w:endnoteRef/>
      </w:r>
      <w:r>
        <w:t xml:space="preserve">  </w:t>
      </w:r>
      <w:r w:rsidRPr="000E4709">
        <w:rPr>
          <w:sz w:val="24"/>
          <w:szCs w:val="24"/>
        </w:rPr>
        <w:t xml:space="preserve">Lai Yu-chih, ‘Images, Knowledge and Empire: Depicting Cassowaries in the Qing Court’, </w:t>
      </w:r>
      <w:r w:rsidRPr="000E4709">
        <w:rPr>
          <w:i/>
          <w:sz w:val="24"/>
          <w:szCs w:val="24"/>
        </w:rPr>
        <w:t>Transcultural Studies</w:t>
      </w:r>
      <w:r w:rsidRPr="000E4709">
        <w:rPr>
          <w:sz w:val="24"/>
          <w:szCs w:val="24"/>
        </w:rPr>
        <w:t>, 2013.1, pp. 7-100</w:t>
      </w:r>
      <w:r>
        <w:rPr>
          <w:sz w:val="24"/>
          <w:szCs w:val="24"/>
        </w:rPr>
        <w:t xml:space="preserve"> (p. 24).</w:t>
      </w:r>
    </w:p>
    <w:p w:rsidR="00E10AD7" w:rsidRPr="0053086C" w:rsidRDefault="00E10AD7" w:rsidP="00EC1450">
      <w:pPr>
        <w:pStyle w:val="EndnoteText"/>
        <w:rPr>
          <w:sz w:val="24"/>
          <w:szCs w:val="24"/>
        </w:rPr>
      </w:pPr>
    </w:p>
  </w:endnote>
  <w:endnote w:id="25">
    <w:p w:rsidR="00E10AD7" w:rsidRPr="0053086C" w:rsidRDefault="00E10AD7">
      <w:pPr>
        <w:pStyle w:val="EndnoteText"/>
        <w:rPr>
          <w:sz w:val="24"/>
          <w:szCs w:val="24"/>
        </w:rPr>
      </w:pPr>
      <w:r w:rsidRPr="0053086C">
        <w:rPr>
          <w:rStyle w:val="EndnoteReference"/>
          <w:sz w:val="24"/>
          <w:szCs w:val="24"/>
        </w:rPr>
        <w:endnoteRef/>
      </w:r>
      <w:r w:rsidRPr="0053086C">
        <w:rPr>
          <w:sz w:val="24"/>
          <w:szCs w:val="24"/>
        </w:rPr>
        <w:t xml:space="preserve">  Lai, ‘Images, Knowledge and Empire</w:t>
      </w:r>
      <w:r>
        <w:rPr>
          <w:sz w:val="24"/>
          <w:szCs w:val="24"/>
        </w:rPr>
        <w:t>’</w:t>
      </w:r>
      <w:r w:rsidRPr="0053086C">
        <w:rPr>
          <w:sz w:val="24"/>
          <w:szCs w:val="24"/>
        </w:rPr>
        <w:t>, p. 83.</w:t>
      </w:r>
    </w:p>
    <w:p w:rsidR="00E10AD7" w:rsidRPr="0053086C" w:rsidRDefault="00E10AD7">
      <w:pPr>
        <w:pStyle w:val="EndnoteText"/>
        <w:rPr>
          <w:sz w:val="24"/>
          <w:szCs w:val="24"/>
        </w:rPr>
      </w:pPr>
    </w:p>
  </w:endnote>
  <w:endnote w:id="26">
    <w:p w:rsidR="00E10AD7" w:rsidRDefault="00E10AD7" w:rsidP="00BE6F04">
      <w:r>
        <w:rPr>
          <w:rStyle w:val="EndnoteReference"/>
        </w:rPr>
        <w:endnoteRef/>
      </w:r>
      <w:r>
        <w:t xml:space="preserve">  See most recently </w:t>
      </w:r>
      <w:r w:rsidRPr="004B2558">
        <w:t xml:space="preserve">Patricia Berger, </w:t>
      </w:r>
      <w:r w:rsidRPr="004B2558">
        <w:rPr>
          <w:i/>
          <w:iCs/>
        </w:rPr>
        <w:t>Empire of Emptiness</w:t>
      </w:r>
      <w:r>
        <w:rPr>
          <w:i/>
          <w:iCs/>
        </w:rPr>
        <w:t>: Buddhist Art and Political Authority in Qing China</w:t>
      </w:r>
      <w:r>
        <w:t xml:space="preserve"> (Honolulu: University of Hawai’i Press 2003); </w:t>
      </w:r>
      <w:r w:rsidRPr="00CD032D">
        <w:rPr>
          <w:rFonts w:eastAsia="SimSun"/>
        </w:rPr>
        <w:t>Kristina Renée Kleutghen,</w:t>
      </w:r>
      <w:r>
        <w:rPr>
          <w:lang w:val="it-IT"/>
        </w:rPr>
        <w:t xml:space="preserve"> </w:t>
      </w:r>
      <w:r>
        <w:rPr>
          <w:i/>
          <w:lang w:val="it-IT"/>
        </w:rPr>
        <w:t>Imperial Illusions: Crossing Pictorial Boundaries in the Qing Palaces</w:t>
      </w:r>
      <w:r>
        <w:rPr>
          <w:lang w:val="it-IT"/>
        </w:rPr>
        <w:t xml:space="preserve"> (Seattle and London, 2015); Craig Clunas, </w:t>
      </w:r>
      <w:r>
        <w:rPr>
          <w:i/>
          <w:lang w:val="it-IT"/>
        </w:rPr>
        <w:t>Chinese Painting and its Audiences</w:t>
      </w:r>
      <w:r>
        <w:rPr>
          <w:lang w:val="it-IT"/>
        </w:rPr>
        <w:t xml:space="preserve"> (Princeton and London: Princeton University Press, forthcoming). </w:t>
      </w:r>
      <w:r w:rsidRPr="00FD176D">
        <w:t xml:space="preserve">Ernst Gombrich, </w:t>
      </w:r>
      <w:r w:rsidRPr="00FD176D">
        <w:rPr>
          <w:i/>
          <w:iCs/>
        </w:rPr>
        <w:t xml:space="preserve">Art and Illusion: </w:t>
      </w:r>
      <w:proofErr w:type="gramStart"/>
      <w:r w:rsidRPr="00FD176D">
        <w:rPr>
          <w:i/>
          <w:iCs/>
        </w:rPr>
        <w:t>A</w:t>
      </w:r>
      <w:proofErr w:type="gramEnd"/>
      <w:r w:rsidRPr="00FD176D">
        <w:rPr>
          <w:i/>
          <w:iCs/>
        </w:rPr>
        <w:t xml:space="preserve"> Study in the Psychology of Pictorial Representation</w:t>
      </w:r>
      <w:r w:rsidRPr="00FD176D">
        <w:t>, Sixth edition (London</w:t>
      </w:r>
      <w:r>
        <w:t>: Phaidon</w:t>
      </w:r>
      <w:r w:rsidRPr="00FD176D">
        <w:t>, 2002)</w:t>
      </w:r>
      <w:r>
        <w:t>.</w:t>
      </w:r>
    </w:p>
    <w:p w:rsidR="00E10AD7" w:rsidRPr="00F6455E" w:rsidRDefault="00E10AD7">
      <w:pPr>
        <w:pStyle w:val="EndnoteText"/>
        <w:rPr>
          <w:sz w:val="24"/>
          <w:szCs w:val="24"/>
        </w:rPr>
      </w:pPr>
    </w:p>
  </w:endnote>
  <w:endnote w:id="27">
    <w:p w:rsidR="00E10AD7" w:rsidRPr="00F6455E" w:rsidRDefault="00E10AD7">
      <w:pPr>
        <w:pStyle w:val="EndnoteText"/>
        <w:rPr>
          <w:sz w:val="24"/>
          <w:szCs w:val="24"/>
        </w:rPr>
      </w:pPr>
      <w:r w:rsidRPr="00F6455E">
        <w:rPr>
          <w:rStyle w:val="EndnoteReference"/>
          <w:sz w:val="24"/>
          <w:szCs w:val="24"/>
        </w:rPr>
        <w:endnoteRef/>
      </w:r>
      <w:r w:rsidRPr="00F6455E">
        <w:rPr>
          <w:sz w:val="24"/>
          <w:szCs w:val="24"/>
        </w:rPr>
        <w:t xml:space="preserve">  Jessica Rawson ed., </w:t>
      </w:r>
      <w:r w:rsidRPr="00F6455E">
        <w:rPr>
          <w:i/>
          <w:iCs/>
          <w:sz w:val="24"/>
          <w:szCs w:val="24"/>
        </w:rPr>
        <w:t xml:space="preserve">China; </w:t>
      </w:r>
      <w:proofErr w:type="gramStart"/>
      <w:r w:rsidRPr="00F6455E">
        <w:rPr>
          <w:i/>
          <w:iCs/>
          <w:sz w:val="24"/>
          <w:szCs w:val="24"/>
        </w:rPr>
        <w:t>The</w:t>
      </w:r>
      <w:proofErr w:type="gramEnd"/>
      <w:r w:rsidRPr="00F6455E">
        <w:rPr>
          <w:i/>
          <w:iCs/>
          <w:sz w:val="24"/>
          <w:szCs w:val="24"/>
        </w:rPr>
        <w:t xml:space="preserve"> Three Emperors 1662-1795 </w:t>
      </w:r>
      <w:r w:rsidRPr="00F6455E">
        <w:rPr>
          <w:sz w:val="24"/>
          <w:szCs w:val="24"/>
        </w:rPr>
        <w:t>(London: The Royal Academy, 2005), p. 167.</w:t>
      </w:r>
    </w:p>
    <w:p w:rsidR="00E10AD7" w:rsidRPr="00C57006" w:rsidRDefault="00E10AD7">
      <w:pPr>
        <w:pStyle w:val="EndnoteText"/>
        <w:rPr>
          <w:sz w:val="24"/>
          <w:szCs w:val="24"/>
        </w:rPr>
      </w:pPr>
    </w:p>
  </w:endnote>
  <w:endnote w:id="28">
    <w:p w:rsidR="00E10AD7" w:rsidRPr="00C57006" w:rsidRDefault="00E10AD7">
      <w:pPr>
        <w:pStyle w:val="EndnoteText"/>
        <w:rPr>
          <w:sz w:val="24"/>
          <w:szCs w:val="24"/>
        </w:rPr>
      </w:pPr>
      <w:r w:rsidRPr="00C57006">
        <w:rPr>
          <w:rStyle w:val="EndnoteReference"/>
          <w:sz w:val="24"/>
          <w:szCs w:val="24"/>
        </w:rPr>
        <w:endnoteRef/>
      </w:r>
      <w:r w:rsidRPr="00C57006">
        <w:rPr>
          <w:sz w:val="24"/>
          <w:szCs w:val="24"/>
        </w:rPr>
        <w:t xml:space="preserve">  </w:t>
      </w:r>
      <w:proofErr w:type="gramStart"/>
      <w:r w:rsidRPr="00AF60AB">
        <w:rPr>
          <w:i/>
          <w:sz w:val="24"/>
          <w:szCs w:val="24"/>
        </w:rPr>
        <w:t>An</w:t>
      </w:r>
      <w:proofErr w:type="gramEnd"/>
      <w:r w:rsidRPr="00AF60AB">
        <w:rPr>
          <w:i/>
          <w:sz w:val="24"/>
          <w:szCs w:val="24"/>
        </w:rPr>
        <w:t xml:space="preserve"> Siyuan zang shanben beitie xuan</w:t>
      </w:r>
      <w:r w:rsidRPr="00C57006">
        <w:rPr>
          <w:sz w:val="24"/>
          <w:szCs w:val="24"/>
        </w:rPr>
        <w:t xml:space="preserve"> (Beijing: Wenwu chubanshe 1996), p. 40.</w:t>
      </w:r>
    </w:p>
    <w:p w:rsidR="00E10AD7" w:rsidRPr="00C57006" w:rsidRDefault="00E10AD7">
      <w:pPr>
        <w:pStyle w:val="EndnoteText"/>
        <w:rPr>
          <w:sz w:val="24"/>
          <w:szCs w:val="24"/>
        </w:rPr>
      </w:pPr>
    </w:p>
  </w:endnote>
  <w:endnote w:id="29">
    <w:p w:rsidR="00E10AD7" w:rsidRDefault="00E10AD7" w:rsidP="00FD003F">
      <w:r>
        <w:rPr>
          <w:rStyle w:val="EndnoteReference"/>
        </w:rPr>
        <w:endnoteRef/>
      </w:r>
      <w:r>
        <w:t xml:space="preserve"> </w:t>
      </w:r>
      <w:r w:rsidRPr="00F3692E">
        <w:t xml:space="preserve">David Porter, </w:t>
      </w:r>
      <w:r w:rsidRPr="00F3692E">
        <w:rPr>
          <w:i/>
          <w:iCs/>
        </w:rPr>
        <w:t>The Chinese</w:t>
      </w:r>
      <w:r w:rsidRPr="00AC2281">
        <w:rPr>
          <w:i/>
          <w:iCs/>
        </w:rPr>
        <w:t xml:space="preserve"> Taste in Eighteenth-Century England</w:t>
      </w:r>
      <w:r w:rsidRPr="00AC2281">
        <w:t xml:space="preserve"> (Cambridge</w:t>
      </w:r>
      <w:r>
        <w:t>: Cambridge University Press</w:t>
      </w:r>
      <w:r w:rsidRPr="00AC2281">
        <w:t>, 2010)</w:t>
      </w:r>
      <w:r w:rsidR="00FD003F">
        <w:t>.</w:t>
      </w:r>
    </w:p>
  </w:endnote>
  <w:endnote w:id="30">
    <w:p w:rsidR="00E10AD7" w:rsidRPr="00AF60AB" w:rsidRDefault="00E10AD7" w:rsidP="00AF60AB">
      <w:pPr>
        <w:pStyle w:val="Heading1"/>
        <w:rPr>
          <w:lang w:val="en-US"/>
        </w:rPr>
      </w:pPr>
      <w:r w:rsidRPr="00AF60AB">
        <w:rPr>
          <w:rStyle w:val="EndnoteReference"/>
          <w:b w:val="0"/>
          <w:sz w:val="24"/>
          <w:szCs w:val="24"/>
        </w:rPr>
        <w:endnoteRef/>
      </w:r>
      <w:r w:rsidRPr="00AF60AB">
        <w:rPr>
          <w:b w:val="0"/>
          <w:sz w:val="24"/>
          <w:szCs w:val="24"/>
        </w:rPr>
        <w:t xml:space="preserve">  </w:t>
      </w:r>
      <w:r>
        <w:rPr>
          <w:b w:val="0"/>
          <w:sz w:val="24"/>
          <w:szCs w:val="24"/>
        </w:rPr>
        <w:t xml:space="preserve">Catherine Pagani, </w:t>
      </w:r>
      <w:r w:rsidRPr="00AF60AB">
        <w:rPr>
          <w:rFonts w:eastAsia="Arial Unicode MS"/>
          <w:b w:val="0"/>
          <w:i/>
          <w:color w:val="32322F"/>
          <w:sz w:val="24"/>
          <w:szCs w:val="24"/>
          <w:lang w:val="en-US"/>
        </w:rPr>
        <w:t xml:space="preserve">Eastern Magnificence and European Ingenuity: Clocks of Late Imperial China </w:t>
      </w:r>
      <w:r>
        <w:rPr>
          <w:rFonts w:eastAsia="Arial Unicode MS"/>
          <w:b w:val="0"/>
          <w:color w:val="32322F"/>
          <w:sz w:val="24"/>
          <w:szCs w:val="24"/>
          <w:lang w:val="en-US"/>
        </w:rPr>
        <w:t>(Anne Arbor: University of Michigan Press, 2001).</w:t>
      </w:r>
    </w:p>
  </w:endnote>
  <w:endnote w:id="31">
    <w:p w:rsidR="00E10AD7" w:rsidRPr="006A5F8C" w:rsidRDefault="00E10AD7">
      <w:pPr>
        <w:pStyle w:val="EndnoteText"/>
        <w:rPr>
          <w:sz w:val="24"/>
          <w:szCs w:val="24"/>
        </w:rPr>
      </w:pPr>
      <w:r>
        <w:rPr>
          <w:rStyle w:val="EndnoteReference"/>
        </w:rPr>
        <w:endnoteRef/>
      </w:r>
      <w:r>
        <w:t xml:space="preserve">  </w:t>
      </w:r>
      <w:r w:rsidRPr="00371CA4">
        <w:rPr>
          <w:sz w:val="24"/>
          <w:szCs w:val="24"/>
        </w:rPr>
        <w:t xml:space="preserve">Mosca, </w:t>
      </w:r>
      <w:r w:rsidRPr="00371CA4">
        <w:rPr>
          <w:i/>
          <w:sz w:val="24"/>
          <w:szCs w:val="24"/>
        </w:rPr>
        <w:t>From Frontier Policy to Foreign Policy</w:t>
      </w:r>
      <w:r>
        <w:rPr>
          <w:sz w:val="24"/>
          <w:szCs w:val="24"/>
        </w:rPr>
        <w:t xml:space="preserve">, p. 92; National Palace Museum, </w:t>
      </w:r>
      <w:r>
        <w:rPr>
          <w:i/>
          <w:sz w:val="24"/>
          <w:szCs w:val="24"/>
        </w:rPr>
        <w:t>Catalogue of a Special Exhibition of Hindustan Jade in the National Palace Museum</w:t>
      </w:r>
      <w:r>
        <w:rPr>
          <w:sz w:val="24"/>
          <w:szCs w:val="24"/>
        </w:rPr>
        <w:t xml:space="preserve"> (Taipei: National Palace Museum, 1983).</w:t>
      </w:r>
    </w:p>
    <w:p w:rsidR="00E10AD7" w:rsidRPr="00AF60AB" w:rsidRDefault="00E10AD7">
      <w:pPr>
        <w:pStyle w:val="EndnoteText"/>
        <w:rPr>
          <w:sz w:val="24"/>
          <w:szCs w:val="24"/>
        </w:rPr>
      </w:pPr>
    </w:p>
  </w:endnote>
  <w:endnote w:id="32">
    <w:p w:rsidR="00E10AD7" w:rsidRPr="00AF60AB" w:rsidRDefault="00E10AD7">
      <w:pPr>
        <w:pStyle w:val="EndnoteText"/>
        <w:rPr>
          <w:sz w:val="24"/>
          <w:szCs w:val="24"/>
        </w:rPr>
      </w:pPr>
      <w:r w:rsidRPr="00AF60AB">
        <w:rPr>
          <w:rStyle w:val="EndnoteReference"/>
          <w:sz w:val="24"/>
          <w:szCs w:val="24"/>
        </w:rPr>
        <w:endnoteRef/>
      </w:r>
      <w:r w:rsidRPr="00AF60AB">
        <w:rPr>
          <w:sz w:val="24"/>
          <w:szCs w:val="24"/>
        </w:rPr>
        <w:t xml:space="preserve">  </w:t>
      </w:r>
      <w:proofErr w:type="gramStart"/>
      <w:r w:rsidRPr="00AF60AB">
        <w:rPr>
          <w:sz w:val="24"/>
          <w:szCs w:val="24"/>
        </w:rPr>
        <w:t xml:space="preserve">Teng Shu-p’ing, ‘On the Eastward Transmission of Islamic-Style Jades during the Ch’ien-lung and Chia-ch’ing Reigns’, </w:t>
      </w:r>
      <w:r w:rsidRPr="00AF60AB">
        <w:rPr>
          <w:i/>
          <w:sz w:val="24"/>
          <w:szCs w:val="24"/>
        </w:rPr>
        <w:t>National Palace Museum Bulletin</w:t>
      </w:r>
      <w:r w:rsidRPr="00AF60AB">
        <w:rPr>
          <w:sz w:val="24"/>
          <w:szCs w:val="24"/>
        </w:rPr>
        <w:t>, 37.2 (2004), 25-138.</w:t>
      </w:r>
      <w:proofErr w:type="gramEnd"/>
    </w:p>
    <w:p w:rsidR="00E10AD7" w:rsidRPr="00613C5F" w:rsidRDefault="00E10AD7">
      <w:pPr>
        <w:pStyle w:val="EndnoteText"/>
        <w:rPr>
          <w:sz w:val="24"/>
          <w:szCs w:val="24"/>
        </w:rPr>
      </w:pPr>
    </w:p>
  </w:endnote>
  <w:endnote w:id="33">
    <w:p w:rsidR="00E10AD7" w:rsidRPr="00613C5F" w:rsidRDefault="00E10AD7">
      <w:pPr>
        <w:pStyle w:val="EndnoteText"/>
        <w:rPr>
          <w:sz w:val="24"/>
          <w:szCs w:val="24"/>
        </w:rPr>
      </w:pPr>
      <w:r w:rsidRPr="00613C5F">
        <w:rPr>
          <w:rStyle w:val="EndnoteReference"/>
          <w:sz w:val="24"/>
          <w:szCs w:val="24"/>
        </w:rPr>
        <w:endnoteRef/>
      </w:r>
      <w:r w:rsidRPr="00613C5F">
        <w:rPr>
          <w:sz w:val="24"/>
          <w:szCs w:val="24"/>
        </w:rPr>
        <w:t xml:space="preserve">  The explicitl</w:t>
      </w:r>
      <w:r>
        <w:rPr>
          <w:sz w:val="24"/>
          <w:szCs w:val="24"/>
        </w:rPr>
        <w:t>y-identified</w:t>
      </w:r>
      <w:r w:rsidRPr="00613C5F">
        <w:rPr>
          <w:sz w:val="24"/>
          <w:szCs w:val="24"/>
        </w:rPr>
        <w:t xml:space="preserve"> methodological roots of much of this work lie in the classic 1986 volume, Arjun Appadurai ed., </w:t>
      </w:r>
      <w:r w:rsidRPr="00FA44F8">
        <w:rPr>
          <w:i/>
          <w:sz w:val="24"/>
          <w:szCs w:val="24"/>
        </w:rPr>
        <w:t xml:space="preserve">The Social Life of Things; Commodities in Cultural Perspective </w:t>
      </w:r>
      <w:r w:rsidRPr="00613C5F">
        <w:rPr>
          <w:sz w:val="24"/>
          <w:szCs w:val="24"/>
        </w:rPr>
        <w:t>(Cambridge: Cambridge University Press, 1986)</w:t>
      </w:r>
      <w:r>
        <w:rPr>
          <w:sz w:val="24"/>
          <w:szCs w:val="24"/>
        </w:rPr>
        <w:t xml:space="preserve">, with its important formulation (p. 5) that, ‘even though from a </w:t>
      </w:r>
      <w:r w:rsidRPr="00FA44F8">
        <w:rPr>
          <w:i/>
          <w:sz w:val="24"/>
          <w:szCs w:val="24"/>
        </w:rPr>
        <w:t>theoretical</w:t>
      </w:r>
      <w:r>
        <w:rPr>
          <w:sz w:val="24"/>
          <w:szCs w:val="24"/>
        </w:rPr>
        <w:t xml:space="preserve"> point of view human actors encode things with significance, from a </w:t>
      </w:r>
      <w:r w:rsidRPr="00FA44F8">
        <w:rPr>
          <w:i/>
          <w:sz w:val="24"/>
          <w:szCs w:val="24"/>
        </w:rPr>
        <w:t>methodological</w:t>
      </w:r>
      <w:r>
        <w:rPr>
          <w:sz w:val="24"/>
          <w:szCs w:val="24"/>
        </w:rPr>
        <w:t xml:space="preserve"> point of view it is the things-in-motion that illuminate their human and social context’</w:t>
      </w:r>
      <w:r w:rsidRPr="00613C5F">
        <w:rPr>
          <w:sz w:val="24"/>
          <w:szCs w:val="24"/>
        </w:rPr>
        <w:t>.</w:t>
      </w:r>
    </w:p>
    <w:p w:rsidR="00E10AD7" w:rsidRPr="00613C5F" w:rsidRDefault="00E10AD7">
      <w:pPr>
        <w:pStyle w:val="EndnoteText"/>
        <w:rPr>
          <w:sz w:val="24"/>
          <w:szCs w:val="24"/>
        </w:rPr>
      </w:pPr>
    </w:p>
  </w:endnote>
  <w:endnote w:id="34">
    <w:p w:rsidR="00E10AD7" w:rsidRPr="00613C5F" w:rsidRDefault="00E10AD7" w:rsidP="00F441D2">
      <w:pPr>
        <w:pStyle w:val="EndnoteText"/>
        <w:rPr>
          <w:sz w:val="24"/>
          <w:szCs w:val="24"/>
        </w:rPr>
      </w:pPr>
      <w:r w:rsidRPr="00613C5F">
        <w:rPr>
          <w:rStyle w:val="EndnoteReference"/>
          <w:sz w:val="24"/>
          <w:szCs w:val="24"/>
        </w:rPr>
        <w:endnoteRef/>
      </w:r>
      <w:r w:rsidRPr="00613C5F">
        <w:rPr>
          <w:sz w:val="24"/>
          <w:szCs w:val="24"/>
        </w:rPr>
        <w:t xml:space="preserve">  Sandy Prita Meier, ‘Chinese Porcelain and Muslim Port Cities: Mercantile Materiality in Coastal East Africa’, </w:t>
      </w:r>
      <w:r w:rsidRPr="00613C5F">
        <w:rPr>
          <w:i/>
          <w:sz w:val="24"/>
          <w:szCs w:val="24"/>
        </w:rPr>
        <w:t>Art History</w:t>
      </w:r>
      <w:r w:rsidRPr="00613C5F">
        <w:rPr>
          <w:sz w:val="24"/>
          <w:szCs w:val="24"/>
        </w:rPr>
        <w:t>, 38.4 (2015), pp. 702-17</w:t>
      </w:r>
      <w:r>
        <w:rPr>
          <w:sz w:val="24"/>
          <w:szCs w:val="24"/>
        </w:rPr>
        <w:t xml:space="preserve"> (pp. 706-7), citing Robert Finlay, </w:t>
      </w:r>
      <w:r>
        <w:rPr>
          <w:i/>
          <w:sz w:val="24"/>
          <w:szCs w:val="24"/>
        </w:rPr>
        <w:t>The Pilgrim Art: Cultures of Porcelain in World History</w:t>
      </w:r>
      <w:r>
        <w:rPr>
          <w:sz w:val="24"/>
          <w:szCs w:val="24"/>
        </w:rPr>
        <w:t xml:space="preserve"> (Berkeley: University of California Press, 2010)</w:t>
      </w:r>
      <w:r w:rsidRPr="00613C5F">
        <w:rPr>
          <w:sz w:val="24"/>
          <w:szCs w:val="24"/>
        </w:rPr>
        <w:t>.</w:t>
      </w:r>
    </w:p>
    <w:p w:rsidR="00E10AD7" w:rsidRPr="00F54C08" w:rsidRDefault="00E10AD7" w:rsidP="00F441D2">
      <w:pPr>
        <w:pStyle w:val="EndnoteText"/>
        <w:rPr>
          <w:sz w:val="24"/>
          <w:szCs w:val="24"/>
        </w:rPr>
      </w:pPr>
    </w:p>
  </w:endnote>
  <w:endnote w:id="35">
    <w:p w:rsidR="00E10AD7" w:rsidRPr="00F54C08" w:rsidRDefault="00E10AD7">
      <w:pPr>
        <w:pStyle w:val="EndnoteText"/>
        <w:rPr>
          <w:sz w:val="24"/>
          <w:szCs w:val="24"/>
        </w:rPr>
      </w:pPr>
      <w:r w:rsidRPr="00F54C08">
        <w:rPr>
          <w:rStyle w:val="EndnoteReference"/>
          <w:sz w:val="24"/>
          <w:szCs w:val="24"/>
        </w:rPr>
        <w:endnoteRef/>
      </w:r>
      <w:r w:rsidRPr="00F54C08">
        <w:rPr>
          <w:sz w:val="24"/>
          <w:szCs w:val="24"/>
        </w:rPr>
        <w:t xml:space="preserve">  Meier, Chinese Porcelain and Muslim Port Cities’, p. 715.</w:t>
      </w:r>
    </w:p>
    <w:p w:rsidR="00E10AD7" w:rsidRPr="00F54C08" w:rsidRDefault="00E10AD7">
      <w:pPr>
        <w:pStyle w:val="EndnoteText"/>
        <w:rPr>
          <w:sz w:val="24"/>
          <w:szCs w:val="24"/>
        </w:rPr>
      </w:pPr>
    </w:p>
  </w:endnote>
  <w:endnote w:id="36">
    <w:p w:rsidR="00E10AD7" w:rsidRPr="00DB3701" w:rsidRDefault="00E10AD7" w:rsidP="003747DD">
      <w:pPr>
        <w:pStyle w:val="EndnoteText"/>
        <w:rPr>
          <w:sz w:val="24"/>
          <w:szCs w:val="24"/>
        </w:rPr>
      </w:pPr>
      <w:r w:rsidRPr="00DB3701">
        <w:rPr>
          <w:rStyle w:val="EndnoteReference"/>
          <w:sz w:val="24"/>
          <w:szCs w:val="24"/>
        </w:rPr>
        <w:endnoteRef/>
      </w:r>
      <w:r w:rsidRPr="00DB3701">
        <w:rPr>
          <w:sz w:val="24"/>
          <w:szCs w:val="24"/>
        </w:rPr>
        <w:t xml:space="preserve">  Johan Elverskog, </w:t>
      </w:r>
      <w:r w:rsidRPr="00DB3701">
        <w:rPr>
          <w:i/>
          <w:sz w:val="24"/>
          <w:szCs w:val="24"/>
        </w:rPr>
        <w:t xml:space="preserve">Buddhism and Islam on the Silk Road </w:t>
      </w:r>
      <w:r w:rsidRPr="00DB3701">
        <w:rPr>
          <w:sz w:val="24"/>
          <w:szCs w:val="24"/>
        </w:rPr>
        <w:t>(Philadelphia and Oxford: University of Pennsylvania Press, 2010).</w:t>
      </w:r>
    </w:p>
    <w:p w:rsidR="00E10AD7" w:rsidRPr="00AF08EF" w:rsidRDefault="00E10AD7" w:rsidP="003747DD">
      <w:pPr>
        <w:pStyle w:val="EndnoteText"/>
        <w:rPr>
          <w:sz w:val="24"/>
          <w:szCs w:val="24"/>
        </w:rPr>
      </w:pP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9023"/>
      <w:docPartObj>
        <w:docPartGallery w:val="Page Numbers (Bottom of Page)"/>
        <w:docPartUnique/>
      </w:docPartObj>
    </w:sdtPr>
    <w:sdtContent>
      <w:p w:rsidR="00E10AD7" w:rsidRDefault="00CA2A0D">
        <w:pPr>
          <w:pStyle w:val="Footer"/>
          <w:jc w:val="center"/>
        </w:pPr>
        <w:fldSimple w:instr=" PAGE   \* MERGEFORMAT ">
          <w:r w:rsidR="00FD003F">
            <w:rPr>
              <w:noProof/>
            </w:rPr>
            <w:t>16</w:t>
          </w:r>
        </w:fldSimple>
      </w:p>
    </w:sdtContent>
  </w:sdt>
  <w:p w:rsidR="00E10AD7" w:rsidRDefault="00E10A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0AD7" w:rsidRDefault="00E10AD7" w:rsidP="00FB4204">
      <w:r>
        <w:separator/>
      </w:r>
    </w:p>
  </w:footnote>
  <w:footnote w:type="continuationSeparator" w:id="0">
    <w:p w:rsidR="00E10AD7" w:rsidRDefault="00E10AD7" w:rsidP="00FB42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AD7" w:rsidRDefault="00E10AD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numFmt w:val="decimal"/>
    <w:endnote w:id="-1"/>
    <w:endnote w:id="0"/>
  </w:endnotePr>
  <w:compat>
    <w:useFELayout/>
  </w:compat>
  <w:rsids>
    <w:rsidRoot w:val="00FB4204"/>
    <w:rsid w:val="000039D9"/>
    <w:rsid w:val="000404AB"/>
    <w:rsid w:val="00087E02"/>
    <w:rsid w:val="000E2F24"/>
    <w:rsid w:val="00151873"/>
    <w:rsid w:val="00161B43"/>
    <w:rsid w:val="00183561"/>
    <w:rsid w:val="001B70CF"/>
    <w:rsid w:val="001F19AE"/>
    <w:rsid w:val="00237577"/>
    <w:rsid w:val="002A44D6"/>
    <w:rsid w:val="002D09D1"/>
    <w:rsid w:val="002F69C5"/>
    <w:rsid w:val="00371CA4"/>
    <w:rsid w:val="003747DD"/>
    <w:rsid w:val="00401A8F"/>
    <w:rsid w:val="004100B4"/>
    <w:rsid w:val="004215C9"/>
    <w:rsid w:val="00475AFC"/>
    <w:rsid w:val="004B6A1C"/>
    <w:rsid w:val="0053086C"/>
    <w:rsid w:val="0053648B"/>
    <w:rsid w:val="00550D7D"/>
    <w:rsid w:val="005D6FC3"/>
    <w:rsid w:val="00613C5F"/>
    <w:rsid w:val="00674918"/>
    <w:rsid w:val="00697830"/>
    <w:rsid w:val="006A5F8C"/>
    <w:rsid w:val="006D010C"/>
    <w:rsid w:val="006E3766"/>
    <w:rsid w:val="006F015F"/>
    <w:rsid w:val="0074799E"/>
    <w:rsid w:val="007628C6"/>
    <w:rsid w:val="007936F8"/>
    <w:rsid w:val="007A6598"/>
    <w:rsid w:val="00804248"/>
    <w:rsid w:val="0087173F"/>
    <w:rsid w:val="0089546B"/>
    <w:rsid w:val="008A1AD1"/>
    <w:rsid w:val="009230DB"/>
    <w:rsid w:val="0094029D"/>
    <w:rsid w:val="00946810"/>
    <w:rsid w:val="00A351B1"/>
    <w:rsid w:val="00A40E2F"/>
    <w:rsid w:val="00A504B0"/>
    <w:rsid w:val="00AF08EF"/>
    <w:rsid w:val="00AF37E4"/>
    <w:rsid w:val="00AF60AB"/>
    <w:rsid w:val="00B13695"/>
    <w:rsid w:val="00B40C2D"/>
    <w:rsid w:val="00B555A0"/>
    <w:rsid w:val="00B77ECB"/>
    <w:rsid w:val="00BA69E5"/>
    <w:rsid w:val="00BE6F04"/>
    <w:rsid w:val="00C01696"/>
    <w:rsid w:val="00C01D7F"/>
    <w:rsid w:val="00C22F47"/>
    <w:rsid w:val="00C57006"/>
    <w:rsid w:val="00C65B5A"/>
    <w:rsid w:val="00C67581"/>
    <w:rsid w:val="00CA2A0D"/>
    <w:rsid w:val="00CB4C1D"/>
    <w:rsid w:val="00CD7A4C"/>
    <w:rsid w:val="00CE6720"/>
    <w:rsid w:val="00CF7420"/>
    <w:rsid w:val="00D32DEA"/>
    <w:rsid w:val="00D44B5B"/>
    <w:rsid w:val="00D54BFA"/>
    <w:rsid w:val="00D64245"/>
    <w:rsid w:val="00D72245"/>
    <w:rsid w:val="00D84CF9"/>
    <w:rsid w:val="00D94943"/>
    <w:rsid w:val="00DA2B32"/>
    <w:rsid w:val="00DB3701"/>
    <w:rsid w:val="00DF557D"/>
    <w:rsid w:val="00E054DD"/>
    <w:rsid w:val="00E10AD7"/>
    <w:rsid w:val="00E36164"/>
    <w:rsid w:val="00E40F28"/>
    <w:rsid w:val="00E6034F"/>
    <w:rsid w:val="00E86CAF"/>
    <w:rsid w:val="00E95C2E"/>
    <w:rsid w:val="00EA1F2A"/>
    <w:rsid w:val="00EC1450"/>
    <w:rsid w:val="00EF083E"/>
    <w:rsid w:val="00F441D2"/>
    <w:rsid w:val="00F5217F"/>
    <w:rsid w:val="00F54C08"/>
    <w:rsid w:val="00F6277A"/>
    <w:rsid w:val="00F63C0F"/>
    <w:rsid w:val="00F6455E"/>
    <w:rsid w:val="00FA44F8"/>
    <w:rsid w:val="00FB4204"/>
    <w:rsid w:val="00FD003F"/>
    <w:rsid w:val="00FE18B0"/>
  </w:rsids>
  <m:mathPr>
    <m:mathFont m:val="Cambria Math"/>
    <m:brkBin m:val="before"/>
    <m:brkBinSub m:val="--"/>
    <m:smallFrac m:val="off"/>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4DD"/>
    <w:rPr>
      <w:rFonts w:ascii="Times New Roman" w:hAnsi="Times New Roman" w:cs="Times New Roman"/>
      <w:sz w:val="24"/>
      <w:szCs w:val="24"/>
    </w:rPr>
  </w:style>
  <w:style w:type="paragraph" w:styleId="Heading1">
    <w:name w:val="heading 1"/>
    <w:basedOn w:val="Normal"/>
    <w:link w:val="Heading1Char"/>
    <w:uiPriority w:val="9"/>
    <w:qFormat/>
    <w:rsid w:val="00AF60AB"/>
    <w:pPr>
      <w:spacing w:before="100" w:beforeAutospacing="1" w:after="100" w:afterAutospacing="1"/>
      <w:outlineLvl w:val="0"/>
    </w:pPr>
    <w:rPr>
      <w:rFonts w:eastAsia="Times New Roman"/>
      <w:b/>
      <w:bCs/>
      <w:kern w:val="36"/>
      <w:sz w:val="48"/>
      <w:szCs w:val="48"/>
    </w:rPr>
  </w:style>
  <w:style w:type="paragraph" w:styleId="Heading2">
    <w:name w:val="heading 2"/>
    <w:basedOn w:val="Normal"/>
    <w:link w:val="Heading2Char"/>
    <w:uiPriority w:val="9"/>
    <w:qFormat/>
    <w:rsid w:val="00AF60AB"/>
    <w:pPr>
      <w:spacing w:before="100" w:beforeAutospacing="1" w:after="100" w:afterAutospacing="1"/>
      <w:outlineLvl w:val="1"/>
    </w:pPr>
    <w:rPr>
      <w:rFonts w:eastAsia="Times New Roman"/>
      <w:b/>
      <w:bCs/>
      <w:sz w:val="36"/>
      <w:szCs w:val="36"/>
    </w:rPr>
  </w:style>
  <w:style w:type="paragraph" w:styleId="Heading3">
    <w:name w:val="heading 3"/>
    <w:basedOn w:val="Normal"/>
    <w:link w:val="Heading3Char"/>
    <w:uiPriority w:val="9"/>
    <w:qFormat/>
    <w:rsid w:val="00AF60AB"/>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4204"/>
    <w:pPr>
      <w:tabs>
        <w:tab w:val="center" w:pos="4513"/>
        <w:tab w:val="right" w:pos="9026"/>
      </w:tabs>
    </w:pPr>
  </w:style>
  <w:style w:type="character" w:customStyle="1" w:styleId="HeaderChar">
    <w:name w:val="Header Char"/>
    <w:basedOn w:val="DefaultParagraphFont"/>
    <w:link w:val="Header"/>
    <w:uiPriority w:val="99"/>
    <w:rsid w:val="00FB4204"/>
    <w:rPr>
      <w:rFonts w:ascii="Times New Roman" w:hAnsi="Times New Roman" w:cs="Times New Roman"/>
      <w:sz w:val="24"/>
      <w:szCs w:val="24"/>
    </w:rPr>
  </w:style>
  <w:style w:type="paragraph" w:styleId="Footer">
    <w:name w:val="footer"/>
    <w:basedOn w:val="Normal"/>
    <w:link w:val="FooterChar"/>
    <w:uiPriority w:val="99"/>
    <w:unhideWhenUsed/>
    <w:rsid w:val="00FB4204"/>
    <w:pPr>
      <w:tabs>
        <w:tab w:val="center" w:pos="4513"/>
        <w:tab w:val="right" w:pos="9026"/>
      </w:tabs>
    </w:pPr>
  </w:style>
  <w:style w:type="character" w:customStyle="1" w:styleId="FooterChar">
    <w:name w:val="Footer Char"/>
    <w:basedOn w:val="DefaultParagraphFont"/>
    <w:link w:val="Footer"/>
    <w:uiPriority w:val="99"/>
    <w:rsid w:val="00FB4204"/>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FB4204"/>
    <w:rPr>
      <w:rFonts w:ascii="Tahoma" w:hAnsi="Tahoma" w:cs="Tahoma"/>
      <w:sz w:val="16"/>
      <w:szCs w:val="16"/>
    </w:rPr>
  </w:style>
  <w:style w:type="character" w:customStyle="1" w:styleId="BalloonTextChar">
    <w:name w:val="Balloon Text Char"/>
    <w:basedOn w:val="DefaultParagraphFont"/>
    <w:link w:val="BalloonText"/>
    <w:uiPriority w:val="99"/>
    <w:semiHidden/>
    <w:rsid w:val="00FB4204"/>
    <w:rPr>
      <w:rFonts w:ascii="Tahoma" w:hAnsi="Tahoma" w:cs="Tahoma"/>
      <w:sz w:val="16"/>
      <w:szCs w:val="16"/>
    </w:rPr>
  </w:style>
  <w:style w:type="paragraph" w:styleId="EndnoteText">
    <w:name w:val="endnote text"/>
    <w:basedOn w:val="Normal"/>
    <w:link w:val="EndnoteTextChar"/>
    <w:uiPriority w:val="99"/>
    <w:semiHidden/>
    <w:unhideWhenUsed/>
    <w:rsid w:val="0094029D"/>
    <w:rPr>
      <w:sz w:val="20"/>
      <w:szCs w:val="20"/>
    </w:rPr>
  </w:style>
  <w:style w:type="character" w:customStyle="1" w:styleId="EndnoteTextChar">
    <w:name w:val="Endnote Text Char"/>
    <w:basedOn w:val="DefaultParagraphFont"/>
    <w:link w:val="EndnoteText"/>
    <w:uiPriority w:val="99"/>
    <w:semiHidden/>
    <w:rsid w:val="0094029D"/>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94029D"/>
    <w:rPr>
      <w:vertAlign w:val="superscript"/>
    </w:rPr>
  </w:style>
  <w:style w:type="character" w:styleId="Hyperlink">
    <w:name w:val="Hyperlink"/>
    <w:basedOn w:val="DefaultParagraphFont"/>
    <w:uiPriority w:val="99"/>
    <w:unhideWhenUsed/>
    <w:rsid w:val="00237577"/>
    <w:rPr>
      <w:color w:val="0000FF" w:themeColor="hyperlink"/>
      <w:u w:val="single"/>
    </w:rPr>
  </w:style>
  <w:style w:type="character" w:customStyle="1" w:styleId="st">
    <w:name w:val="st"/>
    <w:basedOn w:val="DefaultParagraphFont"/>
    <w:rsid w:val="000039D9"/>
  </w:style>
  <w:style w:type="character" w:customStyle="1" w:styleId="Heading1Char">
    <w:name w:val="Heading 1 Char"/>
    <w:basedOn w:val="DefaultParagraphFont"/>
    <w:link w:val="Heading1"/>
    <w:uiPriority w:val="9"/>
    <w:rsid w:val="00AF60A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F60A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F60AB"/>
    <w:rPr>
      <w:rFonts w:ascii="Times New Roman" w:eastAsia="Times New Roman" w:hAnsi="Times New Roman" w:cs="Times New Roman"/>
      <w:b/>
      <w:bCs/>
      <w:sz w:val="27"/>
      <w:szCs w:val="27"/>
    </w:rPr>
  </w:style>
  <w:style w:type="character" w:customStyle="1" w:styleId="searchword1">
    <w:name w:val="searchword1"/>
    <w:basedOn w:val="DefaultParagraphFont"/>
    <w:rsid w:val="00AF60AB"/>
    <w:rPr>
      <w:shd w:val="clear" w:color="auto" w:fill="FFFBC3"/>
    </w:rPr>
  </w:style>
  <w:style w:type="character" w:styleId="CommentReference">
    <w:name w:val="annotation reference"/>
    <w:basedOn w:val="DefaultParagraphFont"/>
    <w:uiPriority w:val="99"/>
    <w:semiHidden/>
    <w:unhideWhenUsed/>
    <w:rsid w:val="00E10AD7"/>
    <w:rPr>
      <w:sz w:val="16"/>
      <w:szCs w:val="16"/>
    </w:rPr>
  </w:style>
  <w:style w:type="paragraph" w:styleId="CommentText">
    <w:name w:val="annotation text"/>
    <w:basedOn w:val="Normal"/>
    <w:link w:val="CommentTextChar"/>
    <w:uiPriority w:val="99"/>
    <w:semiHidden/>
    <w:unhideWhenUsed/>
    <w:rsid w:val="00E10AD7"/>
    <w:rPr>
      <w:sz w:val="20"/>
      <w:szCs w:val="20"/>
    </w:rPr>
  </w:style>
  <w:style w:type="character" w:customStyle="1" w:styleId="CommentTextChar">
    <w:name w:val="Comment Text Char"/>
    <w:basedOn w:val="DefaultParagraphFont"/>
    <w:link w:val="CommentText"/>
    <w:uiPriority w:val="99"/>
    <w:semiHidden/>
    <w:rsid w:val="00E10AD7"/>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10AD7"/>
    <w:rPr>
      <w:b/>
      <w:bCs/>
    </w:rPr>
  </w:style>
  <w:style w:type="character" w:customStyle="1" w:styleId="CommentSubjectChar">
    <w:name w:val="Comment Subject Char"/>
    <w:basedOn w:val="CommentTextChar"/>
    <w:link w:val="CommentSubject"/>
    <w:uiPriority w:val="99"/>
    <w:semiHidden/>
    <w:rsid w:val="00E10AD7"/>
    <w:rPr>
      <w:b/>
      <w:bCs/>
    </w:rPr>
  </w:style>
</w:styles>
</file>

<file path=word/webSettings.xml><?xml version="1.0" encoding="utf-8"?>
<w:webSettings xmlns:r="http://schemas.openxmlformats.org/officeDocument/2006/relationships" xmlns:w="http://schemas.openxmlformats.org/wordprocessingml/2006/main">
  <w:divs>
    <w:div w:id="292755471">
      <w:bodyDiv w:val="1"/>
      <w:marLeft w:val="0"/>
      <w:marRight w:val="0"/>
      <w:marTop w:val="0"/>
      <w:marBottom w:val="0"/>
      <w:divBdr>
        <w:top w:val="none" w:sz="0" w:space="0" w:color="auto"/>
        <w:left w:val="none" w:sz="0" w:space="0" w:color="auto"/>
        <w:bottom w:val="none" w:sz="0" w:space="0" w:color="auto"/>
        <w:right w:val="none" w:sz="0" w:space="0" w:color="auto"/>
      </w:divBdr>
      <w:divsChild>
        <w:div w:id="949238965">
          <w:marLeft w:val="0"/>
          <w:marRight w:val="0"/>
          <w:marTop w:val="0"/>
          <w:marBottom w:val="0"/>
          <w:divBdr>
            <w:top w:val="none" w:sz="0" w:space="0" w:color="auto"/>
            <w:left w:val="none" w:sz="0" w:space="0" w:color="auto"/>
            <w:bottom w:val="none" w:sz="0" w:space="0" w:color="auto"/>
            <w:right w:val="none" w:sz="0" w:space="0" w:color="auto"/>
          </w:divBdr>
          <w:divsChild>
            <w:div w:id="1144350145">
              <w:marLeft w:val="0"/>
              <w:marRight w:val="0"/>
              <w:marTop w:val="0"/>
              <w:marBottom w:val="0"/>
              <w:divBdr>
                <w:top w:val="none" w:sz="0" w:space="0" w:color="auto"/>
                <w:left w:val="none" w:sz="0" w:space="0" w:color="auto"/>
                <w:bottom w:val="none" w:sz="0" w:space="0" w:color="auto"/>
                <w:right w:val="none" w:sz="0" w:space="0" w:color="auto"/>
              </w:divBdr>
              <w:divsChild>
                <w:div w:id="779909877">
                  <w:marLeft w:val="0"/>
                  <w:marRight w:val="0"/>
                  <w:marTop w:val="0"/>
                  <w:marBottom w:val="0"/>
                  <w:divBdr>
                    <w:top w:val="none" w:sz="0" w:space="0" w:color="auto"/>
                    <w:left w:val="none" w:sz="0" w:space="0" w:color="auto"/>
                    <w:bottom w:val="none" w:sz="0" w:space="0" w:color="auto"/>
                    <w:right w:val="none" w:sz="0" w:space="0" w:color="auto"/>
                  </w:divBdr>
                  <w:divsChild>
                    <w:div w:id="1874880684">
                      <w:marLeft w:val="0"/>
                      <w:marRight w:val="0"/>
                      <w:marTop w:val="0"/>
                      <w:marBottom w:val="0"/>
                      <w:divBdr>
                        <w:top w:val="none" w:sz="0" w:space="0" w:color="auto"/>
                        <w:left w:val="none" w:sz="0" w:space="0" w:color="auto"/>
                        <w:bottom w:val="none" w:sz="0" w:space="0" w:color="auto"/>
                        <w:right w:val="none" w:sz="0" w:space="0" w:color="auto"/>
                      </w:divBdr>
                      <w:divsChild>
                        <w:div w:id="1149441128">
                          <w:marLeft w:val="0"/>
                          <w:marRight w:val="0"/>
                          <w:marTop w:val="0"/>
                          <w:marBottom w:val="0"/>
                          <w:divBdr>
                            <w:top w:val="none" w:sz="0" w:space="0" w:color="auto"/>
                            <w:left w:val="none" w:sz="0" w:space="0" w:color="auto"/>
                            <w:bottom w:val="none" w:sz="0" w:space="0" w:color="auto"/>
                            <w:right w:val="none" w:sz="0" w:space="0" w:color="auto"/>
                          </w:divBdr>
                          <w:divsChild>
                            <w:div w:id="1382174243">
                              <w:marLeft w:val="0"/>
                              <w:marRight w:val="0"/>
                              <w:marTop w:val="0"/>
                              <w:marBottom w:val="0"/>
                              <w:divBdr>
                                <w:top w:val="none" w:sz="0" w:space="0" w:color="auto"/>
                                <w:left w:val="none" w:sz="0" w:space="0" w:color="auto"/>
                                <w:bottom w:val="none" w:sz="0" w:space="0" w:color="auto"/>
                                <w:right w:val="none" w:sz="0" w:space="0" w:color="auto"/>
                              </w:divBdr>
                              <w:divsChild>
                                <w:div w:id="79275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seldenmap.bodleian.ox.ac.uk/" TargetMode="External"/><Relationship Id="rId1" Type="http://schemas.openxmlformats.org/officeDocument/2006/relationships/hyperlink" Target="http://history-in-china.net/2015/05/21/putting-things-in-context-a-contribution-to-the-nqh-debate-by-professor-mark-c-elliot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5E9C29-E371-4A1A-A964-32287F7E5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17</Pages>
  <Words>4185</Words>
  <Characters>23860</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clunas</dc:creator>
  <cp:lastModifiedBy>clunas</cp:lastModifiedBy>
  <cp:revision>8</cp:revision>
  <cp:lastPrinted>2015-09-24T08:26:00Z</cp:lastPrinted>
  <dcterms:created xsi:type="dcterms:W3CDTF">2015-09-21T16:31:00Z</dcterms:created>
  <dcterms:modified xsi:type="dcterms:W3CDTF">2015-10-02T14:36:00Z</dcterms:modified>
</cp:coreProperties>
</file>