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59B3" w14:textId="5EE03D4D" w:rsidR="00464403" w:rsidRPr="00F61F5D" w:rsidRDefault="00285E3F">
      <w:pPr>
        <w:rPr>
          <w:b/>
          <w:bCs/>
          <w:u w:val="single"/>
        </w:rPr>
      </w:pPr>
      <w:r w:rsidRPr="00F61F5D">
        <w:rPr>
          <w:b/>
          <w:bCs/>
          <w:u w:val="single"/>
        </w:rPr>
        <w:t xml:space="preserve">Supplement 1: </w:t>
      </w:r>
      <w:r w:rsidR="000A722B" w:rsidRPr="00F61F5D">
        <w:rPr>
          <w:b/>
          <w:bCs/>
          <w:u w:val="single"/>
        </w:rPr>
        <w:t>SCCS assumption</w:t>
      </w:r>
    </w:p>
    <w:p w14:paraId="61FF1CEA" w14:textId="529E5B38" w:rsidR="000A722B" w:rsidRPr="00F61F5D" w:rsidRDefault="00DC0A2D">
      <w:r w:rsidRPr="00F61F5D">
        <w:t xml:space="preserve">There are 4 assumptions of the </w:t>
      </w:r>
      <w:r w:rsidR="000A722B" w:rsidRPr="00F61F5D">
        <w:t>SCCS</w:t>
      </w:r>
      <w:r w:rsidRPr="00F61F5D">
        <w:t>:</w:t>
      </w:r>
      <w:r w:rsidR="000A722B" w:rsidRPr="00F61F5D">
        <w:t xml:space="preserve"> 1) </w:t>
      </w:r>
      <w:r w:rsidRPr="00F61F5D">
        <w:t xml:space="preserve">the </w:t>
      </w:r>
      <w:r w:rsidR="000A722B" w:rsidRPr="00F61F5D">
        <w:t xml:space="preserve">event </w:t>
      </w:r>
      <w:r w:rsidR="00443754" w:rsidRPr="00F61F5D">
        <w:t xml:space="preserve">does not </w:t>
      </w:r>
      <w:r w:rsidR="000A722B" w:rsidRPr="00F61F5D">
        <w:t xml:space="preserve">temporally decreases/increases the probability of exposure; 2) event </w:t>
      </w:r>
      <w:r w:rsidR="00443754" w:rsidRPr="00F61F5D">
        <w:t>does not</w:t>
      </w:r>
      <w:r w:rsidRPr="00F61F5D">
        <w:t xml:space="preserve"> </w:t>
      </w:r>
      <w:r w:rsidR="000A722B" w:rsidRPr="00F61F5D">
        <w:t>increase</w:t>
      </w:r>
      <w:r w:rsidRPr="00F61F5D">
        <w:t xml:space="preserve"> the</w:t>
      </w:r>
      <w:r w:rsidR="000A722B" w:rsidRPr="00F61F5D">
        <w:t xml:space="preserve"> probability of death; 3)</w:t>
      </w:r>
      <w:r w:rsidRPr="00F61F5D">
        <w:t xml:space="preserve"> the</w:t>
      </w:r>
      <w:r w:rsidR="000A722B" w:rsidRPr="00F61F5D">
        <w:t xml:space="preserve"> recurrence of an event </w:t>
      </w:r>
      <w:r w:rsidRPr="00F61F5D">
        <w:t xml:space="preserve">is </w:t>
      </w:r>
      <w:r w:rsidR="000A722B" w:rsidRPr="00F61F5D">
        <w:t xml:space="preserve">independent; 4) </w:t>
      </w:r>
      <w:r w:rsidRPr="00F61F5D">
        <w:t xml:space="preserve">the event </w:t>
      </w:r>
      <w:r w:rsidR="00443754" w:rsidRPr="00F61F5D">
        <w:t>is not</w:t>
      </w:r>
      <w:r w:rsidRPr="00F61F5D">
        <w:t xml:space="preserve"> one whereby </w:t>
      </w:r>
      <w:r w:rsidR="000A722B" w:rsidRPr="00F61F5D">
        <w:t>no exposure can happen after the event</w:t>
      </w:r>
      <w:r w:rsidR="0050229C" w:rsidRPr="00F61F5D">
        <w:fldChar w:fldCharType="begin"/>
      </w:r>
      <w:r w:rsidR="0050229C" w:rsidRPr="00F61F5D">
        <w:instrText xml:space="preserve"> ADDIN EN.CITE &lt;EndNote&gt;&lt;Cite&gt;&lt;Author&gt;Petersen&lt;/Author&gt;&lt;Year&gt;2016&lt;/Year&gt;&lt;RecNum&gt;23&lt;/RecNum&gt;&lt;DisplayText&gt;&lt;style face="superscript"&gt;1&lt;/style&gt;&lt;/DisplayText&gt;&lt;record&gt;&lt;rec-number&gt;23&lt;/rec-number&gt;&lt;foreign-keys&gt;&lt;key app="EN" db-id="dzr5xv9zgd0r0nedt95x2efjfxpfxvxdw9ft" timestamp="1588251606"&gt;23&lt;/key&gt;&lt;/foreign-keys&gt;&lt;ref-type name="Journal Article"&gt;17&lt;/ref-type&gt;&lt;contributors&gt;&lt;authors&gt;&lt;author&gt;Petersen, Irene&lt;/author&gt;&lt;author&gt;Douglas, Ian&lt;/author&gt;&lt;author&gt;Whitaker, Heather&lt;/author&gt;&lt;/authors&gt;&lt;/contributors&gt;&lt;titles&gt;&lt;title&gt;Self controlled case series methods: an alternative to standard epidemiological study designs&lt;/title&gt;&lt;secondary-title&gt;BMJ&lt;/secondary-title&gt;&lt;/titles&gt;&lt;periodical&gt;&lt;full-title&gt;bmj&lt;/full-title&gt;&lt;/periodical&gt;&lt;pages&gt;i4515&lt;/pages&gt;&lt;volume&gt;354&lt;/volume&gt;&lt;dates&gt;&lt;year&gt;2016&lt;/year&gt;&lt;/dates&gt;&lt;urls&gt;&lt;related-urls&gt;&lt;url&gt;http://www.bmj.com/content/354/bmj.i4515.abstract&lt;/url&gt;&lt;/related-urls&gt;&lt;/urls&gt;&lt;electronic-resource-num&gt;10.1136/bmj.i4515&lt;/electronic-resource-num&gt;&lt;/record&gt;&lt;/Cite&gt;&lt;/EndNote&gt;</w:instrText>
      </w:r>
      <w:r w:rsidR="0050229C" w:rsidRPr="00F61F5D">
        <w:fldChar w:fldCharType="separate"/>
      </w:r>
      <w:r w:rsidR="0050229C" w:rsidRPr="00F61F5D">
        <w:rPr>
          <w:noProof/>
          <w:vertAlign w:val="superscript"/>
        </w:rPr>
        <w:t>1</w:t>
      </w:r>
      <w:r w:rsidR="0050229C" w:rsidRPr="00F61F5D">
        <w:fldChar w:fldCharType="end"/>
      </w:r>
      <w:r w:rsidR="000A722B" w:rsidRPr="00F61F5D">
        <w:t xml:space="preserve">. The first assumption was tested using a histogram in time between surgery and fracture and a comparison of IRR between the original model (with the 5-year post-operative as a time-at-risk window) and a model with a washout period of 8-week pre-exposed. The second assumption was tested by restricting to ‘alive’ cohort. The third assumption was </w:t>
      </w:r>
      <w:r w:rsidR="008810D0" w:rsidRPr="008810D0">
        <w:rPr>
          <w:highlight w:val="yellow"/>
        </w:rPr>
        <w:t>ensured to hold</w:t>
      </w:r>
      <w:r w:rsidR="000A722B" w:rsidRPr="00F61F5D">
        <w:t xml:space="preserve"> by restricting the first fracture. The final assumption was not tested as the end of observation period is not related to event in our study.</w:t>
      </w:r>
    </w:p>
    <w:p w14:paraId="475B3CB5" w14:textId="77777777" w:rsidR="000A722B" w:rsidRPr="00F61F5D" w:rsidRDefault="000A722B">
      <w:r w:rsidRPr="00F61F5D">
        <w:t>Results:</w:t>
      </w:r>
    </w:p>
    <w:p w14:paraId="1234CE23" w14:textId="0BF07D9A" w:rsidR="000A722B" w:rsidRPr="00F61F5D" w:rsidRDefault="000A722B">
      <w:r w:rsidRPr="00F61F5D">
        <w:t xml:space="preserve">A uniform distribution (supplementary Figure 1) in the time between surgery and fracture suggested no association between surgery date and fracture. In addition, the 8-week pre-exposed time appeared to have non-significant risk of </w:t>
      </w:r>
      <w:r w:rsidR="00BF2FBF" w:rsidRPr="00F61F5D">
        <w:t>developing any fracture in 5-year following surgery, with an IRR of 0.76 (95% CI: 0.38, 1.52) and the relative risk of any fracture in the 5 years after surgery</w:t>
      </w:r>
      <w:r w:rsidR="00830C6B" w:rsidRPr="00F61F5D">
        <w:t xml:space="preserve"> when the 8 week pre-exposed</w:t>
      </w:r>
      <w:r w:rsidR="00BF2FBF" w:rsidRPr="00F61F5D">
        <w:t xml:space="preserve"> </w:t>
      </w:r>
      <w:r w:rsidR="00846F4F" w:rsidRPr="00F61F5D">
        <w:t xml:space="preserve">time is removed from baseline was </w:t>
      </w:r>
      <w:r w:rsidR="00BF2FBF" w:rsidRPr="00F61F5D">
        <w:t>1.14 (0.78, 1.50)</w:t>
      </w:r>
      <w:r w:rsidR="00846F4F" w:rsidRPr="00F61F5D">
        <w:t>;</w:t>
      </w:r>
      <w:r w:rsidR="00BF2FBF" w:rsidRPr="00F61F5D">
        <w:t xml:space="preserve"> similar to that found in the original model, 1.17 (0.86, 1.60). These indicated that occurrence of an event of any fracture did not affect subsequent exposure. </w:t>
      </w:r>
    </w:p>
    <w:p w14:paraId="0ED4DB27" w14:textId="77777777" w:rsidR="00BF2FBF" w:rsidRPr="00F61F5D" w:rsidRDefault="00BF2FBF">
      <w:r w:rsidRPr="00F61F5D">
        <w:t xml:space="preserve">6% of patients undergoing bariatric surgeries died in the 5-year following bariatric surgeries. The “alive” cohort had similar IRR of 1.20 (0.83, 1.74) to the original IRR, 1.17 (0.86, 1.60) for developing any fracture in 5 years after surgeries, implying no association between fracture and early departure from the study. </w:t>
      </w:r>
    </w:p>
    <w:p w14:paraId="16E810C2" w14:textId="316C72B9" w:rsidR="00BF2FBF" w:rsidRPr="00F61F5D" w:rsidRDefault="00BF2FBF">
      <w:r w:rsidRPr="00F61F5D">
        <w:t xml:space="preserve">Few people had multiple fractures. The ‘first fracture’ cohort yielded an IRR of 1.10 (0.76, 1.61) when compared to that in the original model, suggesting that events were independently recurrent. </w:t>
      </w:r>
      <w:r w:rsidR="00DC0A2D" w:rsidRPr="00F61F5D">
        <w:t>This is likely due to the small number of patients fracturing and the relatively young age of patients, mean age 40.7.</w:t>
      </w:r>
    </w:p>
    <w:p w14:paraId="6E6AAD66" w14:textId="0870E5A1" w:rsidR="00D02C18" w:rsidRPr="00F61F5D" w:rsidRDefault="009E67DB">
      <w:r w:rsidRPr="00F61F5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AA18" wp14:editId="14809206">
                <wp:simplePos x="0" y="0"/>
                <wp:positionH relativeFrom="column">
                  <wp:posOffset>3076575</wp:posOffset>
                </wp:positionH>
                <wp:positionV relativeFrom="paragraph">
                  <wp:posOffset>114300</wp:posOffset>
                </wp:positionV>
                <wp:extent cx="0" cy="3504565"/>
                <wp:effectExtent l="0" t="0" r="38100" b="19685"/>
                <wp:wrapNone/>
                <wp:docPr id="7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D06DD9-B9A4-D04F-B544-46D3D7D3C5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5045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7DAEF" id="Straight Connector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9pt" to="242.25pt,2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" strokecolor="#5b9bd5 [3204]" strokeweight="1pt">
                <v:stroke joinstyle="miter"/>
                <o:lock v:ext="edit" shapetype="f"/>
              </v:line>
            </w:pict>
          </mc:Fallback>
        </mc:AlternateContent>
      </w:r>
      <w:r w:rsidRPr="009E67DB">
        <w:rPr>
          <w:noProof/>
        </w:rPr>
        <w:drawing>
          <wp:inline distT="0" distB="0" distL="0" distR="0" wp14:anchorId="75163618" wp14:editId="4BB7EDFD">
            <wp:extent cx="5731510" cy="41516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C18" w:rsidRPr="00F61F5D">
        <w:t>Supplementary figure 1</w:t>
      </w:r>
      <w:r w:rsidR="0050229C" w:rsidRPr="00F61F5D">
        <w:t>: histogram of difference in years between surgery and any fracture.</w:t>
      </w:r>
    </w:p>
    <w:p w14:paraId="70E12AB6" w14:textId="38746C7D" w:rsidR="00D02C18" w:rsidRPr="00F61F5D" w:rsidRDefault="00D02C18"/>
    <w:p w14:paraId="6B89AFDB" w14:textId="1DE229F9" w:rsidR="00285E3F" w:rsidRPr="00F61F5D" w:rsidRDefault="00285E3F">
      <w:r w:rsidRPr="00F61F5D">
        <w:br w:type="page"/>
      </w:r>
    </w:p>
    <w:p w14:paraId="79C771AB" w14:textId="77777777" w:rsidR="0050229C" w:rsidRPr="00F61F5D" w:rsidRDefault="005022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1F5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Reference:</w:t>
      </w:r>
    </w:p>
    <w:p w14:paraId="328D4E03" w14:textId="77777777" w:rsidR="0050229C" w:rsidRPr="00F61F5D" w:rsidRDefault="0050229C" w:rsidP="0050229C">
      <w:pPr>
        <w:pStyle w:val="EndNoteBibliography"/>
        <w:ind w:left="720" w:hanging="720"/>
      </w:pPr>
      <w:r w:rsidRPr="00F61F5D">
        <w:fldChar w:fldCharType="begin"/>
      </w:r>
      <w:r w:rsidRPr="00F61F5D">
        <w:instrText xml:space="preserve"> ADDIN EN.REFLIST </w:instrText>
      </w:r>
      <w:r w:rsidRPr="00F61F5D">
        <w:fldChar w:fldCharType="separate"/>
      </w:r>
      <w:r w:rsidRPr="00F61F5D">
        <w:t xml:space="preserve">1. Petersen I, Douglas I, Whitaker H. Self controlled case series methods: an alternative to standard epidemiological study designs. </w:t>
      </w:r>
      <w:r w:rsidRPr="00F61F5D">
        <w:rPr>
          <w:i/>
        </w:rPr>
        <w:t>BMJ</w:t>
      </w:r>
      <w:r w:rsidRPr="00F61F5D">
        <w:t xml:space="preserve"> 2016;354:i4515. doi: 10.1136/bmj.i4515</w:t>
      </w:r>
    </w:p>
    <w:p w14:paraId="21D77654" w14:textId="71F698BC" w:rsidR="0050229C" w:rsidRPr="00F61F5D" w:rsidRDefault="0050229C" w:rsidP="005022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1F5D">
        <w:fldChar w:fldCharType="end"/>
      </w:r>
      <w:r w:rsidRPr="00F61F5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22492B" w14:textId="4A68642A" w:rsidR="00285E3F" w:rsidRPr="00F61F5D" w:rsidRDefault="00285E3F" w:rsidP="00285E3F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F61F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</w:t>
      </w:r>
      <w:r w:rsidR="0050229C" w:rsidRPr="00F61F5D">
        <w:rPr>
          <w:rFonts w:ascii="Times New Roman" w:hAnsi="Times New Roman" w:cs="Times New Roman"/>
          <w:b/>
          <w:bCs/>
          <w:sz w:val="24"/>
          <w:szCs w:val="24"/>
        </w:rPr>
        <w:t xml:space="preserve">2: </w:t>
      </w:r>
      <w:r w:rsidR="006628A5" w:rsidRPr="00F61F5D">
        <w:rPr>
          <w:rFonts w:ascii="Times New Roman" w:hAnsi="Times New Roman" w:cs="Times New Roman"/>
          <w:sz w:val="24"/>
          <w:szCs w:val="24"/>
        </w:rPr>
        <w:t xml:space="preserve">Candidate predictors for the risk prediction models and how each candidate predictor is defined </w:t>
      </w:r>
      <w:r w:rsidR="0057384F" w:rsidRPr="00F61F5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PlainTable4"/>
        <w:tblW w:w="5000" w:type="pct"/>
        <w:jc w:val="center"/>
        <w:tblLook w:val="04A0" w:firstRow="1" w:lastRow="0" w:firstColumn="1" w:lastColumn="0" w:noHBand="0" w:noVBand="1"/>
      </w:tblPr>
      <w:tblGrid>
        <w:gridCol w:w="1977"/>
        <w:gridCol w:w="1911"/>
        <w:gridCol w:w="1058"/>
        <w:gridCol w:w="1094"/>
        <w:gridCol w:w="2986"/>
      </w:tblGrid>
      <w:tr w:rsidR="00F61F5D" w:rsidRPr="00F61F5D" w14:paraId="051C5016" w14:textId="77777777" w:rsidTr="00573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C5DC41A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Covariate name</w:t>
            </w:r>
          </w:p>
        </w:tc>
        <w:tc>
          <w:tcPr>
            <w:tcW w:w="1044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438D445" w14:textId="77777777" w:rsidR="0057384F" w:rsidRPr="00F61F5D" w:rsidRDefault="0057384F" w:rsidP="009A75B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Combined variables</w:t>
            </w:r>
          </w:p>
        </w:tc>
        <w:tc>
          <w:tcPr>
            <w:tcW w:w="586" w:type="pct"/>
            <w:tcBorders>
              <w:bottom w:val="double" w:sz="4" w:space="0" w:color="auto"/>
              <w:right w:val="single" w:sz="4" w:space="0" w:color="auto"/>
            </w:tcBorders>
          </w:tcPr>
          <w:p w14:paraId="44A01698" w14:textId="275AAE59" w:rsidR="0057384F" w:rsidRPr="00F61F5D" w:rsidRDefault="0057384F" w:rsidP="009A75B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Contiuous measure</w:t>
            </w:r>
          </w:p>
        </w:tc>
        <w:tc>
          <w:tcPr>
            <w:tcW w:w="721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333FEBC" w14:textId="40562A43" w:rsidR="0057384F" w:rsidRPr="00F61F5D" w:rsidRDefault="0057384F" w:rsidP="009A75B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 xml:space="preserve">Categories </w:t>
            </w:r>
          </w:p>
        </w:tc>
        <w:tc>
          <w:tcPr>
            <w:tcW w:w="1855" w:type="pct"/>
            <w:tcBorders>
              <w:bottom w:val="double" w:sz="4" w:space="0" w:color="auto"/>
            </w:tcBorders>
            <w:vAlign w:val="center"/>
          </w:tcPr>
          <w:p w14:paraId="4CC03775" w14:textId="77777777" w:rsidR="0057384F" w:rsidRPr="00F61F5D" w:rsidRDefault="0057384F" w:rsidP="009A75B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Combined categories</w:t>
            </w:r>
          </w:p>
        </w:tc>
      </w:tr>
      <w:tr w:rsidR="00F61F5D" w:rsidRPr="00F61F5D" w14:paraId="52FC8CAF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BBFC" w14:textId="2B7A7669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081" w14:textId="7222F68A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BC" w14:textId="3A084CD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Per 5 years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D9C86" w14:textId="11737A8B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A9D97" w14:textId="1630E703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61F5D" w:rsidRPr="00F61F5D" w14:paraId="25CE4D7F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1C7" w14:textId="73D7142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2CE" w14:textId="5B758185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590" w14:textId="1C5A11E8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C98FB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Male</w:t>
            </w:r>
          </w:p>
          <w:p w14:paraId="33C49F27" w14:textId="18A2C158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A6CD8" w14:textId="466DC101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61F5D" w:rsidRPr="00F61F5D" w14:paraId="4043DFB7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96F1" w14:textId="5D02EA9C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BMI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7D2F" w14:textId="39EEB22B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BMI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18D" w14:textId="1BA59A7E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Log(BMI) per unit increase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9104" w14:textId="3B2482AE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3BA4" w14:textId="381EC37C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61F5D" w:rsidRPr="00F61F5D" w14:paraId="3CCECA80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0188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9851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F80" w14:textId="6D1B20A0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C5A6D" w14:textId="1F55C2CC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White</w:t>
            </w:r>
            <w:r w:rsidRPr="00F61F5D">
              <w:rPr>
                <w:rFonts w:cstheme="minorHAnsi"/>
                <w:sz w:val="20"/>
                <w:szCs w:val="20"/>
              </w:rPr>
              <w:br/>
              <w:t>Not white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6033B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White</w:t>
            </w:r>
          </w:p>
          <w:p w14:paraId="2846BD09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Black, Asian, Chinese, Mixed, Other</w:t>
            </w:r>
          </w:p>
        </w:tc>
      </w:tr>
      <w:tr w:rsidR="00F61F5D" w:rsidRPr="00F61F5D" w14:paraId="0306C5E0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E3C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Region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68D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Region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29B" w14:textId="7B922764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3C87F" w14:textId="4FD6B90D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South</w:t>
            </w:r>
          </w:p>
          <w:p w14:paraId="1B9F91D9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AADFE9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London</w:t>
            </w:r>
          </w:p>
          <w:p w14:paraId="5D5CE2AE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East</w:t>
            </w:r>
          </w:p>
          <w:p w14:paraId="4F7122C6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24FDF8B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West</w:t>
            </w:r>
          </w:p>
          <w:p w14:paraId="0D3FBAA1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Scotland</w:t>
            </w:r>
          </w:p>
          <w:p w14:paraId="60E771E0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Wales</w:t>
            </w:r>
          </w:p>
          <w:p w14:paraId="2A0891D7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N. Ireland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FBB6D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South Central, South East coast, South West</w:t>
            </w:r>
          </w:p>
          <w:p w14:paraId="2D5601AA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London</w:t>
            </w:r>
          </w:p>
          <w:p w14:paraId="578AB205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East Midlands, East of England, North East, Yorkshire &amp; the Humber</w:t>
            </w:r>
          </w:p>
          <w:p w14:paraId="7EDC4CCB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North West, West Midlands</w:t>
            </w:r>
          </w:p>
          <w:p w14:paraId="647B05EC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Scotland</w:t>
            </w:r>
          </w:p>
          <w:p w14:paraId="5E9F2A70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Wales</w:t>
            </w:r>
          </w:p>
          <w:p w14:paraId="1B2C069F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Northern Ireland</w:t>
            </w:r>
          </w:p>
        </w:tc>
      </w:tr>
      <w:tr w:rsidR="00F61F5D" w:rsidRPr="00F61F5D" w14:paraId="1A72CA53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E248" w14:textId="14C7FB8A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Smoking status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E01" w14:textId="50E80260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Smoking status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888" w14:textId="6838CE4E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86BC" w14:textId="7D68F3C1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</w:p>
          <w:p w14:paraId="56F0701B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  <w:p w14:paraId="2C2E5DC7" w14:textId="496B1FB5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Ex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6301" w14:textId="122BA1DA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61F5D" w:rsidRPr="00F61F5D" w14:paraId="7AB724D2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CFCF" w14:textId="4120E6A1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lastRenderedPageBreak/>
              <w:t>Drinking status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3BB" w14:textId="553D6741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Drinking status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B3A" w14:textId="664F7AEC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75390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 xml:space="preserve">Yes </w:t>
            </w:r>
          </w:p>
          <w:p w14:paraId="573E4C20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DF8784D" w14:textId="410B43E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Ex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BC87D" w14:textId="2EECF42D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61F5D" w:rsidRPr="00F61F5D" w14:paraId="31F8169D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1DA1F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Marital status</w:t>
            </w:r>
          </w:p>
        </w:tc>
        <w:tc>
          <w:tcPr>
            <w:tcW w:w="10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79B680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Marital status</w:t>
            </w:r>
          </w:p>
        </w:tc>
        <w:tc>
          <w:tcPr>
            <w:tcW w:w="586" w:type="pct"/>
            <w:tcBorders>
              <w:top w:val="single" w:sz="4" w:space="0" w:color="auto"/>
              <w:right w:val="single" w:sz="4" w:space="0" w:color="auto"/>
            </w:tcBorders>
          </w:tcPr>
          <w:p w14:paraId="437CE168" w14:textId="30FE13FA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B11CF" w14:textId="5F1F012C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Partnered</w:t>
            </w:r>
          </w:p>
          <w:p w14:paraId="0CC70CB7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B3F8C24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Single</w:t>
            </w:r>
          </w:p>
          <w:p w14:paraId="5FF01BBD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1855" w:type="pct"/>
            <w:tcBorders>
              <w:top w:val="single" w:sz="4" w:space="0" w:color="auto"/>
            </w:tcBorders>
            <w:vAlign w:val="center"/>
          </w:tcPr>
          <w:p w14:paraId="1965199F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Married, Co-habiting, Remarried, Engaged, Civil Partnership</w:t>
            </w:r>
          </w:p>
          <w:p w14:paraId="5694BB2F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Single, Separated, Divorced, Widowed</w:t>
            </w:r>
          </w:p>
          <w:p w14:paraId="22DDCC6C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Data not Entered, Missing</w:t>
            </w:r>
          </w:p>
        </w:tc>
      </w:tr>
      <w:tr w:rsidR="00F61F5D" w:rsidRPr="00F61F5D" w14:paraId="4D02FB3E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B3C215" w14:textId="77E6AB77" w:rsidR="0057384F" w:rsidRPr="00F61F5D" w:rsidRDefault="0057384F" w:rsidP="0057384F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History of fracture</w:t>
            </w:r>
          </w:p>
        </w:tc>
        <w:tc>
          <w:tcPr>
            <w:tcW w:w="10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298695" w14:textId="674CDD21" w:rsidR="0057384F" w:rsidRPr="00F61F5D" w:rsidRDefault="0057384F" w:rsidP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History of fracture</w:t>
            </w:r>
          </w:p>
        </w:tc>
        <w:tc>
          <w:tcPr>
            <w:tcW w:w="586" w:type="pct"/>
            <w:tcBorders>
              <w:top w:val="single" w:sz="4" w:space="0" w:color="auto"/>
              <w:right w:val="single" w:sz="4" w:space="0" w:color="auto"/>
            </w:tcBorders>
          </w:tcPr>
          <w:p w14:paraId="5C1CCBA2" w14:textId="77777777" w:rsidR="0057384F" w:rsidRPr="00F61F5D" w:rsidRDefault="0057384F" w:rsidP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C2038" w14:textId="77777777" w:rsidR="0057384F" w:rsidRPr="00F61F5D" w:rsidRDefault="0057384F" w:rsidP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</w:p>
          <w:p w14:paraId="57BCE6F5" w14:textId="53FCC707" w:rsidR="0057384F" w:rsidRPr="00F61F5D" w:rsidRDefault="0057384F" w:rsidP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</w:tcBorders>
            <w:vAlign w:val="center"/>
          </w:tcPr>
          <w:p w14:paraId="04F52E6F" w14:textId="236C4AB6" w:rsidR="0057384F" w:rsidRPr="00F61F5D" w:rsidRDefault="0057384F" w:rsidP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046AB6CF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5489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Arthritis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DAE5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Inflammatory arthritis</w:t>
            </w:r>
          </w:p>
          <w:p w14:paraId="231D55D7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Rheumatoid arthritis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C6D" w14:textId="1E511FFC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2D9FF" w14:textId="28E02641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</w:p>
          <w:p w14:paraId="4C21CAA7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8394A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35BDBB5B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E65" w14:textId="76DB243B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Menopausal status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8F34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Premature menopause</w:t>
            </w:r>
          </w:p>
          <w:p w14:paraId="712D6E71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Menopause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178" w14:textId="3D5CFD1A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2D9DD" w14:textId="3708D002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</w:p>
          <w:p w14:paraId="5D9CEAF2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E22E6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48C92E33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7D1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Other conditions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AE3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Hyperthroidism</w:t>
            </w:r>
          </w:p>
          <w:p w14:paraId="4F8637C3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Hypogonadism</w:t>
            </w:r>
          </w:p>
          <w:p w14:paraId="6B1610C0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Malabsorption</w:t>
            </w:r>
          </w:p>
          <w:p w14:paraId="488D7895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Chronic liver disease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127" w14:textId="291E311B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7B615" w14:textId="49453324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</w:p>
          <w:p w14:paraId="1DF1282F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63EC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7EC87140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FB8" w14:textId="77777777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Bone medications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3D6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Calcium &amp; vitamin D</w:t>
            </w:r>
          </w:p>
          <w:p w14:paraId="25296B76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Bisphosphonates</w:t>
            </w:r>
          </w:p>
          <w:p w14:paraId="410C44F1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Non bisphosphonates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CFC" w14:textId="064EB43A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D9870" w14:textId="1FED5B18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  <w:r w:rsidR="006628A5" w:rsidRPr="00F61F5D">
              <w:rPr>
                <w:rFonts w:cstheme="minorHAnsi"/>
                <w:sz w:val="20"/>
                <w:szCs w:val="20"/>
              </w:rPr>
              <w:t xml:space="preserve"> (past year)</w:t>
            </w:r>
          </w:p>
          <w:p w14:paraId="1A8DADB9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4C0D" w14:textId="77777777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1BB1DF95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6456" w14:textId="10F76F09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lastRenderedPageBreak/>
              <w:t>Steroid use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77C" w14:textId="1AC7F9D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Steroid use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DC8" w14:textId="1464B943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04A16" w14:textId="6864BECF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  <w:r w:rsidR="006628A5" w:rsidRPr="00F61F5D">
              <w:rPr>
                <w:rFonts w:cstheme="minorHAnsi"/>
                <w:sz w:val="20"/>
                <w:szCs w:val="20"/>
              </w:rPr>
              <w:t xml:space="preserve"> (past year)</w:t>
            </w:r>
          </w:p>
          <w:p w14:paraId="4868E469" w14:textId="5121650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F796A" w14:textId="3558E946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306F0D2C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C93C" w14:textId="322110D3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Antiepileptic use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643" w14:textId="7A4145F0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Antiepileptic use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EBB" w14:textId="77240EE9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FFD8" w14:textId="04D1D6CA" w:rsidR="0057384F" w:rsidRPr="00F61F5D" w:rsidRDefault="0057384F" w:rsidP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  <w:r w:rsidR="006628A5" w:rsidRPr="00F61F5D">
              <w:rPr>
                <w:rFonts w:cstheme="minorHAnsi"/>
                <w:sz w:val="20"/>
                <w:szCs w:val="20"/>
              </w:rPr>
              <w:t xml:space="preserve"> (past year)</w:t>
            </w:r>
          </w:p>
          <w:p w14:paraId="14847656" w14:textId="68153522" w:rsidR="0057384F" w:rsidRPr="00F61F5D" w:rsidRDefault="0057384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C7205" w14:textId="08FE9170" w:rsidR="0057384F" w:rsidRPr="00F61F5D" w:rsidRDefault="0057384F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5C98BA20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744" w14:textId="3926286E" w:rsidR="0057384F" w:rsidRPr="00F61F5D" w:rsidRDefault="006628A5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Antidepressant use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B6D" w14:textId="7D37CFA4" w:rsidR="0057384F" w:rsidRPr="00F61F5D" w:rsidRDefault="006628A5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Antidepressant use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D17B" w14:textId="14836FFD" w:rsidR="0057384F" w:rsidRPr="00F61F5D" w:rsidRDefault="0057384F" w:rsidP="00C90F54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E33DC" w14:textId="4344EAB5" w:rsidR="0057384F" w:rsidRPr="00F61F5D" w:rsidRDefault="006628A5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 (past year)</w:t>
            </w:r>
          </w:p>
          <w:p w14:paraId="56C42DF4" w14:textId="1494DC3C" w:rsidR="006628A5" w:rsidRPr="00F61F5D" w:rsidRDefault="006628A5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3D46A" w14:textId="5EA50B6D" w:rsidR="0057384F" w:rsidRPr="00F61F5D" w:rsidRDefault="006628A5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012E7FD3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8104" w14:textId="385BF04A" w:rsidR="006628A5" w:rsidRPr="00F61F5D" w:rsidRDefault="006628A5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Anxioltics/sedatives/ hypnotics use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6460" w14:textId="58481A41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Anxioltics/sedatives/ hypnotics use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C43" w14:textId="77777777" w:rsidR="006628A5" w:rsidRPr="00F61F5D" w:rsidRDefault="006628A5" w:rsidP="006628A5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16E13" w14:textId="1593CB37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 (past year)</w:t>
            </w:r>
          </w:p>
          <w:p w14:paraId="0347D176" w14:textId="411E211C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B5B67" w14:textId="7595AF10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63F6E3FB" w14:textId="77777777" w:rsidTr="0057384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EFB" w14:textId="5009D6F4" w:rsidR="0057384F" w:rsidRPr="00F61F5D" w:rsidRDefault="0057384F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 xml:space="preserve">Diabetes 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F168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Type 1 diabetes</w:t>
            </w:r>
          </w:p>
          <w:p w14:paraId="4F11DDAD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Type 2 diabetes</w:t>
            </w:r>
          </w:p>
          <w:p w14:paraId="7B7206D8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Insulin</w:t>
            </w:r>
          </w:p>
          <w:p w14:paraId="607D73DE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F61F5D">
              <w:rPr>
                <w:rFonts w:cstheme="minorHAnsi"/>
                <w:sz w:val="20"/>
                <w:szCs w:val="20"/>
              </w:rPr>
              <w:t>Antidiabetics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1E8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2FEF7" w14:textId="761BAF9A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Yes</w:t>
            </w:r>
          </w:p>
          <w:p w14:paraId="048C121D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FA7D9" w14:textId="77777777" w:rsidR="0057384F" w:rsidRPr="00F61F5D" w:rsidRDefault="0057384F" w:rsidP="009A75B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F61F5D" w:rsidRPr="00F61F5D" w14:paraId="50781891" w14:textId="77777777" w:rsidTr="0057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5CF" w14:textId="081AE6CE" w:rsidR="006628A5" w:rsidRPr="00F61F5D" w:rsidRDefault="006628A5" w:rsidP="009A75B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Kg weight loss in year prior to surery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999" w14:textId="45D2DFBC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Kg weight loss in year prior to surery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C3A6" w14:textId="34B04712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Per kg decrease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494D0" w14:textId="69A35D25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DE3C6" w14:textId="3B394BF4" w:rsidR="006628A5" w:rsidRPr="00F61F5D" w:rsidRDefault="006628A5" w:rsidP="009A75B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61F5D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1194FE36" w14:textId="77777777" w:rsidR="00285E3F" w:rsidRPr="00F61F5D" w:rsidRDefault="00285E3F" w:rsidP="00285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E911EB" w14:textId="77777777" w:rsidR="00285E3F" w:rsidRPr="00F61F5D" w:rsidRDefault="00285E3F" w:rsidP="00285E3F">
      <w:pPr>
        <w:rPr>
          <w:rFonts w:ascii="Times New Roman" w:hAnsi="Times New Roman" w:cs="Times New Roman"/>
          <w:sz w:val="24"/>
          <w:szCs w:val="24"/>
        </w:rPr>
      </w:pPr>
      <w:r w:rsidRPr="00F61F5D">
        <w:rPr>
          <w:rFonts w:ascii="Times New Roman" w:hAnsi="Times New Roman" w:cs="Times New Roman"/>
          <w:sz w:val="24"/>
          <w:szCs w:val="24"/>
        </w:rPr>
        <w:br w:type="page"/>
      </w:r>
    </w:p>
    <w:p w14:paraId="294F7ECD" w14:textId="0455E420" w:rsidR="00F81CD7" w:rsidRPr="00F61F5D" w:rsidRDefault="00F81CD7" w:rsidP="00F81CD7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F61F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</w:t>
      </w:r>
      <w:r w:rsidR="0050229C" w:rsidRPr="00F61F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1F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61F5D">
        <w:rPr>
          <w:rFonts w:ascii="Times New Roman" w:hAnsi="Times New Roman" w:cs="Times New Roman"/>
          <w:sz w:val="24"/>
          <w:szCs w:val="24"/>
        </w:rPr>
        <w:t xml:space="preserve"> Univariate logistic regression association with fracture.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872"/>
        <w:gridCol w:w="1005"/>
        <w:gridCol w:w="1653"/>
        <w:gridCol w:w="1559"/>
        <w:gridCol w:w="1932"/>
      </w:tblGrid>
      <w:tr w:rsidR="00F61F5D" w:rsidRPr="00F61F5D" w14:paraId="1C5267FA" w14:textId="77777777" w:rsidTr="00F81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Merge w:val="restart"/>
            <w:vAlign w:val="center"/>
          </w:tcPr>
          <w:p w14:paraId="7B40F0CD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562E7A1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Covariate</w:t>
            </w:r>
          </w:p>
        </w:tc>
        <w:tc>
          <w:tcPr>
            <w:tcW w:w="557" w:type="pct"/>
            <w:vMerge w:val="restart"/>
            <w:tcBorders>
              <w:right w:val="single" w:sz="4" w:space="0" w:color="auto"/>
            </w:tcBorders>
            <w:vAlign w:val="center"/>
          </w:tcPr>
          <w:p w14:paraId="3E5CC868" w14:textId="77777777" w:rsidR="00F81CD7" w:rsidRPr="00F61F5D" w:rsidRDefault="00F81CD7" w:rsidP="000E6F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Category</w:t>
            </w:r>
          </w:p>
        </w:tc>
        <w:tc>
          <w:tcPr>
            <w:tcW w:w="285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10B1C" w14:textId="77777777" w:rsidR="00F81CD7" w:rsidRPr="00F61F5D" w:rsidRDefault="00F81CD7" w:rsidP="000E6F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Univariate prediction</w:t>
            </w:r>
          </w:p>
        </w:tc>
      </w:tr>
      <w:tr w:rsidR="00F61F5D" w:rsidRPr="00F61F5D" w14:paraId="38751322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Merge/>
            <w:vAlign w:val="center"/>
          </w:tcPr>
          <w:p w14:paraId="206B97D9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7" w:type="pct"/>
            <w:vMerge/>
            <w:tcBorders>
              <w:right w:val="single" w:sz="4" w:space="0" w:color="auto"/>
            </w:tcBorders>
            <w:vAlign w:val="center"/>
          </w:tcPr>
          <w:p w14:paraId="5AAD11E2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3C93F1D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Any</w:t>
            </w:r>
          </w:p>
          <w:p w14:paraId="12B12CF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(OR (95% CI))</w:t>
            </w:r>
          </w:p>
        </w:tc>
        <w:tc>
          <w:tcPr>
            <w:tcW w:w="864" w:type="pct"/>
            <w:vAlign w:val="center"/>
          </w:tcPr>
          <w:p w14:paraId="3217604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Major</w:t>
            </w:r>
          </w:p>
          <w:p w14:paraId="45D5DF2F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(OR (95% CI))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38DFE1E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Peripheral</w:t>
            </w:r>
          </w:p>
          <w:p w14:paraId="7FEAD806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(OR (95% CI))</w:t>
            </w:r>
          </w:p>
        </w:tc>
      </w:tr>
      <w:tr w:rsidR="00F61F5D" w:rsidRPr="00F61F5D" w14:paraId="28E1F0BD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7E6BC688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Age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07AC3EAE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per 5 years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75ED42A5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1.15 (1.07, 1.24)</w:t>
            </w:r>
          </w:p>
        </w:tc>
        <w:tc>
          <w:tcPr>
            <w:tcW w:w="864" w:type="pct"/>
            <w:vAlign w:val="center"/>
          </w:tcPr>
          <w:p w14:paraId="2A229EF1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1.20 (1.06, 1.36)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0D3845B7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1.11 (0.98, 1.25)</w:t>
            </w:r>
          </w:p>
        </w:tc>
      </w:tr>
      <w:tr w:rsidR="00F61F5D" w:rsidRPr="00F61F5D" w14:paraId="32F2F4C9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7EDD4425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Gender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098C3635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Female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63083EF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1.13 (0.73, 1.75)</w:t>
            </w:r>
          </w:p>
        </w:tc>
        <w:tc>
          <w:tcPr>
            <w:tcW w:w="864" w:type="pct"/>
            <w:vAlign w:val="center"/>
          </w:tcPr>
          <w:p w14:paraId="4E651812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3.16 (1.13, 8.81)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1759522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1.29 (0.65, 2.56)</w:t>
            </w:r>
          </w:p>
        </w:tc>
      </w:tr>
      <w:tr w:rsidR="00F61F5D" w:rsidRPr="00F61F5D" w14:paraId="58697073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2DA59598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Ethnicity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4468A223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White</w:t>
            </w:r>
            <w:r w:rsidRPr="00F61F5D">
              <w:rPr>
                <w:rFonts w:ascii="Times New Roman" w:hAnsi="Times New Roman" w:cs="Times New Roman"/>
                <w:sz w:val="20"/>
                <w:szCs w:val="24"/>
              </w:rPr>
              <w:br/>
              <w:t>Not white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7D210236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765EC83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0.56 (0.19, 1.66)</w:t>
            </w:r>
          </w:p>
        </w:tc>
        <w:tc>
          <w:tcPr>
            <w:tcW w:w="864" w:type="pct"/>
            <w:vAlign w:val="center"/>
          </w:tcPr>
          <w:p w14:paraId="2D344797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49AB42B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0.51 (0.07, 3.68)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4A2A948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5E902401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0.49 (0.07, 3.22)</w:t>
            </w:r>
          </w:p>
        </w:tc>
      </w:tr>
      <w:tr w:rsidR="00F61F5D" w:rsidRPr="00F61F5D" w14:paraId="5B1ECBF2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600BCE15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Log(</w:t>
            </w:r>
            <w:proofErr w:type="gramEnd"/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BMI)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3FEDE175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NA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23EF1993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0.83 (0.46, 1.65)</w:t>
            </w:r>
          </w:p>
        </w:tc>
        <w:tc>
          <w:tcPr>
            <w:tcW w:w="864" w:type="pct"/>
            <w:vAlign w:val="center"/>
          </w:tcPr>
          <w:p w14:paraId="26B4EE9A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1.25 (0.41, 3.73)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0632476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1.38 (0.49, 3.83)</w:t>
            </w:r>
          </w:p>
        </w:tc>
      </w:tr>
      <w:tr w:rsidR="00F61F5D" w:rsidRPr="00F61F5D" w14:paraId="1230EDCD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4782E48C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Region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03869C57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South</w:t>
            </w:r>
          </w:p>
          <w:p w14:paraId="5E286209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London</w:t>
            </w:r>
          </w:p>
          <w:p w14:paraId="4E45E875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East</w:t>
            </w:r>
          </w:p>
          <w:p w14:paraId="6AF3ADA3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West</w:t>
            </w:r>
          </w:p>
          <w:p w14:paraId="21593DF4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Scotland</w:t>
            </w:r>
          </w:p>
          <w:p w14:paraId="77AA774E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Wales</w:t>
            </w:r>
          </w:p>
          <w:p w14:paraId="61AFD7FB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N. Ireland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31FDA0B6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6A0B2880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1.00 (0.58, 1.73)</w:t>
            </w:r>
          </w:p>
          <w:p w14:paraId="491DB428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0.45 (0.18, 1.15)</w:t>
            </w:r>
          </w:p>
          <w:p w14:paraId="13952D76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0.87 (0.54, 1.41)</w:t>
            </w:r>
          </w:p>
          <w:p w14:paraId="5CFDD3EB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2.35 (1.39, 3.99)</w:t>
            </w:r>
          </w:p>
          <w:p w14:paraId="10B7C63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1.25 (0.65, 2.40)</w:t>
            </w:r>
          </w:p>
          <w:p w14:paraId="753C491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0.67 (0.09, 4.95)</w:t>
            </w:r>
          </w:p>
        </w:tc>
        <w:tc>
          <w:tcPr>
            <w:tcW w:w="864" w:type="pct"/>
            <w:vAlign w:val="center"/>
          </w:tcPr>
          <w:p w14:paraId="24CD66D4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76EE9A9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0.38 (0.10, 1.29)</w:t>
            </w:r>
          </w:p>
          <w:p w14:paraId="3AACBEC9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0.88 (0.29, 2.62)</w:t>
            </w:r>
          </w:p>
          <w:p w14:paraId="102006A8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0.80 (0.37, 1.70)</w:t>
            </w:r>
          </w:p>
          <w:p w14:paraId="37AC0225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2.28 (1.01, 5.15)</w:t>
            </w:r>
          </w:p>
          <w:p w14:paraId="5CDB183C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1.00 (0.33, 2.98)</w:t>
            </w:r>
          </w:p>
          <w:p w14:paraId="5C3DAAFC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No events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44D562AF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4937A4F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0.64 (0.26, 1.61)</w:t>
            </w:r>
          </w:p>
          <w:p w14:paraId="76BFBBC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0.19 (0.02, 1.38)</w:t>
            </w:r>
          </w:p>
          <w:p w14:paraId="34943975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0.80 (0.40, 1.61)</w:t>
            </w:r>
          </w:p>
          <w:p w14:paraId="356D07C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1.50 (0.63, 3.56)</w:t>
            </w:r>
          </w:p>
          <w:p w14:paraId="32CF778B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1.49 (0.63, 3.55)</w:t>
            </w:r>
          </w:p>
          <w:p w14:paraId="5C29CFB5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1.39 (0.18, 10.5)</w:t>
            </w:r>
          </w:p>
        </w:tc>
      </w:tr>
      <w:tr w:rsidR="00F61F5D" w:rsidRPr="00F61F5D" w14:paraId="79D9066A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7A1F8B3D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Smoking status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272DA516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  <w:p w14:paraId="1D2315A3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No</w:t>
            </w:r>
          </w:p>
          <w:p w14:paraId="6601BD1E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Ex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6BC11CDC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6A7D128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0.59 (0.37, 0.95</w:t>
            </w: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14:paraId="5B3C2FB0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0.65 (0.40, 1.06)</w:t>
            </w:r>
          </w:p>
        </w:tc>
        <w:tc>
          <w:tcPr>
            <w:tcW w:w="864" w:type="pct"/>
            <w:vAlign w:val="center"/>
          </w:tcPr>
          <w:p w14:paraId="2EFE55B2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6E2A5093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0.78 (0.35, 1.75)</w:t>
            </w:r>
          </w:p>
          <w:p w14:paraId="6861F91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0.82 (0.35, 1.90)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119E7B9F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07F92B1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0.65 (0.31, 1.37)</w:t>
            </w:r>
          </w:p>
          <w:p w14:paraId="7CF64719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0.81 (0.38, 1.72)</w:t>
            </w:r>
          </w:p>
        </w:tc>
      </w:tr>
      <w:tr w:rsidR="00F61F5D" w:rsidRPr="00F61F5D" w14:paraId="6AB21990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15D80D31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Drinking status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1C7ECDDF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  <w:p w14:paraId="47AC98E9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No</w:t>
            </w:r>
          </w:p>
          <w:p w14:paraId="437305A0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Ex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2EABA2F1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0996CCE6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0.78 (0.46, 1.30)</w:t>
            </w:r>
          </w:p>
          <w:p w14:paraId="793F42C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1.21 (0.66, 2.20)</w:t>
            </w:r>
          </w:p>
        </w:tc>
        <w:tc>
          <w:tcPr>
            <w:tcW w:w="864" w:type="pct"/>
            <w:vAlign w:val="center"/>
          </w:tcPr>
          <w:p w14:paraId="0AF0F6F4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593EA676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0.78 (0.35, 1.77)</w:t>
            </w:r>
          </w:p>
          <w:p w14:paraId="5384E31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1.24 (0.49, 3.16)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2C07FA17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491201F2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0.91 (0.44, 1.89)</w:t>
            </w:r>
          </w:p>
          <w:p w14:paraId="52E18697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1.19 (0.47, 3.05)</w:t>
            </w:r>
          </w:p>
        </w:tc>
      </w:tr>
      <w:tr w:rsidR="00F61F5D" w:rsidRPr="00F61F5D" w14:paraId="172A85B9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4D8BA0E6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Marital status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00A86D80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Partnered</w:t>
            </w:r>
          </w:p>
          <w:p w14:paraId="587D8816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Single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62DAA3DC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78CD1B7D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1.14 (0.69, 1.87)</w:t>
            </w:r>
          </w:p>
        </w:tc>
        <w:tc>
          <w:tcPr>
            <w:tcW w:w="864" w:type="pct"/>
            <w:vAlign w:val="center"/>
          </w:tcPr>
          <w:p w14:paraId="6FA4922D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1788CDA6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1.16 (0.56, 2.38)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7646122C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Ref</w:t>
            </w:r>
          </w:p>
          <w:p w14:paraId="79341D03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1.21 (0.61, 2.39)</w:t>
            </w:r>
          </w:p>
        </w:tc>
      </w:tr>
      <w:tr w:rsidR="00F61F5D" w:rsidRPr="00F61F5D" w14:paraId="25A378F0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5558D1D6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History of fracture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4B76F175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2D19F2DE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2.13 (1.16, 3.91)</w:t>
            </w:r>
          </w:p>
        </w:tc>
        <w:tc>
          <w:tcPr>
            <w:tcW w:w="864" w:type="pct"/>
            <w:vAlign w:val="center"/>
          </w:tcPr>
          <w:p w14:paraId="5786EE90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1.86 (0.66, 5.20)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6E7AE1D4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1.17 (0.36, 3.78)</w:t>
            </w:r>
          </w:p>
        </w:tc>
      </w:tr>
      <w:tr w:rsidR="00F61F5D" w:rsidRPr="00F61F5D" w14:paraId="172A3E53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0B63510E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Arthritis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7C292C99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52A0D15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1.23 (0.30, 5.05)</w:t>
            </w:r>
          </w:p>
        </w:tc>
        <w:tc>
          <w:tcPr>
            <w:tcW w:w="864" w:type="pct"/>
            <w:vAlign w:val="center"/>
          </w:tcPr>
          <w:p w14:paraId="7E8C7FEC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1.66 (0.23, 12.17)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6F14883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Not enough events</w:t>
            </w:r>
          </w:p>
        </w:tc>
      </w:tr>
      <w:tr w:rsidR="00F61F5D" w:rsidRPr="00F61F5D" w14:paraId="35EFBE1D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4AA5B59E" w14:textId="248841A8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Menopaus</w:t>
            </w:r>
            <w:r w:rsidR="00DC0A2D" w:rsidRPr="00F61F5D">
              <w:rPr>
                <w:rFonts w:ascii="Times New Roman" w:hAnsi="Times New Roman" w:cs="Times New Roman"/>
                <w:sz w:val="20"/>
                <w:szCs w:val="24"/>
              </w:rPr>
              <w:t>al status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52354278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6043C7C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0.86 (0.45, 1.65)</w:t>
            </w:r>
          </w:p>
        </w:tc>
        <w:tc>
          <w:tcPr>
            <w:tcW w:w="864" w:type="pct"/>
            <w:vAlign w:val="center"/>
          </w:tcPr>
          <w:p w14:paraId="23547430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1.20 (0.47, 3.04)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79FA2D2D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1.03 (0.41, 2.59)</w:t>
            </w:r>
          </w:p>
        </w:tc>
      </w:tr>
      <w:tr w:rsidR="00F61F5D" w:rsidRPr="00F61F5D" w14:paraId="38FDED81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495D2CC3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Other condition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168B0098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6DA29332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1.49 (0.47, 4.79)</w:t>
            </w:r>
          </w:p>
        </w:tc>
        <w:tc>
          <w:tcPr>
            <w:tcW w:w="864" w:type="pct"/>
            <w:vAlign w:val="center"/>
          </w:tcPr>
          <w:p w14:paraId="10F5C60D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1.32 (0.18, 9.71)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3FBB8EF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1.15 (0.16, 8.42)</w:t>
            </w:r>
          </w:p>
        </w:tc>
      </w:tr>
      <w:tr w:rsidR="00F61F5D" w:rsidRPr="00F61F5D" w14:paraId="7DFF56D9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008D50C6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Bone medications prior year*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4860666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3545C9F9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0.97 (0.53, 1.77)</w:t>
            </w:r>
          </w:p>
        </w:tc>
        <w:tc>
          <w:tcPr>
            <w:tcW w:w="864" w:type="pct"/>
            <w:vAlign w:val="center"/>
          </w:tcPr>
          <w:p w14:paraId="5162361D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1.63 (0.73, 3.64)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3FC2DC83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0.74 (0.27, 2.06)</w:t>
            </w:r>
          </w:p>
        </w:tc>
      </w:tr>
      <w:tr w:rsidR="00F61F5D" w:rsidRPr="00F61F5D" w14:paraId="6A7991B2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47B3B4B9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Steroids prior year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5428FAA4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432452D3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1.12 (0.67, 1.88)</w:t>
            </w:r>
          </w:p>
        </w:tc>
        <w:tc>
          <w:tcPr>
            <w:tcW w:w="864" w:type="pct"/>
            <w:vAlign w:val="center"/>
          </w:tcPr>
          <w:p w14:paraId="638A3C0C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1.48 (0.69, 3.17)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492E7891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0.90 (0.38, 2.11)</w:t>
            </w:r>
          </w:p>
        </w:tc>
      </w:tr>
      <w:tr w:rsidR="00F61F5D" w:rsidRPr="00F61F5D" w14:paraId="5A946AA8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54D75944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Antiepileptics prior year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64886C5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60B1B30D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0.65 (0.30, 1.40)</w:t>
            </w:r>
          </w:p>
        </w:tc>
        <w:tc>
          <w:tcPr>
            <w:tcW w:w="864" w:type="pct"/>
            <w:vAlign w:val="center"/>
          </w:tcPr>
          <w:p w14:paraId="1C2EEB51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0.76 (0.23, 2.45)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4F0643FD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0.65 (0.20, 2.10)</w:t>
            </w:r>
          </w:p>
        </w:tc>
      </w:tr>
      <w:tr w:rsidR="00F61F5D" w:rsidRPr="00F61F5D" w14:paraId="1A93586F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0ACCA246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Antidepressants prior year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677A18D7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5217DFE6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1.15 (0.80, 1.64)</w:t>
            </w:r>
          </w:p>
        </w:tc>
        <w:tc>
          <w:tcPr>
            <w:tcW w:w="864" w:type="pct"/>
            <w:vAlign w:val="center"/>
          </w:tcPr>
          <w:p w14:paraId="78F554B1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2.01 (1.14, 3.56)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76BEF7D8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1.64 (0.96, 2.79)</w:t>
            </w:r>
          </w:p>
        </w:tc>
      </w:tr>
      <w:tr w:rsidR="00F61F5D" w:rsidRPr="00F61F5D" w14:paraId="1F73EB20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21B455AB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Anxiolytics/sedatives/hypnotics prior year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1E475591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31AA6A5A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1.77 (1.09, 2.87)</w:t>
            </w:r>
          </w:p>
        </w:tc>
        <w:tc>
          <w:tcPr>
            <w:tcW w:w="864" w:type="pct"/>
            <w:vAlign w:val="center"/>
          </w:tcPr>
          <w:p w14:paraId="71BECDE4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b/>
                <w:sz w:val="20"/>
                <w:szCs w:val="24"/>
              </w:rPr>
              <w:t>3.21 (1.66, 6.20)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3FEDA3CE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1.62 (0.76, 3.45)</w:t>
            </w:r>
          </w:p>
        </w:tc>
      </w:tr>
      <w:tr w:rsidR="00F61F5D" w:rsidRPr="00F61F5D" w14:paraId="20751CAE" w14:textId="77777777" w:rsidTr="00F8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3D0FE7B1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Diabetes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26384C91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58DE134B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1.00 (0.68, 1.46)</w:t>
            </w:r>
          </w:p>
        </w:tc>
        <w:tc>
          <w:tcPr>
            <w:tcW w:w="864" w:type="pct"/>
            <w:vAlign w:val="center"/>
          </w:tcPr>
          <w:p w14:paraId="5A96FC10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0.98 (0.53, 1.83)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6D50C727" w14:textId="77777777" w:rsidR="00F81CD7" w:rsidRPr="00F61F5D" w:rsidRDefault="00F81CD7" w:rsidP="000E6F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1.16 (0.66, 2.05)</w:t>
            </w:r>
          </w:p>
        </w:tc>
      </w:tr>
      <w:tr w:rsidR="00F61F5D" w:rsidRPr="00F61F5D" w14:paraId="4DE9D70B" w14:textId="77777777" w:rsidTr="00F81C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vAlign w:val="center"/>
          </w:tcPr>
          <w:p w14:paraId="47DA14A1" w14:textId="77777777" w:rsidR="00F81CD7" w:rsidRPr="00F61F5D" w:rsidRDefault="00F81CD7" w:rsidP="000E6F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Kg weight loss prior year</w:t>
            </w:r>
          </w:p>
        </w:tc>
        <w:tc>
          <w:tcPr>
            <w:tcW w:w="557" w:type="pct"/>
            <w:tcBorders>
              <w:right w:val="single" w:sz="4" w:space="0" w:color="auto"/>
            </w:tcBorders>
            <w:vAlign w:val="center"/>
          </w:tcPr>
          <w:p w14:paraId="14564C87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Per 1kg decrease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4DC2A5B8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0.96 (0.87, 1.06)</w:t>
            </w:r>
          </w:p>
        </w:tc>
        <w:tc>
          <w:tcPr>
            <w:tcW w:w="864" w:type="pct"/>
            <w:vAlign w:val="center"/>
          </w:tcPr>
          <w:p w14:paraId="3F5C530B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0.99 (0.83, 1.18)</w:t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53EAA69C" w14:textId="77777777" w:rsidR="00F81CD7" w:rsidRPr="00F61F5D" w:rsidRDefault="00F81CD7" w:rsidP="000E6F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1F5D">
              <w:rPr>
                <w:rFonts w:ascii="Times New Roman" w:hAnsi="Times New Roman" w:cs="Times New Roman"/>
                <w:sz w:val="20"/>
                <w:szCs w:val="24"/>
              </w:rPr>
              <w:t>0.99 (0.83, 1.17)</w:t>
            </w:r>
          </w:p>
        </w:tc>
      </w:tr>
    </w:tbl>
    <w:p w14:paraId="31448937" w14:textId="77777777" w:rsidR="00F81CD7" w:rsidRPr="00F61F5D" w:rsidRDefault="00F81CD7" w:rsidP="00F81CD7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6BAC5D2" w14:textId="77777777" w:rsidR="00F81CD7" w:rsidRPr="00F61F5D" w:rsidRDefault="00F81CD7" w:rsidP="00285E3F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  <w:sectPr w:rsidR="00F81CD7" w:rsidRPr="00F61F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6135F8" w14:textId="21E82089" w:rsidR="00285E3F" w:rsidRDefault="00285E3F" w:rsidP="00285E3F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F61F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</w:t>
      </w:r>
      <w:r w:rsidR="0050229C" w:rsidRPr="00F61F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1F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61F5D">
        <w:rPr>
          <w:rFonts w:ascii="Times New Roman" w:hAnsi="Times New Roman" w:cs="Times New Roman"/>
          <w:sz w:val="24"/>
          <w:szCs w:val="24"/>
        </w:rPr>
        <w:t xml:space="preserve"> Receiver operating characteristic curves for (a) any</w:t>
      </w:r>
      <w:r w:rsidR="00711E8F" w:rsidRPr="00F61F5D">
        <w:rPr>
          <w:rFonts w:ascii="Times New Roman" w:hAnsi="Times New Roman" w:cs="Times New Roman"/>
          <w:sz w:val="24"/>
          <w:szCs w:val="24"/>
        </w:rPr>
        <w:t xml:space="preserve"> and</w:t>
      </w:r>
      <w:r w:rsidRPr="00F61F5D">
        <w:rPr>
          <w:rFonts w:ascii="Times New Roman" w:hAnsi="Times New Roman" w:cs="Times New Roman"/>
          <w:sz w:val="24"/>
          <w:szCs w:val="24"/>
        </w:rPr>
        <w:t xml:space="preserve"> (b) major </w:t>
      </w:r>
      <w:r w:rsidR="00711E8F" w:rsidRPr="00F61F5D">
        <w:rPr>
          <w:rFonts w:ascii="Times New Roman" w:hAnsi="Times New Roman" w:cs="Times New Roman"/>
          <w:sz w:val="24"/>
          <w:szCs w:val="24"/>
        </w:rPr>
        <w:t>fracture</w:t>
      </w:r>
    </w:p>
    <w:p w14:paraId="1BDCDBEA" w14:textId="28A20BD8" w:rsidR="000A739B" w:rsidRPr="00F61F5D" w:rsidRDefault="000A739B" w:rsidP="00285E3F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F61F5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F065E" wp14:editId="6BAD1690">
                <wp:simplePos x="0" y="0"/>
                <wp:positionH relativeFrom="margin">
                  <wp:align>center</wp:align>
                </wp:positionH>
                <wp:positionV relativeFrom="paragraph">
                  <wp:posOffset>320040</wp:posOffset>
                </wp:positionV>
                <wp:extent cx="914400" cy="304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9FB00" w14:textId="77777777" w:rsidR="00285E3F" w:rsidRDefault="00285E3F" w:rsidP="00285E3F">
                            <w: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F065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25.2pt;width:1in;height:24pt;z-index:25166643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" filled="f" stroked="f" strokeweight=".5pt">
                <v:textbox>
                  <w:txbxContent>
                    <w:p w14:paraId="7869FB00" w14:textId="77777777" w:rsidR="00285E3F" w:rsidRDefault="00285E3F" w:rsidP="00285E3F">
                      <w:r>
                        <w:t>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1F5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0EFB5" wp14:editId="36D11541">
                <wp:simplePos x="0" y="0"/>
                <wp:positionH relativeFrom="column">
                  <wp:posOffset>-13970</wp:posOffset>
                </wp:positionH>
                <wp:positionV relativeFrom="paragraph">
                  <wp:posOffset>262890</wp:posOffset>
                </wp:positionV>
                <wp:extent cx="914400" cy="304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1D1E9" w14:textId="77777777" w:rsidR="00285E3F" w:rsidRDefault="00285E3F" w:rsidP="00285E3F">
                            <w: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EFB5" id="Text Box 15" o:spid="_x0000_s1027" type="#_x0000_t202" style="position:absolute;margin-left:-1.1pt;margin-top:20.7pt;width:1in;height:2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" filled="f" stroked="f" strokeweight=".5pt">
                <v:textbox>
                  <w:txbxContent>
                    <w:p w14:paraId="6B21D1E9" w14:textId="77777777" w:rsidR="00285E3F" w:rsidRDefault="00285E3F" w:rsidP="00285E3F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40F2ABD0" w14:textId="041805C5" w:rsidR="0050229C" w:rsidRPr="00F61F5D" w:rsidRDefault="000A739B" w:rsidP="00C90F54">
      <w:pPr>
        <w:spacing w:before="120" w:after="120" w:line="480" w:lineRule="auto"/>
      </w:pPr>
      <w:r w:rsidRPr="000A739B">
        <w:t xml:space="preserve"> </w:t>
      </w:r>
      <w:r>
        <w:rPr>
          <w:noProof/>
        </w:rPr>
        <w:drawing>
          <wp:inline distT="0" distB="0" distL="0" distR="0" wp14:anchorId="3BE8972E" wp14:editId="4755DCFA">
            <wp:extent cx="2700000" cy="1963231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96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5D">
        <w:rPr>
          <w:noProof/>
        </w:rPr>
        <w:t xml:space="preserve"> </w:t>
      </w:r>
      <w:r w:rsidR="00711E8F" w:rsidRPr="00F61F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10778E" wp14:editId="2E0358E3">
            <wp:extent cx="2700000" cy="196445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96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D1A7" w14:textId="77777777" w:rsidR="0050229C" w:rsidRPr="00F61F5D" w:rsidRDefault="0050229C" w:rsidP="00C90F54">
      <w:pPr>
        <w:spacing w:before="120" w:after="120" w:line="480" w:lineRule="auto"/>
      </w:pPr>
    </w:p>
    <w:p w14:paraId="52AF9689" w14:textId="25E93D33" w:rsidR="00285E3F" w:rsidRPr="00F61F5D" w:rsidRDefault="00285E3F" w:rsidP="00C90F54">
      <w:pPr>
        <w:spacing w:before="120" w:after="120" w:line="480" w:lineRule="auto"/>
      </w:pPr>
    </w:p>
    <w:sectPr w:rsidR="00285E3F" w:rsidRPr="00F6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7558"/>
    <w:multiLevelType w:val="hybridMultilevel"/>
    <w:tmpl w:val="35347734"/>
    <w:lvl w:ilvl="0" w:tplc="7758CB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72464"/>
    <w:multiLevelType w:val="hybridMultilevel"/>
    <w:tmpl w:val="CC383896"/>
    <w:lvl w:ilvl="0" w:tplc="88EEB1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r5xv9zgd0r0nedt95x2efjfxpfxvxdw9ft&quot;&gt;manuscript_endnote_library&lt;record-ids&gt;&lt;item&gt;23&lt;/item&gt;&lt;/record-ids&gt;&lt;/item&gt;&lt;/Libraries&gt;"/>
  </w:docVars>
  <w:rsids>
    <w:rsidRoot w:val="000A722B"/>
    <w:rsid w:val="000A722B"/>
    <w:rsid w:val="000A739B"/>
    <w:rsid w:val="00192366"/>
    <w:rsid w:val="00285E3F"/>
    <w:rsid w:val="002A7015"/>
    <w:rsid w:val="004158F4"/>
    <w:rsid w:val="00443754"/>
    <w:rsid w:val="004E026E"/>
    <w:rsid w:val="0050229C"/>
    <w:rsid w:val="0055605D"/>
    <w:rsid w:val="0057384F"/>
    <w:rsid w:val="006628A5"/>
    <w:rsid w:val="00711E8F"/>
    <w:rsid w:val="00830C6B"/>
    <w:rsid w:val="00846F4F"/>
    <w:rsid w:val="008810D0"/>
    <w:rsid w:val="008C0C2E"/>
    <w:rsid w:val="009E67DB"/>
    <w:rsid w:val="00A311D5"/>
    <w:rsid w:val="00A8162A"/>
    <w:rsid w:val="00AC20E2"/>
    <w:rsid w:val="00BF2FBF"/>
    <w:rsid w:val="00C90F54"/>
    <w:rsid w:val="00D02C18"/>
    <w:rsid w:val="00D51F9C"/>
    <w:rsid w:val="00DC0A2D"/>
    <w:rsid w:val="00E60692"/>
    <w:rsid w:val="00F61F5D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40E1"/>
  <w15:chartTrackingRefBased/>
  <w15:docId w15:val="{C0954A20-E76B-4368-97CE-67F6988C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285E3F"/>
    <w:pPr>
      <w:spacing w:after="0" w:line="240" w:lineRule="auto"/>
    </w:pPr>
    <w:rPr>
      <w:rFonts w:eastAsiaTheme="minorHAnsi"/>
      <w:lang w:val="nl-NL" w:eastAsia="nl-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1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CD7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F81CD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738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0F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29C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0229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229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0229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229C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3170712A3849AA7BF6422D06AA94" ma:contentTypeVersion="0" ma:contentTypeDescription="Create a new document." ma:contentTypeScope="" ma:versionID="7971069a72ea45af008904fbb8f1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166ED-D6ED-4D0A-96BF-8E9FF8B5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DC705-49AE-405A-AE44-9DCEE0EDC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CD17D-2FCC-4749-872D-401D554F3D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Botnar Research Centre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Strauss</dc:creator>
  <cp:keywords/>
  <dc:description/>
  <cp:lastModifiedBy>Danielle Robinson</cp:lastModifiedBy>
  <cp:revision>5</cp:revision>
  <dcterms:created xsi:type="dcterms:W3CDTF">2020-11-27T16:09:00Z</dcterms:created>
  <dcterms:modified xsi:type="dcterms:W3CDTF">2021-05-27T20:26:00Z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0x010100858A3170712A3849AA7BF6422D06AA94</vt:lpwstr>
  </property>
</Properties>
</file>