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46F8A" w14:textId="77777777" w:rsidR="00E1197E" w:rsidRDefault="00E1197E" w:rsidP="00E1197E">
      <w:pPr>
        <w:pStyle w:val="Heading1"/>
        <w:jc w:val="center"/>
      </w:pPr>
      <w:r>
        <w:t>Unjust Enrichment and Public Law</w:t>
      </w:r>
    </w:p>
    <w:p w14:paraId="4DD7D8CC" w14:textId="77777777" w:rsidR="001A5651" w:rsidRDefault="00BE3E0D" w:rsidP="00F4786F">
      <w:pPr>
        <w:spacing w:line="276" w:lineRule="auto"/>
        <w:rPr>
          <w:rFonts w:asciiTheme="minorHAnsi" w:hAnsiTheme="minorHAnsi"/>
          <w:sz w:val="22"/>
          <w:szCs w:val="22"/>
          <w:lang w:val="en-GB"/>
        </w:rPr>
      </w:pPr>
      <w:r w:rsidRPr="00BE3E0D">
        <w:rPr>
          <w:rFonts w:asciiTheme="minorHAnsi" w:hAnsiTheme="minorHAnsi"/>
          <w:sz w:val="22"/>
          <w:szCs w:val="22"/>
        </w:rPr>
        <w:t xml:space="preserve">The recent explosion of litigation concerning unjust enrichment and public authorities, in particular </w:t>
      </w:r>
      <w:r w:rsidR="001C3005">
        <w:rPr>
          <w:rFonts w:asciiTheme="minorHAnsi" w:hAnsiTheme="minorHAnsi"/>
          <w:sz w:val="22"/>
          <w:szCs w:val="22"/>
        </w:rPr>
        <w:t>HMRC</w:t>
      </w:r>
      <w:r w:rsidRPr="00BE3E0D">
        <w:rPr>
          <w:rFonts w:asciiTheme="minorHAnsi" w:hAnsiTheme="minorHAnsi"/>
          <w:sz w:val="22"/>
          <w:szCs w:val="22"/>
        </w:rPr>
        <w:t>, has presented important challenges</w:t>
      </w:r>
      <w:r>
        <w:rPr>
          <w:rFonts w:asciiTheme="minorHAnsi" w:hAnsiTheme="minorHAnsi"/>
          <w:sz w:val="22"/>
          <w:szCs w:val="22"/>
        </w:rPr>
        <w:t xml:space="preserve"> to both public and private law, as well as for the relationship between domestic and EU law.</w:t>
      </w:r>
      <w:r w:rsidRPr="00BE3E0D">
        <w:rPr>
          <w:rFonts w:asciiTheme="minorHAnsi" w:hAnsiTheme="minorHAnsi"/>
          <w:sz w:val="22"/>
          <w:szCs w:val="22"/>
        </w:rPr>
        <w:t xml:space="preserve"> </w:t>
      </w:r>
      <w:r w:rsidR="00DB0031">
        <w:rPr>
          <w:rFonts w:asciiTheme="minorHAnsi" w:hAnsiTheme="minorHAnsi"/>
          <w:sz w:val="22"/>
          <w:szCs w:val="22"/>
          <w:lang w:val="en-GB"/>
        </w:rPr>
        <w:t>I</w:t>
      </w:r>
      <w:r w:rsidRPr="00BE3E0D">
        <w:rPr>
          <w:rFonts w:asciiTheme="minorHAnsi" w:hAnsiTheme="minorHAnsi"/>
          <w:sz w:val="22"/>
          <w:szCs w:val="22"/>
          <w:lang w:val="en-GB"/>
        </w:rPr>
        <w:t xml:space="preserve">f we are to understand and decide these cases properly we must do so from a hybrid </w:t>
      </w:r>
      <w:proofErr w:type="gramStart"/>
      <w:r w:rsidRPr="00BE3E0D">
        <w:rPr>
          <w:rFonts w:asciiTheme="minorHAnsi" w:hAnsiTheme="minorHAnsi"/>
          <w:sz w:val="22"/>
          <w:szCs w:val="22"/>
          <w:lang w:val="en-GB"/>
        </w:rPr>
        <w:t>perspective w</w:t>
      </w:r>
      <w:r>
        <w:rPr>
          <w:rFonts w:asciiTheme="minorHAnsi" w:hAnsiTheme="minorHAnsi"/>
          <w:sz w:val="22"/>
          <w:szCs w:val="22"/>
          <w:lang w:val="en-GB"/>
        </w:rPr>
        <w:t>hich</w:t>
      </w:r>
      <w:proofErr w:type="gramEnd"/>
      <w:r>
        <w:rPr>
          <w:rFonts w:asciiTheme="minorHAnsi" w:hAnsiTheme="minorHAnsi"/>
          <w:sz w:val="22"/>
          <w:szCs w:val="22"/>
          <w:lang w:val="en-GB"/>
        </w:rPr>
        <w:t xml:space="preserve"> takes account of both the</w:t>
      </w:r>
      <w:r w:rsidRPr="00BE3E0D">
        <w:rPr>
          <w:rFonts w:asciiTheme="minorHAnsi" w:hAnsiTheme="minorHAnsi"/>
          <w:sz w:val="22"/>
          <w:szCs w:val="22"/>
          <w:lang w:val="en-GB"/>
        </w:rPr>
        <w:t xml:space="preserve"> key aspects of the claims: public and private.</w:t>
      </w:r>
      <w:bookmarkStart w:id="0" w:name="_Ref275433585"/>
      <w:r w:rsidR="00E45408">
        <w:rPr>
          <w:rStyle w:val="FootnoteReference"/>
          <w:rFonts w:asciiTheme="minorHAnsi" w:hAnsiTheme="minorHAnsi"/>
          <w:sz w:val="22"/>
          <w:szCs w:val="22"/>
          <w:lang w:val="en-GB"/>
        </w:rPr>
        <w:footnoteReference w:id="1"/>
      </w:r>
      <w:bookmarkEnd w:id="0"/>
      <w:r w:rsidRPr="00BE3E0D">
        <w:rPr>
          <w:rFonts w:asciiTheme="minorHAnsi" w:hAnsiTheme="minorHAnsi"/>
          <w:sz w:val="22"/>
          <w:szCs w:val="22"/>
          <w:lang w:val="en-GB"/>
        </w:rPr>
        <w:t xml:space="preserve"> Doing so will </w:t>
      </w:r>
      <w:r w:rsidR="001C3005">
        <w:rPr>
          <w:rFonts w:asciiTheme="minorHAnsi" w:hAnsiTheme="minorHAnsi"/>
          <w:sz w:val="22"/>
          <w:szCs w:val="22"/>
          <w:lang w:val="en-GB"/>
        </w:rPr>
        <w:t xml:space="preserve">clarify the law and </w:t>
      </w:r>
      <w:r w:rsidRPr="00BE3E0D">
        <w:rPr>
          <w:rFonts w:asciiTheme="minorHAnsi" w:hAnsiTheme="minorHAnsi"/>
          <w:sz w:val="22"/>
          <w:szCs w:val="22"/>
          <w:lang w:val="en-GB"/>
        </w:rPr>
        <w:t xml:space="preserve">help to prevent further complex and costly litigation. </w:t>
      </w:r>
    </w:p>
    <w:p w14:paraId="6CA4F7E0" w14:textId="77777777" w:rsidR="00E1197E" w:rsidRDefault="00E1197E" w:rsidP="00E1197E">
      <w:pPr>
        <w:pStyle w:val="Heading1"/>
        <w:rPr>
          <w:lang w:val="en-GB"/>
        </w:rPr>
      </w:pPr>
      <w:r>
        <w:rPr>
          <w:lang w:val="en-GB"/>
        </w:rPr>
        <w:t>A hybrid perspective</w:t>
      </w:r>
    </w:p>
    <w:p w14:paraId="0FC6508D" w14:textId="39B35D9C" w:rsidR="003424C8" w:rsidRPr="003B6133" w:rsidRDefault="001A5651" w:rsidP="007D5FC7">
      <w:pPr>
        <w:spacing w:before="0" w:after="0" w:line="276" w:lineRule="auto"/>
        <w:rPr>
          <w:rFonts w:ascii="Times" w:eastAsiaTheme="minorHAnsi" w:hAnsi="Times" w:cstheme="minorBidi"/>
          <w:sz w:val="20"/>
          <w:szCs w:val="20"/>
          <w:lang w:val="en-GB"/>
        </w:rPr>
      </w:pPr>
      <w:r>
        <w:rPr>
          <w:rFonts w:asciiTheme="minorHAnsi" w:hAnsiTheme="minorHAnsi"/>
          <w:sz w:val="22"/>
          <w:szCs w:val="22"/>
          <w:lang w:val="en-GB"/>
        </w:rPr>
        <w:t xml:space="preserve">As an immediate illustration of the relevance of both public and private law to these claims it is worth noting that while </w:t>
      </w:r>
      <w:r w:rsidR="00BE3E0D">
        <w:rPr>
          <w:rFonts w:asciiTheme="minorHAnsi" w:hAnsiTheme="minorHAnsi"/>
          <w:sz w:val="22"/>
          <w:szCs w:val="22"/>
          <w:lang w:val="en-GB"/>
        </w:rPr>
        <w:t>the House of Lords/Supreme Court of England and Wales has analysed these cases</w:t>
      </w:r>
      <w:r w:rsidR="00CD0936">
        <w:rPr>
          <w:rFonts w:asciiTheme="minorHAnsi" w:hAnsiTheme="minorHAnsi"/>
          <w:sz w:val="22"/>
          <w:szCs w:val="22"/>
          <w:lang w:val="en-GB"/>
        </w:rPr>
        <w:t xml:space="preserve"> purely in terms of </w:t>
      </w:r>
      <w:r w:rsidR="001C3005">
        <w:rPr>
          <w:rFonts w:asciiTheme="minorHAnsi" w:hAnsiTheme="minorHAnsi"/>
          <w:sz w:val="22"/>
          <w:szCs w:val="22"/>
          <w:lang w:val="en-GB"/>
        </w:rPr>
        <w:t xml:space="preserve">the </w:t>
      </w:r>
      <w:r w:rsidR="00CD0936">
        <w:rPr>
          <w:rFonts w:asciiTheme="minorHAnsi" w:hAnsiTheme="minorHAnsi"/>
          <w:sz w:val="22"/>
          <w:szCs w:val="22"/>
          <w:lang w:val="en-GB"/>
        </w:rPr>
        <w:t>private law</w:t>
      </w:r>
      <w:r w:rsidR="001C3005">
        <w:rPr>
          <w:rFonts w:asciiTheme="minorHAnsi" w:hAnsiTheme="minorHAnsi"/>
          <w:sz w:val="22"/>
          <w:szCs w:val="22"/>
          <w:lang w:val="en-GB"/>
        </w:rPr>
        <w:t xml:space="preserve"> of unjust enrichment</w:t>
      </w:r>
      <w:r w:rsidR="00CD0936">
        <w:rPr>
          <w:rFonts w:asciiTheme="minorHAnsi" w:hAnsiTheme="minorHAnsi"/>
          <w:sz w:val="22"/>
          <w:szCs w:val="22"/>
          <w:lang w:val="en-GB"/>
        </w:rPr>
        <w:t xml:space="preserve"> </w:t>
      </w:r>
      <w:r w:rsidR="00BE3E0D">
        <w:rPr>
          <w:rFonts w:asciiTheme="minorHAnsi" w:hAnsiTheme="minorHAnsi"/>
          <w:sz w:val="22"/>
          <w:szCs w:val="22"/>
          <w:lang w:val="en-GB"/>
        </w:rPr>
        <w:t xml:space="preserve">in cases such as </w:t>
      </w:r>
      <w:r w:rsidR="00BE3E0D">
        <w:rPr>
          <w:rFonts w:asciiTheme="minorHAnsi" w:hAnsiTheme="minorHAnsi"/>
          <w:i/>
          <w:sz w:val="22"/>
          <w:szCs w:val="22"/>
          <w:lang w:val="en-GB"/>
        </w:rPr>
        <w:t>Deutsche Morgan Grenfell</w:t>
      </w:r>
      <w:bookmarkStart w:id="1" w:name="_Ref275432849"/>
      <w:r w:rsidR="00DB0031" w:rsidRPr="00DB0031">
        <w:rPr>
          <w:rStyle w:val="FootnoteReference"/>
          <w:rFonts w:asciiTheme="minorHAnsi" w:hAnsiTheme="minorHAnsi"/>
          <w:sz w:val="22"/>
          <w:szCs w:val="22"/>
          <w:lang w:val="en-GB"/>
        </w:rPr>
        <w:footnoteReference w:id="2"/>
      </w:r>
      <w:bookmarkEnd w:id="1"/>
      <w:r w:rsidR="00BE3E0D">
        <w:rPr>
          <w:rFonts w:asciiTheme="minorHAnsi" w:hAnsiTheme="minorHAnsi"/>
          <w:sz w:val="22"/>
          <w:szCs w:val="22"/>
          <w:lang w:val="en-GB"/>
        </w:rPr>
        <w:t xml:space="preserve"> and </w:t>
      </w:r>
      <w:r w:rsidR="00BE3E0D">
        <w:rPr>
          <w:rFonts w:asciiTheme="minorHAnsi" w:hAnsiTheme="minorHAnsi"/>
          <w:i/>
          <w:sz w:val="22"/>
          <w:szCs w:val="22"/>
          <w:lang w:val="en-GB"/>
        </w:rPr>
        <w:t>FII</w:t>
      </w:r>
      <w:r w:rsidR="00DB0031">
        <w:rPr>
          <w:rFonts w:asciiTheme="minorHAnsi" w:hAnsiTheme="minorHAnsi"/>
          <w:i/>
          <w:sz w:val="22"/>
          <w:szCs w:val="22"/>
          <w:lang w:val="en-GB"/>
        </w:rPr>
        <w:t>,</w:t>
      </w:r>
      <w:bookmarkStart w:id="2" w:name="_Ref275433414"/>
      <w:r w:rsidR="00DB0031" w:rsidRPr="00DB0031">
        <w:rPr>
          <w:rStyle w:val="FootnoteReference"/>
          <w:rFonts w:asciiTheme="minorHAnsi" w:hAnsiTheme="minorHAnsi"/>
          <w:sz w:val="22"/>
          <w:szCs w:val="22"/>
          <w:lang w:val="en-GB"/>
        </w:rPr>
        <w:footnoteReference w:id="3"/>
      </w:r>
      <w:bookmarkEnd w:id="2"/>
      <w:r w:rsidR="00BE3E0D">
        <w:rPr>
          <w:rFonts w:asciiTheme="minorHAnsi" w:hAnsiTheme="minorHAnsi"/>
          <w:sz w:val="22"/>
          <w:szCs w:val="22"/>
          <w:lang w:val="en-GB"/>
        </w:rPr>
        <w:t xml:space="preserve"> the Supreme Court of Canada in </w:t>
      </w:r>
      <w:proofErr w:type="spellStart"/>
      <w:r w:rsidR="00BE3E0D">
        <w:rPr>
          <w:rFonts w:asciiTheme="minorHAnsi" w:hAnsiTheme="minorHAnsi"/>
          <w:i/>
          <w:sz w:val="22"/>
          <w:szCs w:val="22"/>
          <w:lang w:val="en-GB"/>
        </w:rPr>
        <w:t>Kingstreet</w:t>
      </w:r>
      <w:proofErr w:type="spellEnd"/>
      <w:r w:rsidR="00BE3E0D">
        <w:rPr>
          <w:rFonts w:asciiTheme="minorHAnsi" w:hAnsiTheme="minorHAnsi"/>
          <w:i/>
          <w:sz w:val="22"/>
          <w:szCs w:val="22"/>
          <w:lang w:val="en-GB"/>
        </w:rPr>
        <w:t xml:space="preserve"> Investments</w:t>
      </w:r>
      <w:bookmarkStart w:id="3" w:name="_Ref275454546"/>
      <w:r w:rsidR="00DB0031" w:rsidRPr="003B6133">
        <w:rPr>
          <w:rStyle w:val="FootnoteReference"/>
          <w:rFonts w:asciiTheme="minorHAnsi" w:hAnsiTheme="minorHAnsi"/>
          <w:sz w:val="22"/>
          <w:szCs w:val="22"/>
          <w:lang w:val="en-GB"/>
        </w:rPr>
        <w:footnoteReference w:id="4"/>
      </w:r>
      <w:bookmarkEnd w:id="3"/>
      <w:r w:rsidR="00BE3E0D">
        <w:rPr>
          <w:rFonts w:asciiTheme="minorHAnsi" w:hAnsiTheme="minorHAnsi"/>
          <w:sz w:val="22"/>
          <w:szCs w:val="22"/>
          <w:lang w:val="en-GB"/>
        </w:rPr>
        <w:t xml:space="preserve"> took the opposite approach, </w:t>
      </w:r>
      <w:r w:rsidR="001C3005">
        <w:rPr>
          <w:rFonts w:asciiTheme="minorHAnsi" w:hAnsiTheme="minorHAnsi"/>
          <w:sz w:val="22"/>
          <w:szCs w:val="22"/>
          <w:lang w:val="en-GB"/>
        </w:rPr>
        <w:t>regarding</w:t>
      </w:r>
      <w:r w:rsidR="00CD0936">
        <w:rPr>
          <w:rFonts w:asciiTheme="minorHAnsi" w:hAnsiTheme="minorHAnsi"/>
          <w:sz w:val="22"/>
          <w:szCs w:val="22"/>
          <w:lang w:val="en-GB"/>
        </w:rPr>
        <w:t xml:space="preserve"> restitution as simply a public law remedy for the ultra vires charge. </w:t>
      </w:r>
      <w:r>
        <w:rPr>
          <w:rFonts w:asciiTheme="minorHAnsi" w:hAnsiTheme="minorHAnsi"/>
          <w:sz w:val="22"/>
          <w:szCs w:val="22"/>
          <w:lang w:val="en-GB"/>
        </w:rPr>
        <w:t xml:space="preserve"> </w:t>
      </w:r>
      <w:r w:rsidR="00A3269D">
        <w:rPr>
          <w:rFonts w:asciiTheme="minorHAnsi" w:hAnsiTheme="minorHAnsi"/>
          <w:sz w:val="22"/>
          <w:szCs w:val="22"/>
          <w:lang w:val="en-GB"/>
        </w:rPr>
        <w:t>This</w:t>
      </w:r>
      <w:r>
        <w:rPr>
          <w:rFonts w:asciiTheme="minorHAnsi" w:hAnsiTheme="minorHAnsi"/>
          <w:sz w:val="22"/>
          <w:szCs w:val="22"/>
          <w:lang w:val="en-GB"/>
        </w:rPr>
        <w:t xml:space="preserve"> is no coincidence and is merely an illustration of the fact that </w:t>
      </w:r>
      <w:r w:rsidR="00A3269D" w:rsidRPr="009C483B">
        <w:rPr>
          <w:rFonts w:asciiTheme="minorHAnsi" w:hAnsiTheme="minorHAnsi"/>
          <w:sz w:val="22"/>
          <w:szCs w:val="22"/>
          <w:lang w:val="en-GB"/>
        </w:rPr>
        <w:t>b</w:t>
      </w:r>
      <w:r w:rsidR="00BE3E0D" w:rsidRPr="009C483B">
        <w:rPr>
          <w:rFonts w:asciiTheme="minorHAnsi" w:hAnsiTheme="minorHAnsi"/>
          <w:sz w:val="22"/>
          <w:szCs w:val="22"/>
          <w:lang w:val="en-GB"/>
        </w:rPr>
        <w:t>oth</w:t>
      </w:r>
      <w:r w:rsidR="00BE3E0D">
        <w:rPr>
          <w:rFonts w:asciiTheme="minorHAnsi" w:hAnsiTheme="minorHAnsi"/>
          <w:sz w:val="22"/>
          <w:szCs w:val="22"/>
          <w:lang w:val="en-GB"/>
        </w:rPr>
        <w:t xml:space="preserve"> aspects of the claim are equally relevant, and thus</w:t>
      </w:r>
      <w:r>
        <w:rPr>
          <w:rFonts w:asciiTheme="minorHAnsi" w:hAnsiTheme="minorHAnsi"/>
          <w:sz w:val="22"/>
          <w:szCs w:val="22"/>
          <w:lang w:val="en-GB"/>
        </w:rPr>
        <w:t xml:space="preserve"> instead of trying to choose</w:t>
      </w:r>
      <w:r w:rsidR="00A3269D">
        <w:rPr>
          <w:rFonts w:asciiTheme="minorHAnsi" w:hAnsiTheme="minorHAnsi"/>
          <w:sz w:val="22"/>
          <w:szCs w:val="22"/>
          <w:lang w:val="en-GB"/>
        </w:rPr>
        <w:t xml:space="preserve">, </w:t>
      </w:r>
      <w:r w:rsidR="00BE3E0D">
        <w:rPr>
          <w:rFonts w:asciiTheme="minorHAnsi" w:hAnsiTheme="minorHAnsi"/>
          <w:sz w:val="22"/>
          <w:szCs w:val="22"/>
          <w:lang w:val="en-GB"/>
        </w:rPr>
        <w:t>a hybrid approach</w:t>
      </w:r>
      <w:r w:rsidR="00A3269D">
        <w:rPr>
          <w:rFonts w:asciiTheme="minorHAnsi" w:hAnsiTheme="minorHAnsi"/>
          <w:sz w:val="22"/>
          <w:szCs w:val="22"/>
          <w:lang w:val="en-GB"/>
        </w:rPr>
        <w:t xml:space="preserve"> should instead be chosen</w:t>
      </w:r>
      <w:r w:rsidR="00BE3E0D">
        <w:rPr>
          <w:rFonts w:asciiTheme="minorHAnsi" w:hAnsiTheme="minorHAnsi"/>
          <w:sz w:val="22"/>
          <w:szCs w:val="22"/>
          <w:lang w:val="en-GB"/>
        </w:rPr>
        <w:t xml:space="preserve"> in which the </w:t>
      </w:r>
      <w:r w:rsidR="00153E23">
        <w:rPr>
          <w:rFonts w:asciiTheme="minorHAnsi" w:hAnsiTheme="minorHAnsi"/>
          <w:sz w:val="22"/>
          <w:szCs w:val="22"/>
          <w:lang w:val="en-GB"/>
        </w:rPr>
        <w:t xml:space="preserve">four </w:t>
      </w:r>
      <w:r w:rsidR="00BE3E0D">
        <w:rPr>
          <w:rFonts w:asciiTheme="minorHAnsi" w:hAnsiTheme="minorHAnsi"/>
          <w:sz w:val="22"/>
          <w:szCs w:val="22"/>
          <w:lang w:val="en-GB"/>
        </w:rPr>
        <w:t xml:space="preserve">requirements for a successful claim </w:t>
      </w:r>
      <w:r w:rsidR="001C3005">
        <w:rPr>
          <w:rFonts w:asciiTheme="minorHAnsi" w:hAnsiTheme="minorHAnsi"/>
          <w:sz w:val="22"/>
          <w:szCs w:val="22"/>
          <w:lang w:val="en-GB"/>
        </w:rPr>
        <w:t>in unjust enrichment</w:t>
      </w:r>
      <w:r w:rsidR="00A3269D">
        <w:rPr>
          <w:rStyle w:val="FootnoteReference"/>
          <w:rFonts w:asciiTheme="minorHAnsi" w:hAnsiTheme="minorHAnsi"/>
          <w:sz w:val="22"/>
          <w:szCs w:val="22"/>
          <w:lang w:val="en-GB"/>
        </w:rPr>
        <w:footnoteReference w:id="5"/>
      </w:r>
      <w:r w:rsidR="00BE3E0D">
        <w:rPr>
          <w:rFonts w:asciiTheme="minorHAnsi" w:hAnsiTheme="minorHAnsi"/>
          <w:sz w:val="22"/>
          <w:szCs w:val="22"/>
          <w:lang w:val="en-GB"/>
        </w:rPr>
        <w:t xml:space="preserve"> are dealt with as follows: </w:t>
      </w:r>
      <w:r>
        <w:rPr>
          <w:rFonts w:asciiTheme="minorHAnsi" w:hAnsiTheme="minorHAnsi"/>
          <w:sz w:val="22"/>
          <w:szCs w:val="22"/>
          <w:lang w:val="en-GB"/>
        </w:rPr>
        <w:t>the existence of an enrichment</w:t>
      </w:r>
      <w:bookmarkStart w:id="4" w:name="_Ref275455949"/>
      <w:r w:rsidR="003B6133">
        <w:rPr>
          <w:rStyle w:val="FootnoteReference"/>
          <w:rFonts w:asciiTheme="minorHAnsi" w:hAnsiTheme="minorHAnsi"/>
          <w:sz w:val="22"/>
          <w:szCs w:val="22"/>
        </w:rPr>
        <w:footnoteReference w:id="6"/>
      </w:r>
      <w:r w:rsidR="003B6133">
        <w:rPr>
          <w:rFonts w:ascii="Times" w:eastAsiaTheme="minorHAnsi" w:hAnsi="Times" w:cstheme="minorBidi"/>
          <w:sz w:val="20"/>
          <w:szCs w:val="20"/>
          <w:lang w:val="en-GB"/>
        </w:rPr>
        <w:t xml:space="preserve"> </w:t>
      </w:r>
      <w:bookmarkEnd w:id="4"/>
      <w:r>
        <w:rPr>
          <w:rFonts w:asciiTheme="minorHAnsi" w:hAnsiTheme="minorHAnsi"/>
          <w:sz w:val="22"/>
          <w:szCs w:val="22"/>
          <w:lang w:val="en-GB"/>
        </w:rPr>
        <w:t xml:space="preserve">and </w:t>
      </w:r>
      <w:r w:rsidR="00BE3E0D">
        <w:rPr>
          <w:rFonts w:asciiTheme="minorHAnsi" w:hAnsiTheme="minorHAnsi"/>
          <w:sz w:val="22"/>
          <w:szCs w:val="22"/>
          <w:lang w:val="en-GB"/>
        </w:rPr>
        <w:t xml:space="preserve">questions of whether it was at the claimant’s expense should continue to be decided by the private law of unjust enrichment as usual, </w:t>
      </w:r>
      <w:r>
        <w:rPr>
          <w:rFonts w:asciiTheme="minorHAnsi" w:hAnsiTheme="minorHAnsi"/>
          <w:sz w:val="22"/>
          <w:szCs w:val="22"/>
          <w:lang w:val="en-GB"/>
        </w:rPr>
        <w:t>while</w:t>
      </w:r>
      <w:r w:rsidR="00BE3E0D">
        <w:rPr>
          <w:rFonts w:asciiTheme="minorHAnsi" w:hAnsiTheme="minorHAnsi"/>
          <w:sz w:val="22"/>
          <w:szCs w:val="22"/>
          <w:lang w:val="en-GB"/>
        </w:rPr>
        <w:t xml:space="preserve"> the reason for restitution</w:t>
      </w:r>
      <w:r>
        <w:rPr>
          <w:rFonts w:asciiTheme="minorHAnsi" w:hAnsiTheme="minorHAnsi"/>
          <w:sz w:val="22"/>
          <w:szCs w:val="22"/>
          <w:lang w:val="en-GB"/>
        </w:rPr>
        <w:t>, or unjust factor,</w:t>
      </w:r>
      <w:r w:rsidR="00BE3E0D">
        <w:rPr>
          <w:rFonts w:asciiTheme="minorHAnsi" w:hAnsiTheme="minorHAnsi"/>
          <w:sz w:val="22"/>
          <w:szCs w:val="22"/>
          <w:lang w:val="en-GB"/>
        </w:rPr>
        <w:t xml:space="preserve"> should be understood as being a public law event, the existence of an ultra vires payment o</w:t>
      </w:r>
      <w:r>
        <w:rPr>
          <w:rFonts w:asciiTheme="minorHAnsi" w:hAnsiTheme="minorHAnsi"/>
          <w:sz w:val="22"/>
          <w:szCs w:val="22"/>
          <w:lang w:val="en-GB"/>
        </w:rPr>
        <w:t>r receipt by a public authority. Defences should then be dealt with in a hybrid manner, taking account of both these public and private aspects of the claim.</w:t>
      </w:r>
    </w:p>
    <w:p w14:paraId="460CF495" w14:textId="77777777" w:rsidR="00E1197E" w:rsidRPr="00E1197E" w:rsidRDefault="00E1197E" w:rsidP="00E1197E">
      <w:pPr>
        <w:pStyle w:val="Heading2"/>
        <w:rPr>
          <w:lang w:val="en-GB"/>
        </w:rPr>
      </w:pPr>
      <w:r>
        <w:rPr>
          <w:lang w:val="en-GB"/>
        </w:rPr>
        <w:t>The hybrid approach and the ‘</w:t>
      </w:r>
      <w:r>
        <w:rPr>
          <w:i/>
          <w:lang w:val="en-GB"/>
        </w:rPr>
        <w:t>Woolwich</w:t>
      </w:r>
      <w:r>
        <w:rPr>
          <w:lang w:val="en-GB"/>
        </w:rPr>
        <w:t xml:space="preserve"> unjust factor’</w:t>
      </w:r>
    </w:p>
    <w:p w14:paraId="7A0FDD47" w14:textId="311B0DA1" w:rsidR="00E1197E" w:rsidRDefault="00E1197E" w:rsidP="0064125D">
      <w:pPr>
        <w:spacing w:line="276" w:lineRule="auto"/>
        <w:rPr>
          <w:rFonts w:asciiTheme="minorHAnsi" w:hAnsiTheme="minorHAnsi"/>
          <w:sz w:val="22"/>
          <w:szCs w:val="22"/>
        </w:rPr>
      </w:pPr>
      <w:r>
        <w:rPr>
          <w:rFonts w:asciiTheme="minorHAnsi" w:hAnsiTheme="minorHAnsi"/>
          <w:sz w:val="22"/>
          <w:szCs w:val="22"/>
          <w:lang w:val="en-GB"/>
        </w:rPr>
        <w:t>The origins of this hybrid approach can be found in</w:t>
      </w:r>
      <w:r w:rsidR="00CD0936">
        <w:rPr>
          <w:rFonts w:asciiTheme="minorHAnsi" w:hAnsiTheme="minorHAnsi"/>
          <w:sz w:val="22"/>
          <w:szCs w:val="22"/>
          <w:lang w:val="en-GB"/>
        </w:rPr>
        <w:t xml:space="preserve"> </w:t>
      </w:r>
      <w:r w:rsidR="00CD0936">
        <w:rPr>
          <w:rFonts w:asciiTheme="minorHAnsi" w:hAnsiTheme="minorHAnsi"/>
          <w:i/>
          <w:sz w:val="22"/>
          <w:szCs w:val="22"/>
          <w:lang w:val="en-GB"/>
        </w:rPr>
        <w:t>Woolwich Equitable Building Society v IRC</w:t>
      </w:r>
      <w:r w:rsidR="00A3269D" w:rsidRPr="00A3269D">
        <w:rPr>
          <w:rStyle w:val="FootnoteReference"/>
          <w:rFonts w:asciiTheme="minorHAnsi" w:hAnsiTheme="minorHAnsi"/>
          <w:sz w:val="22"/>
          <w:szCs w:val="22"/>
          <w:lang w:val="en-GB"/>
        </w:rPr>
        <w:footnoteReference w:id="7"/>
      </w:r>
      <w:r w:rsidR="00CD0936">
        <w:rPr>
          <w:rFonts w:asciiTheme="minorHAnsi" w:hAnsiTheme="minorHAnsi"/>
          <w:sz w:val="22"/>
          <w:szCs w:val="22"/>
          <w:lang w:val="en-GB"/>
        </w:rPr>
        <w:t xml:space="preserve"> in which </w:t>
      </w:r>
      <w:r w:rsidR="00CD0936">
        <w:rPr>
          <w:rFonts w:asciiTheme="minorHAnsi" w:hAnsiTheme="minorHAnsi"/>
          <w:sz w:val="22"/>
          <w:szCs w:val="22"/>
        </w:rPr>
        <w:t>t</w:t>
      </w:r>
      <w:r w:rsidR="00CD0936" w:rsidRPr="00CD0936">
        <w:rPr>
          <w:rFonts w:asciiTheme="minorHAnsi" w:hAnsiTheme="minorHAnsi"/>
          <w:sz w:val="22"/>
          <w:szCs w:val="22"/>
        </w:rPr>
        <w:t>he Woolwich Building Society had paid a tax it knew was invalid, fearing that if it did not do so its customers would think that it could not pay. The Woolwich then successfully challenged the tax in judicial review,</w:t>
      </w:r>
      <w:r w:rsidR="009C483B">
        <w:rPr>
          <w:rStyle w:val="FootnoteReference"/>
          <w:rFonts w:asciiTheme="minorHAnsi" w:hAnsiTheme="minorHAnsi"/>
          <w:sz w:val="22"/>
          <w:szCs w:val="22"/>
        </w:rPr>
        <w:footnoteReference w:id="8"/>
      </w:r>
      <w:r w:rsidR="00CD0936" w:rsidRPr="00CD0936">
        <w:rPr>
          <w:rFonts w:asciiTheme="minorHAnsi" w:hAnsiTheme="minorHAnsi"/>
          <w:sz w:val="22"/>
          <w:szCs w:val="22"/>
        </w:rPr>
        <w:t xml:space="preserve"> and the IRC agreed to return the principal amount paid, but denied any obligation to pay interest, and it was this </w:t>
      </w:r>
      <w:proofErr w:type="gramStart"/>
      <w:r w:rsidR="00CD0936" w:rsidRPr="00CD0936">
        <w:rPr>
          <w:rFonts w:asciiTheme="minorHAnsi" w:hAnsiTheme="minorHAnsi"/>
          <w:sz w:val="22"/>
          <w:szCs w:val="22"/>
        </w:rPr>
        <w:t>issue which</w:t>
      </w:r>
      <w:proofErr w:type="gramEnd"/>
      <w:r w:rsidR="00CD0936" w:rsidRPr="00CD0936">
        <w:rPr>
          <w:rFonts w:asciiTheme="minorHAnsi" w:hAnsiTheme="minorHAnsi"/>
          <w:sz w:val="22"/>
          <w:szCs w:val="22"/>
        </w:rPr>
        <w:t xml:space="preserve"> came to court </w:t>
      </w:r>
      <w:r w:rsidR="00CD0936" w:rsidRPr="001A5651">
        <w:rPr>
          <w:rFonts w:asciiTheme="minorHAnsi" w:hAnsiTheme="minorHAnsi"/>
          <w:sz w:val="22"/>
          <w:szCs w:val="22"/>
        </w:rPr>
        <w:t xml:space="preserve">as </w:t>
      </w:r>
      <w:r w:rsidR="001A5651" w:rsidRPr="001A5651">
        <w:rPr>
          <w:rFonts w:asciiTheme="minorHAnsi" w:hAnsiTheme="minorHAnsi"/>
          <w:sz w:val="22"/>
          <w:szCs w:val="22"/>
        </w:rPr>
        <w:t xml:space="preserve">the second </w:t>
      </w:r>
      <w:r w:rsidR="001A5651">
        <w:rPr>
          <w:rFonts w:asciiTheme="minorHAnsi" w:hAnsiTheme="minorHAnsi"/>
          <w:i/>
          <w:sz w:val="22"/>
          <w:szCs w:val="22"/>
        </w:rPr>
        <w:t>Woolwich</w:t>
      </w:r>
      <w:r w:rsidR="001A5651">
        <w:rPr>
          <w:rFonts w:asciiTheme="minorHAnsi" w:hAnsiTheme="minorHAnsi"/>
          <w:sz w:val="22"/>
          <w:szCs w:val="22"/>
        </w:rPr>
        <w:t xml:space="preserve"> case</w:t>
      </w:r>
      <w:r w:rsidR="00CD0936" w:rsidRPr="00CD0936">
        <w:rPr>
          <w:rFonts w:asciiTheme="minorHAnsi" w:hAnsiTheme="minorHAnsi"/>
          <w:sz w:val="22"/>
          <w:szCs w:val="22"/>
        </w:rPr>
        <w:t>. If it could be shown that the claimants had a legal entitlement to the principal sum then interest would be payable, so the question was whether that principal sum could indeed be claimed on the basis of unjust enrichment. The House of Lords held that it could, and that the amount could be recovered irrespective of whether it was paid under mistake or duress, thus creating</w:t>
      </w:r>
      <w:r w:rsidR="001A5651">
        <w:rPr>
          <w:rFonts w:asciiTheme="minorHAnsi" w:hAnsiTheme="minorHAnsi"/>
          <w:sz w:val="22"/>
          <w:szCs w:val="22"/>
        </w:rPr>
        <w:t xml:space="preserve"> a new ‘reason for restitution’, known as the ‘</w:t>
      </w:r>
      <w:r w:rsidR="001A5651">
        <w:rPr>
          <w:rFonts w:asciiTheme="minorHAnsi" w:hAnsiTheme="minorHAnsi"/>
          <w:i/>
          <w:sz w:val="22"/>
          <w:szCs w:val="22"/>
        </w:rPr>
        <w:t>Woolwich</w:t>
      </w:r>
      <w:r w:rsidR="00A3269D">
        <w:rPr>
          <w:rFonts w:asciiTheme="minorHAnsi" w:hAnsiTheme="minorHAnsi"/>
          <w:sz w:val="22"/>
          <w:szCs w:val="22"/>
        </w:rPr>
        <w:t xml:space="preserve"> unjust factor’. The </w:t>
      </w:r>
      <w:r w:rsidR="001A5651">
        <w:rPr>
          <w:rFonts w:asciiTheme="minorHAnsi" w:hAnsiTheme="minorHAnsi"/>
          <w:sz w:val="22"/>
          <w:szCs w:val="22"/>
        </w:rPr>
        <w:t>very fact that it was known by t</w:t>
      </w:r>
      <w:r w:rsidR="00963759">
        <w:rPr>
          <w:rFonts w:asciiTheme="minorHAnsi" w:hAnsiTheme="minorHAnsi"/>
          <w:sz w:val="22"/>
          <w:szCs w:val="22"/>
        </w:rPr>
        <w:t xml:space="preserve">he name of the case creating it suggests that it was not properly </w:t>
      </w:r>
      <w:proofErr w:type="spellStart"/>
      <w:r w:rsidR="00963759">
        <w:rPr>
          <w:rFonts w:asciiTheme="minorHAnsi" w:hAnsiTheme="minorHAnsi"/>
          <w:sz w:val="22"/>
          <w:szCs w:val="22"/>
        </w:rPr>
        <w:t>analysed</w:t>
      </w:r>
      <w:proofErr w:type="spellEnd"/>
      <w:r w:rsidR="00963759">
        <w:rPr>
          <w:rFonts w:asciiTheme="minorHAnsi" w:hAnsiTheme="minorHAnsi"/>
          <w:sz w:val="22"/>
          <w:szCs w:val="22"/>
        </w:rPr>
        <w:t xml:space="preserve">, and </w:t>
      </w:r>
      <w:r w:rsidR="00CD0936" w:rsidRPr="00CD0936">
        <w:rPr>
          <w:rFonts w:asciiTheme="minorHAnsi" w:hAnsiTheme="minorHAnsi"/>
          <w:sz w:val="22"/>
          <w:szCs w:val="22"/>
        </w:rPr>
        <w:t>in fact</w:t>
      </w:r>
      <w:r w:rsidR="00A3269D">
        <w:rPr>
          <w:rFonts w:asciiTheme="minorHAnsi" w:hAnsiTheme="minorHAnsi"/>
          <w:sz w:val="22"/>
          <w:szCs w:val="22"/>
        </w:rPr>
        <w:t xml:space="preserve"> this ‘new reason for restitution’ should</w:t>
      </w:r>
      <w:r w:rsidR="00CD0936" w:rsidRPr="00CD0936">
        <w:rPr>
          <w:rFonts w:asciiTheme="minorHAnsi" w:hAnsiTheme="minorHAnsi"/>
          <w:sz w:val="22"/>
          <w:szCs w:val="22"/>
        </w:rPr>
        <w:t xml:space="preserve"> be understood as being the ultra vires nature of the charge itself.</w:t>
      </w:r>
      <w:r w:rsidR="00CD0936">
        <w:rPr>
          <w:rFonts w:asciiTheme="minorHAnsi" w:hAnsiTheme="minorHAnsi"/>
          <w:sz w:val="22"/>
          <w:szCs w:val="22"/>
        </w:rPr>
        <w:t xml:space="preserve"> </w:t>
      </w:r>
      <w:r w:rsidR="0064125D" w:rsidRPr="0064125D">
        <w:rPr>
          <w:rFonts w:asciiTheme="minorHAnsi" w:hAnsiTheme="minorHAnsi"/>
          <w:sz w:val="22"/>
          <w:szCs w:val="22"/>
        </w:rPr>
        <w:t xml:space="preserve">This is evidenced by the fact that the four strands of reasoning used to support the decision in </w:t>
      </w:r>
      <w:r w:rsidR="0064125D" w:rsidRPr="00A3269D">
        <w:rPr>
          <w:rFonts w:asciiTheme="minorHAnsi" w:hAnsiTheme="minorHAnsi"/>
          <w:i/>
          <w:sz w:val="22"/>
          <w:szCs w:val="22"/>
        </w:rPr>
        <w:t>Woolwich</w:t>
      </w:r>
      <w:r w:rsidR="0064125D" w:rsidRPr="0064125D">
        <w:rPr>
          <w:rFonts w:asciiTheme="minorHAnsi" w:hAnsiTheme="minorHAnsi"/>
          <w:sz w:val="22"/>
          <w:szCs w:val="22"/>
        </w:rPr>
        <w:t xml:space="preserve"> and discussed in the subsequent academic literature are the concepts of illegality, incapacity, transactional inequality and absence of basis.</w:t>
      </w:r>
      <w:r w:rsidR="009F74EE">
        <w:rPr>
          <w:rStyle w:val="FootnoteReference"/>
          <w:rFonts w:asciiTheme="minorHAnsi" w:hAnsiTheme="minorHAnsi"/>
          <w:sz w:val="22"/>
          <w:szCs w:val="22"/>
        </w:rPr>
        <w:footnoteReference w:id="9"/>
      </w:r>
      <w:r w:rsidR="0064125D" w:rsidRPr="0064125D">
        <w:rPr>
          <w:rFonts w:asciiTheme="minorHAnsi" w:hAnsiTheme="minorHAnsi"/>
          <w:sz w:val="22"/>
          <w:szCs w:val="22"/>
        </w:rPr>
        <w:t xml:space="preserve"> None of these individually was found to be sufficient to justify restitution, but taken together they are indicative of the public law nature of the claim. Transactional inequality, illegality and incapacity are of course relevant because the very essence of </w:t>
      </w:r>
      <w:r w:rsidR="0064125D" w:rsidRPr="0064125D">
        <w:rPr>
          <w:rFonts w:asciiTheme="minorHAnsi" w:hAnsiTheme="minorHAnsi"/>
          <w:sz w:val="22"/>
          <w:szCs w:val="22"/>
        </w:rPr>
        <w:lastRenderedPageBreak/>
        <w:t xml:space="preserve">public law, as discussed for example in </w:t>
      </w:r>
      <w:r w:rsidR="0064125D" w:rsidRPr="00A3269D">
        <w:rPr>
          <w:rFonts w:asciiTheme="minorHAnsi" w:hAnsiTheme="minorHAnsi"/>
          <w:i/>
          <w:sz w:val="22"/>
          <w:szCs w:val="22"/>
        </w:rPr>
        <w:t xml:space="preserve">ex p </w:t>
      </w:r>
      <w:proofErr w:type="spellStart"/>
      <w:r w:rsidR="0064125D" w:rsidRPr="00A3269D">
        <w:rPr>
          <w:rFonts w:asciiTheme="minorHAnsi" w:hAnsiTheme="minorHAnsi"/>
          <w:i/>
          <w:sz w:val="22"/>
          <w:szCs w:val="22"/>
        </w:rPr>
        <w:t>Fewings</w:t>
      </w:r>
      <w:proofErr w:type="spellEnd"/>
      <w:r w:rsidR="0064125D" w:rsidRPr="0064125D">
        <w:rPr>
          <w:rFonts w:asciiTheme="minorHAnsi" w:hAnsiTheme="minorHAnsi"/>
          <w:sz w:val="22"/>
          <w:szCs w:val="22"/>
        </w:rPr>
        <w:t>,</w:t>
      </w:r>
      <w:r w:rsidR="00A3269D">
        <w:rPr>
          <w:rStyle w:val="FootnoteReference"/>
          <w:rFonts w:asciiTheme="minorHAnsi" w:hAnsiTheme="minorHAnsi"/>
          <w:sz w:val="22"/>
          <w:szCs w:val="22"/>
        </w:rPr>
        <w:footnoteReference w:id="10"/>
      </w:r>
      <w:r w:rsidR="0064125D" w:rsidRPr="0064125D">
        <w:rPr>
          <w:rFonts w:asciiTheme="minorHAnsi" w:hAnsiTheme="minorHAnsi"/>
          <w:sz w:val="22"/>
          <w:szCs w:val="22"/>
        </w:rPr>
        <w:t xml:space="preserve"> is the simultaneously greater and more limited power of public authorities. On the one hand public authorities can compel private entities to act in certain ways (transactional inequality</w:t>
      </w:r>
      <w:r w:rsidR="00500C8A">
        <w:rPr>
          <w:rFonts w:asciiTheme="minorHAnsi" w:hAnsiTheme="minorHAnsi"/>
          <w:sz w:val="22"/>
          <w:szCs w:val="22"/>
        </w:rPr>
        <w:t xml:space="preserve">, as in </w:t>
      </w:r>
      <w:proofErr w:type="spellStart"/>
      <w:r w:rsidR="00500C8A">
        <w:rPr>
          <w:rFonts w:asciiTheme="minorHAnsi" w:hAnsiTheme="minorHAnsi"/>
          <w:i/>
          <w:sz w:val="22"/>
          <w:szCs w:val="22"/>
        </w:rPr>
        <w:t>Datafin</w:t>
      </w:r>
      <w:proofErr w:type="spellEnd"/>
      <w:r w:rsidR="00500C8A">
        <w:rPr>
          <w:rFonts w:asciiTheme="minorHAnsi" w:hAnsiTheme="minorHAnsi"/>
          <w:sz w:val="22"/>
          <w:szCs w:val="22"/>
        </w:rPr>
        <w:t>),</w:t>
      </w:r>
      <w:r w:rsidR="00500C8A" w:rsidRPr="00500C8A">
        <w:rPr>
          <w:rStyle w:val="FootnoteReference"/>
          <w:rFonts w:asciiTheme="minorHAnsi" w:hAnsiTheme="minorHAnsi"/>
          <w:sz w:val="22"/>
          <w:szCs w:val="22"/>
        </w:rPr>
        <w:footnoteReference w:id="11"/>
      </w:r>
      <w:r w:rsidR="0064125D" w:rsidRPr="0064125D">
        <w:rPr>
          <w:rFonts w:asciiTheme="minorHAnsi" w:hAnsiTheme="minorHAnsi"/>
          <w:sz w:val="22"/>
          <w:szCs w:val="22"/>
        </w:rPr>
        <w:t xml:space="preserve"> but on the other hand they also have much more limited capacity (illegality and incapacity). And of course the idea of absence of basis arises because once the act of a public authority has been held to be ultra vires it is, as a result, void ab initio. In my view, then, what has become </w:t>
      </w:r>
      <w:proofErr w:type="gramStart"/>
      <w:r w:rsidR="0064125D" w:rsidRPr="0064125D">
        <w:rPr>
          <w:rFonts w:asciiTheme="minorHAnsi" w:hAnsiTheme="minorHAnsi"/>
          <w:sz w:val="22"/>
          <w:szCs w:val="22"/>
        </w:rPr>
        <w:t>known</w:t>
      </w:r>
      <w:proofErr w:type="gramEnd"/>
      <w:r w:rsidR="0064125D" w:rsidRPr="0064125D">
        <w:rPr>
          <w:rFonts w:asciiTheme="minorHAnsi" w:hAnsiTheme="minorHAnsi"/>
          <w:sz w:val="22"/>
          <w:szCs w:val="22"/>
        </w:rPr>
        <w:t xml:space="preserve"> as the ‘</w:t>
      </w:r>
      <w:r w:rsidR="0064125D" w:rsidRPr="00A3269D">
        <w:rPr>
          <w:rFonts w:asciiTheme="minorHAnsi" w:hAnsiTheme="minorHAnsi"/>
          <w:i/>
          <w:sz w:val="22"/>
          <w:szCs w:val="22"/>
        </w:rPr>
        <w:t>Woolwich</w:t>
      </w:r>
      <w:r w:rsidR="0064125D" w:rsidRPr="0064125D">
        <w:rPr>
          <w:rFonts w:asciiTheme="minorHAnsi" w:hAnsiTheme="minorHAnsi"/>
          <w:sz w:val="22"/>
          <w:szCs w:val="22"/>
        </w:rPr>
        <w:t xml:space="preserve"> unjust factor’ is, in fact simply the fact that the payment or transaction was ultra vires as a matter of public law.</w:t>
      </w:r>
    </w:p>
    <w:p w14:paraId="4DA8F53D" w14:textId="77777777" w:rsidR="00E1197E" w:rsidRPr="0064125D" w:rsidRDefault="00E1197E" w:rsidP="00E1197E">
      <w:pPr>
        <w:pStyle w:val="Heading1"/>
      </w:pPr>
      <w:r>
        <w:t>Implications of the hybrid approach</w:t>
      </w:r>
    </w:p>
    <w:p w14:paraId="65D4F628" w14:textId="77777777" w:rsidR="003B6133" w:rsidRPr="003B6133" w:rsidRDefault="003B6133" w:rsidP="003B6133">
      <w:pPr>
        <w:pStyle w:val="Heading2"/>
      </w:pPr>
      <w:r>
        <w:t xml:space="preserve">Answering the questions left open after </w:t>
      </w:r>
      <w:r>
        <w:rPr>
          <w:i/>
        </w:rPr>
        <w:t>Woolwich</w:t>
      </w:r>
    </w:p>
    <w:p w14:paraId="35F443EF" w14:textId="77777777" w:rsidR="00153E23" w:rsidRDefault="00E30C81" w:rsidP="00F4786F">
      <w:pPr>
        <w:spacing w:line="276" w:lineRule="auto"/>
        <w:rPr>
          <w:rFonts w:asciiTheme="minorHAnsi" w:hAnsiTheme="minorHAnsi"/>
          <w:sz w:val="22"/>
          <w:szCs w:val="22"/>
        </w:rPr>
      </w:pPr>
      <w:r w:rsidRPr="00E30C81">
        <w:rPr>
          <w:rFonts w:asciiTheme="minorHAnsi" w:hAnsiTheme="minorHAnsi"/>
          <w:sz w:val="22"/>
          <w:szCs w:val="22"/>
        </w:rPr>
        <w:t>If this is accepted it has various important practical implications.</w:t>
      </w:r>
      <w:r w:rsidR="00E1197E" w:rsidRPr="00E1197E">
        <w:rPr>
          <w:rStyle w:val="FootnoteReference"/>
          <w:rFonts w:asciiTheme="minorHAnsi" w:hAnsiTheme="minorHAnsi"/>
          <w:sz w:val="22"/>
          <w:szCs w:val="22"/>
        </w:rPr>
        <w:t xml:space="preserve"> </w:t>
      </w:r>
      <w:r w:rsidRPr="00E30C81">
        <w:rPr>
          <w:rFonts w:asciiTheme="minorHAnsi" w:hAnsiTheme="minorHAnsi"/>
          <w:sz w:val="22"/>
          <w:szCs w:val="22"/>
        </w:rPr>
        <w:t xml:space="preserve">First, many of the questions left open after the </w:t>
      </w:r>
      <w:r w:rsidRPr="00500C8A">
        <w:rPr>
          <w:rFonts w:asciiTheme="minorHAnsi" w:hAnsiTheme="minorHAnsi"/>
          <w:i/>
          <w:sz w:val="22"/>
          <w:szCs w:val="22"/>
        </w:rPr>
        <w:t>Woolwich</w:t>
      </w:r>
      <w:r w:rsidRPr="00E30C81">
        <w:rPr>
          <w:rFonts w:asciiTheme="minorHAnsi" w:hAnsiTheme="minorHAnsi"/>
          <w:sz w:val="22"/>
          <w:szCs w:val="22"/>
        </w:rPr>
        <w:t xml:space="preserve"> decisi</w:t>
      </w:r>
      <w:r w:rsidR="00E1197E">
        <w:rPr>
          <w:rFonts w:asciiTheme="minorHAnsi" w:hAnsiTheme="minorHAnsi"/>
          <w:sz w:val="22"/>
          <w:szCs w:val="22"/>
        </w:rPr>
        <w:t>on can immediately be answered.</w:t>
      </w:r>
      <w:r w:rsidR="00E1197E">
        <w:rPr>
          <w:rStyle w:val="FootnoteReference"/>
          <w:rFonts w:asciiTheme="minorHAnsi" w:hAnsiTheme="minorHAnsi"/>
          <w:sz w:val="22"/>
          <w:szCs w:val="22"/>
        </w:rPr>
        <w:footnoteReference w:id="12"/>
      </w:r>
      <w:r w:rsidR="00E1197E">
        <w:rPr>
          <w:rFonts w:asciiTheme="minorHAnsi" w:hAnsiTheme="minorHAnsi"/>
          <w:sz w:val="22"/>
          <w:szCs w:val="22"/>
        </w:rPr>
        <w:t xml:space="preserve"> </w:t>
      </w:r>
      <w:r w:rsidRPr="00E30C81">
        <w:rPr>
          <w:rFonts w:asciiTheme="minorHAnsi" w:hAnsiTheme="minorHAnsi"/>
          <w:sz w:val="22"/>
          <w:szCs w:val="22"/>
        </w:rPr>
        <w:t>For example,</w:t>
      </w:r>
      <w:r>
        <w:rPr>
          <w:rFonts w:asciiTheme="minorHAnsi" w:hAnsiTheme="minorHAnsi"/>
          <w:sz w:val="22"/>
          <w:szCs w:val="22"/>
        </w:rPr>
        <w:t xml:space="preserve"> </w:t>
      </w:r>
      <w:r w:rsidR="00153E23">
        <w:rPr>
          <w:rFonts w:asciiTheme="minorHAnsi" w:hAnsiTheme="minorHAnsi"/>
          <w:sz w:val="22"/>
          <w:szCs w:val="22"/>
        </w:rPr>
        <w:t xml:space="preserve">in the subsequent case of </w:t>
      </w:r>
      <w:r w:rsidR="00153E23">
        <w:rPr>
          <w:rFonts w:asciiTheme="minorHAnsi" w:hAnsiTheme="minorHAnsi"/>
          <w:i/>
          <w:sz w:val="22"/>
          <w:szCs w:val="22"/>
        </w:rPr>
        <w:t xml:space="preserve">FII </w:t>
      </w:r>
      <w:r w:rsidR="00153E23">
        <w:rPr>
          <w:rFonts w:asciiTheme="minorHAnsi" w:hAnsiTheme="minorHAnsi"/>
          <w:sz w:val="22"/>
          <w:szCs w:val="22"/>
        </w:rPr>
        <w:t xml:space="preserve">the Supreme Court had to decide whether </w:t>
      </w:r>
      <w:r>
        <w:rPr>
          <w:rFonts w:asciiTheme="minorHAnsi" w:hAnsiTheme="minorHAnsi"/>
          <w:sz w:val="22"/>
          <w:szCs w:val="22"/>
        </w:rPr>
        <w:t>for the so-called ‘</w:t>
      </w:r>
      <w:r>
        <w:rPr>
          <w:rFonts w:asciiTheme="minorHAnsi" w:hAnsiTheme="minorHAnsi"/>
          <w:i/>
          <w:sz w:val="22"/>
          <w:szCs w:val="22"/>
        </w:rPr>
        <w:t>Woolwich</w:t>
      </w:r>
      <w:r>
        <w:rPr>
          <w:rFonts w:asciiTheme="minorHAnsi" w:hAnsiTheme="minorHAnsi"/>
          <w:sz w:val="22"/>
          <w:szCs w:val="22"/>
        </w:rPr>
        <w:t xml:space="preserve"> unjust factor’ to apply</w:t>
      </w:r>
      <w:r w:rsidRPr="00E30C81">
        <w:rPr>
          <w:rFonts w:asciiTheme="minorHAnsi" w:hAnsiTheme="minorHAnsi"/>
          <w:sz w:val="22"/>
          <w:szCs w:val="22"/>
        </w:rPr>
        <w:t xml:space="preserve"> </w:t>
      </w:r>
      <w:r w:rsidR="00153E23">
        <w:rPr>
          <w:rFonts w:asciiTheme="minorHAnsi" w:hAnsiTheme="minorHAnsi"/>
          <w:sz w:val="22"/>
          <w:szCs w:val="22"/>
        </w:rPr>
        <w:t xml:space="preserve">it </w:t>
      </w:r>
      <w:r>
        <w:rPr>
          <w:rFonts w:asciiTheme="minorHAnsi" w:hAnsiTheme="minorHAnsi"/>
          <w:sz w:val="22"/>
          <w:szCs w:val="22"/>
        </w:rPr>
        <w:t>w</w:t>
      </w:r>
      <w:r w:rsidR="00153E23">
        <w:rPr>
          <w:rFonts w:asciiTheme="minorHAnsi" w:hAnsiTheme="minorHAnsi"/>
          <w:sz w:val="22"/>
          <w:szCs w:val="22"/>
        </w:rPr>
        <w:t>ould</w:t>
      </w:r>
      <w:r>
        <w:rPr>
          <w:rFonts w:asciiTheme="minorHAnsi" w:hAnsiTheme="minorHAnsi"/>
          <w:sz w:val="22"/>
          <w:szCs w:val="22"/>
        </w:rPr>
        <w:t xml:space="preserve"> be</w:t>
      </w:r>
      <w:r w:rsidRPr="00E30C81">
        <w:rPr>
          <w:rFonts w:asciiTheme="minorHAnsi" w:hAnsiTheme="minorHAnsi"/>
          <w:sz w:val="22"/>
          <w:szCs w:val="22"/>
        </w:rPr>
        <w:t xml:space="preserve"> necessary for there to have been either a protest or a demand in orde</w:t>
      </w:r>
      <w:r>
        <w:rPr>
          <w:rFonts w:asciiTheme="minorHAnsi" w:hAnsiTheme="minorHAnsi"/>
          <w:sz w:val="22"/>
          <w:szCs w:val="22"/>
        </w:rPr>
        <w:t>r for restitution to be granted</w:t>
      </w:r>
      <w:r w:rsidR="00E1197E">
        <w:rPr>
          <w:rFonts w:asciiTheme="minorHAnsi" w:hAnsiTheme="minorHAnsi"/>
          <w:sz w:val="22"/>
          <w:szCs w:val="22"/>
        </w:rPr>
        <w:t xml:space="preserve"> (it is not)</w:t>
      </w:r>
      <w:r w:rsidR="00153E23">
        <w:rPr>
          <w:rFonts w:asciiTheme="minorHAnsi" w:hAnsiTheme="minorHAnsi"/>
          <w:sz w:val="22"/>
          <w:szCs w:val="22"/>
        </w:rPr>
        <w:t>.</w:t>
      </w:r>
      <w:r>
        <w:rPr>
          <w:rFonts w:asciiTheme="minorHAnsi" w:hAnsiTheme="minorHAnsi"/>
          <w:sz w:val="22"/>
          <w:szCs w:val="22"/>
        </w:rPr>
        <w:t xml:space="preserve"> </w:t>
      </w:r>
      <w:r w:rsidR="00F65E50">
        <w:rPr>
          <w:rFonts w:asciiTheme="minorHAnsi" w:hAnsiTheme="minorHAnsi"/>
          <w:sz w:val="22"/>
          <w:szCs w:val="22"/>
        </w:rPr>
        <w:t xml:space="preserve">But </w:t>
      </w:r>
      <w:r w:rsidR="00E1197E">
        <w:rPr>
          <w:rFonts w:asciiTheme="minorHAnsi" w:hAnsiTheme="minorHAnsi"/>
          <w:sz w:val="22"/>
          <w:szCs w:val="22"/>
        </w:rPr>
        <w:t>if the hybrid</w:t>
      </w:r>
      <w:r w:rsidR="001C3005">
        <w:rPr>
          <w:rFonts w:asciiTheme="minorHAnsi" w:hAnsiTheme="minorHAnsi"/>
          <w:sz w:val="22"/>
          <w:szCs w:val="22"/>
        </w:rPr>
        <w:t xml:space="preserve"> approach</w:t>
      </w:r>
      <w:r w:rsidR="00F65E50">
        <w:rPr>
          <w:rFonts w:asciiTheme="minorHAnsi" w:hAnsiTheme="minorHAnsi"/>
          <w:sz w:val="22"/>
          <w:szCs w:val="22"/>
        </w:rPr>
        <w:t xml:space="preserve"> </w:t>
      </w:r>
      <w:r w:rsidR="00E1197E">
        <w:rPr>
          <w:rFonts w:asciiTheme="minorHAnsi" w:hAnsiTheme="minorHAnsi"/>
          <w:sz w:val="22"/>
          <w:szCs w:val="22"/>
        </w:rPr>
        <w:t xml:space="preserve">proposed here </w:t>
      </w:r>
      <w:r w:rsidR="00F65E50">
        <w:rPr>
          <w:rFonts w:asciiTheme="minorHAnsi" w:hAnsiTheme="minorHAnsi"/>
          <w:sz w:val="22"/>
          <w:szCs w:val="22"/>
        </w:rPr>
        <w:t>were to be adopted this questi</w:t>
      </w:r>
      <w:r w:rsidR="00153E23">
        <w:rPr>
          <w:rFonts w:asciiTheme="minorHAnsi" w:hAnsiTheme="minorHAnsi"/>
          <w:sz w:val="22"/>
          <w:szCs w:val="22"/>
        </w:rPr>
        <w:t>o</w:t>
      </w:r>
      <w:r w:rsidR="00F65E50">
        <w:rPr>
          <w:rFonts w:asciiTheme="minorHAnsi" w:hAnsiTheme="minorHAnsi"/>
          <w:sz w:val="22"/>
          <w:szCs w:val="22"/>
        </w:rPr>
        <w:t>n</w:t>
      </w:r>
      <w:r w:rsidR="00153E23">
        <w:rPr>
          <w:rFonts w:asciiTheme="minorHAnsi" w:hAnsiTheme="minorHAnsi"/>
          <w:sz w:val="22"/>
          <w:szCs w:val="22"/>
        </w:rPr>
        <w:t xml:space="preserve"> need not arise;</w:t>
      </w:r>
      <w:r w:rsidR="00E1197E">
        <w:rPr>
          <w:rFonts w:asciiTheme="minorHAnsi" w:hAnsiTheme="minorHAnsi"/>
          <w:sz w:val="22"/>
          <w:szCs w:val="22"/>
        </w:rPr>
        <w:t xml:space="preserve"> </w:t>
      </w:r>
      <w:r>
        <w:rPr>
          <w:rFonts w:asciiTheme="minorHAnsi" w:hAnsiTheme="minorHAnsi"/>
          <w:sz w:val="22"/>
          <w:szCs w:val="22"/>
        </w:rPr>
        <w:t>once the ‘</w:t>
      </w:r>
      <w:r>
        <w:rPr>
          <w:rFonts w:asciiTheme="minorHAnsi" w:hAnsiTheme="minorHAnsi"/>
          <w:i/>
          <w:sz w:val="22"/>
          <w:szCs w:val="22"/>
        </w:rPr>
        <w:t>Woolwich</w:t>
      </w:r>
      <w:r>
        <w:rPr>
          <w:rFonts w:asciiTheme="minorHAnsi" w:hAnsiTheme="minorHAnsi"/>
          <w:sz w:val="22"/>
          <w:szCs w:val="22"/>
        </w:rPr>
        <w:t xml:space="preserve"> unjust factor’ is properly understood as simply being the ultra vires nature of the charge, then the answer is clear: that ultra vires nature is sufficient and there need be no protest or demand.</w:t>
      </w:r>
      <w:r w:rsidRPr="00E30C81">
        <w:rPr>
          <w:rFonts w:asciiTheme="minorHAnsi" w:hAnsiTheme="minorHAnsi"/>
          <w:sz w:val="22"/>
          <w:szCs w:val="22"/>
        </w:rPr>
        <w:t xml:space="preserve"> </w:t>
      </w:r>
      <w:r>
        <w:rPr>
          <w:rFonts w:asciiTheme="minorHAnsi" w:hAnsiTheme="minorHAnsi"/>
          <w:sz w:val="22"/>
          <w:szCs w:val="22"/>
        </w:rPr>
        <w:t>Similarly, i</w:t>
      </w:r>
      <w:r w:rsidRPr="00E30C81">
        <w:rPr>
          <w:rFonts w:asciiTheme="minorHAnsi" w:hAnsiTheme="minorHAnsi"/>
          <w:sz w:val="22"/>
          <w:szCs w:val="22"/>
        </w:rPr>
        <w:t xml:space="preserve">n terms of subject matter it was not immediately </w:t>
      </w:r>
      <w:r w:rsidR="00153E23">
        <w:rPr>
          <w:rFonts w:asciiTheme="minorHAnsi" w:hAnsiTheme="minorHAnsi"/>
          <w:sz w:val="22"/>
          <w:szCs w:val="22"/>
        </w:rPr>
        <w:t>obvious</w:t>
      </w:r>
      <w:r w:rsidRPr="00E30C81">
        <w:rPr>
          <w:rFonts w:asciiTheme="minorHAnsi" w:hAnsiTheme="minorHAnsi"/>
          <w:sz w:val="22"/>
          <w:szCs w:val="22"/>
        </w:rPr>
        <w:t xml:space="preserve"> what</w:t>
      </w:r>
      <w:r>
        <w:rPr>
          <w:rFonts w:asciiTheme="minorHAnsi" w:hAnsiTheme="minorHAnsi"/>
          <w:sz w:val="22"/>
          <w:szCs w:val="22"/>
        </w:rPr>
        <w:t xml:space="preserve"> exactly</w:t>
      </w:r>
      <w:r w:rsidRPr="00E30C81">
        <w:rPr>
          <w:rFonts w:asciiTheme="minorHAnsi" w:hAnsiTheme="minorHAnsi"/>
          <w:sz w:val="22"/>
          <w:szCs w:val="22"/>
        </w:rPr>
        <w:t xml:space="preserve"> the </w:t>
      </w:r>
      <w:r>
        <w:rPr>
          <w:rFonts w:asciiTheme="minorHAnsi" w:hAnsiTheme="minorHAnsi"/>
          <w:sz w:val="22"/>
          <w:szCs w:val="22"/>
        </w:rPr>
        <w:t>‘</w:t>
      </w:r>
      <w:r w:rsidRPr="00500C8A">
        <w:rPr>
          <w:rFonts w:asciiTheme="minorHAnsi" w:hAnsiTheme="minorHAnsi"/>
          <w:i/>
          <w:sz w:val="22"/>
          <w:szCs w:val="22"/>
        </w:rPr>
        <w:t>Woolwich</w:t>
      </w:r>
      <w:r w:rsidRPr="00E30C81">
        <w:rPr>
          <w:rFonts w:asciiTheme="minorHAnsi" w:hAnsiTheme="minorHAnsi"/>
          <w:sz w:val="22"/>
          <w:szCs w:val="22"/>
        </w:rPr>
        <w:t xml:space="preserve"> action</w:t>
      </w:r>
      <w:r>
        <w:rPr>
          <w:rFonts w:asciiTheme="minorHAnsi" w:hAnsiTheme="minorHAnsi"/>
          <w:sz w:val="22"/>
          <w:szCs w:val="22"/>
        </w:rPr>
        <w:t>’</w:t>
      </w:r>
      <w:r w:rsidRPr="00E30C81">
        <w:rPr>
          <w:rFonts w:asciiTheme="minorHAnsi" w:hAnsiTheme="minorHAnsi"/>
          <w:sz w:val="22"/>
          <w:szCs w:val="22"/>
        </w:rPr>
        <w:t xml:space="preserve"> would cover, but again, once it is understood as being </w:t>
      </w:r>
      <w:r w:rsidR="00153E23">
        <w:rPr>
          <w:rFonts w:asciiTheme="minorHAnsi" w:hAnsiTheme="minorHAnsi"/>
          <w:sz w:val="22"/>
          <w:szCs w:val="22"/>
        </w:rPr>
        <w:t>just</w:t>
      </w:r>
      <w:r w:rsidRPr="00E30C81">
        <w:rPr>
          <w:rFonts w:asciiTheme="minorHAnsi" w:hAnsiTheme="minorHAnsi"/>
          <w:sz w:val="22"/>
          <w:szCs w:val="22"/>
        </w:rPr>
        <w:t xml:space="preserve"> the ultra vires nature of the claim, it becomes </w:t>
      </w:r>
      <w:r w:rsidR="00153E23">
        <w:rPr>
          <w:rFonts w:asciiTheme="minorHAnsi" w:hAnsiTheme="minorHAnsi"/>
          <w:sz w:val="22"/>
          <w:szCs w:val="22"/>
        </w:rPr>
        <w:t>obvious</w:t>
      </w:r>
      <w:r w:rsidRPr="00E30C81">
        <w:rPr>
          <w:rFonts w:asciiTheme="minorHAnsi" w:hAnsiTheme="minorHAnsi"/>
          <w:sz w:val="22"/>
          <w:szCs w:val="22"/>
        </w:rPr>
        <w:t xml:space="preserve"> that whenever money has been obtained in an ultra vires manner, as defined by public law, it should in principle be recoverable. </w:t>
      </w:r>
      <w:r>
        <w:rPr>
          <w:rFonts w:asciiTheme="minorHAnsi" w:hAnsiTheme="minorHAnsi"/>
          <w:sz w:val="22"/>
          <w:szCs w:val="22"/>
        </w:rPr>
        <w:t>A</w:t>
      </w:r>
      <w:r w:rsidRPr="00E30C81">
        <w:rPr>
          <w:rFonts w:asciiTheme="minorHAnsi" w:hAnsiTheme="minorHAnsi"/>
          <w:sz w:val="22"/>
          <w:szCs w:val="22"/>
        </w:rPr>
        <w:t>ny kind of invalidity which renders the payment ultra vires will be sufficient, and the cause of action will apply in respect of any authority which would be regarded as ‘public’ for the purposes of administrative law.</w:t>
      </w:r>
      <w:r>
        <w:rPr>
          <w:rFonts w:asciiTheme="minorHAnsi" w:hAnsiTheme="minorHAnsi"/>
          <w:sz w:val="22"/>
          <w:szCs w:val="22"/>
        </w:rPr>
        <w:t xml:space="preserve"> </w:t>
      </w:r>
      <w:r w:rsidR="001C3005">
        <w:rPr>
          <w:rFonts w:asciiTheme="minorHAnsi" w:hAnsiTheme="minorHAnsi"/>
          <w:sz w:val="22"/>
          <w:szCs w:val="22"/>
        </w:rPr>
        <w:t xml:space="preserve">So rather than </w:t>
      </w:r>
      <w:r w:rsidR="00963759">
        <w:rPr>
          <w:rFonts w:asciiTheme="minorHAnsi" w:hAnsiTheme="minorHAnsi"/>
          <w:sz w:val="22"/>
          <w:szCs w:val="22"/>
        </w:rPr>
        <w:t xml:space="preserve">having private lawyers </w:t>
      </w:r>
      <w:r w:rsidR="001C3005">
        <w:rPr>
          <w:rFonts w:asciiTheme="minorHAnsi" w:hAnsiTheme="minorHAnsi"/>
          <w:sz w:val="22"/>
          <w:szCs w:val="22"/>
        </w:rPr>
        <w:t xml:space="preserve">reinventing the wheel, </w:t>
      </w:r>
      <w:r w:rsidR="00963759">
        <w:rPr>
          <w:rFonts w:asciiTheme="minorHAnsi" w:hAnsiTheme="minorHAnsi"/>
          <w:sz w:val="22"/>
          <w:szCs w:val="22"/>
        </w:rPr>
        <w:t xml:space="preserve">it would be much better to recognize that </w:t>
      </w:r>
      <w:r w:rsidR="001C3005">
        <w:rPr>
          <w:rFonts w:asciiTheme="minorHAnsi" w:hAnsiTheme="minorHAnsi"/>
          <w:sz w:val="22"/>
          <w:szCs w:val="22"/>
        </w:rPr>
        <w:t>the answers to all these questions already exist in public law, whereas c</w:t>
      </w:r>
      <w:r w:rsidR="00963759">
        <w:rPr>
          <w:rFonts w:asciiTheme="minorHAnsi" w:hAnsiTheme="minorHAnsi"/>
          <w:sz w:val="22"/>
          <w:szCs w:val="22"/>
        </w:rPr>
        <w:t xml:space="preserve">onversely if we use </w:t>
      </w:r>
      <w:r w:rsidR="001C3005">
        <w:rPr>
          <w:rFonts w:asciiTheme="minorHAnsi" w:hAnsiTheme="minorHAnsi"/>
          <w:sz w:val="22"/>
          <w:szCs w:val="22"/>
        </w:rPr>
        <w:t>a purely private approach</w:t>
      </w:r>
      <w:r w:rsidR="00153E23">
        <w:rPr>
          <w:rFonts w:asciiTheme="minorHAnsi" w:hAnsiTheme="minorHAnsi"/>
          <w:sz w:val="22"/>
          <w:szCs w:val="22"/>
        </w:rPr>
        <w:t xml:space="preserve"> there is no comprehensive understanding of what ‘policy motivated’ ‘</w:t>
      </w:r>
      <w:r w:rsidR="00153E23">
        <w:rPr>
          <w:rFonts w:asciiTheme="minorHAnsi" w:hAnsiTheme="minorHAnsi"/>
          <w:i/>
          <w:sz w:val="22"/>
          <w:szCs w:val="22"/>
        </w:rPr>
        <w:t>Woolwich</w:t>
      </w:r>
      <w:r w:rsidR="00153E23">
        <w:rPr>
          <w:rFonts w:asciiTheme="minorHAnsi" w:hAnsiTheme="minorHAnsi"/>
          <w:sz w:val="22"/>
          <w:szCs w:val="22"/>
        </w:rPr>
        <w:t xml:space="preserve"> claims’ entail, </w:t>
      </w:r>
      <w:r w:rsidR="00963759">
        <w:rPr>
          <w:rFonts w:asciiTheme="minorHAnsi" w:hAnsiTheme="minorHAnsi"/>
          <w:sz w:val="22"/>
          <w:szCs w:val="22"/>
        </w:rPr>
        <w:t>and thus</w:t>
      </w:r>
      <w:r w:rsidR="00153E23">
        <w:rPr>
          <w:rFonts w:asciiTheme="minorHAnsi" w:hAnsiTheme="minorHAnsi"/>
          <w:sz w:val="22"/>
          <w:szCs w:val="22"/>
        </w:rPr>
        <w:t xml:space="preserve"> any future question about the scope of </w:t>
      </w:r>
      <w:r w:rsidR="00153E23">
        <w:rPr>
          <w:rFonts w:asciiTheme="minorHAnsi" w:hAnsiTheme="minorHAnsi"/>
          <w:i/>
          <w:sz w:val="22"/>
          <w:szCs w:val="22"/>
        </w:rPr>
        <w:t>Woolwich</w:t>
      </w:r>
      <w:r w:rsidR="00153E23">
        <w:rPr>
          <w:rFonts w:asciiTheme="minorHAnsi" w:hAnsiTheme="minorHAnsi"/>
          <w:sz w:val="22"/>
          <w:szCs w:val="22"/>
        </w:rPr>
        <w:t xml:space="preserve"> will have to be tested by litigation.</w:t>
      </w:r>
    </w:p>
    <w:p w14:paraId="76DEF4C6" w14:textId="77777777" w:rsidR="003B6133" w:rsidRDefault="003B6133" w:rsidP="003B6133">
      <w:pPr>
        <w:pStyle w:val="Heading2"/>
      </w:pPr>
      <w:r>
        <w:t>Application to cases where the public authority is the claimant</w:t>
      </w:r>
    </w:p>
    <w:p w14:paraId="62613EAC" w14:textId="0BE90466" w:rsidR="00E30C81" w:rsidRDefault="0064125D" w:rsidP="00F4786F">
      <w:pPr>
        <w:spacing w:line="276" w:lineRule="auto"/>
        <w:rPr>
          <w:rFonts w:asciiTheme="minorHAnsi" w:hAnsiTheme="minorHAnsi"/>
          <w:sz w:val="22"/>
          <w:szCs w:val="22"/>
        </w:rPr>
      </w:pPr>
      <w:r>
        <w:rPr>
          <w:rFonts w:asciiTheme="minorHAnsi" w:hAnsiTheme="minorHAnsi"/>
          <w:sz w:val="22"/>
          <w:szCs w:val="22"/>
        </w:rPr>
        <w:t>A further, more significant implication</w:t>
      </w:r>
      <w:r w:rsidR="00E30C81" w:rsidRPr="00E30C81">
        <w:rPr>
          <w:rFonts w:asciiTheme="minorHAnsi" w:hAnsiTheme="minorHAnsi"/>
          <w:sz w:val="22"/>
          <w:szCs w:val="22"/>
        </w:rPr>
        <w:t xml:space="preserve"> </w:t>
      </w:r>
      <w:r w:rsidR="001C3005">
        <w:rPr>
          <w:rFonts w:asciiTheme="minorHAnsi" w:hAnsiTheme="minorHAnsi"/>
          <w:sz w:val="22"/>
          <w:szCs w:val="22"/>
        </w:rPr>
        <w:t xml:space="preserve">of </w:t>
      </w:r>
      <w:r w:rsidR="009F74EE">
        <w:rPr>
          <w:rFonts w:asciiTheme="minorHAnsi" w:hAnsiTheme="minorHAnsi"/>
          <w:sz w:val="22"/>
          <w:szCs w:val="22"/>
        </w:rPr>
        <w:t>the</w:t>
      </w:r>
      <w:r w:rsidR="001C3005">
        <w:rPr>
          <w:rFonts w:asciiTheme="minorHAnsi" w:hAnsiTheme="minorHAnsi"/>
          <w:sz w:val="22"/>
          <w:szCs w:val="22"/>
        </w:rPr>
        <w:t xml:space="preserve"> approach</w:t>
      </w:r>
      <w:r w:rsidR="009F74EE">
        <w:rPr>
          <w:rFonts w:asciiTheme="minorHAnsi" w:hAnsiTheme="minorHAnsi"/>
          <w:sz w:val="22"/>
          <w:szCs w:val="22"/>
        </w:rPr>
        <w:t xml:space="preserve"> proposed here</w:t>
      </w:r>
      <w:r w:rsidR="001C3005">
        <w:rPr>
          <w:rFonts w:asciiTheme="minorHAnsi" w:hAnsiTheme="minorHAnsi"/>
          <w:sz w:val="22"/>
          <w:szCs w:val="22"/>
        </w:rPr>
        <w:t xml:space="preserve"> is</w:t>
      </w:r>
      <w:r w:rsidR="00E30C81" w:rsidRPr="00E30C81">
        <w:rPr>
          <w:rFonts w:asciiTheme="minorHAnsi" w:hAnsiTheme="minorHAnsi"/>
          <w:sz w:val="22"/>
          <w:szCs w:val="22"/>
        </w:rPr>
        <w:t xml:space="preserve"> that </w:t>
      </w:r>
      <w:r>
        <w:rPr>
          <w:rFonts w:asciiTheme="minorHAnsi" w:hAnsiTheme="minorHAnsi"/>
          <w:sz w:val="22"/>
          <w:szCs w:val="22"/>
        </w:rPr>
        <w:t>the public law reason for restitution</w:t>
      </w:r>
      <w:r w:rsidR="00E30C81" w:rsidRPr="00E30C81">
        <w:rPr>
          <w:rFonts w:asciiTheme="minorHAnsi" w:hAnsiTheme="minorHAnsi"/>
          <w:sz w:val="22"/>
          <w:szCs w:val="22"/>
        </w:rPr>
        <w:t xml:space="preserve"> will apply not only where the public authority has received an ultr</w:t>
      </w:r>
      <w:r w:rsidR="00E30C81">
        <w:rPr>
          <w:rFonts w:asciiTheme="minorHAnsi" w:hAnsiTheme="minorHAnsi"/>
          <w:sz w:val="22"/>
          <w:szCs w:val="22"/>
        </w:rPr>
        <w:t xml:space="preserve">a vires charge, but also where </w:t>
      </w:r>
      <w:r w:rsidR="00E30C81" w:rsidRPr="00E30C81">
        <w:rPr>
          <w:rFonts w:asciiTheme="minorHAnsi" w:hAnsiTheme="minorHAnsi"/>
          <w:sz w:val="22"/>
          <w:szCs w:val="22"/>
        </w:rPr>
        <w:t>the pu</w:t>
      </w:r>
      <w:r w:rsidR="001C3005">
        <w:rPr>
          <w:rFonts w:asciiTheme="minorHAnsi" w:hAnsiTheme="minorHAnsi"/>
          <w:sz w:val="22"/>
          <w:szCs w:val="22"/>
        </w:rPr>
        <w:t>blic authority is the claimant, as in</w:t>
      </w:r>
      <w:r w:rsidR="00E30C81" w:rsidRPr="00E30C81">
        <w:rPr>
          <w:rFonts w:asciiTheme="minorHAnsi" w:hAnsiTheme="minorHAnsi"/>
          <w:sz w:val="22"/>
          <w:szCs w:val="22"/>
        </w:rPr>
        <w:t xml:space="preserve"> </w:t>
      </w:r>
      <w:r w:rsidR="00E30C81" w:rsidRPr="00E30C81">
        <w:rPr>
          <w:rFonts w:asciiTheme="minorHAnsi" w:hAnsiTheme="minorHAnsi"/>
          <w:i/>
          <w:sz w:val="22"/>
          <w:szCs w:val="22"/>
        </w:rPr>
        <w:t xml:space="preserve">Auckland </w:t>
      </w:r>
      <w:proofErr w:type="spellStart"/>
      <w:r w:rsidR="00E30C81" w:rsidRPr="00E30C81">
        <w:rPr>
          <w:rFonts w:asciiTheme="minorHAnsi" w:hAnsiTheme="minorHAnsi"/>
          <w:i/>
          <w:sz w:val="22"/>
          <w:szCs w:val="22"/>
        </w:rPr>
        <w:t>Harbour</w:t>
      </w:r>
      <w:proofErr w:type="spellEnd"/>
      <w:r w:rsidR="00E30C81" w:rsidRPr="00E30C81">
        <w:rPr>
          <w:rFonts w:asciiTheme="minorHAnsi" w:hAnsiTheme="minorHAnsi"/>
          <w:i/>
          <w:sz w:val="22"/>
          <w:szCs w:val="22"/>
        </w:rPr>
        <w:t xml:space="preserve"> Board v The King</w:t>
      </w:r>
      <w:r w:rsidR="001C3005">
        <w:rPr>
          <w:rFonts w:asciiTheme="minorHAnsi" w:hAnsiTheme="minorHAnsi"/>
          <w:sz w:val="22"/>
          <w:szCs w:val="22"/>
        </w:rPr>
        <w:t>.</w:t>
      </w:r>
      <w:r w:rsidR="00500C8A">
        <w:rPr>
          <w:rStyle w:val="FootnoteReference"/>
          <w:rFonts w:asciiTheme="minorHAnsi" w:hAnsiTheme="minorHAnsi"/>
          <w:sz w:val="22"/>
          <w:szCs w:val="22"/>
        </w:rPr>
        <w:footnoteReference w:id="13"/>
      </w:r>
      <w:r w:rsidR="001C3005">
        <w:rPr>
          <w:rFonts w:asciiTheme="minorHAnsi" w:hAnsiTheme="minorHAnsi"/>
          <w:sz w:val="22"/>
          <w:szCs w:val="22"/>
        </w:rPr>
        <w:t xml:space="preserve"> </w:t>
      </w:r>
      <w:r w:rsidR="00153E23">
        <w:rPr>
          <w:rFonts w:asciiTheme="minorHAnsi" w:hAnsiTheme="minorHAnsi"/>
          <w:sz w:val="22"/>
          <w:szCs w:val="22"/>
        </w:rPr>
        <w:t>The courts have not always followed this approach, however, and as a result they struggled to find an appr</w:t>
      </w:r>
      <w:r w:rsidR="0021265B">
        <w:rPr>
          <w:rFonts w:asciiTheme="minorHAnsi" w:hAnsiTheme="minorHAnsi"/>
          <w:sz w:val="22"/>
          <w:szCs w:val="22"/>
        </w:rPr>
        <w:t xml:space="preserve">opriate reason for restitution </w:t>
      </w:r>
      <w:r w:rsidR="00153E23">
        <w:rPr>
          <w:rFonts w:asciiTheme="minorHAnsi" w:hAnsiTheme="minorHAnsi"/>
          <w:sz w:val="22"/>
          <w:szCs w:val="22"/>
        </w:rPr>
        <w:t>in the so-called ‘swaps cases’</w:t>
      </w:r>
      <w:r w:rsidR="0021265B">
        <w:rPr>
          <w:rFonts w:asciiTheme="minorHAnsi" w:hAnsiTheme="minorHAnsi"/>
          <w:sz w:val="22"/>
          <w:szCs w:val="22"/>
        </w:rPr>
        <w:t xml:space="preserve"> which followed</w:t>
      </w:r>
      <w:r w:rsidR="00153E23">
        <w:rPr>
          <w:rFonts w:asciiTheme="minorHAnsi" w:hAnsiTheme="minorHAnsi"/>
          <w:sz w:val="22"/>
          <w:szCs w:val="22"/>
        </w:rPr>
        <w:t xml:space="preserve"> the decision in </w:t>
      </w:r>
      <w:proofErr w:type="spellStart"/>
      <w:r w:rsidR="00153E23">
        <w:rPr>
          <w:rFonts w:asciiTheme="minorHAnsi" w:hAnsiTheme="minorHAnsi"/>
          <w:i/>
          <w:sz w:val="22"/>
          <w:szCs w:val="22"/>
        </w:rPr>
        <w:t>Hazell</w:t>
      </w:r>
      <w:proofErr w:type="spellEnd"/>
      <w:r w:rsidR="00153E23">
        <w:rPr>
          <w:rFonts w:asciiTheme="minorHAnsi" w:hAnsiTheme="minorHAnsi"/>
          <w:i/>
          <w:sz w:val="22"/>
          <w:szCs w:val="22"/>
        </w:rPr>
        <w:t xml:space="preserve"> v Hammersmith and </w:t>
      </w:r>
      <w:proofErr w:type="spellStart"/>
      <w:r w:rsidR="00153E23">
        <w:rPr>
          <w:rFonts w:asciiTheme="minorHAnsi" w:hAnsiTheme="minorHAnsi"/>
          <w:i/>
          <w:sz w:val="22"/>
          <w:szCs w:val="22"/>
        </w:rPr>
        <w:t>Fulham</w:t>
      </w:r>
      <w:proofErr w:type="spellEnd"/>
      <w:r w:rsidR="00153E23">
        <w:rPr>
          <w:rFonts w:asciiTheme="minorHAnsi" w:hAnsiTheme="minorHAnsi"/>
          <w:i/>
          <w:sz w:val="22"/>
          <w:szCs w:val="22"/>
        </w:rPr>
        <w:t xml:space="preserve"> LBC</w:t>
      </w:r>
      <w:bookmarkStart w:id="5" w:name="_Ref275433960"/>
      <w:r w:rsidR="00F86DC3" w:rsidRPr="004D0AE1">
        <w:rPr>
          <w:rStyle w:val="FootnoteReference"/>
          <w:rFonts w:asciiTheme="minorHAnsi" w:hAnsiTheme="minorHAnsi"/>
          <w:sz w:val="22"/>
          <w:szCs w:val="22"/>
        </w:rPr>
        <w:footnoteReference w:id="14"/>
      </w:r>
      <w:bookmarkEnd w:id="5"/>
      <w:r w:rsidR="00153E23">
        <w:rPr>
          <w:rFonts w:asciiTheme="minorHAnsi" w:hAnsiTheme="minorHAnsi"/>
          <w:sz w:val="22"/>
          <w:szCs w:val="22"/>
        </w:rPr>
        <w:t xml:space="preserve"> that </w:t>
      </w:r>
      <w:r w:rsidR="0021265B">
        <w:rPr>
          <w:rFonts w:asciiTheme="minorHAnsi" w:hAnsiTheme="minorHAnsi"/>
          <w:sz w:val="22"/>
          <w:szCs w:val="22"/>
        </w:rPr>
        <w:t xml:space="preserve">it was ultra vires local authorities to enter interest rate swaps transactions. Thus in </w:t>
      </w:r>
      <w:proofErr w:type="spellStart"/>
      <w:r w:rsidR="0021265B">
        <w:rPr>
          <w:rFonts w:asciiTheme="minorHAnsi" w:hAnsiTheme="minorHAnsi"/>
          <w:i/>
          <w:sz w:val="22"/>
          <w:szCs w:val="22"/>
        </w:rPr>
        <w:t>Westdeutsche</w:t>
      </w:r>
      <w:proofErr w:type="spellEnd"/>
      <w:r w:rsidR="004D0AE1" w:rsidRPr="004D0AE1">
        <w:rPr>
          <w:rStyle w:val="FootnoteReference"/>
          <w:rFonts w:asciiTheme="minorHAnsi" w:hAnsiTheme="minorHAnsi"/>
          <w:sz w:val="22"/>
          <w:szCs w:val="22"/>
        </w:rPr>
        <w:footnoteReference w:id="15"/>
      </w:r>
      <w:r w:rsidR="0021265B">
        <w:rPr>
          <w:rFonts w:asciiTheme="minorHAnsi" w:hAnsiTheme="minorHAnsi"/>
          <w:i/>
          <w:sz w:val="22"/>
          <w:szCs w:val="22"/>
        </w:rPr>
        <w:t xml:space="preserve"> </w:t>
      </w:r>
      <w:proofErr w:type="spellStart"/>
      <w:r w:rsidR="0021265B">
        <w:rPr>
          <w:rFonts w:asciiTheme="minorHAnsi" w:hAnsiTheme="minorHAnsi"/>
          <w:sz w:val="22"/>
          <w:szCs w:val="22"/>
        </w:rPr>
        <w:t>Hobhouse</w:t>
      </w:r>
      <w:proofErr w:type="spellEnd"/>
      <w:r w:rsidR="0021265B">
        <w:rPr>
          <w:rFonts w:asciiTheme="minorHAnsi" w:hAnsiTheme="minorHAnsi"/>
          <w:sz w:val="22"/>
          <w:szCs w:val="22"/>
        </w:rPr>
        <w:t xml:space="preserve"> J relied on the aspects of </w:t>
      </w:r>
      <w:r w:rsidR="0021265B">
        <w:rPr>
          <w:rFonts w:asciiTheme="minorHAnsi" w:hAnsiTheme="minorHAnsi"/>
          <w:i/>
          <w:sz w:val="22"/>
          <w:szCs w:val="22"/>
        </w:rPr>
        <w:t>Woolwich</w:t>
      </w:r>
      <w:r w:rsidR="0021265B">
        <w:rPr>
          <w:rFonts w:asciiTheme="minorHAnsi" w:hAnsiTheme="minorHAnsi"/>
          <w:sz w:val="22"/>
          <w:szCs w:val="22"/>
        </w:rPr>
        <w:t xml:space="preserve"> dealing with ‘absence of consideration’ to allow recovery, as did Robert Walker LJ in </w:t>
      </w:r>
      <w:r w:rsidR="0021265B">
        <w:rPr>
          <w:rFonts w:asciiTheme="minorHAnsi" w:hAnsiTheme="minorHAnsi"/>
          <w:i/>
          <w:sz w:val="22"/>
          <w:szCs w:val="22"/>
        </w:rPr>
        <w:t>Guinness Mahon</w:t>
      </w:r>
      <w:r w:rsidR="0021265B">
        <w:rPr>
          <w:rFonts w:asciiTheme="minorHAnsi" w:hAnsiTheme="minorHAnsi"/>
          <w:sz w:val="22"/>
          <w:szCs w:val="22"/>
        </w:rPr>
        <w:t>,</w:t>
      </w:r>
      <w:r w:rsidR="004D0AE1">
        <w:rPr>
          <w:rStyle w:val="FootnoteReference"/>
          <w:rFonts w:asciiTheme="minorHAnsi" w:hAnsiTheme="minorHAnsi"/>
          <w:sz w:val="22"/>
          <w:szCs w:val="22"/>
        </w:rPr>
        <w:footnoteReference w:id="16"/>
      </w:r>
      <w:r w:rsidR="0021265B">
        <w:rPr>
          <w:rFonts w:asciiTheme="minorHAnsi" w:hAnsiTheme="minorHAnsi"/>
          <w:sz w:val="22"/>
          <w:szCs w:val="22"/>
        </w:rPr>
        <w:t xml:space="preserve"> who referred also to ‘failure of consideration’. And in </w:t>
      </w:r>
      <w:r w:rsidR="0021265B">
        <w:rPr>
          <w:rFonts w:asciiTheme="minorHAnsi" w:hAnsiTheme="minorHAnsi"/>
          <w:i/>
          <w:sz w:val="22"/>
          <w:szCs w:val="22"/>
        </w:rPr>
        <w:t>Kleinwort Benson v Lincoln</w:t>
      </w:r>
      <w:r w:rsidR="004D0AE1" w:rsidRPr="004D0AE1">
        <w:rPr>
          <w:rStyle w:val="FootnoteReference"/>
          <w:rFonts w:asciiTheme="minorHAnsi" w:hAnsiTheme="minorHAnsi"/>
          <w:sz w:val="22"/>
          <w:szCs w:val="22"/>
        </w:rPr>
        <w:footnoteReference w:id="17"/>
      </w:r>
      <w:r w:rsidR="0021265B">
        <w:rPr>
          <w:rFonts w:asciiTheme="minorHAnsi" w:hAnsiTheme="minorHAnsi"/>
          <w:sz w:val="22"/>
          <w:szCs w:val="22"/>
        </w:rPr>
        <w:t xml:space="preserve"> the House of Lords removed the bar to allowing recovery on t</w:t>
      </w:r>
      <w:r w:rsidR="004D0AE1">
        <w:rPr>
          <w:rFonts w:asciiTheme="minorHAnsi" w:hAnsiTheme="minorHAnsi"/>
          <w:sz w:val="22"/>
          <w:szCs w:val="22"/>
        </w:rPr>
        <w:t>he basis of mistake of law. But</w:t>
      </w:r>
      <w:r w:rsidR="0021265B">
        <w:rPr>
          <w:rFonts w:asciiTheme="minorHAnsi" w:hAnsiTheme="minorHAnsi"/>
          <w:sz w:val="22"/>
          <w:szCs w:val="22"/>
        </w:rPr>
        <w:t xml:space="preserve"> all these alternative reasons for restitution are at best a fifth wheel on the coach; if the basic problem is that the payment or receipt was ultra vires, and this provides the most apt reason for restitution, why also add the requirement to prove that this caused a failure or absence of consideration, or a mistake? And at worst</w:t>
      </w:r>
      <w:r w:rsidR="009F74EE">
        <w:rPr>
          <w:rFonts w:asciiTheme="minorHAnsi" w:hAnsiTheme="minorHAnsi"/>
          <w:sz w:val="22"/>
          <w:szCs w:val="22"/>
        </w:rPr>
        <w:t>,</w:t>
      </w:r>
      <w:r w:rsidR="0021265B">
        <w:rPr>
          <w:rFonts w:asciiTheme="minorHAnsi" w:hAnsiTheme="minorHAnsi"/>
          <w:sz w:val="22"/>
          <w:szCs w:val="22"/>
        </w:rPr>
        <w:t xml:space="preserve"> use of these alternative private law reasons for restitution has the capacity to cause uncertainty, problems and thus further </w:t>
      </w:r>
      <w:r w:rsidR="0021265B">
        <w:rPr>
          <w:rFonts w:asciiTheme="minorHAnsi" w:hAnsiTheme="minorHAnsi"/>
          <w:sz w:val="22"/>
          <w:szCs w:val="22"/>
        </w:rPr>
        <w:lastRenderedPageBreak/>
        <w:t xml:space="preserve">litigation. So in </w:t>
      </w:r>
      <w:r w:rsidR="0021265B">
        <w:rPr>
          <w:rFonts w:asciiTheme="minorHAnsi" w:hAnsiTheme="minorHAnsi"/>
          <w:i/>
          <w:sz w:val="22"/>
          <w:szCs w:val="22"/>
        </w:rPr>
        <w:t>Kleinwort Benson v Lincoln</w:t>
      </w:r>
      <w:r w:rsidR="0021265B">
        <w:rPr>
          <w:rFonts w:asciiTheme="minorHAnsi" w:hAnsiTheme="minorHAnsi"/>
          <w:sz w:val="22"/>
          <w:szCs w:val="22"/>
        </w:rPr>
        <w:t xml:space="preserve"> itself</w:t>
      </w:r>
      <w:r w:rsidR="00E00095">
        <w:rPr>
          <w:rFonts w:asciiTheme="minorHAnsi" w:hAnsiTheme="minorHAnsi"/>
          <w:sz w:val="22"/>
          <w:szCs w:val="22"/>
        </w:rPr>
        <w:t>, for instance,</w:t>
      </w:r>
      <w:r w:rsidR="0021265B">
        <w:rPr>
          <w:rFonts w:asciiTheme="minorHAnsi" w:hAnsiTheme="minorHAnsi"/>
          <w:sz w:val="22"/>
          <w:szCs w:val="22"/>
        </w:rPr>
        <w:t xml:space="preserve"> the court had to decide whether it was in fact possible to be mistake</w:t>
      </w:r>
      <w:r w:rsidR="009C483B">
        <w:rPr>
          <w:rFonts w:asciiTheme="minorHAnsi" w:hAnsiTheme="minorHAnsi"/>
          <w:sz w:val="22"/>
          <w:szCs w:val="22"/>
        </w:rPr>
        <w:t>n if</w:t>
      </w:r>
      <w:r w:rsidR="0021265B">
        <w:rPr>
          <w:rFonts w:asciiTheme="minorHAnsi" w:hAnsiTheme="minorHAnsi"/>
          <w:sz w:val="22"/>
          <w:szCs w:val="22"/>
        </w:rPr>
        <w:t xml:space="preserve"> the facts were, at the time of the payment, exactly as the claimant believed them to be.</w:t>
      </w:r>
    </w:p>
    <w:p w14:paraId="47AE384E" w14:textId="77777777" w:rsidR="003B6133" w:rsidRDefault="003B6133" w:rsidP="003B6133">
      <w:pPr>
        <w:pStyle w:val="Heading2"/>
      </w:pPr>
      <w:r>
        <w:t>The hybrid cause of action should take priority in cases involving public authorities</w:t>
      </w:r>
    </w:p>
    <w:p w14:paraId="01B2F0CA" w14:textId="055A801F" w:rsidR="00E00095" w:rsidRDefault="00E00095" w:rsidP="00F4786F">
      <w:pPr>
        <w:spacing w:line="276" w:lineRule="auto"/>
        <w:rPr>
          <w:rFonts w:asciiTheme="minorHAnsi" w:hAnsiTheme="minorHAnsi"/>
          <w:sz w:val="22"/>
          <w:szCs w:val="22"/>
        </w:rPr>
      </w:pPr>
      <w:r>
        <w:rPr>
          <w:rFonts w:asciiTheme="minorHAnsi" w:hAnsiTheme="minorHAnsi"/>
          <w:sz w:val="22"/>
          <w:szCs w:val="22"/>
        </w:rPr>
        <w:t xml:space="preserve">Even more controversial is the next implication of </w:t>
      </w:r>
      <w:r w:rsidR="004D0AE1">
        <w:rPr>
          <w:rFonts w:asciiTheme="minorHAnsi" w:hAnsiTheme="minorHAnsi"/>
          <w:sz w:val="22"/>
          <w:szCs w:val="22"/>
        </w:rPr>
        <w:t>this hybrid</w:t>
      </w:r>
      <w:r w:rsidR="001C3005">
        <w:rPr>
          <w:rFonts w:asciiTheme="minorHAnsi" w:hAnsiTheme="minorHAnsi"/>
          <w:sz w:val="22"/>
          <w:szCs w:val="22"/>
        </w:rPr>
        <w:t xml:space="preserve"> approach</w:t>
      </w:r>
      <w:r w:rsidR="004D0AE1">
        <w:rPr>
          <w:rFonts w:asciiTheme="minorHAnsi" w:hAnsiTheme="minorHAnsi"/>
          <w:sz w:val="22"/>
          <w:szCs w:val="22"/>
        </w:rPr>
        <w:t xml:space="preserve">: </w:t>
      </w:r>
      <w:r>
        <w:rPr>
          <w:rFonts w:asciiTheme="minorHAnsi" w:hAnsiTheme="minorHAnsi"/>
          <w:sz w:val="22"/>
          <w:szCs w:val="22"/>
        </w:rPr>
        <w:t xml:space="preserve">not only </w:t>
      </w:r>
      <w:proofErr w:type="gramStart"/>
      <w:r>
        <w:rPr>
          <w:rFonts w:asciiTheme="minorHAnsi" w:hAnsiTheme="minorHAnsi"/>
          <w:sz w:val="22"/>
          <w:szCs w:val="22"/>
        </w:rPr>
        <w:t>can we use the hybrid cause of action for restitution in all these cases</w:t>
      </w:r>
      <w:proofErr w:type="gramEnd"/>
      <w:r>
        <w:rPr>
          <w:rFonts w:asciiTheme="minorHAnsi" w:hAnsiTheme="minorHAnsi"/>
          <w:sz w:val="22"/>
          <w:szCs w:val="22"/>
        </w:rPr>
        <w:t xml:space="preserve">, </w:t>
      </w:r>
      <w:proofErr w:type="gramStart"/>
      <w:r>
        <w:rPr>
          <w:rFonts w:asciiTheme="minorHAnsi" w:hAnsiTheme="minorHAnsi"/>
          <w:sz w:val="22"/>
          <w:szCs w:val="22"/>
        </w:rPr>
        <w:t xml:space="preserve">actually we </w:t>
      </w:r>
      <w:r>
        <w:rPr>
          <w:rFonts w:asciiTheme="minorHAnsi" w:hAnsiTheme="minorHAnsi"/>
          <w:i/>
          <w:sz w:val="22"/>
          <w:szCs w:val="22"/>
        </w:rPr>
        <w:t>should</w:t>
      </w:r>
      <w:r>
        <w:rPr>
          <w:rFonts w:asciiTheme="minorHAnsi" w:hAnsiTheme="minorHAnsi"/>
          <w:sz w:val="22"/>
          <w:szCs w:val="22"/>
        </w:rPr>
        <w:t xml:space="preserve"> do so</w:t>
      </w:r>
      <w:proofErr w:type="gramEnd"/>
      <w:r>
        <w:rPr>
          <w:rFonts w:asciiTheme="minorHAnsi" w:hAnsiTheme="minorHAnsi"/>
          <w:sz w:val="22"/>
          <w:szCs w:val="22"/>
        </w:rPr>
        <w:t xml:space="preserve">. </w:t>
      </w:r>
      <w:r w:rsidR="004D0AE1">
        <w:rPr>
          <w:rFonts w:asciiTheme="minorHAnsi" w:hAnsiTheme="minorHAnsi"/>
          <w:sz w:val="22"/>
          <w:szCs w:val="22"/>
        </w:rPr>
        <w:t>There</w:t>
      </w:r>
      <w:r>
        <w:rPr>
          <w:rFonts w:asciiTheme="minorHAnsi" w:hAnsiTheme="minorHAnsi"/>
          <w:sz w:val="22"/>
          <w:szCs w:val="22"/>
        </w:rPr>
        <w:t xml:space="preserve"> should therefore </w:t>
      </w:r>
      <w:r w:rsidR="004D0AE1">
        <w:rPr>
          <w:rFonts w:asciiTheme="minorHAnsi" w:hAnsiTheme="minorHAnsi"/>
          <w:sz w:val="22"/>
          <w:szCs w:val="22"/>
        </w:rPr>
        <w:t>be</w:t>
      </w:r>
      <w:r>
        <w:rPr>
          <w:rFonts w:asciiTheme="minorHAnsi" w:hAnsiTheme="minorHAnsi"/>
          <w:sz w:val="22"/>
          <w:szCs w:val="22"/>
        </w:rPr>
        <w:t xml:space="preserve"> a hierarchy of reasons for restitution so that whenever there has been a public law ultra vires </w:t>
      </w:r>
      <w:proofErr w:type="gramStart"/>
      <w:r>
        <w:rPr>
          <w:rFonts w:asciiTheme="minorHAnsi" w:hAnsiTheme="minorHAnsi"/>
          <w:sz w:val="22"/>
          <w:szCs w:val="22"/>
        </w:rPr>
        <w:t>event which</w:t>
      </w:r>
      <w:proofErr w:type="gramEnd"/>
      <w:r>
        <w:rPr>
          <w:rFonts w:asciiTheme="minorHAnsi" w:hAnsiTheme="minorHAnsi"/>
          <w:sz w:val="22"/>
          <w:szCs w:val="22"/>
        </w:rPr>
        <w:t xml:space="preserve"> has led to a transfer, this should be the sole reason for restitution. This is to ensure that the law has access to both the public and the private aspects of the claim in those cases, which is vital if we are to ensure that</w:t>
      </w:r>
      <w:r w:rsidRPr="00E00095">
        <w:rPr>
          <w:rFonts w:asciiTheme="minorHAnsi" w:hAnsiTheme="minorHAnsi"/>
          <w:sz w:val="22"/>
          <w:szCs w:val="22"/>
        </w:rPr>
        <w:t xml:space="preserve"> </w:t>
      </w:r>
      <w:r>
        <w:rPr>
          <w:rFonts w:asciiTheme="minorHAnsi" w:hAnsiTheme="minorHAnsi"/>
          <w:sz w:val="22"/>
          <w:szCs w:val="22"/>
        </w:rPr>
        <w:t>all those aspects are to be addressed accurately</w:t>
      </w:r>
      <w:r w:rsidR="00EB77CD">
        <w:rPr>
          <w:rFonts w:asciiTheme="minorHAnsi" w:hAnsiTheme="minorHAnsi"/>
          <w:sz w:val="22"/>
          <w:szCs w:val="22"/>
        </w:rPr>
        <w:t xml:space="preserve">, such as, for instance, the extent of the </w:t>
      </w:r>
      <w:r w:rsidR="001C3005">
        <w:rPr>
          <w:rFonts w:asciiTheme="minorHAnsi" w:hAnsiTheme="minorHAnsi"/>
          <w:sz w:val="22"/>
          <w:szCs w:val="22"/>
        </w:rPr>
        <w:t>in</w:t>
      </w:r>
      <w:r w:rsidR="00EB77CD">
        <w:rPr>
          <w:rFonts w:asciiTheme="minorHAnsi" w:hAnsiTheme="minorHAnsi"/>
          <w:sz w:val="22"/>
          <w:szCs w:val="22"/>
        </w:rPr>
        <w:t xml:space="preserve">validity at the heart of the claim, which cannot properly be addressed </w:t>
      </w:r>
      <w:r w:rsidR="00C505C5">
        <w:rPr>
          <w:rFonts w:asciiTheme="minorHAnsi" w:hAnsiTheme="minorHAnsi"/>
          <w:sz w:val="22"/>
          <w:szCs w:val="22"/>
        </w:rPr>
        <w:t>without reference to public law, and, for example, the question of enrichment, which cannot be properly understood without reference to the private law of unjust enrichment.</w:t>
      </w:r>
    </w:p>
    <w:p w14:paraId="48CC30CD" w14:textId="77777777" w:rsidR="003B6133" w:rsidRPr="003B6133" w:rsidRDefault="003B6133" w:rsidP="003B6133">
      <w:pPr>
        <w:pStyle w:val="Heading1"/>
      </w:pPr>
      <w:r>
        <w:t xml:space="preserve">Obstacles to the hierarchy of reasons for restitution: the decision in </w:t>
      </w:r>
      <w:r>
        <w:rPr>
          <w:i/>
        </w:rPr>
        <w:t>Deutsche Morgan Grenfell</w:t>
      </w:r>
    </w:p>
    <w:p w14:paraId="5C7903E3" w14:textId="77777777" w:rsidR="00EB77CD" w:rsidRDefault="00EB77CD" w:rsidP="00F4786F">
      <w:pPr>
        <w:spacing w:line="276" w:lineRule="auto"/>
        <w:rPr>
          <w:rFonts w:asciiTheme="minorHAnsi" w:hAnsiTheme="minorHAnsi"/>
          <w:sz w:val="22"/>
          <w:szCs w:val="22"/>
        </w:rPr>
      </w:pPr>
      <w:r>
        <w:rPr>
          <w:rFonts w:asciiTheme="minorHAnsi" w:hAnsiTheme="minorHAnsi"/>
          <w:sz w:val="22"/>
          <w:szCs w:val="22"/>
        </w:rPr>
        <w:t xml:space="preserve">However, there is obviously a significant obstacle to the recognition of such a hierarchy, in the form of the House of Lords decision in </w:t>
      </w:r>
      <w:r>
        <w:rPr>
          <w:rFonts w:asciiTheme="minorHAnsi" w:hAnsiTheme="minorHAnsi"/>
          <w:i/>
          <w:sz w:val="22"/>
          <w:szCs w:val="22"/>
        </w:rPr>
        <w:t>DMG</w:t>
      </w:r>
      <w:r>
        <w:rPr>
          <w:rFonts w:asciiTheme="minorHAnsi" w:hAnsiTheme="minorHAnsi"/>
          <w:sz w:val="22"/>
          <w:szCs w:val="22"/>
        </w:rPr>
        <w:t>.</w:t>
      </w:r>
      <w:r w:rsidR="004D0AE1">
        <w:rPr>
          <w:rStyle w:val="FootnoteReference"/>
          <w:rFonts w:asciiTheme="minorHAnsi" w:hAnsiTheme="minorHAnsi"/>
          <w:sz w:val="22"/>
          <w:szCs w:val="22"/>
        </w:rPr>
        <w:footnoteReference w:id="18"/>
      </w:r>
      <w:r>
        <w:rPr>
          <w:rFonts w:asciiTheme="minorHAnsi" w:hAnsiTheme="minorHAnsi"/>
          <w:sz w:val="22"/>
          <w:szCs w:val="22"/>
        </w:rPr>
        <w:t xml:space="preserve"> D</w:t>
      </w:r>
      <w:r w:rsidR="00716D3D">
        <w:rPr>
          <w:rFonts w:asciiTheme="minorHAnsi" w:hAnsiTheme="minorHAnsi"/>
          <w:sz w:val="22"/>
          <w:szCs w:val="22"/>
        </w:rPr>
        <w:t>eutsche Morgan Gre</w:t>
      </w:r>
      <w:r w:rsidR="009F74EE">
        <w:rPr>
          <w:rFonts w:asciiTheme="minorHAnsi" w:hAnsiTheme="minorHAnsi"/>
          <w:sz w:val="22"/>
          <w:szCs w:val="22"/>
        </w:rPr>
        <w:t>nfell</w:t>
      </w:r>
      <w:r w:rsidR="00716D3D">
        <w:rPr>
          <w:rFonts w:asciiTheme="minorHAnsi" w:hAnsiTheme="minorHAnsi"/>
          <w:sz w:val="22"/>
          <w:szCs w:val="22"/>
        </w:rPr>
        <w:t xml:space="preserve"> </w:t>
      </w:r>
      <w:r>
        <w:rPr>
          <w:rFonts w:asciiTheme="minorHAnsi" w:hAnsiTheme="minorHAnsi"/>
          <w:sz w:val="22"/>
          <w:szCs w:val="22"/>
        </w:rPr>
        <w:t xml:space="preserve">had paid tax to the </w:t>
      </w:r>
      <w:r w:rsidR="00E45408">
        <w:rPr>
          <w:rFonts w:asciiTheme="minorHAnsi" w:hAnsiTheme="minorHAnsi"/>
          <w:sz w:val="22"/>
          <w:szCs w:val="22"/>
        </w:rPr>
        <w:t xml:space="preserve">Inland </w:t>
      </w:r>
      <w:r w:rsidR="009F74EE">
        <w:rPr>
          <w:rFonts w:asciiTheme="minorHAnsi" w:hAnsiTheme="minorHAnsi"/>
          <w:sz w:val="22"/>
          <w:szCs w:val="22"/>
        </w:rPr>
        <w:t>Revenue</w:t>
      </w:r>
      <w:r>
        <w:rPr>
          <w:rFonts w:asciiTheme="minorHAnsi" w:hAnsiTheme="minorHAnsi"/>
          <w:sz w:val="22"/>
          <w:szCs w:val="22"/>
        </w:rPr>
        <w:t xml:space="preserve"> in in the manner required by the English rules. The rules were that companies had </w:t>
      </w:r>
      <w:r w:rsidR="009F74EE">
        <w:rPr>
          <w:rFonts w:asciiTheme="minorHAnsi" w:hAnsiTheme="minorHAnsi"/>
          <w:sz w:val="22"/>
          <w:szCs w:val="22"/>
        </w:rPr>
        <w:t>to pay Advance Corporation Tax (ACT)</w:t>
      </w:r>
      <w:r>
        <w:rPr>
          <w:rFonts w:asciiTheme="minorHAnsi" w:hAnsiTheme="minorHAnsi"/>
          <w:sz w:val="22"/>
          <w:szCs w:val="22"/>
        </w:rPr>
        <w:t xml:space="preserve"> </w:t>
      </w:r>
      <w:r w:rsidR="009F74EE">
        <w:rPr>
          <w:rFonts w:asciiTheme="minorHAnsi" w:hAnsiTheme="minorHAnsi"/>
          <w:sz w:val="22"/>
          <w:szCs w:val="22"/>
        </w:rPr>
        <w:t>and Mainstream Corporation Tax (</w:t>
      </w:r>
      <w:r>
        <w:rPr>
          <w:rFonts w:asciiTheme="minorHAnsi" w:hAnsiTheme="minorHAnsi"/>
          <w:sz w:val="22"/>
          <w:szCs w:val="22"/>
        </w:rPr>
        <w:t>MCT</w:t>
      </w:r>
      <w:r w:rsidR="009F74EE">
        <w:rPr>
          <w:rFonts w:asciiTheme="minorHAnsi" w:hAnsiTheme="minorHAnsi"/>
          <w:sz w:val="22"/>
          <w:szCs w:val="22"/>
        </w:rPr>
        <w:t>)</w:t>
      </w:r>
      <w:r>
        <w:rPr>
          <w:rFonts w:asciiTheme="minorHAnsi" w:hAnsiTheme="minorHAnsi"/>
          <w:sz w:val="22"/>
          <w:szCs w:val="22"/>
        </w:rPr>
        <w:t xml:space="preserve">. The ACT was payable first but could be set off later against the MCT </w:t>
      </w:r>
      <w:r w:rsidR="00E45408">
        <w:rPr>
          <w:rFonts w:asciiTheme="minorHAnsi" w:hAnsiTheme="minorHAnsi"/>
          <w:sz w:val="22"/>
          <w:szCs w:val="22"/>
        </w:rPr>
        <w:t>that</w:t>
      </w:r>
      <w:r>
        <w:rPr>
          <w:rFonts w:asciiTheme="minorHAnsi" w:hAnsiTheme="minorHAnsi"/>
          <w:sz w:val="22"/>
          <w:szCs w:val="22"/>
        </w:rPr>
        <w:t xml:space="preserve"> was due.</w:t>
      </w:r>
      <w:r w:rsidR="00E45408">
        <w:rPr>
          <w:rFonts w:asciiTheme="minorHAnsi" w:hAnsiTheme="minorHAnsi"/>
          <w:sz w:val="22"/>
          <w:szCs w:val="22"/>
        </w:rPr>
        <w:t xml:space="preserve"> I</w:t>
      </w:r>
      <w:r>
        <w:rPr>
          <w:rFonts w:asciiTheme="minorHAnsi" w:hAnsiTheme="minorHAnsi"/>
          <w:sz w:val="22"/>
          <w:szCs w:val="22"/>
        </w:rPr>
        <w:t>f a subsidiary and a parent company were both resident in the UK, in some circumstances they could make a ‘Group Income Election’, the result of which would be that they did not have to pay the ACT up front, but could just pay the net amount when the MCT became due later. However, if the parent company was not resident in the UK</w:t>
      </w:r>
      <w:r w:rsidR="00E45408">
        <w:rPr>
          <w:rFonts w:asciiTheme="minorHAnsi" w:hAnsiTheme="minorHAnsi"/>
          <w:sz w:val="22"/>
          <w:szCs w:val="22"/>
        </w:rPr>
        <w:t>,</w:t>
      </w:r>
      <w:r>
        <w:rPr>
          <w:rFonts w:asciiTheme="minorHAnsi" w:hAnsiTheme="minorHAnsi"/>
          <w:sz w:val="22"/>
          <w:szCs w:val="22"/>
        </w:rPr>
        <w:t xml:space="preserve"> the ACT would be payable up front. Thus there was no difference in the overall amount paid by companies with parents inside and outside the UK, but subsidiaries with</w:t>
      </w:r>
      <w:r w:rsidR="001C3005">
        <w:rPr>
          <w:rFonts w:asciiTheme="minorHAnsi" w:hAnsiTheme="minorHAnsi"/>
          <w:sz w:val="22"/>
          <w:szCs w:val="22"/>
        </w:rPr>
        <w:t xml:space="preserve"> foreign parents </w:t>
      </w:r>
      <w:r>
        <w:rPr>
          <w:rFonts w:asciiTheme="minorHAnsi" w:hAnsiTheme="minorHAnsi"/>
          <w:sz w:val="22"/>
          <w:szCs w:val="22"/>
        </w:rPr>
        <w:t>would have to pay the tax sooner and would thus lose interest on it in the meantime.</w:t>
      </w:r>
      <w:r w:rsidR="009E02E8">
        <w:rPr>
          <w:rFonts w:asciiTheme="minorHAnsi" w:hAnsiTheme="minorHAnsi"/>
          <w:sz w:val="22"/>
          <w:szCs w:val="22"/>
        </w:rPr>
        <w:t xml:space="preserve"> In </w:t>
      </w:r>
      <w:proofErr w:type="spellStart"/>
      <w:r w:rsidR="009E02E8">
        <w:rPr>
          <w:rFonts w:asciiTheme="minorHAnsi" w:hAnsiTheme="minorHAnsi"/>
          <w:i/>
          <w:sz w:val="22"/>
          <w:szCs w:val="22"/>
        </w:rPr>
        <w:t>Metallgesellschaft</w:t>
      </w:r>
      <w:proofErr w:type="spellEnd"/>
      <w:r w:rsidR="009E02E8">
        <w:rPr>
          <w:rFonts w:asciiTheme="minorHAnsi" w:hAnsiTheme="minorHAnsi"/>
          <w:i/>
          <w:sz w:val="22"/>
          <w:szCs w:val="22"/>
        </w:rPr>
        <w:t xml:space="preserve"> and Hoechst</w:t>
      </w:r>
      <w:r w:rsidR="00E45408" w:rsidRPr="00E45408">
        <w:rPr>
          <w:rStyle w:val="FootnoteReference"/>
          <w:rFonts w:asciiTheme="minorHAnsi" w:hAnsiTheme="minorHAnsi"/>
          <w:sz w:val="22"/>
          <w:szCs w:val="22"/>
        </w:rPr>
        <w:footnoteReference w:id="19"/>
      </w:r>
      <w:r w:rsidR="009E02E8">
        <w:rPr>
          <w:rFonts w:asciiTheme="minorHAnsi" w:hAnsiTheme="minorHAnsi"/>
          <w:i/>
          <w:sz w:val="22"/>
          <w:szCs w:val="22"/>
        </w:rPr>
        <w:t xml:space="preserve"> </w:t>
      </w:r>
      <w:r w:rsidR="001C3005">
        <w:rPr>
          <w:rFonts w:asciiTheme="minorHAnsi" w:hAnsiTheme="minorHAnsi"/>
          <w:sz w:val="22"/>
          <w:szCs w:val="22"/>
        </w:rPr>
        <w:t>t</w:t>
      </w:r>
      <w:r>
        <w:rPr>
          <w:rFonts w:asciiTheme="minorHAnsi" w:hAnsiTheme="minorHAnsi"/>
          <w:sz w:val="22"/>
          <w:szCs w:val="22"/>
        </w:rPr>
        <w:t>he ECJ held this was contrary to what is now Art 49 TFEU</w:t>
      </w:r>
      <w:r w:rsidR="00716D3D">
        <w:rPr>
          <w:rFonts w:asciiTheme="minorHAnsi" w:hAnsiTheme="minorHAnsi"/>
          <w:sz w:val="22"/>
          <w:szCs w:val="22"/>
        </w:rPr>
        <w:t xml:space="preserve"> and DMG therefore wished to recover the value it had lost by paying the ACT up front, so the English courts had to decide whether this could be recovered on the basis of unjust enrichment at all, and if so what the correct reason for restitution should be.</w:t>
      </w:r>
    </w:p>
    <w:p w14:paraId="2996FD06" w14:textId="77777777" w:rsidR="009E02E8" w:rsidRDefault="00716D3D" w:rsidP="00F4786F">
      <w:pPr>
        <w:spacing w:line="276" w:lineRule="auto"/>
        <w:rPr>
          <w:rFonts w:asciiTheme="minorHAnsi" w:hAnsiTheme="minorHAnsi"/>
          <w:sz w:val="22"/>
          <w:szCs w:val="22"/>
        </w:rPr>
      </w:pPr>
      <w:r>
        <w:rPr>
          <w:rFonts w:asciiTheme="minorHAnsi" w:hAnsiTheme="minorHAnsi"/>
          <w:sz w:val="22"/>
          <w:szCs w:val="22"/>
        </w:rPr>
        <w:t xml:space="preserve">In answer to the first question, Lord Scott held that if there were to be recovery at all it would have to be through a </w:t>
      </w:r>
      <w:proofErr w:type="spellStart"/>
      <w:r>
        <w:rPr>
          <w:rFonts w:asciiTheme="minorHAnsi" w:hAnsiTheme="minorHAnsi"/>
          <w:i/>
          <w:sz w:val="22"/>
          <w:szCs w:val="22"/>
        </w:rPr>
        <w:t>Francovi</w:t>
      </w:r>
      <w:r w:rsidR="00E45408">
        <w:rPr>
          <w:rFonts w:asciiTheme="minorHAnsi" w:hAnsiTheme="minorHAnsi"/>
          <w:i/>
          <w:sz w:val="22"/>
          <w:szCs w:val="22"/>
        </w:rPr>
        <w:t>ch</w:t>
      </w:r>
      <w:proofErr w:type="spellEnd"/>
      <w:r w:rsidR="00E45408" w:rsidRPr="00E45408">
        <w:rPr>
          <w:rStyle w:val="FootnoteReference"/>
          <w:rFonts w:asciiTheme="minorHAnsi" w:hAnsiTheme="minorHAnsi"/>
          <w:sz w:val="22"/>
          <w:szCs w:val="22"/>
        </w:rPr>
        <w:footnoteReference w:id="20"/>
      </w:r>
      <w:r>
        <w:rPr>
          <w:rFonts w:asciiTheme="minorHAnsi" w:hAnsiTheme="minorHAnsi"/>
          <w:sz w:val="22"/>
          <w:szCs w:val="22"/>
        </w:rPr>
        <w:t xml:space="preserve"> action for damages, rather than an action for restitution for unjust enrichment. However, if the true basis of recovery in </w:t>
      </w:r>
      <w:r>
        <w:rPr>
          <w:rFonts w:asciiTheme="minorHAnsi" w:hAnsiTheme="minorHAnsi"/>
          <w:i/>
          <w:sz w:val="22"/>
          <w:szCs w:val="22"/>
        </w:rPr>
        <w:t>Woolwich</w:t>
      </w:r>
      <w:r>
        <w:rPr>
          <w:rFonts w:asciiTheme="minorHAnsi" w:hAnsiTheme="minorHAnsi"/>
          <w:sz w:val="22"/>
          <w:szCs w:val="22"/>
        </w:rPr>
        <w:t xml:space="preserve"> is understood in the way I have suggested, this argument cannot hold. If an action is in contravention of EU law, then under the European Communities Act 1972 it will be ultra vires the public authority and thus recoverable via a hybrid public law unjust enrichment claim. So if there has been a breach of EU law for the purposes of a </w:t>
      </w:r>
      <w:proofErr w:type="spellStart"/>
      <w:r>
        <w:rPr>
          <w:rFonts w:asciiTheme="minorHAnsi" w:hAnsiTheme="minorHAnsi"/>
          <w:i/>
          <w:sz w:val="22"/>
          <w:szCs w:val="22"/>
        </w:rPr>
        <w:t>Francovich</w:t>
      </w:r>
      <w:proofErr w:type="spellEnd"/>
      <w:r>
        <w:rPr>
          <w:rFonts w:asciiTheme="minorHAnsi" w:hAnsiTheme="minorHAnsi"/>
          <w:sz w:val="22"/>
          <w:szCs w:val="22"/>
        </w:rPr>
        <w:t xml:space="preserve"> damages action, then there has by definition been a breach of EU law which would found an action for recovery in unjust enrichment on the basis of that public law ultra vires event. It would not be possible to have the one without the other. Indeed, to make out a </w:t>
      </w:r>
      <w:proofErr w:type="spellStart"/>
      <w:r>
        <w:rPr>
          <w:rFonts w:asciiTheme="minorHAnsi" w:hAnsiTheme="minorHAnsi"/>
          <w:i/>
          <w:sz w:val="22"/>
          <w:szCs w:val="22"/>
        </w:rPr>
        <w:t>Francovich</w:t>
      </w:r>
      <w:proofErr w:type="spellEnd"/>
      <w:r>
        <w:rPr>
          <w:rFonts w:asciiTheme="minorHAnsi" w:hAnsiTheme="minorHAnsi"/>
          <w:sz w:val="22"/>
          <w:szCs w:val="22"/>
        </w:rPr>
        <w:t xml:space="preserve"> claim it would be necessary to go on to prove the </w:t>
      </w:r>
      <w:r>
        <w:rPr>
          <w:rFonts w:asciiTheme="minorHAnsi" w:hAnsiTheme="minorHAnsi"/>
          <w:i/>
          <w:sz w:val="22"/>
          <w:szCs w:val="22"/>
        </w:rPr>
        <w:t>Brasserie/</w:t>
      </w:r>
      <w:proofErr w:type="spellStart"/>
      <w:r>
        <w:rPr>
          <w:rFonts w:asciiTheme="minorHAnsi" w:hAnsiTheme="minorHAnsi"/>
          <w:i/>
          <w:sz w:val="22"/>
          <w:szCs w:val="22"/>
        </w:rPr>
        <w:t>Factortame</w:t>
      </w:r>
      <w:proofErr w:type="spellEnd"/>
      <w:r>
        <w:rPr>
          <w:rFonts w:asciiTheme="minorHAnsi" w:hAnsiTheme="minorHAnsi"/>
          <w:i/>
          <w:sz w:val="22"/>
          <w:szCs w:val="22"/>
        </w:rPr>
        <w:t xml:space="preserve"> III</w:t>
      </w:r>
      <w:r>
        <w:rPr>
          <w:rFonts w:asciiTheme="minorHAnsi" w:hAnsiTheme="minorHAnsi"/>
          <w:sz w:val="22"/>
          <w:szCs w:val="22"/>
        </w:rPr>
        <w:t xml:space="preserve"> requirement of a sufficiently serious breach.</w:t>
      </w:r>
      <w:r w:rsidR="00E45408">
        <w:rPr>
          <w:rStyle w:val="FootnoteReference"/>
          <w:rFonts w:asciiTheme="minorHAnsi" w:hAnsiTheme="minorHAnsi"/>
          <w:sz w:val="22"/>
          <w:szCs w:val="22"/>
        </w:rPr>
        <w:footnoteReference w:id="21"/>
      </w:r>
      <w:r>
        <w:rPr>
          <w:rFonts w:asciiTheme="minorHAnsi" w:hAnsiTheme="minorHAnsi"/>
          <w:sz w:val="22"/>
          <w:szCs w:val="22"/>
        </w:rPr>
        <w:t xml:space="preserve"> In the case of </w:t>
      </w:r>
      <w:r>
        <w:rPr>
          <w:rFonts w:asciiTheme="minorHAnsi" w:hAnsiTheme="minorHAnsi"/>
          <w:i/>
          <w:sz w:val="22"/>
          <w:szCs w:val="22"/>
        </w:rPr>
        <w:t xml:space="preserve">DMG </w:t>
      </w:r>
      <w:r>
        <w:rPr>
          <w:rFonts w:asciiTheme="minorHAnsi" w:hAnsiTheme="minorHAnsi"/>
          <w:sz w:val="22"/>
          <w:szCs w:val="22"/>
        </w:rPr>
        <w:t>itself this could be established fairly readily, but that will not always be the case, as was demonstrated by the</w:t>
      </w:r>
      <w:r w:rsidR="003A5B35">
        <w:rPr>
          <w:rFonts w:asciiTheme="minorHAnsi" w:hAnsiTheme="minorHAnsi"/>
          <w:sz w:val="22"/>
          <w:szCs w:val="22"/>
        </w:rPr>
        <w:t xml:space="preserve"> subsequent</w:t>
      </w:r>
      <w:r>
        <w:rPr>
          <w:rFonts w:asciiTheme="minorHAnsi" w:hAnsiTheme="minorHAnsi"/>
          <w:sz w:val="22"/>
          <w:szCs w:val="22"/>
        </w:rPr>
        <w:t xml:space="preserve"> </w:t>
      </w:r>
      <w:r>
        <w:rPr>
          <w:rFonts w:asciiTheme="minorHAnsi" w:hAnsiTheme="minorHAnsi"/>
          <w:i/>
          <w:sz w:val="22"/>
          <w:szCs w:val="22"/>
        </w:rPr>
        <w:t>FII</w:t>
      </w:r>
      <w:r w:rsidR="009E02E8">
        <w:rPr>
          <w:rFonts w:asciiTheme="minorHAnsi" w:hAnsiTheme="minorHAnsi"/>
          <w:sz w:val="22"/>
          <w:szCs w:val="22"/>
        </w:rPr>
        <w:t xml:space="preserve"> decision.</w:t>
      </w:r>
      <w:r w:rsidR="00E45408">
        <w:rPr>
          <w:rStyle w:val="FootnoteReference"/>
          <w:rFonts w:asciiTheme="minorHAnsi" w:hAnsiTheme="minorHAnsi"/>
          <w:sz w:val="22"/>
          <w:szCs w:val="22"/>
        </w:rPr>
        <w:footnoteReference w:id="22"/>
      </w:r>
    </w:p>
    <w:p w14:paraId="207595B1" w14:textId="77777777" w:rsidR="00176A81" w:rsidRDefault="00716D3D" w:rsidP="00F4786F">
      <w:pPr>
        <w:spacing w:line="276" w:lineRule="auto"/>
        <w:rPr>
          <w:rFonts w:asciiTheme="minorHAnsi" w:hAnsiTheme="minorHAnsi"/>
          <w:sz w:val="22"/>
          <w:szCs w:val="22"/>
        </w:rPr>
      </w:pPr>
      <w:r>
        <w:rPr>
          <w:rFonts w:asciiTheme="minorHAnsi" w:hAnsiTheme="minorHAnsi"/>
          <w:sz w:val="22"/>
          <w:szCs w:val="22"/>
        </w:rPr>
        <w:t xml:space="preserve">As for what the correct reason for restitution should be, although the Court of Appeal </w:t>
      </w:r>
      <w:r w:rsidR="003A5B35">
        <w:rPr>
          <w:rFonts w:asciiTheme="minorHAnsi" w:hAnsiTheme="minorHAnsi"/>
          <w:sz w:val="22"/>
          <w:szCs w:val="22"/>
        </w:rPr>
        <w:t>did hold, in line with my argument,</w:t>
      </w:r>
      <w:r>
        <w:rPr>
          <w:rFonts w:asciiTheme="minorHAnsi" w:hAnsiTheme="minorHAnsi"/>
          <w:sz w:val="22"/>
          <w:szCs w:val="22"/>
        </w:rPr>
        <w:t xml:space="preserve"> that a so-called ‘</w:t>
      </w:r>
      <w:r>
        <w:rPr>
          <w:rFonts w:asciiTheme="minorHAnsi" w:hAnsiTheme="minorHAnsi"/>
          <w:i/>
          <w:sz w:val="22"/>
          <w:szCs w:val="22"/>
        </w:rPr>
        <w:t>Woolwich</w:t>
      </w:r>
      <w:r>
        <w:rPr>
          <w:rFonts w:asciiTheme="minorHAnsi" w:hAnsiTheme="minorHAnsi"/>
          <w:sz w:val="22"/>
          <w:szCs w:val="22"/>
        </w:rPr>
        <w:t xml:space="preserve"> action’ should be used, the House of Lords overruled them. This in my view was a lost opportunity because there were compelling answers to </w:t>
      </w:r>
      <w:r>
        <w:rPr>
          <w:rFonts w:asciiTheme="minorHAnsi" w:hAnsiTheme="minorHAnsi"/>
          <w:sz w:val="22"/>
          <w:szCs w:val="22"/>
        </w:rPr>
        <w:lastRenderedPageBreak/>
        <w:t xml:space="preserve">each of the arguments from principle that were given by the House of Lords for rejecting the </w:t>
      </w:r>
      <w:r w:rsidR="00176A81">
        <w:rPr>
          <w:rFonts w:asciiTheme="minorHAnsi" w:hAnsiTheme="minorHAnsi"/>
          <w:sz w:val="22"/>
          <w:szCs w:val="22"/>
        </w:rPr>
        <w:t xml:space="preserve">hierarchy. </w:t>
      </w:r>
      <w:r w:rsidR="00E45408">
        <w:rPr>
          <w:rFonts w:asciiTheme="minorHAnsi" w:hAnsiTheme="minorHAnsi"/>
          <w:sz w:val="22"/>
          <w:szCs w:val="22"/>
        </w:rPr>
        <w:t>Two of these are worth noting in particular</w:t>
      </w:r>
      <w:r w:rsidR="0069078C">
        <w:rPr>
          <w:rFonts w:asciiTheme="minorHAnsi" w:hAnsiTheme="minorHAnsi"/>
          <w:sz w:val="22"/>
          <w:szCs w:val="22"/>
        </w:rPr>
        <w:t>.</w:t>
      </w:r>
      <w:r w:rsidR="00E45408">
        <w:rPr>
          <w:rStyle w:val="FootnoteReference"/>
          <w:rFonts w:asciiTheme="minorHAnsi" w:hAnsiTheme="minorHAnsi"/>
          <w:sz w:val="22"/>
          <w:szCs w:val="22"/>
        </w:rPr>
        <w:footnoteReference w:id="23"/>
      </w:r>
      <w:r w:rsidR="0069078C">
        <w:rPr>
          <w:rFonts w:asciiTheme="minorHAnsi" w:hAnsiTheme="minorHAnsi"/>
          <w:sz w:val="22"/>
          <w:szCs w:val="22"/>
        </w:rPr>
        <w:t xml:space="preserve"> </w:t>
      </w:r>
    </w:p>
    <w:p w14:paraId="59FC57DA" w14:textId="77777777" w:rsidR="003B6133" w:rsidRDefault="003B6133" w:rsidP="00F4786F">
      <w:pPr>
        <w:spacing w:line="276" w:lineRule="auto"/>
        <w:rPr>
          <w:rFonts w:asciiTheme="minorHAnsi" w:hAnsiTheme="minorHAnsi"/>
          <w:sz w:val="22"/>
          <w:szCs w:val="22"/>
        </w:rPr>
      </w:pPr>
    </w:p>
    <w:p w14:paraId="40C33B02" w14:textId="77777777" w:rsidR="003B6133" w:rsidRPr="003B6133" w:rsidRDefault="00E15914" w:rsidP="003B6133">
      <w:pPr>
        <w:pStyle w:val="Heading2"/>
      </w:pPr>
      <w:r>
        <w:t xml:space="preserve">1. </w:t>
      </w:r>
      <w:r w:rsidR="003B6133">
        <w:t xml:space="preserve">The principle of concurrent remedies </w:t>
      </w:r>
      <w:proofErr w:type="gramStart"/>
      <w:r w:rsidR="003B6133">
        <w:t xml:space="preserve">–  </w:t>
      </w:r>
      <w:r w:rsidR="003B6133">
        <w:rPr>
          <w:i/>
        </w:rPr>
        <w:t>Henderson</w:t>
      </w:r>
      <w:proofErr w:type="gramEnd"/>
      <w:r w:rsidR="003B6133">
        <w:rPr>
          <w:i/>
        </w:rPr>
        <w:t xml:space="preserve"> v </w:t>
      </w:r>
      <w:proofErr w:type="spellStart"/>
      <w:r w:rsidR="003B6133">
        <w:rPr>
          <w:i/>
        </w:rPr>
        <w:t>Merrett</w:t>
      </w:r>
      <w:proofErr w:type="spellEnd"/>
      <w:r w:rsidR="003B6133">
        <w:t xml:space="preserve"> or </w:t>
      </w:r>
      <w:r w:rsidR="003B6133">
        <w:rPr>
          <w:i/>
        </w:rPr>
        <w:t>Clark</w:t>
      </w:r>
      <w:r w:rsidR="003B6133">
        <w:t>?</w:t>
      </w:r>
    </w:p>
    <w:p w14:paraId="1CBB9C63" w14:textId="77777777" w:rsidR="00D564A1" w:rsidRPr="009F74EE" w:rsidRDefault="0069078C" w:rsidP="00F4786F">
      <w:pPr>
        <w:spacing w:line="276" w:lineRule="auto"/>
        <w:rPr>
          <w:rFonts w:asciiTheme="minorHAnsi" w:hAnsiTheme="minorHAnsi"/>
          <w:sz w:val="22"/>
          <w:szCs w:val="22"/>
        </w:rPr>
      </w:pPr>
      <w:r>
        <w:rPr>
          <w:rFonts w:asciiTheme="minorHAnsi" w:hAnsiTheme="minorHAnsi"/>
          <w:sz w:val="22"/>
          <w:szCs w:val="22"/>
        </w:rPr>
        <w:t xml:space="preserve">One was Lord Hope’s concern, shared by Lord Walker, that to require claimants to bring their claims on the basis of the public law reason for restitution rather than any of the private law reasons such as </w:t>
      </w:r>
      <w:proofErr w:type="gramStart"/>
      <w:r>
        <w:rPr>
          <w:rFonts w:asciiTheme="minorHAnsi" w:hAnsiTheme="minorHAnsi"/>
          <w:sz w:val="22"/>
          <w:szCs w:val="22"/>
        </w:rPr>
        <w:t>mistake,</w:t>
      </w:r>
      <w:proofErr w:type="gramEnd"/>
      <w:r>
        <w:rPr>
          <w:rFonts w:asciiTheme="minorHAnsi" w:hAnsiTheme="minorHAnsi"/>
          <w:sz w:val="22"/>
          <w:szCs w:val="22"/>
        </w:rPr>
        <w:t xml:space="preserve"> would be a violation of the principle of concurrent remedies established in </w:t>
      </w:r>
      <w:r>
        <w:rPr>
          <w:rFonts w:asciiTheme="minorHAnsi" w:hAnsiTheme="minorHAnsi"/>
          <w:i/>
          <w:sz w:val="22"/>
          <w:szCs w:val="22"/>
        </w:rPr>
        <w:t xml:space="preserve">Henderson v </w:t>
      </w:r>
      <w:proofErr w:type="spellStart"/>
      <w:r>
        <w:rPr>
          <w:rFonts w:asciiTheme="minorHAnsi" w:hAnsiTheme="minorHAnsi"/>
          <w:i/>
          <w:sz w:val="22"/>
          <w:szCs w:val="22"/>
        </w:rPr>
        <w:t>Merrett</w:t>
      </w:r>
      <w:proofErr w:type="spellEnd"/>
      <w:r>
        <w:rPr>
          <w:rFonts w:asciiTheme="minorHAnsi" w:hAnsiTheme="minorHAnsi"/>
          <w:sz w:val="22"/>
          <w:szCs w:val="22"/>
        </w:rPr>
        <w:t>.</w:t>
      </w:r>
      <w:r w:rsidR="00E45408">
        <w:rPr>
          <w:rStyle w:val="FootnoteReference"/>
          <w:rFonts w:asciiTheme="minorHAnsi" w:hAnsiTheme="minorHAnsi"/>
          <w:sz w:val="22"/>
          <w:szCs w:val="22"/>
        </w:rPr>
        <w:footnoteReference w:id="24"/>
      </w:r>
      <w:r>
        <w:rPr>
          <w:rFonts w:asciiTheme="minorHAnsi" w:hAnsiTheme="minorHAnsi"/>
          <w:sz w:val="22"/>
          <w:szCs w:val="22"/>
        </w:rPr>
        <w:t xml:space="preserve"> But this, I argue, is a distortion caused by what Burrows has referred to as ‘private law spectacles’.</w:t>
      </w:r>
      <w:r w:rsidR="000F54BD">
        <w:rPr>
          <w:rStyle w:val="FootnoteReference"/>
          <w:rFonts w:asciiTheme="minorHAnsi" w:hAnsiTheme="minorHAnsi"/>
          <w:sz w:val="22"/>
          <w:szCs w:val="22"/>
        </w:rPr>
        <w:footnoteReference w:id="25"/>
      </w:r>
      <w:r>
        <w:rPr>
          <w:rFonts w:asciiTheme="minorHAnsi" w:hAnsiTheme="minorHAnsi"/>
          <w:sz w:val="22"/>
          <w:szCs w:val="22"/>
        </w:rPr>
        <w:t xml:space="preserve"> From a public lawyer’s point of view there is nothing surprising about public law sometimes ‘trumping’ private law. That is precisely what the presumption of exclusivity in </w:t>
      </w:r>
      <w:r>
        <w:rPr>
          <w:rFonts w:asciiTheme="minorHAnsi" w:hAnsiTheme="minorHAnsi"/>
          <w:i/>
          <w:sz w:val="22"/>
          <w:szCs w:val="22"/>
        </w:rPr>
        <w:t xml:space="preserve">O’Reilly v </w:t>
      </w:r>
      <w:proofErr w:type="spellStart"/>
      <w:r>
        <w:rPr>
          <w:rFonts w:asciiTheme="minorHAnsi" w:hAnsiTheme="minorHAnsi"/>
          <w:i/>
          <w:sz w:val="22"/>
          <w:szCs w:val="22"/>
        </w:rPr>
        <w:t>Mackman</w:t>
      </w:r>
      <w:proofErr w:type="spellEnd"/>
      <w:r w:rsidR="000F54BD" w:rsidRPr="000F54BD">
        <w:rPr>
          <w:rStyle w:val="FootnoteReference"/>
          <w:rFonts w:asciiTheme="minorHAnsi" w:hAnsiTheme="minorHAnsi"/>
          <w:sz w:val="22"/>
          <w:szCs w:val="22"/>
        </w:rPr>
        <w:footnoteReference w:id="26"/>
      </w:r>
      <w:r>
        <w:rPr>
          <w:rFonts w:asciiTheme="minorHAnsi" w:hAnsiTheme="minorHAnsi"/>
          <w:sz w:val="22"/>
          <w:szCs w:val="22"/>
        </w:rPr>
        <w:t xml:space="preserve"> and to some extent </w:t>
      </w:r>
      <w:r>
        <w:rPr>
          <w:rFonts w:asciiTheme="minorHAnsi" w:hAnsiTheme="minorHAnsi"/>
          <w:i/>
          <w:sz w:val="22"/>
          <w:szCs w:val="22"/>
        </w:rPr>
        <w:t>Clark</w:t>
      </w:r>
      <w:r w:rsidR="000F54BD" w:rsidRPr="000F54BD">
        <w:rPr>
          <w:rStyle w:val="FootnoteReference"/>
          <w:rFonts w:asciiTheme="minorHAnsi" w:hAnsiTheme="minorHAnsi"/>
          <w:sz w:val="22"/>
          <w:szCs w:val="22"/>
        </w:rPr>
        <w:footnoteReference w:id="27"/>
      </w:r>
      <w:r>
        <w:rPr>
          <w:rFonts w:asciiTheme="minorHAnsi" w:hAnsiTheme="minorHAnsi"/>
          <w:sz w:val="22"/>
          <w:szCs w:val="22"/>
        </w:rPr>
        <w:t xml:space="preserve"> establishes. It should be noted in this regard that it was essentially by chance that such claims ever came to be regarded as purely private law matters in the first place. Both the swaps cases and </w:t>
      </w:r>
      <w:r>
        <w:rPr>
          <w:rFonts w:asciiTheme="minorHAnsi" w:hAnsiTheme="minorHAnsi"/>
          <w:i/>
          <w:sz w:val="22"/>
          <w:szCs w:val="22"/>
        </w:rPr>
        <w:t>Woolwich</w:t>
      </w:r>
      <w:r>
        <w:rPr>
          <w:rFonts w:asciiTheme="minorHAnsi" w:hAnsiTheme="minorHAnsi"/>
          <w:sz w:val="22"/>
          <w:szCs w:val="22"/>
        </w:rPr>
        <w:t xml:space="preserve"> actually involved two sets of claims, one in public law and the other in the private law of unjust enrichment. However, they could of course not be merged into one claim </w:t>
      </w:r>
      <w:r w:rsidR="0078031E">
        <w:rPr>
          <w:rFonts w:asciiTheme="minorHAnsi" w:hAnsiTheme="minorHAnsi"/>
          <w:sz w:val="22"/>
          <w:szCs w:val="22"/>
        </w:rPr>
        <w:t xml:space="preserve">for judicial review </w:t>
      </w:r>
      <w:r>
        <w:rPr>
          <w:rFonts w:asciiTheme="minorHAnsi" w:hAnsiTheme="minorHAnsi"/>
          <w:sz w:val="22"/>
          <w:szCs w:val="22"/>
        </w:rPr>
        <w:t xml:space="preserve">because only </w:t>
      </w:r>
      <w:r w:rsidR="00F4786F">
        <w:rPr>
          <w:rFonts w:asciiTheme="minorHAnsi" w:hAnsiTheme="minorHAnsi"/>
          <w:sz w:val="22"/>
          <w:szCs w:val="22"/>
        </w:rPr>
        <w:t>in 2004</w:t>
      </w:r>
      <w:r>
        <w:rPr>
          <w:rFonts w:asciiTheme="minorHAnsi" w:hAnsiTheme="minorHAnsi"/>
          <w:sz w:val="22"/>
          <w:szCs w:val="22"/>
        </w:rPr>
        <w:t xml:space="preserve"> was s 31(4) of </w:t>
      </w:r>
      <w:r w:rsidR="0078031E">
        <w:rPr>
          <w:rFonts w:asciiTheme="minorHAnsi" w:hAnsiTheme="minorHAnsi"/>
          <w:sz w:val="22"/>
          <w:szCs w:val="22"/>
        </w:rPr>
        <w:t>what is now the Senior</w:t>
      </w:r>
      <w:r>
        <w:rPr>
          <w:rFonts w:asciiTheme="minorHAnsi" w:hAnsiTheme="minorHAnsi"/>
          <w:sz w:val="22"/>
          <w:szCs w:val="22"/>
        </w:rPr>
        <w:t xml:space="preserve"> Court</w:t>
      </w:r>
      <w:r w:rsidR="0078031E">
        <w:rPr>
          <w:rFonts w:asciiTheme="minorHAnsi" w:hAnsiTheme="minorHAnsi"/>
          <w:sz w:val="22"/>
          <w:szCs w:val="22"/>
        </w:rPr>
        <w:t>s</w:t>
      </w:r>
      <w:r>
        <w:rPr>
          <w:rFonts w:asciiTheme="minorHAnsi" w:hAnsiTheme="minorHAnsi"/>
          <w:sz w:val="22"/>
          <w:szCs w:val="22"/>
        </w:rPr>
        <w:t xml:space="preserve"> Act 1981 amended </w:t>
      </w:r>
      <w:r w:rsidR="00F4786F">
        <w:rPr>
          <w:rFonts w:asciiTheme="minorHAnsi" w:hAnsiTheme="minorHAnsi"/>
          <w:sz w:val="22"/>
          <w:szCs w:val="22"/>
        </w:rPr>
        <w:t xml:space="preserve">to give the High Court power to award restitution or the recovery of a sum due in addition to its existing power to award damages on an application for judicial review. At the time of </w:t>
      </w:r>
      <w:r w:rsidR="00F4786F">
        <w:rPr>
          <w:rFonts w:asciiTheme="minorHAnsi" w:hAnsiTheme="minorHAnsi"/>
          <w:i/>
          <w:sz w:val="22"/>
          <w:szCs w:val="22"/>
        </w:rPr>
        <w:t>Woolwich</w:t>
      </w:r>
      <w:r w:rsidR="00F4786F">
        <w:rPr>
          <w:rFonts w:asciiTheme="minorHAnsi" w:hAnsiTheme="minorHAnsi"/>
          <w:sz w:val="22"/>
          <w:szCs w:val="22"/>
        </w:rPr>
        <w:t xml:space="preserve"> and </w:t>
      </w:r>
      <w:proofErr w:type="spellStart"/>
      <w:r w:rsidR="00F4786F">
        <w:rPr>
          <w:rFonts w:asciiTheme="minorHAnsi" w:hAnsiTheme="minorHAnsi"/>
          <w:i/>
          <w:sz w:val="22"/>
          <w:szCs w:val="22"/>
        </w:rPr>
        <w:t>Hazell</w:t>
      </w:r>
      <w:proofErr w:type="spellEnd"/>
      <w:r w:rsidR="00F4786F">
        <w:rPr>
          <w:rFonts w:asciiTheme="minorHAnsi" w:hAnsiTheme="minorHAnsi"/>
          <w:i/>
          <w:sz w:val="22"/>
          <w:szCs w:val="22"/>
        </w:rPr>
        <w:t xml:space="preserve"> v Hammersmith</w:t>
      </w:r>
      <w:r w:rsidR="00F4786F">
        <w:rPr>
          <w:rFonts w:asciiTheme="minorHAnsi" w:hAnsiTheme="minorHAnsi"/>
          <w:sz w:val="22"/>
          <w:szCs w:val="22"/>
        </w:rPr>
        <w:t>,</w:t>
      </w:r>
      <w:r w:rsidR="000F54BD">
        <w:rPr>
          <w:rStyle w:val="FootnoteReference"/>
          <w:rFonts w:asciiTheme="minorHAnsi" w:hAnsiTheme="minorHAnsi"/>
          <w:sz w:val="22"/>
          <w:szCs w:val="22"/>
        </w:rPr>
        <w:footnoteReference w:id="28"/>
      </w:r>
      <w:r w:rsidR="00F4786F">
        <w:rPr>
          <w:rFonts w:asciiTheme="minorHAnsi" w:hAnsiTheme="minorHAnsi"/>
          <w:sz w:val="22"/>
          <w:szCs w:val="22"/>
        </w:rPr>
        <w:t xml:space="preserve"> therefore, for purely fortuitous practical reasons the public law judicial review claim had to be followed by a separate private law claim for restitution. In </w:t>
      </w:r>
      <w:r w:rsidR="00F4786F">
        <w:rPr>
          <w:rFonts w:asciiTheme="minorHAnsi" w:hAnsiTheme="minorHAnsi"/>
          <w:i/>
          <w:sz w:val="22"/>
          <w:szCs w:val="22"/>
        </w:rPr>
        <w:t>British Steel v Customs and Excise Commissioners</w:t>
      </w:r>
      <w:r w:rsidR="000F54BD" w:rsidRPr="000F54BD">
        <w:rPr>
          <w:rStyle w:val="FootnoteReference"/>
          <w:rFonts w:asciiTheme="minorHAnsi" w:hAnsiTheme="minorHAnsi"/>
          <w:sz w:val="22"/>
          <w:szCs w:val="22"/>
        </w:rPr>
        <w:footnoteReference w:id="29"/>
      </w:r>
      <w:r w:rsidR="00F4786F">
        <w:rPr>
          <w:rFonts w:asciiTheme="minorHAnsi" w:hAnsiTheme="minorHAnsi"/>
          <w:sz w:val="22"/>
          <w:szCs w:val="22"/>
        </w:rPr>
        <w:t xml:space="preserve"> in 1997 this ‘bifurcation’ was thought to be inefficient and unsatisfactory and so it was held that the two claims should be brought via one procedure, but still the only procedure which could give rise to a claim for restitution was that in private law, and thus the claims were fitted into the exception in </w:t>
      </w:r>
      <w:r w:rsidR="00F4786F">
        <w:rPr>
          <w:rFonts w:asciiTheme="minorHAnsi" w:hAnsiTheme="minorHAnsi"/>
          <w:i/>
          <w:sz w:val="22"/>
          <w:szCs w:val="22"/>
        </w:rPr>
        <w:t xml:space="preserve">O’Reilly v </w:t>
      </w:r>
      <w:proofErr w:type="spellStart"/>
      <w:r w:rsidR="00F4786F">
        <w:rPr>
          <w:rFonts w:asciiTheme="minorHAnsi" w:hAnsiTheme="minorHAnsi"/>
          <w:i/>
          <w:sz w:val="22"/>
          <w:szCs w:val="22"/>
        </w:rPr>
        <w:t>Mackman</w:t>
      </w:r>
      <w:proofErr w:type="spellEnd"/>
      <w:r w:rsidR="00F4786F">
        <w:rPr>
          <w:rFonts w:asciiTheme="minorHAnsi" w:hAnsiTheme="minorHAnsi"/>
          <w:sz w:val="22"/>
          <w:szCs w:val="22"/>
        </w:rPr>
        <w:t xml:space="preserve"> for claims where ‘private rights’ were at stake. </w:t>
      </w:r>
      <w:r w:rsidR="009F74EE">
        <w:rPr>
          <w:rFonts w:asciiTheme="minorHAnsi" w:hAnsiTheme="minorHAnsi"/>
          <w:sz w:val="22"/>
          <w:szCs w:val="22"/>
        </w:rPr>
        <w:t>As will be seen in further detail below, the Court of Appeal has recently confirmed that s</w:t>
      </w:r>
      <w:r w:rsidR="000F0415">
        <w:rPr>
          <w:rFonts w:asciiTheme="minorHAnsi" w:hAnsiTheme="minorHAnsi"/>
          <w:sz w:val="22"/>
          <w:szCs w:val="22"/>
        </w:rPr>
        <w:t xml:space="preserve">uch claims do still belong in the private law procedure, but nevertheless it is worth noting that </w:t>
      </w:r>
      <w:r w:rsidR="00F4786F">
        <w:rPr>
          <w:rFonts w:asciiTheme="minorHAnsi" w:hAnsiTheme="minorHAnsi"/>
          <w:sz w:val="22"/>
          <w:szCs w:val="22"/>
        </w:rPr>
        <w:t xml:space="preserve">since the reforms to the judicial review procedure which took place in 2000, the introduction of restitution as a remedy in judicial review, and the subsequent changes to the principle of procedural exclusivity in </w:t>
      </w:r>
      <w:r w:rsidR="00F4786F">
        <w:rPr>
          <w:rFonts w:asciiTheme="minorHAnsi" w:hAnsiTheme="minorHAnsi"/>
          <w:i/>
          <w:sz w:val="22"/>
          <w:szCs w:val="22"/>
        </w:rPr>
        <w:t>Clark</w:t>
      </w:r>
      <w:r w:rsidR="00F4786F">
        <w:rPr>
          <w:rFonts w:asciiTheme="minorHAnsi" w:hAnsiTheme="minorHAnsi"/>
          <w:sz w:val="22"/>
          <w:szCs w:val="22"/>
        </w:rPr>
        <w:t xml:space="preserve">, two cases </w:t>
      </w:r>
      <w:r w:rsidR="00D564A1">
        <w:rPr>
          <w:rFonts w:asciiTheme="minorHAnsi" w:hAnsiTheme="minorHAnsi"/>
          <w:sz w:val="22"/>
          <w:szCs w:val="22"/>
        </w:rPr>
        <w:t>have reinforced th</w:t>
      </w:r>
      <w:r w:rsidR="000F0415">
        <w:rPr>
          <w:rFonts w:asciiTheme="minorHAnsi" w:hAnsiTheme="minorHAnsi"/>
          <w:sz w:val="22"/>
          <w:szCs w:val="22"/>
        </w:rPr>
        <w:t xml:space="preserve">e hybrid nature of these claims and demonstrated that </w:t>
      </w:r>
      <w:r w:rsidR="009F74EE">
        <w:rPr>
          <w:rFonts w:asciiTheme="minorHAnsi" w:hAnsiTheme="minorHAnsi"/>
          <w:sz w:val="22"/>
          <w:szCs w:val="22"/>
        </w:rPr>
        <w:t>this</w:t>
      </w:r>
      <w:r w:rsidR="000F0415">
        <w:rPr>
          <w:rFonts w:asciiTheme="minorHAnsi" w:hAnsiTheme="minorHAnsi"/>
          <w:sz w:val="22"/>
          <w:szCs w:val="22"/>
        </w:rPr>
        <w:t xml:space="preserve"> choice of the private rather than the public procedure was not a forgone conclusion.</w:t>
      </w:r>
    </w:p>
    <w:p w14:paraId="059958EB" w14:textId="77777777" w:rsidR="009C483B" w:rsidRDefault="00D564A1" w:rsidP="00F4786F">
      <w:pPr>
        <w:spacing w:line="276" w:lineRule="auto"/>
        <w:rPr>
          <w:rFonts w:asciiTheme="minorHAnsi" w:hAnsiTheme="minorHAnsi"/>
          <w:sz w:val="22"/>
          <w:szCs w:val="22"/>
        </w:rPr>
      </w:pPr>
      <w:r>
        <w:rPr>
          <w:rFonts w:asciiTheme="minorHAnsi" w:hAnsiTheme="minorHAnsi"/>
          <w:sz w:val="22"/>
          <w:szCs w:val="22"/>
        </w:rPr>
        <w:t xml:space="preserve">In </w:t>
      </w:r>
      <w:r w:rsidR="00F4786F">
        <w:rPr>
          <w:rFonts w:asciiTheme="minorHAnsi" w:hAnsiTheme="minorHAnsi"/>
          <w:i/>
          <w:sz w:val="22"/>
          <w:szCs w:val="22"/>
        </w:rPr>
        <w:t xml:space="preserve">Jones v </w:t>
      </w:r>
      <w:proofErr w:type="spellStart"/>
      <w:r w:rsidR="00F4786F">
        <w:rPr>
          <w:rFonts w:asciiTheme="minorHAnsi" w:hAnsiTheme="minorHAnsi"/>
          <w:i/>
          <w:sz w:val="22"/>
          <w:szCs w:val="22"/>
        </w:rPr>
        <w:t>Powys</w:t>
      </w:r>
      <w:proofErr w:type="spellEnd"/>
      <w:r w:rsidR="00F4786F">
        <w:rPr>
          <w:rFonts w:asciiTheme="minorHAnsi" w:hAnsiTheme="minorHAnsi"/>
          <w:i/>
          <w:sz w:val="22"/>
          <w:szCs w:val="22"/>
        </w:rPr>
        <w:t xml:space="preserve"> Local Health Board</w:t>
      </w:r>
      <w:r w:rsidR="000F54BD">
        <w:rPr>
          <w:rFonts w:asciiTheme="minorHAnsi" w:hAnsiTheme="minorHAnsi"/>
          <w:sz w:val="22"/>
          <w:szCs w:val="22"/>
        </w:rPr>
        <w:t>,</w:t>
      </w:r>
      <w:r w:rsidR="000F54BD" w:rsidRPr="000F54BD">
        <w:rPr>
          <w:rStyle w:val="FootnoteReference"/>
          <w:rFonts w:asciiTheme="minorHAnsi" w:hAnsiTheme="minorHAnsi"/>
          <w:sz w:val="22"/>
          <w:szCs w:val="22"/>
        </w:rPr>
        <w:footnoteReference w:id="30"/>
      </w:r>
      <w:r w:rsidR="00F4786F">
        <w:rPr>
          <w:rFonts w:asciiTheme="minorHAnsi" w:hAnsiTheme="minorHAnsi"/>
          <w:sz w:val="22"/>
          <w:szCs w:val="22"/>
        </w:rPr>
        <w:t xml:space="preserve"> a son, following his father’s death, sought to recover from the local health board the money he had paid for his father’s care on the basis that his father had actually been legally entitled to the care, but this had been missed as a result of a wrong assessment </w:t>
      </w:r>
      <w:proofErr w:type="gramStart"/>
      <w:r w:rsidR="00F4786F">
        <w:rPr>
          <w:rFonts w:asciiTheme="minorHAnsi" w:hAnsiTheme="minorHAnsi"/>
          <w:sz w:val="22"/>
          <w:szCs w:val="22"/>
        </w:rPr>
        <w:t>by</w:t>
      </w:r>
      <w:proofErr w:type="gramEnd"/>
      <w:r w:rsidR="00F4786F">
        <w:rPr>
          <w:rFonts w:asciiTheme="minorHAnsi" w:hAnsiTheme="minorHAnsi"/>
          <w:sz w:val="22"/>
          <w:szCs w:val="22"/>
        </w:rPr>
        <w:t xml:space="preserve"> the health board’s review panel. </w:t>
      </w:r>
      <w:proofErr w:type="spellStart"/>
      <w:r w:rsidR="00F4786F">
        <w:rPr>
          <w:rFonts w:asciiTheme="minorHAnsi" w:hAnsiTheme="minorHAnsi"/>
          <w:sz w:val="22"/>
          <w:szCs w:val="22"/>
        </w:rPr>
        <w:t>Plender</w:t>
      </w:r>
      <w:proofErr w:type="spellEnd"/>
      <w:r w:rsidR="00F4786F">
        <w:rPr>
          <w:rFonts w:asciiTheme="minorHAnsi" w:hAnsiTheme="minorHAnsi"/>
          <w:sz w:val="22"/>
          <w:szCs w:val="22"/>
        </w:rPr>
        <w:t xml:space="preserve"> J held that it was an abuse of process to try to bring this claim outside the judicial review procedure because the claimant could not succeed without proving that the review panel had erred, a question which was more suitable for judicial review, to which more stringent time limits and a permission requirement would have applied. Similarly, in </w:t>
      </w:r>
      <w:r w:rsidR="00F4786F">
        <w:rPr>
          <w:rFonts w:asciiTheme="minorHAnsi" w:hAnsiTheme="minorHAnsi"/>
          <w:i/>
          <w:sz w:val="22"/>
          <w:szCs w:val="22"/>
        </w:rPr>
        <w:t>Hemming</w:t>
      </w:r>
      <w:r w:rsidR="00F4786F">
        <w:rPr>
          <w:rFonts w:asciiTheme="minorHAnsi" w:hAnsiTheme="minorHAnsi"/>
          <w:sz w:val="22"/>
          <w:szCs w:val="22"/>
        </w:rPr>
        <w:t>,</w:t>
      </w:r>
      <w:r w:rsidR="003B6133">
        <w:rPr>
          <w:rStyle w:val="FootnoteReference"/>
          <w:rFonts w:asciiTheme="minorHAnsi" w:hAnsiTheme="minorHAnsi"/>
          <w:sz w:val="22"/>
          <w:szCs w:val="22"/>
        </w:rPr>
        <w:footnoteReference w:id="31"/>
      </w:r>
      <w:r w:rsidR="00F4786F">
        <w:rPr>
          <w:rFonts w:asciiTheme="minorHAnsi" w:hAnsiTheme="minorHAnsi"/>
          <w:sz w:val="22"/>
          <w:szCs w:val="22"/>
        </w:rPr>
        <w:t xml:space="preserve"> the claimants sought to recover money paid to Westminster City Council as fees for sex shop </w:t>
      </w:r>
      <w:proofErr w:type="spellStart"/>
      <w:r w:rsidR="00F4786F">
        <w:rPr>
          <w:rFonts w:asciiTheme="minorHAnsi" w:hAnsiTheme="minorHAnsi"/>
          <w:sz w:val="22"/>
          <w:szCs w:val="22"/>
        </w:rPr>
        <w:t>licences</w:t>
      </w:r>
      <w:proofErr w:type="spellEnd"/>
      <w:r w:rsidR="00F4786F">
        <w:rPr>
          <w:rFonts w:asciiTheme="minorHAnsi" w:hAnsiTheme="minorHAnsi"/>
          <w:sz w:val="22"/>
          <w:szCs w:val="22"/>
        </w:rPr>
        <w:t xml:space="preserve">, arguing that these fees were ultra vires because </w:t>
      </w:r>
      <w:proofErr w:type="gramStart"/>
      <w:r w:rsidR="00F4786F">
        <w:rPr>
          <w:rFonts w:asciiTheme="minorHAnsi" w:hAnsiTheme="minorHAnsi"/>
          <w:sz w:val="22"/>
          <w:szCs w:val="22"/>
        </w:rPr>
        <w:t>they had been charged in the absence of a proper determination by the Council of their level</w:t>
      </w:r>
      <w:proofErr w:type="gramEnd"/>
      <w:r w:rsidR="00F4786F">
        <w:rPr>
          <w:rFonts w:asciiTheme="minorHAnsi" w:hAnsiTheme="minorHAnsi"/>
          <w:sz w:val="22"/>
          <w:szCs w:val="22"/>
        </w:rPr>
        <w:t xml:space="preserve">. Keith J acknowledged that there were ‘comments’ in both </w:t>
      </w:r>
      <w:r w:rsidR="00F4786F">
        <w:rPr>
          <w:rFonts w:asciiTheme="minorHAnsi" w:hAnsiTheme="minorHAnsi"/>
          <w:i/>
          <w:sz w:val="22"/>
          <w:szCs w:val="22"/>
        </w:rPr>
        <w:t>British Steel</w:t>
      </w:r>
      <w:r w:rsidR="00F4786F">
        <w:rPr>
          <w:rFonts w:asciiTheme="minorHAnsi" w:hAnsiTheme="minorHAnsi"/>
          <w:sz w:val="22"/>
          <w:szCs w:val="22"/>
        </w:rPr>
        <w:t xml:space="preserve"> and </w:t>
      </w:r>
      <w:r w:rsidR="00F4786F">
        <w:rPr>
          <w:rFonts w:asciiTheme="minorHAnsi" w:hAnsiTheme="minorHAnsi"/>
          <w:i/>
          <w:sz w:val="22"/>
          <w:szCs w:val="22"/>
        </w:rPr>
        <w:t>Woolwich</w:t>
      </w:r>
      <w:r w:rsidR="00F4786F">
        <w:rPr>
          <w:rFonts w:asciiTheme="minorHAnsi" w:hAnsiTheme="minorHAnsi"/>
          <w:sz w:val="22"/>
          <w:szCs w:val="22"/>
        </w:rPr>
        <w:t xml:space="preserve"> suggesting that the private law procedure, with its longer time limits, could be used to bring such claims, but pointed out also that those comments had been ‘made before 2004 when rule 54.3 of the Civil Procedure Rules was amended to permit a claim for judicial review to include a claim for restitution’, citing </w:t>
      </w:r>
      <w:r w:rsidR="00F4786F">
        <w:rPr>
          <w:rFonts w:asciiTheme="minorHAnsi" w:hAnsiTheme="minorHAnsi"/>
          <w:i/>
          <w:sz w:val="22"/>
          <w:szCs w:val="22"/>
        </w:rPr>
        <w:t xml:space="preserve">Jones v </w:t>
      </w:r>
      <w:proofErr w:type="spellStart"/>
      <w:r w:rsidR="00F4786F">
        <w:rPr>
          <w:rFonts w:asciiTheme="minorHAnsi" w:hAnsiTheme="minorHAnsi"/>
          <w:i/>
          <w:sz w:val="22"/>
          <w:szCs w:val="22"/>
        </w:rPr>
        <w:t>Powys</w:t>
      </w:r>
      <w:proofErr w:type="spellEnd"/>
      <w:r w:rsidR="00F4786F">
        <w:rPr>
          <w:rFonts w:asciiTheme="minorHAnsi" w:hAnsiTheme="minorHAnsi"/>
          <w:sz w:val="22"/>
          <w:szCs w:val="22"/>
        </w:rPr>
        <w:t>.</w:t>
      </w:r>
      <w:r w:rsidR="00EB78AC">
        <w:rPr>
          <w:rFonts w:asciiTheme="minorHAnsi" w:hAnsiTheme="minorHAnsi"/>
          <w:sz w:val="22"/>
          <w:szCs w:val="22"/>
        </w:rPr>
        <w:t xml:space="preserve"> Keith J therefore agreed with </w:t>
      </w:r>
      <w:proofErr w:type="spellStart"/>
      <w:r w:rsidR="00EB78AC">
        <w:rPr>
          <w:rFonts w:asciiTheme="minorHAnsi" w:hAnsiTheme="minorHAnsi"/>
          <w:sz w:val="22"/>
          <w:szCs w:val="22"/>
        </w:rPr>
        <w:t>Plender</w:t>
      </w:r>
      <w:proofErr w:type="spellEnd"/>
      <w:r w:rsidR="00EB78AC">
        <w:rPr>
          <w:rFonts w:asciiTheme="minorHAnsi" w:hAnsiTheme="minorHAnsi"/>
          <w:sz w:val="22"/>
          <w:szCs w:val="22"/>
        </w:rPr>
        <w:t xml:space="preserve"> J’s analysis in </w:t>
      </w:r>
      <w:r w:rsidR="00EB78AC">
        <w:rPr>
          <w:rFonts w:asciiTheme="minorHAnsi" w:hAnsiTheme="minorHAnsi"/>
          <w:i/>
          <w:sz w:val="22"/>
          <w:szCs w:val="22"/>
        </w:rPr>
        <w:t>Jones</w:t>
      </w:r>
      <w:r w:rsidR="00EB78AC">
        <w:rPr>
          <w:rFonts w:asciiTheme="minorHAnsi" w:hAnsiTheme="minorHAnsi"/>
          <w:sz w:val="22"/>
          <w:szCs w:val="22"/>
        </w:rPr>
        <w:t xml:space="preserve"> that it was therefore necessary to consider whether the claim was in substance ‘asserting an entitlement to a subsisting right in private law which ‘may incidentally involve the examination of a public law issue’ or whether the ‘primary focus’ or ‘dominant issue’ is to challenge a public law act or decision’. Applying that test,</w:t>
      </w:r>
      <w:r w:rsidR="009C483B">
        <w:rPr>
          <w:rFonts w:asciiTheme="minorHAnsi" w:hAnsiTheme="minorHAnsi"/>
          <w:sz w:val="22"/>
          <w:szCs w:val="22"/>
        </w:rPr>
        <w:t xml:space="preserve"> Keith J concluded that he had </w:t>
      </w:r>
    </w:p>
    <w:p w14:paraId="646B4194" w14:textId="5A22C259" w:rsidR="00716D3D" w:rsidRDefault="00EB78AC" w:rsidP="009C483B">
      <w:pPr>
        <w:spacing w:line="276" w:lineRule="auto"/>
        <w:ind w:left="720"/>
        <w:rPr>
          <w:rFonts w:asciiTheme="minorHAnsi" w:hAnsiTheme="minorHAnsi"/>
          <w:sz w:val="22"/>
          <w:szCs w:val="22"/>
        </w:rPr>
      </w:pPr>
      <w:proofErr w:type="gramStart"/>
      <w:r>
        <w:rPr>
          <w:rFonts w:asciiTheme="minorHAnsi" w:hAnsiTheme="minorHAnsi"/>
          <w:sz w:val="22"/>
          <w:szCs w:val="22"/>
        </w:rPr>
        <w:t>no</w:t>
      </w:r>
      <w:proofErr w:type="gramEnd"/>
      <w:r>
        <w:rPr>
          <w:rFonts w:asciiTheme="minorHAnsi" w:hAnsiTheme="minorHAnsi"/>
          <w:sz w:val="22"/>
          <w:szCs w:val="22"/>
        </w:rPr>
        <w:t xml:space="preserve"> doubt that the primary focus of the </w:t>
      </w:r>
      <w:proofErr w:type="spellStart"/>
      <w:r>
        <w:rPr>
          <w:rFonts w:asciiTheme="minorHAnsi" w:hAnsiTheme="minorHAnsi"/>
          <w:sz w:val="22"/>
          <w:szCs w:val="22"/>
        </w:rPr>
        <w:t>restitutionary</w:t>
      </w:r>
      <w:proofErr w:type="spellEnd"/>
      <w:r>
        <w:rPr>
          <w:rFonts w:asciiTheme="minorHAnsi" w:hAnsiTheme="minorHAnsi"/>
          <w:sz w:val="22"/>
          <w:szCs w:val="22"/>
        </w:rPr>
        <w:t xml:space="preserve"> claim is to challenge the equi</w:t>
      </w:r>
      <w:r w:rsidR="000F0415">
        <w:rPr>
          <w:rFonts w:asciiTheme="minorHAnsi" w:hAnsiTheme="minorHAnsi"/>
          <w:sz w:val="22"/>
          <w:szCs w:val="22"/>
        </w:rPr>
        <w:t>valent of a public law decision</w:t>
      </w:r>
      <w:r w:rsidRPr="00EB78AC">
        <w:rPr>
          <w:rFonts w:asciiTheme="minorHAnsi" w:hAnsiTheme="minorHAnsi"/>
          <w:sz w:val="22"/>
          <w:szCs w:val="22"/>
        </w:rPr>
        <w:t xml:space="preserve">, i.e. the Council’s failure to determine a </w:t>
      </w:r>
      <w:proofErr w:type="spellStart"/>
      <w:r w:rsidRPr="00EB78AC">
        <w:rPr>
          <w:rFonts w:asciiTheme="minorHAnsi" w:hAnsiTheme="minorHAnsi"/>
          <w:sz w:val="22"/>
          <w:szCs w:val="22"/>
        </w:rPr>
        <w:t>licence</w:t>
      </w:r>
      <w:proofErr w:type="spellEnd"/>
      <w:r w:rsidRPr="00EB78AC">
        <w:rPr>
          <w:rFonts w:asciiTheme="minorHAnsi" w:hAnsiTheme="minorHAnsi"/>
          <w:sz w:val="22"/>
          <w:szCs w:val="22"/>
        </w:rPr>
        <w:t xml:space="preserve"> fee for the relevant years. Accordingly, if the </w:t>
      </w:r>
      <w:proofErr w:type="spellStart"/>
      <w:r w:rsidRPr="00EB78AC">
        <w:rPr>
          <w:rFonts w:asciiTheme="minorHAnsi" w:hAnsiTheme="minorHAnsi"/>
          <w:sz w:val="22"/>
          <w:szCs w:val="22"/>
        </w:rPr>
        <w:t>restitutionary</w:t>
      </w:r>
      <w:proofErr w:type="spellEnd"/>
      <w:r w:rsidRPr="00EB78AC">
        <w:rPr>
          <w:rFonts w:asciiTheme="minorHAnsi" w:hAnsiTheme="minorHAnsi"/>
          <w:sz w:val="22"/>
          <w:szCs w:val="22"/>
        </w:rPr>
        <w:t xml:space="preserve"> claim is to proceed, it must be treated as a claim for judicial review (because [private] proceedings would have amounted to an abuse of the court’s process). On that basis, the question of the claimants’ failure to bring the claim within the time limit for claims of judicial review has to be addressed</w:t>
      </w:r>
      <w:r>
        <w:rPr>
          <w:rFonts w:asciiTheme="minorHAnsi" w:hAnsiTheme="minorHAnsi"/>
          <w:sz w:val="22"/>
          <w:szCs w:val="22"/>
        </w:rPr>
        <w:t xml:space="preserve">. </w:t>
      </w:r>
    </w:p>
    <w:p w14:paraId="01BFACC7" w14:textId="77777777" w:rsidR="009F74EE" w:rsidRDefault="00EB78AC" w:rsidP="00EB78AC">
      <w:pPr>
        <w:spacing w:line="276" w:lineRule="auto"/>
        <w:rPr>
          <w:rFonts w:asciiTheme="minorHAnsi" w:hAnsiTheme="minorHAnsi"/>
          <w:sz w:val="22"/>
          <w:szCs w:val="22"/>
        </w:rPr>
      </w:pPr>
      <w:r w:rsidRPr="00EB78AC">
        <w:rPr>
          <w:rFonts w:asciiTheme="minorHAnsi" w:hAnsiTheme="minorHAnsi"/>
          <w:sz w:val="22"/>
          <w:szCs w:val="22"/>
        </w:rPr>
        <w:t xml:space="preserve">On the facts Keith J nevertheless decided that although the claims had not been brought within the time limits applicable to judicial review, he was prepared to extend those time limits because the claim had been brought within three months of the claimants receiving the information necessary for them to </w:t>
      </w:r>
      <w:proofErr w:type="spellStart"/>
      <w:r w:rsidRPr="00EB78AC">
        <w:rPr>
          <w:rFonts w:asciiTheme="minorHAnsi" w:hAnsiTheme="minorHAnsi"/>
          <w:sz w:val="22"/>
          <w:szCs w:val="22"/>
        </w:rPr>
        <w:t>realise</w:t>
      </w:r>
      <w:proofErr w:type="spellEnd"/>
      <w:r w:rsidRPr="00EB78AC">
        <w:rPr>
          <w:rFonts w:asciiTheme="minorHAnsi" w:hAnsiTheme="minorHAnsi"/>
          <w:sz w:val="22"/>
          <w:szCs w:val="22"/>
        </w:rPr>
        <w:t xml:space="preserve"> that they had a claim. On this basis the claim succeeded.</w:t>
      </w:r>
      <w:r w:rsidR="000F0415">
        <w:rPr>
          <w:rFonts w:asciiTheme="minorHAnsi" w:hAnsiTheme="minorHAnsi"/>
          <w:sz w:val="22"/>
          <w:szCs w:val="22"/>
        </w:rPr>
        <w:t xml:space="preserve"> </w:t>
      </w:r>
    </w:p>
    <w:p w14:paraId="3153F1E3" w14:textId="3053503E" w:rsidR="000F0415" w:rsidRDefault="000F0415" w:rsidP="00EB78AC">
      <w:pPr>
        <w:spacing w:line="276" w:lineRule="auto"/>
        <w:rPr>
          <w:rFonts w:asciiTheme="minorHAnsi" w:hAnsiTheme="minorHAnsi"/>
          <w:sz w:val="22"/>
          <w:szCs w:val="22"/>
        </w:rPr>
      </w:pPr>
      <w:r>
        <w:rPr>
          <w:rFonts w:asciiTheme="minorHAnsi" w:hAnsiTheme="minorHAnsi"/>
          <w:sz w:val="22"/>
          <w:szCs w:val="22"/>
        </w:rPr>
        <w:t xml:space="preserve">On appeal in </w:t>
      </w:r>
      <w:r>
        <w:rPr>
          <w:rFonts w:asciiTheme="minorHAnsi" w:hAnsiTheme="minorHAnsi"/>
          <w:i/>
          <w:sz w:val="22"/>
          <w:szCs w:val="22"/>
        </w:rPr>
        <w:t>Hemming</w:t>
      </w:r>
      <w:r>
        <w:rPr>
          <w:rFonts w:asciiTheme="minorHAnsi" w:hAnsiTheme="minorHAnsi"/>
          <w:sz w:val="22"/>
          <w:szCs w:val="22"/>
        </w:rPr>
        <w:t>, however,</w:t>
      </w:r>
      <w:r>
        <w:rPr>
          <w:rStyle w:val="FootnoteReference"/>
          <w:rFonts w:asciiTheme="minorHAnsi" w:hAnsiTheme="minorHAnsi"/>
          <w:sz w:val="22"/>
          <w:szCs w:val="22"/>
        </w:rPr>
        <w:footnoteReference w:id="32"/>
      </w:r>
      <w:r>
        <w:rPr>
          <w:rFonts w:asciiTheme="minorHAnsi" w:hAnsiTheme="minorHAnsi"/>
          <w:sz w:val="22"/>
          <w:szCs w:val="22"/>
        </w:rPr>
        <w:t xml:space="preserve"> </w:t>
      </w:r>
      <w:proofErr w:type="spellStart"/>
      <w:r>
        <w:rPr>
          <w:rFonts w:asciiTheme="minorHAnsi" w:hAnsiTheme="minorHAnsi"/>
          <w:sz w:val="22"/>
          <w:szCs w:val="22"/>
        </w:rPr>
        <w:t>Beatson</w:t>
      </w:r>
      <w:proofErr w:type="spellEnd"/>
      <w:r w:rsidR="009C483B">
        <w:rPr>
          <w:rFonts w:asciiTheme="minorHAnsi" w:hAnsiTheme="minorHAnsi"/>
          <w:sz w:val="22"/>
          <w:szCs w:val="22"/>
        </w:rPr>
        <w:t xml:space="preserve"> LJ</w:t>
      </w:r>
      <w:r>
        <w:rPr>
          <w:rFonts w:asciiTheme="minorHAnsi" w:hAnsiTheme="minorHAnsi"/>
          <w:sz w:val="22"/>
          <w:szCs w:val="22"/>
        </w:rPr>
        <w:t>, giving the judgment of the Court of Appeal, held that</w:t>
      </w:r>
    </w:p>
    <w:p w14:paraId="7C734FA8" w14:textId="77777777" w:rsidR="000F0415" w:rsidRDefault="000F0415" w:rsidP="000F0415">
      <w:pPr>
        <w:spacing w:line="276" w:lineRule="auto"/>
        <w:ind w:left="720"/>
        <w:rPr>
          <w:rFonts w:asciiTheme="minorHAnsi" w:eastAsiaTheme="minorHAnsi" w:hAnsiTheme="minorHAnsi"/>
          <w:sz w:val="22"/>
          <w:szCs w:val="22"/>
        </w:rPr>
      </w:pPr>
      <w:r>
        <w:rPr>
          <w:rFonts w:asciiTheme="minorHAnsi" w:eastAsiaTheme="minorHAnsi" w:hAnsiTheme="minorHAnsi"/>
          <w:sz w:val="22"/>
          <w:szCs w:val="22"/>
        </w:rPr>
        <w:t>‘[</w:t>
      </w:r>
      <w:proofErr w:type="gramStart"/>
      <w:r>
        <w:rPr>
          <w:rFonts w:asciiTheme="minorHAnsi" w:eastAsiaTheme="minorHAnsi" w:hAnsiTheme="minorHAnsi"/>
          <w:sz w:val="22"/>
          <w:szCs w:val="22"/>
        </w:rPr>
        <w:t>t]</w:t>
      </w:r>
      <w:r w:rsidRPr="000F0415">
        <w:rPr>
          <w:rFonts w:asciiTheme="minorHAnsi" w:eastAsiaTheme="minorHAnsi" w:hAnsiTheme="minorHAnsi"/>
          <w:sz w:val="22"/>
          <w:szCs w:val="22"/>
        </w:rPr>
        <w:t>he</w:t>
      </w:r>
      <w:proofErr w:type="gramEnd"/>
      <w:r w:rsidRPr="000F0415">
        <w:rPr>
          <w:rFonts w:asciiTheme="minorHAnsi" w:eastAsiaTheme="minorHAnsi" w:hAnsiTheme="minorHAnsi"/>
          <w:sz w:val="22"/>
          <w:szCs w:val="22"/>
        </w:rPr>
        <w:t xml:space="preserve"> factor making the payee's enrichment unjust is rooted in public law, but the right to restitution and the obligation to make restitution are part of the private law of obligations. Just as there is no requirement that the time limit for judicial review applies to the tort of misfeasance in public office, so also it should not apply to claims seeking restitution against public bodies</w:t>
      </w:r>
      <w:r>
        <w:rPr>
          <w:rFonts w:asciiTheme="minorHAnsi" w:eastAsiaTheme="minorHAnsi" w:hAnsiTheme="minorHAnsi"/>
          <w:sz w:val="22"/>
          <w:szCs w:val="22"/>
        </w:rPr>
        <w:t>’.</w:t>
      </w:r>
      <w:r>
        <w:rPr>
          <w:rStyle w:val="FootnoteReference"/>
          <w:rFonts w:asciiTheme="minorHAnsi" w:eastAsiaTheme="minorHAnsi" w:hAnsiTheme="minorHAnsi"/>
          <w:sz w:val="22"/>
          <w:szCs w:val="22"/>
        </w:rPr>
        <w:footnoteReference w:id="33"/>
      </w:r>
      <w:r w:rsidRPr="000F0415">
        <w:rPr>
          <w:rFonts w:asciiTheme="minorHAnsi" w:eastAsiaTheme="minorHAnsi" w:hAnsiTheme="minorHAnsi"/>
          <w:sz w:val="22"/>
          <w:szCs w:val="22"/>
        </w:rPr>
        <w:t xml:space="preserve"> </w:t>
      </w:r>
    </w:p>
    <w:p w14:paraId="6EC3C7BB" w14:textId="59CA444F" w:rsidR="000F0415" w:rsidRDefault="000F0415" w:rsidP="000F0415">
      <w:pPr>
        <w:spacing w:line="276" w:lineRule="auto"/>
        <w:rPr>
          <w:rFonts w:asciiTheme="minorHAnsi" w:eastAsiaTheme="minorHAnsi" w:hAnsiTheme="minorHAnsi"/>
          <w:sz w:val="22"/>
          <w:szCs w:val="22"/>
        </w:rPr>
      </w:pPr>
      <w:r>
        <w:rPr>
          <w:rFonts w:asciiTheme="minorHAnsi" w:eastAsiaTheme="minorHAnsi" w:hAnsiTheme="minorHAnsi"/>
          <w:sz w:val="22"/>
          <w:szCs w:val="22"/>
        </w:rPr>
        <w:t xml:space="preserve">Although, since the first instance judge had in any event extended the time limit under </w:t>
      </w:r>
      <w:r w:rsidR="009C483B">
        <w:rPr>
          <w:rFonts w:asciiTheme="minorHAnsi" w:eastAsiaTheme="minorHAnsi" w:hAnsiTheme="minorHAnsi"/>
          <w:sz w:val="22"/>
          <w:szCs w:val="22"/>
        </w:rPr>
        <w:t xml:space="preserve">the public law procedure, as </w:t>
      </w:r>
      <w:proofErr w:type="spellStart"/>
      <w:r w:rsidR="009C483B">
        <w:rPr>
          <w:rFonts w:asciiTheme="minorHAnsi" w:eastAsiaTheme="minorHAnsi" w:hAnsiTheme="minorHAnsi"/>
          <w:sz w:val="22"/>
          <w:szCs w:val="22"/>
        </w:rPr>
        <w:t>Beatson</w:t>
      </w:r>
      <w:proofErr w:type="spellEnd"/>
      <w:r w:rsidR="009C483B">
        <w:rPr>
          <w:rFonts w:asciiTheme="minorHAnsi" w:eastAsiaTheme="minorHAnsi" w:hAnsiTheme="minorHAnsi"/>
          <w:sz w:val="22"/>
          <w:szCs w:val="22"/>
        </w:rPr>
        <w:t xml:space="preserve"> LJ </w:t>
      </w:r>
      <w:r>
        <w:rPr>
          <w:rFonts w:asciiTheme="minorHAnsi" w:eastAsiaTheme="minorHAnsi" w:hAnsiTheme="minorHAnsi"/>
          <w:sz w:val="22"/>
          <w:szCs w:val="22"/>
        </w:rPr>
        <w:t>noted, it was not necessary to decide this issue.</w:t>
      </w:r>
    </w:p>
    <w:p w14:paraId="67D239C2" w14:textId="251AD95E" w:rsidR="00EB78AC" w:rsidRPr="00EB78AC" w:rsidRDefault="00EB78AC" w:rsidP="000F0415">
      <w:pPr>
        <w:spacing w:line="276" w:lineRule="auto"/>
        <w:rPr>
          <w:rFonts w:asciiTheme="minorHAnsi" w:hAnsiTheme="minorHAnsi"/>
          <w:sz w:val="22"/>
          <w:szCs w:val="22"/>
        </w:rPr>
      </w:pPr>
      <w:r w:rsidRPr="00EB78AC">
        <w:rPr>
          <w:rFonts w:asciiTheme="minorHAnsi" w:hAnsiTheme="minorHAnsi"/>
          <w:sz w:val="22"/>
          <w:szCs w:val="22"/>
        </w:rPr>
        <w:t xml:space="preserve">There are several points to be made about </w:t>
      </w:r>
      <w:r w:rsidRPr="0052552A">
        <w:rPr>
          <w:rFonts w:asciiTheme="minorHAnsi" w:hAnsiTheme="minorHAnsi"/>
          <w:i/>
          <w:sz w:val="22"/>
          <w:szCs w:val="22"/>
        </w:rPr>
        <w:t>Jones</w:t>
      </w:r>
      <w:r w:rsidRPr="00EB78AC">
        <w:rPr>
          <w:rFonts w:asciiTheme="minorHAnsi" w:hAnsiTheme="minorHAnsi"/>
          <w:sz w:val="22"/>
          <w:szCs w:val="22"/>
        </w:rPr>
        <w:t xml:space="preserve"> and </w:t>
      </w:r>
      <w:r w:rsidRPr="0052552A">
        <w:rPr>
          <w:rFonts w:asciiTheme="minorHAnsi" w:hAnsiTheme="minorHAnsi"/>
          <w:i/>
          <w:sz w:val="22"/>
          <w:szCs w:val="22"/>
        </w:rPr>
        <w:t>Hemming</w:t>
      </w:r>
      <w:r w:rsidRPr="00EB78AC">
        <w:rPr>
          <w:rFonts w:asciiTheme="minorHAnsi" w:hAnsiTheme="minorHAnsi"/>
          <w:sz w:val="22"/>
          <w:szCs w:val="22"/>
        </w:rPr>
        <w:t xml:space="preserve">. First, the test articulated by </w:t>
      </w:r>
      <w:proofErr w:type="spellStart"/>
      <w:r w:rsidRPr="00EB78AC">
        <w:rPr>
          <w:rFonts w:asciiTheme="minorHAnsi" w:hAnsiTheme="minorHAnsi"/>
          <w:sz w:val="22"/>
          <w:szCs w:val="22"/>
        </w:rPr>
        <w:t>Plender</w:t>
      </w:r>
      <w:proofErr w:type="spellEnd"/>
      <w:r w:rsidRPr="00EB78AC">
        <w:rPr>
          <w:rFonts w:asciiTheme="minorHAnsi" w:hAnsiTheme="minorHAnsi"/>
          <w:sz w:val="22"/>
          <w:szCs w:val="22"/>
        </w:rPr>
        <w:t xml:space="preserve"> J in Jones and subsequently applied by Keith J in </w:t>
      </w:r>
      <w:r w:rsidRPr="0052552A">
        <w:rPr>
          <w:rFonts w:asciiTheme="minorHAnsi" w:hAnsiTheme="minorHAnsi"/>
          <w:i/>
          <w:sz w:val="22"/>
          <w:szCs w:val="22"/>
        </w:rPr>
        <w:t>Hemming</w:t>
      </w:r>
      <w:r w:rsidRPr="00EB78AC">
        <w:rPr>
          <w:rFonts w:asciiTheme="minorHAnsi" w:hAnsiTheme="minorHAnsi"/>
          <w:sz w:val="22"/>
          <w:szCs w:val="22"/>
        </w:rPr>
        <w:t xml:space="preserve"> illustrates the hybrid nature of these cases. It is in fact impossible to decide (as </w:t>
      </w:r>
      <w:r w:rsidR="009C483B">
        <w:rPr>
          <w:rFonts w:asciiTheme="minorHAnsi" w:hAnsiTheme="minorHAnsi"/>
          <w:sz w:val="22"/>
          <w:szCs w:val="22"/>
        </w:rPr>
        <w:t>their</w:t>
      </w:r>
      <w:r w:rsidR="003C77DE">
        <w:rPr>
          <w:rFonts w:asciiTheme="minorHAnsi" w:hAnsiTheme="minorHAnsi"/>
          <w:sz w:val="22"/>
          <w:szCs w:val="22"/>
        </w:rPr>
        <w:t xml:space="preserve"> test required</w:t>
      </w:r>
      <w:r w:rsidRPr="00EB78AC">
        <w:rPr>
          <w:rFonts w:asciiTheme="minorHAnsi" w:hAnsiTheme="minorHAnsi"/>
          <w:sz w:val="22"/>
          <w:szCs w:val="22"/>
        </w:rPr>
        <w:t xml:space="preserve">) whether the ‘dominant issue’ is one of public or private law, precisely because it is both. The private law claim in unjust enrichment derives its reason for restitution wholly from public law, but conversely, without that private law claim, public law alone would not give the claimant an entitlement to return of the money.  Indeed it could even be argued that by choosing the public law procedure and then extending the time limit to allow the private law claim to succeed, Keith J was in fact instinctively trying to take a hybrid approach in Hemming. </w:t>
      </w:r>
    </w:p>
    <w:p w14:paraId="06FEA5D1" w14:textId="77777777" w:rsidR="00EB78AC" w:rsidRDefault="00EB78AC" w:rsidP="00EB78AC">
      <w:pPr>
        <w:spacing w:line="276" w:lineRule="auto"/>
        <w:rPr>
          <w:rFonts w:asciiTheme="minorHAnsi" w:hAnsiTheme="minorHAnsi"/>
          <w:sz w:val="22"/>
          <w:szCs w:val="22"/>
        </w:rPr>
      </w:pPr>
      <w:r w:rsidRPr="00EB78AC">
        <w:rPr>
          <w:rFonts w:asciiTheme="minorHAnsi" w:hAnsiTheme="minorHAnsi"/>
          <w:sz w:val="22"/>
          <w:szCs w:val="22"/>
        </w:rPr>
        <w:t xml:space="preserve">Secondly, the very </w:t>
      </w:r>
      <w:r w:rsidR="000F0415">
        <w:rPr>
          <w:rFonts w:asciiTheme="minorHAnsi" w:hAnsiTheme="minorHAnsi"/>
          <w:sz w:val="22"/>
          <w:szCs w:val="22"/>
        </w:rPr>
        <w:t xml:space="preserve">existence of </w:t>
      </w:r>
      <w:r w:rsidR="000F0415" w:rsidRPr="00E1197E">
        <w:rPr>
          <w:rFonts w:asciiTheme="minorHAnsi" w:hAnsiTheme="minorHAnsi"/>
          <w:i/>
          <w:sz w:val="22"/>
          <w:szCs w:val="22"/>
        </w:rPr>
        <w:t>Jones</w:t>
      </w:r>
      <w:r w:rsidR="000F0415">
        <w:rPr>
          <w:rFonts w:asciiTheme="minorHAnsi" w:hAnsiTheme="minorHAnsi"/>
          <w:sz w:val="22"/>
          <w:szCs w:val="22"/>
        </w:rPr>
        <w:t xml:space="preserve"> and </w:t>
      </w:r>
      <w:r w:rsidR="000F0415" w:rsidRPr="00E1197E">
        <w:rPr>
          <w:rFonts w:asciiTheme="minorHAnsi" w:hAnsiTheme="minorHAnsi"/>
          <w:i/>
          <w:sz w:val="22"/>
          <w:szCs w:val="22"/>
        </w:rPr>
        <w:t>Hemming</w:t>
      </w:r>
      <w:r w:rsidR="000F0415">
        <w:rPr>
          <w:rFonts w:asciiTheme="minorHAnsi" w:hAnsiTheme="minorHAnsi"/>
          <w:sz w:val="22"/>
          <w:szCs w:val="22"/>
        </w:rPr>
        <w:t xml:space="preserve"> at first instance, </w:t>
      </w:r>
      <w:r w:rsidRPr="00EB78AC">
        <w:rPr>
          <w:rFonts w:asciiTheme="minorHAnsi" w:hAnsiTheme="minorHAnsi"/>
          <w:sz w:val="22"/>
          <w:szCs w:val="22"/>
        </w:rPr>
        <w:t xml:space="preserve">and the happenstance that dictated the private procedure in </w:t>
      </w:r>
      <w:r w:rsidRPr="00E1197E">
        <w:rPr>
          <w:rFonts w:asciiTheme="minorHAnsi" w:hAnsiTheme="minorHAnsi"/>
          <w:i/>
          <w:sz w:val="22"/>
          <w:szCs w:val="22"/>
        </w:rPr>
        <w:t>British Steel</w:t>
      </w:r>
      <w:r w:rsidRPr="00EB78AC">
        <w:rPr>
          <w:rFonts w:asciiTheme="minorHAnsi" w:hAnsiTheme="minorHAnsi"/>
          <w:sz w:val="22"/>
          <w:szCs w:val="22"/>
        </w:rPr>
        <w:t xml:space="preserve"> should remind us that although the two events, public and private, can now be dealt with using one procedure, this does not mean that either of them has vanished. It is easy to see how use of the private law procedure</w:t>
      </w:r>
      <w:r w:rsidR="000F0415">
        <w:rPr>
          <w:rFonts w:asciiTheme="minorHAnsi" w:hAnsiTheme="minorHAnsi"/>
          <w:sz w:val="22"/>
          <w:szCs w:val="22"/>
        </w:rPr>
        <w:t xml:space="preserve">, confirmed by the Court of Appeal in </w:t>
      </w:r>
      <w:r w:rsidR="000F0415">
        <w:rPr>
          <w:rFonts w:asciiTheme="minorHAnsi" w:hAnsiTheme="minorHAnsi"/>
          <w:i/>
          <w:sz w:val="22"/>
          <w:szCs w:val="22"/>
        </w:rPr>
        <w:t>Hemming</w:t>
      </w:r>
      <w:r w:rsidR="00E1197E">
        <w:rPr>
          <w:rFonts w:asciiTheme="minorHAnsi" w:hAnsiTheme="minorHAnsi"/>
          <w:sz w:val="22"/>
          <w:szCs w:val="22"/>
        </w:rPr>
        <w:t>,</w:t>
      </w:r>
      <w:r w:rsidRPr="00EB78AC">
        <w:rPr>
          <w:rFonts w:asciiTheme="minorHAnsi" w:hAnsiTheme="minorHAnsi"/>
          <w:sz w:val="22"/>
          <w:szCs w:val="22"/>
        </w:rPr>
        <w:t xml:space="preserve"> has led to a substantive assumption that cases involving ultra vires </w:t>
      </w:r>
      <w:r w:rsidR="006F6B05">
        <w:rPr>
          <w:rFonts w:asciiTheme="minorHAnsi" w:hAnsiTheme="minorHAnsi"/>
          <w:sz w:val="22"/>
          <w:szCs w:val="22"/>
        </w:rPr>
        <w:t>transfers</w:t>
      </w:r>
      <w:r w:rsidRPr="00EB78AC">
        <w:rPr>
          <w:rFonts w:asciiTheme="minorHAnsi" w:hAnsiTheme="minorHAnsi"/>
          <w:sz w:val="22"/>
          <w:szCs w:val="22"/>
        </w:rPr>
        <w:t xml:space="preserve"> are no different from alternative claims in private law based on mistake or failure of basis. Conversely, </w:t>
      </w:r>
      <w:r w:rsidR="000F0415">
        <w:rPr>
          <w:rFonts w:asciiTheme="minorHAnsi" w:hAnsiTheme="minorHAnsi"/>
          <w:sz w:val="22"/>
          <w:szCs w:val="22"/>
        </w:rPr>
        <w:t xml:space="preserve">had </w:t>
      </w:r>
      <w:r w:rsidR="000F0415">
        <w:rPr>
          <w:rFonts w:asciiTheme="minorHAnsi" w:hAnsiTheme="minorHAnsi"/>
          <w:i/>
          <w:sz w:val="22"/>
          <w:szCs w:val="22"/>
        </w:rPr>
        <w:t xml:space="preserve">Jones </w:t>
      </w:r>
      <w:r w:rsidR="000F0415">
        <w:rPr>
          <w:rFonts w:asciiTheme="minorHAnsi" w:hAnsiTheme="minorHAnsi"/>
          <w:sz w:val="22"/>
          <w:szCs w:val="22"/>
        </w:rPr>
        <w:t xml:space="preserve">and </w:t>
      </w:r>
      <w:r w:rsidR="000F0415" w:rsidRPr="000F0415">
        <w:rPr>
          <w:rFonts w:asciiTheme="minorHAnsi" w:hAnsiTheme="minorHAnsi"/>
          <w:i/>
          <w:sz w:val="22"/>
          <w:szCs w:val="22"/>
        </w:rPr>
        <w:t>Hemming</w:t>
      </w:r>
      <w:r w:rsidR="000F0415">
        <w:rPr>
          <w:rFonts w:asciiTheme="minorHAnsi" w:hAnsiTheme="minorHAnsi"/>
          <w:sz w:val="22"/>
          <w:szCs w:val="22"/>
        </w:rPr>
        <w:t xml:space="preserve"> been upheld by the Court of Appeal and </w:t>
      </w:r>
      <w:r w:rsidRPr="000F0415">
        <w:rPr>
          <w:rFonts w:asciiTheme="minorHAnsi" w:hAnsiTheme="minorHAnsi"/>
          <w:sz w:val="22"/>
          <w:szCs w:val="22"/>
        </w:rPr>
        <w:t>followed</w:t>
      </w:r>
      <w:r w:rsidRPr="00EB78AC">
        <w:rPr>
          <w:rFonts w:asciiTheme="minorHAnsi" w:hAnsiTheme="minorHAnsi"/>
          <w:sz w:val="22"/>
          <w:szCs w:val="22"/>
        </w:rPr>
        <w:t xml:space="preserve"> more widely, there would be an equal and opposite danger that the private law aspects of the claim would be lost, with public lawyers arguing that the public law issues were ‘dominant’ and that such cases were no different from any other aspect of judicial review.</w:t>
      </w:r>
      <w:r>
        <w:rPr>
          <w:rFonts w:asciiTheme="minorHAnsi" w:hAnsiTheme="minorHAnsi"/>
          <w:sz w:val="22"/>
          <w:szCs w:val="22"/>
        </w:rPr>
        <w:t xml:space="preserve"> Indeed, this is the approach taken, as I mentioned at the outset, by the Supreme Court of Canada in </w:t>
      </w:r>
      <w:proofErr w:type="spellStart"/>
      <w:r>
        <w:rPr>
          <w:rFonts w:asciiTheme="minorHAnsi" w:hAnsiTheme="minorHAnsi"/>
          <w:i/>
          <w:sz w:val="22"/>
          <w:szCs w:val="22"/>
        </w:rPr>
        <w:t>Kingstreet</w:t>
      </w:r>
      <w:proofErr w:type="spellEnd"/>
      <w:r>
        <w:rPr>
          <w:rFonts w:asciiTheme="minorHAnsi" w:hAnsiTheme="minorHAnsi"/>
          <w:i/>
          <w:sz w:val="22"/>
          <w:szCs w:val="22"/>
        </w:rPr>
        <w:t xml:space="preserve"> Investments</w:t>
      </w:r>
      <w:r w:rsidR="00E1197E" w:rsidRPr="00E1197E">
        <w:rPr>
          <w:rStyle w:val="FootnoteReference"/>
          <w:rFonts w:asciiTheme="minorHAnsi" w:hAnsiTheme="minorHAnsi"/>
          <w:sz w:val="22"/>
          <w:szCs w:val="22"/>
        </w:rPr>
        <w:footnoteReference w:id="34"/>
      </w:r>
      <w:r>
        <w:rPr>
          <w:rFonts w:asciiTheme="minorHAnsi" w:hAnsiTheme="minorHAnsi"/>
          <w:sz w:val="22"/>
          <w:szCs w:val="22"/>
        </w:rPr>
        <w:t xml:space="preserve"> and it has also received academic support. However, in my view n</w:t>
      </w:r>
      <w:r w:rsidRPr="00EB78AC">
        <w:rPr>
          <w:rFonts w:asciiTheme="minorHAnsi" w:hAnsiTheme="minorHAnsi"/>
          <w:sz w:val="22"/>
          <w:szCs w:val="22"/>
        </w:rPr>
        <w:t>either of these approaches would capture the true nature of these cases as would a hyb</w:t>
      </w:r>
      <w:r>
        <w:rPr>
          <w:rFonts w:asciiTheme="minorHAnsi" w:hAnsiTheme="minorHAnsi"/>
          <w:sz w:val="22"/>
          <w:szCs w:val="22"/>
        </w:rPr>
        <w:t>rid public and private approach; a purely private approach does not give the court the same access to the key questions of invalidity in public law, but equally a purely public approach would not necessarily make restitution to the claimant available as a matter of right</w:t>
      </w:r>
      <w:r w:rsidR="00963759">
        <w:rPr>
          <w:rFonts w:asciiTheme="minorHAnsi" w:hAnsiTheme="minorHAnsi"/>
          <w:sz w:val="22"/>
          <w:szCs w:val="22"/>
        </w:rPr>
        <w:t>, or deal properly with questions of enrichment, keeping them distinct from the idea of damages</w:t>
      </w:r>
      <w:r w:rsidR="009F00DC">
        <w:rPr>
          <w:rFonts w:asciiTheme="minorHAnsi" w:hAnsiTheme="minorHAnsi"/>
          <w:sz w:val="22"/>
          <w:szCs w:val="22"/>
        </w:rPr>
        <w:t>, for example</w:t>
      </w:r>
      <w:r>
        <w:rPr>
          <w:rFonts w:asciiTheme="minorHAnsi" w:hAnsiTheme="minorHAnsi"/>
          <w:sz w:val="22"/>
          <w:szCs w:val="22"/>
        </w:rPr>
        <w:t>.</w:t>
      </w:r>
      <w:r w:rsidR="00E1197E">
        <w:rPr>
          <w:rStyle w:val="FootnoteReference"/>
          <w:rFonts w:asciiTheme="minorHAnsi" w:hAnsiTheme="minorHAnsi"/>
          <w:sz w:val="22"/>
          <w:szCs w:val="22"/>
        </w:rPr>
        <w:footnoteReference w:id="35"/>
      </w:r>
      <w:r w:rsidRPr="00EB78AC">
        <w:rPr>
          <w:rFonts w:asciiTheme="minorHAnsi" w:hAnsiTheme="minorHAnsi"/>
          <w:sz w:val="22"/>
          <w:szCs w:val="22"/>
        </w:rPr>
        <w:t xml:space="preserve">  </w:t>
      </w:r>
      <w:r w:rsidR="00A204C8">
        <w:rPr>
          <w:rFonts w:asciiTheme="minorHAnsi" w:hAnsiTheme="minorHAnsi"/>
          <w:sz w:val="22"/>
          <w:szCs w:val="22"/>
        </w:rPr>
        <w:t xml:space="preserve">The conclusion must therefore be that </w:t>
      </w:r>
      <w:r w:rsidR="00963759">
        <w:rPr>
          <w:rFonts w:asciiTheme="minorHAnsi" w:hAnsiTheme="minorHAnsi"/>
          <w:sz w:val="22"/>
          <w:szCs w:val="22"/>
        </w:rPr>
        <w:t xml:space="preserve">there is no problem </w:t>
      </w:r>
      <w:r w:rsidR="009F00DC">
        <w:rPr>
          <w:rFonts w:asciiTheme="minorHAnsi" w:hAnsiTheme="minorHAnsi"/>
          <w:sz w:val="22"/>
          <w:szCs w:val="22"/>
        </w:rPr>
        <w:t xml:space="preserve">in principle </w:t>
      </w:r>
      <w:r w:rsidR="00963759">
        <w:rPr>
          <w:rFonts w:asciiTheme="minorHAnsi" w:hAnsiTheme="minorHAnsi"/>
          <w:sz w:val="22"/>
          <w:szCs w:val="22"/>
        </w:rPr>
        <w:t>with using the</w:t>
      </w:r>
      <w:r w:rsidRPr="00EB78AC">
        <w:rPr>
          <w:rFonts w:asciiTheme="minorHAnsi" w:hAnsiTheme="minorHAnsi"/>
          <w:sz w:val="22"/>
          <w:szCs w:val="22"/>
        </w:rPr>
        <w:t xml:space="preserve"> private procedure, but within this, in keeping with the new approach in </w:t>
      </w:r>
      <w:r w:rsidRPr="00E1197E">
        <w:rPr>
          <w:rFonts w:asciiTheme="minorHAnsi" w:hAnsiTheme="minorHAnsi"/>
          <w:i/>
          <w:sz w:val="22"/>
          <w:szCs w:val="22"/>
        </w:rPr>
        <w:t>Clark</w:t>
      </w:r>
      <w:r w:rsidRPr="00EB78AC">
        <w:rPr>
          <w:rFonts w:asciiTheme="minorHAnsi" w:hAnsiTheme="minorHAnsi"/>
          <w:sz w:val="22"/>
          <w:szCs w:val="22"/>
        </w:rPr>
        <w:t xml:space="preserve">, we should </w:t>
      </w:r>
      <w:proofErr w:type="spellStart"/>
      <w:r w:rsidRPr="00EB78AC">
        <w:rPr>
          <w:rFonts w:asciiTheme="minorHAnsi" w:hAnsiTheme="minorHAnsi"/>
          <w:sz w:val="22"/>
          <w:szCs w:val="22"/>
        </w:rPr>
        <w:t>prioritise</w:t>
      </w:r>
      <w:proofErr w:type="spellEnd"/>
      <w:r w:rsidRPr="00EB78AC">
        <w:rPr>
          <w:rFonts w:asciiTheme="minorHAnsi" w:hAnsiTheme="minorHAnsi"/>
          <w:sz w:val="22"/>
          <w:szCs w:val="22"/>
        </w:rPr>
        <w:t xml:space="preserve"> the hybrid cause of action with its public law reason for restitution, which allows us to take account of the relevant public law event.</w:t>
      </w:r>
    </w:p>
    <w:p w14:paraId="722BEA56" w14:textId="77777777" w:rsidR="003B6133" w:rsidRDefault="00E15914" w:rsidP="003B6133">
      <w:pPr>
        <w:pStyle w:val="Heading2"/>
      </w:pPr>
      <w:r>
        <w:t xml:space="preserve">2. </w:t>
      </w:r>
      <w:r w:rsidR="003B6133">
        <w:t>The principles of effectiveness and equivalence in EU law</w:t>
      </w:r>
    </w:p>
    <w:p w14:paraId="19C9D3EA" w14:textId="2976A491" w:rsidR="00176A81" w:rsidRDefault="00176A81" w:rsidP="00EB78AC">
      <w:pPr>
        <w:spacing w:line="276" w:lineRule="auto"/>
        <w:rPr>
          <w:rFonts w:asciiTheme="minorHAnsi" w:hAnsiTheme="minorHAnsi"/>
          <w:sz w:val="22"/>
          <w:szCs w:val="22"/>
        </w:rPr>
      </w:pPr>
      <w:r>
        <w:rPr>
          <w:rFonts w:asciiTheme="minorHAnsi" w:hAnsiTheme="minorHAnsi"/>
          <w:sz w:val="22"/>
          <w:szCs w:val="22"/>
        </w:rPr>
        <w:t xml:space="preserve">The second </w:t>
      </w:r>
      <w:r w:rsidR="00E15914">
        <w:rPr>
          <w:rFonts w:asciiTheme="minorHAnsi" w:hAnsiTheme="minorHAnsi"/>
          <w:sz w:val="22"/>
          <w:szCs w:val="22"/>
        </w:rPr>
        <w:t>argument to consider</w:t>
      </w:r>
      <w:r>
        <w:rPr>
          <w:rFonts w:asciiTheme="minorHAnsi" w:hAnsiTheme="minorHAnsi"/>
          <w:sz w:val="22"/>
          <w:szCs w:val="22"/>
        </w:rPr>
        <w:t xml:space="preserve"> is that of Lord Walker, who was concerned that a hierarchy of reasons for restitution of the kind </w:t>
      </w:r>
      <w:r w:rsidR="00E15914">
        <w:rPr>
          <w:rFonts w:asciiTheme="minorHAnsi" w:hAnsiTheme="minorHAnsi"/>
          <w:sz w:val="22"/>
          <w:szCs w:val="22"/>
        </w:rPr>
        <w:t>proposed here</w:t>
      </w:r>
      <w:r>
        <w:rPr>
          <w:rFonts w:asciiTheme="minorHAnsi" w:hAnsiTheme="minorHAnsi"/>
          <w:sz w:val="22"/>
          <w:szCs w:val="22"/>
        </w:rPr>
        <w:t xml:space="preserve"> would be a breach of the principles of effectiveness and equivalence in EU law.</w:t>
      </w:r>
      <w:r w:rsidR="003B6133">
        <w:rPr>
          <w:rStyle w:val="FootnoteReference"/>
          <w:rFonts w:asciiTheme="minorHAnsi" w:hAnsiTheme="minorHAnsi"/>
          <w:sz w:val="22"/>
          <w:szCs w:val="22"/>
        </w:rPr>
        <w:footnoteReference w:id="36"/>
      </w:r>
      <w:r>
        <w:rPr>
          <w:rFonts w:asciiTheme="minorHAnsi" w:hAnsiTheme="minorHAnsi"/>
          <w:sz w:val="22"/>
          <w:szCs w:val="22"/>
        </w:rPr>
        <w:t xml:space="preserve"> This is not in fact the case. In </w:t>
      </w:r>
      <w:r>
        <w:rPr>
          <w:rFonts w:asciiTheme="minorHAnsi" w:hAnsiTheme="minorHAnsi"/>
          <w:i/>
          <w:sz w:val="22"/>
          <w:szCs w:val="22"/>
        </w:rPr>
        <w:t>EDIS</w:t>
      </w:r>
      <w:r w:rsidR="003B6133" w:rsidRPr="003B6133">
        <w:rPr>
          <w:rStyle w:val="FootnoteReference"/>
          <w:rFonts w:asciiTheme="minorHAnsi" w:hAnsiTheme="minorHAnsi"/>
          <w:sz w:val="22"/>
          <w:szCs w:val="22"/>
        </w:rPr>
        <w:footnoteReference w:id="37"/>
      </w:r>
      <w:r>
        <w:rPr>
          <w:rFonts w:asciiTheme="minorHAnsi" w:hAnsiTheme="minorHAnsi"/>
          <w:sz w:val="22"/>
          <w:szCs w:val="22"/>
        </w:rPr>
        <w:t xml:space="preserve"> the ECJ made it quite clear that it is perfectly compatible with EU law to have different rules for public bodies and for private parties, so long as the overall remedy is effective: the requirement of </w:t>
      </w:r>
      <w:r>
        <w:rPr>
          <w:rFonts w:asciiTheme="minorHAnsi" w:hAnsiTheme="minorHAnsi"/>
          <w:sz w:val="22"/>
          <w:szCs w:val="22"/>
        </w:rPr>
        <w:lastRenderedPageBreak/>
        <w:t xml:space="preserve">equivalence operates </w:t>
      </w:r>
      <w:r>
        <w:rPr>
          <w:rFonts w:asciiTheme="minorHAnsi" w:hAnsiTheme="minorHAnsi"/>
          <w:i/>
          <w:sz w:val="22"/>
          <w:szCs w:val="22"/>
        </w:rPr>
        <w:t>within</w:t>
      </w:r>
      <w:r>
        <w:rPr>
          <w:rFonts w:asciiTheme="minorHAnsi" w:hAnsiTheme="minorHAnsi"/>
          <w:sz w:val="22"/>
          <w:szCs w:val="22"/>
        </w:rPr>
        <w:t xml:space="preserve"> each of the public and private contexts, not between them. This view has subsequently received support from </w:t>
      </w:r>
      <w:proofErr w:type="spellStart"/>
      <w:r>
        <w:rPr>
          <w:rFonts w:asciiTheme="minorHAnsi" w:hAnsiTheme="minorHAnsi"/>
          <w:sz w:val="22"/>
          <w:szCs w:val="22"/>
        </w:rPr>
        <w:t>Vos</w:t>
      </w:r>
      <w:proofErr w:type="spellEnd"/>
      <w:r>
        <w:rPr>
          <w:rFonts w:asciiTheme="minorHAnsi" w:hAnsiTheme="minorHAnsi"/>
          <w:sz w:val="22"/>
          <w:szCs w:val="22"/>
        </w:rPr>
        <w:t xml:space="preserve"> J and the ECJ in </w:t>
      </w:r>
      <w:r>
        <w:rPr>
          <w:rFonts w:asciiTheme="minorHAnsi" w:hAnsiTheme="minorHAnsi"/>
          <w:i/>
          <w:sz w:val="22"/>
          <w:szCs w:val="22"/>
        </w:rPr>
        <w:t>Littlewoods v HMRC</w:t>
      </w:r>
      <w:r w:rsidR="003B6133" w:rsidRPr="003B6133">
        <w:rPr>
          <w:rStyle w:val="FootnoteReference"/>
          <w:rFonts w:asciiTheme="minorHAnsi" w:hAnsiTheme="minorHAnsi"/>
          <w:sz w:val="22"/>
          <w:szCs w:val="22"/>
        </w:rPr>
        <w:footnoteReference w:id="38"/>
      </w:r>
      <w:r w:rsidR="003A5B35" w:rsidRPr="003A5B35">
        <w:rPr>
          <w:rFonts w:asciiTheme="minorHAnsi" w:hAnsiTheme="minorHAnsi"/>
          <w:sz w:val="22"/>
          <w:szCs w:val="22"/>
        </w:rPr>
        <w:t xml:space="preserve"> </w:t>
      </w:r>
      <w:r w:rsidR="003A5B35">
        <w:rPr>
          <w:rFonts w:asciiTheme="minorHAnsi" w:hAnsiTheme="minorHAnsi"/>
          <w:sz w:val="22"/>
          <w:szCs w:val="22"/>
        </w:rPr>
        <w:t xml:space="preserve">and from the Supreme Court in </w:t>
      </w:r>
      <w:r w:rsidR="003A5B35" w:rsidRPr="003B6133">
        <w:rPr>
          <w:rFonts w:asciiTheme="minorHAnsi" w:hAnsiTheme="minorHAnsi"/>
          <w:i/>
          <w:sz w:val="22"/>
          <w:szCs w:val="22"/>
        </w:rPr>
        <w:t>FII</w:t>
      </w:r>
      <w:r>
        <w:rPr>
          <w:rFonts w:asciiTheme="minorHAnsi" w:hAnsiTheme="minorHAnsi"/>
          <w:sz w:val="22"/>
          <w:szCs w:val="22"/>
        </w:rPr>
        <w:t>.</w:t>
      </w:r>
      <w:r w:rsidR="003B6133">
        <w:rPr>
          <w:rStyle w:val="FootnoteReference"/>
          <w:rFonts w:asciiTheme="minorHAnsi" w:hAnsiTheme="minorHAnsi"/>
          <w:sz w:val="22"/>
          <w:szCs w:val="22"/>
        </w:rPr>
        <w:footnoteReference w:id="39"/>
      </w:r>
      <w:r w:rsidR="000133BD">
        <w:rPr>
          <w:rFonts w:asciiTheme="minorHAnsi" w:hAnsiTheme="minorHAnsi"/>
          <w:sz w:val="22"/>
          <w:szCs w:val="22"/>
        </w:rPr>
        <w:t xml:space="preserve"> Indeed, the irony is that while it would, in </w:t>
      </w:r>
      <w:r w:rsidR="000133BD">
        <w:rPr>
          <w:rFonts w:asciiTheme="minorHAnsi" w:hAnsiTheme="minorHAnsi"/>
          <w:i/>
          <w:sz w:val="22"/>
          <w:szCs w:val="22"/>
        </w:rPr>
        <w:t>DMG</w:t>
      </w:r>
      <w:r w:rsidR="000133BD">
        <w:rPr>
          <w:rFonts w:asciiTheme="minorHAnsi" w:hAnsiTheme="minorHAnsi"/>
          <w:sz w:val="22"/>
          <w:szCs w:val="22"/>
        </w:rPr>
        <w:t xml:space="preserve">, or in </w:t>
      </w:r>
      <w:r w:rsidR="000133BD">
        <w:rPr>
          <w:rFonts w:asciiTheme="minorHAnsi" w:hAnsiTheme="minorHAnsi"/>
          <w:i/>
          <w:sz w:val="22"/>
          <w:szCs w:val="22"/>
        </w:rPr>
        <w:t>FII</w:t>
      </w:r>
      <w:r w:rsidR="000133BD">
        <w:rPr>
          <w:rFonts w:asciiTheme="minorHAnsi" w:hAnsiTheme="minorHAnsi"/>
          <w:sz w:val="22"/>
          <w:szCs w:val="22"/>
        </w:rPr>
        <w:t xml:space="preserve"> or in any future case, be perfectly compatible with EU law for the </w:t>
      </w:r>
      <w:r w:rsidR="000133BD">
        <w:rPr>
          <w:rFonts w:asciiTheme="minorHAnsi" w:hAnsiTheme="minorHAnsi"/>
          <w:i/>
          <w:sz w:val="22"/>
          <w:szCs w:val="22"/>
        </w:rPr>
        <w:t>court</w:t>
      </w:r>
      <w:r w:rsidR="000133BD">
        <w:rPr>
          <w:rFonts w:asciiTheme="minorHAnsi" w:hAnsiTheme="minorHAnsi"/>
          <w:sz w:val="22"/>
          <w:szCs w:val="22"/>
        </w:rPr>
        <w:t xml:space="preserve"> to hold that the decision in </w:t>
      </w:r>
      <w:r w:rsidR="000133BD">
        <w:rPr>
          <w:rFonts w:asciiTheme="minorHAnsi" w:hAnsiTheme="minorHAnsi"/>
          <w:i/>
          <w:sz w:val="22"/>
          <w:szCs w:val="22"/>
        </w:rPr>
        <w:t>DMG</w:t>
      </w:r>
      <w:r w:rsidR="000133BD">
        <w:rPr>
          <w:rFonts w:asciiTheme="minorHAnsi" w:hAnsiTheme="minorHAnsi"/>
          <w:sz w:val="22"/>
          <w:szCs w:val="22"/>
        </w:rPr>
        <w:t xml:space="preserve"> was a wrong turning, and that only the public law reason for restitution should apply in such cases, on the contrary </w:t>
      </w:r>
      <w:r w:rsidR="003C77DE">
        <w:rPr>
          <w:rFonts w:asciiTheme="minorHAnsi" w:hAnsiTheme="minorHAnsi"/>
          <w:sz w:val="22"/>
          <w:szCs w:val="22"/>
        </w:rPr>
        <w:t xml:space="preserve">the attempts by the </w:t>
      </w:r>
      <w:bookmarkStart w:id="6" w:name="_GoBack"/>
      <w:r w:rsidR="003C77DE" w:rsidRPr="003C77DE">
        <w:rPr>
          <w:rFonts w:asciiTheme="minorHAnsi" w:hAnsiTheme="minorHAnsi"/>
          <w:i/>
          <w:sz w:val="22"/>
          <w:szCs w:val="22"/>
        </w:rPr>
        <w:t>legislature</w:t>
      </w:r>
      <w:r w:rsidR="003C77DE">
        <w:rPr>
          <w:rFonts w:asciiTheme="minorHAnsi" w:hAnsiTheme="minorHAnsi"/>
          <w:sz w:val="22"/>
          <w:szCs w:val="22"/>
        </w:rPr>
        <w:t xml:space="preserve"> </w:t>
      </w:r>
      <w:bookmarkEnd w:id="6"/>
      <w:r w:rsidR="003C77DE">
        <w:rPr>
          <w:rFonts w:asciiTheme="minorHAnsi" w:hAnsiTheme="minorHAnsi"/>
          <w:sz w:val="22"/>
          <w:szCs w:val="22"/>
        </w:rPr>
        <w:t xml:space="preserve">to produce that result have not been compatible with EU law. Because the </w:t>
      </w:r>
      <w:r w:rsidR="000133BD">
        <w:rPr>
          <w:rFonts w:asciiTheme="minorHAnsi" w:hAnsiTheme="minorHAnsi"/>
          <w:sz w:val="22"/>
          <w:szCs w:val="22"/>
        </w:rPr>
        <w:t xml:space="preserve">House of Lords in </w:t>
      </w:r>
      <w:r w:rsidR="000133BD">
        <w:rPr>
          <w:rFonts w:asciiTheme="minorHAnsi" w:hAnsiTheme="minorHAnsi"/>
          <w:i/>
          <w:sz w:val="22"/>
          <w:szCs w:val="22"/>
        </w:rPr>
        <w:t>DMG</w:t>
      </w:r>
      <w:r w:rsidR="000133BD">
        <w:rPr>
          <w:rFonts w:asciiTheme="minorHAnsi" w:hAnsiTheme="minorHAnsi"/>
          <w:sz w:val="22"/>
          <w:szCs w:val="22"/>
        </w:rPr>
        <w:t xml:space="preserve"> held that the claimants could base their claim on mistake of law, </w:t>
      </w:r>
      <w:r w:rsidR="00C505C5">
        <w:rPr>
          <w:rFonts w:asciiTheme="minorHAnsi" w:hAnsiTheme="minorHAnsi"/>
          <w:sz w:val="22"/>
          <w:szCs w:val="22"/>
        </w:rPr>
        <w:t xml:space="preserve">this meant of course that </w:t>
      </w:r>
      <w:r w:rsidR="003C77DE">
        <w:rPr>
          <w:rFonts w:asciiTheme="minorHAnsi" w:hAnsiTheme="minorHAnsi"/>
          <w:sz w:val="22"/>
          <w:szCs w:val="22"/>
        </w:rPr>
        <w:t>the claimants</w:t>
      </w:r>
      <w:r w:rsidR="00C505C5">
        <w:rPr>
          <w:rFonts w:asciiTheme="minorHAnsi" w:hAnsiTheme="minorHAnsi"/>
          <w:sz w:val="22"/>
          <w:szCs w:val="22"/>
        </w:rPr>
        <w:t xml:space="preserve"> could benefit from an </w:t>
      </w:r>
      <w:r w:rsidR="000133BD">
        <w:rPr>
          <w:rFonts w:asciiTheme="minorHAnsi" w:hAnsiTheme="minorHAnsi"/>
          <w:sz w:val="22"/>
          <w:szCs w:val="22"/>
        </w:rPr>
        <w:t>e</w:t>
      </w:r>
      <w:r w:rsidR="003C77DE">
        <w:rPr>
          <w:rFonts w:asciiTheme="minorHAnsi" w:hAnsiTheme="minorHAnsi"/>
          <w:sz w:val="22"/>
          <w:szCs w:val="22"/>
        </w:rPr>
        <w:t>xtended time limit for mistake. T</w:t>
      </w:r>
      <w:r w:rsidR="00C505C5">
        <w:rPr>
          <w:rFonts w:asciiTheme="minorHAnsi" w:hAnsiTheme="minorHAnsi"/>
          <w:sz w:val="22"/>
          <w:szCs w:val="22"/>
        </w:rPr>
        <w:t>his</w:t>
      </w:r>
      <w:r w:rsidR="003A5B35">
        <w:rPr>
          <w:rFonts w:asciiTheme="minorHAnsi" w:hAnsiTheme="minorHAnsi"/>
          <w:sz w:val="22"/>
          <w:szCs w:val="22"/>
        </w:rPr>
        <w:t xml:space="preserve"> in turn</w:t>
      </w:r>
      <w:r w:rsidR="000133BD">
        <w:rPr>
          <w:rFonts w:asciiTheme="minorHAnsi" w:hAnsiTheme="minorHAnsi"/>
          <w:sz w:val="22"/>
          <w:szCs w:val="22"/>
        </w:rPr>
        <w:t xml:space="preserve"> led both to </w:t>
      </w:r>
      <w:r w:rsidR="006F6B05">
        <w:rPr>
          <w:rFonts w:asciiTheme="minorHAnsi" w:hAnsiTheme="minorHAnsi"/>
          <w:sz w:val="22"/>
          <w:szCs w:val="22"/>
        </w:rPr>
        <w:t xml:space="preserve">legislation which </w:t>
      </w:r>
      <w:r w:rsidR="00E15914" w:rsidRPr="00E15914">
        <w:rPr>
          <w:rFonts w:asciiTheme="minorHAnsi" w:hAnsiTheme="minorHAnsi"/>
          <w:sz w:val="22"/>
          <w:szCs w:val="22"/>
        </w:rPr>
        <w:t>was</w:t>
      </w:r>
      <w:r w:rsidR="00E15914">
        <w:rPr>
          <w:rFonts w:asciiTheme="minorHAnsi" w:hAnsiTheme="minorHAnsi"/>
          <w:i/>
          <w:sz w:val="22"/>
          <w:szCs w:val="22"/>
        </w:rPr>
        <w:t xml:space="preserve"> </w:t>
      </w:r>
      <w:r w:rsidR="00E15914" w:rsidRPr="00E15914">
        <w:rPr>
          <w:rFonts w:asciiTheme="minorHAnsi" w:hAnsiTheme="minorHAnsi"/>
          <w:sz w:val="22"/>
          <w:szCs w:val="22"/>
        </w:rPr>
        <w:t>not</w:t>
      </w:r>
      <w:r w:rsidR="00E15914">
        <w:rPr>
          <w:rFonts w:asciiTheme="minorHAnsi" w:hAnsiTheme="minorHAnsi"/>
          <w:i/>
          <w:sz w:val="22"/>
          <w:szCs w:val="22"/>
        </w:rPr>
        <w:t xml:space="preserve"> </w:t>
      </w:r>
      <w:r w:rsidR="00E15914">
        <w:rPr>
          <w:rFonts w:asciiTheme="minorHAnsi" w:hAnsiTheme="minorHAnsi"/>
          <w:sz w:val="22"/>
          <w:szCs w:val="22"/>
        </w:rPr>
        <w:t>compatible with EU law</w:t>
      </w:r>
      <w:r w:rsidR="000133BD">
        <w:rPr>
          <w:rFonts w:asciiTheme="minorHAnsi" w:hAnsiTheme="minorHAnsi"/>
          <w:sz w:val="22"/>
          <w:szCs w:val="22"/>
        </w:rPr>
        <w:t>, and to a grea</w:t>
      </w:r>
      <w:r w:rsidR="00E15914">
        <w:rPr>
          <w:rFonts w:asciiTheme="minorHAnsi" w:hAnsiTheme="minorHAnsi"/>
          <w:sz w:val="22"/>
          <w:szCs w:val="22"/>
        </w:rPr>
        <w:t>t deal of subsequent litigation. A</w:t>
      </w:r>
      <w:r w:rsidR="000133BD">
        <w:rPr>
          <w:rFonts w:asciiTheme="minorHAnsi" w:hAnsiTheme="minorHAnsi"/>
          <w:sz w:val="22"/>
          <w:szCs w:val="22"/>
        </w:rPr>
        <w:t xml:space="preserve">ll of </w:t>
      </w:r>
      <w:r w:rsidR="00E15914">
        <w:rPr>
          <w:rFonts w:asciiTheme="minorHAnsi" w:hAnsiTheme="minorHAnsi"/>
          <w:sz w:val="22"/>
          <w:szCs w:val="22"/>
        </w:rPr>
        <w:t>this</w:t>
      </w:r>
      <w:r w:rsidR="000133BD">
        <w:rPr>
          <w:rFonts w:asciiTheme="minorHAnsi" w:hAnsiTheme="minorHAnsi"/>
          <w:sz w:val="22"/>
          <w:szCs w:val="22"/>
        </w:rPr>
        <w:t xml:space="preserve"> could have been avoided had the approach </w:t>
      </w:r>
      <w:r w:rsidR="003B6133">
        <w:rPr>
          <w:rFonts w:asciiTheme="minorHAnsi" w:hAnsiTheme="minorHAnsi"/>
          <w:sz w:val="22"/>
          <w:szCs w:val="22"/>
        </w:rPr>
        <w:t>proposed here</w:t>
      </w:r>
      <w:r w:rsidR="000133BD">
        <w:rPr>
          <w:rFonts w:asciiTheme="minorHAnsi" w:hAnsiTheme="minorHAnsi"/>
          <w:sz w:val="22"/>
          <w:szCs w:val="22"/>
        </w:rPr>
        <w:t xml:space="preserve"> been adopted in </w:t>
      </w:r>
      <w:r w:rsidR="000133BD">
        <w:rPr>
          <w:rFonts w:asciiTheme="minorHAnsi" w:hAnsiTheme="minorHAnsi"/>
          <w:i/>
          <w:sz w:val="22"/>
          <w:szCs w:val="22"/>
        </w:rPr>
        <w:t>DMG</w:t>
      </w:r>
      <w:r w:rsidR="000133BD">
        <w:rPr>
          <w:rFonts w:asciiTheme="minorHAnsi" w:hAnsiTheme="minorHAnsi"/>
          <w:sz w:val="22"/>
          <w:szCs w:val="22"/>
        </w:rPr>
        <w:t>. Thus,</w:t>
      </w:r>
      <w:r w:rsidR="0054474E">
        <w:rPr>
          <w:rFonts w:asciiTheme="minorHAnsi" w:hAnsiTheme="minorHAnsi"/>
          <w:sz w:val="22"/>
          <w:szCs w:val="22"/>
        </w:rPr>
        <w:t xml:space="preserve"> for example, S 320 of the Finance Act 2004 and S 107 of the Finance Act 2007 both sought, retrospectively, to curtail the operation of s 32(1)(c) of the 1980 Limitation Act by removing the extended limitation period for mistake claims in relation to overpaid tax, in order to cut down the adverse effects to the Revenue of the decision of the House of Lords in </w:t>
      </w:r>
      <w:r w:rsidR="0054474E">
        <w:rPr>
          <w:rFonts w:asciiTheme="minorHAnsi" w:hAnsiTheme="minorHAnsi"/>
          <w:i/>
          <w:sz w:val="22"/>
          <w:szCs w:val="22"/>
        </w:rPr>
        <w:t>DMG</w:t>
      </w:r>
      <w:r w:rsidR="0054474E">
        <w:rPr>
          <w:rFonts w:asciiTheme="minorHAnsi" w:hAnsiTheme="minorHAnsi"/>
          <w:sz w:val="22"/>
          <w:szCs w:val="22"/>
        </w:rPr>
        <w:t xml:space="preserve">. The Supreme Court </w:t>
      </w:r>
      <w:r w:rsidR="00855279">
        <w:rPr>
          <w:rFonts w:asciiTheme="minorHAnsi" w:hAnsiTheme="minorHAnsi"/>
          <w:sz w:val="22"/>
          <w:szCs w:val="22"/>
        </w:rPr>
        <w:t xml:space="preserve">in </w:t>
      </w:r>
      <w:r w:rsidR="00855279">
        <w:rPr>
          <w:rFonts w:asciiTheme="minorHAnsi" w:hAnsiTheme="minorHAnsi"/>
          <w:i/>
          <w:sz w:val="22"/>
          <w:szCs w:val="22"/>
        </w:rPr>
        <w:t xml:space="preserve">FII </w:t>
      </w:r>
      <w:r w:rsidR="0054474E">
        <w:rPr>
          <w:rFonts w:asciiTheme="minorHAnsi" w:hAnsiTheme="minorHAnsi"/>
          <w:sz w:val="22"/>
          <w:szCs w:val="22"/>
        </w:rPr>
        <w:t xml:space="preserve">held that s 107 was incompatible with EU law, and following a reference to the ECJ, s 320 was also held to be incompatible. </w:t>
      </w:r>
      <w:r w:rsidR="003A5B35">
        <w:rPr>
          <w:rFonts w:asciiTheme="minorHAnsi" w:hAnsiTheme="minorHAnsi"/>
          <w:sz w:val="22"/>
          <w:szCs w:val="22"/>
        </w:rPr>
        <w:t xml:space="preserve">In addition, </w:t>
      </w:r>
      <w:r w:rsidR="00855279">
        <w:rPr>
          <w:rFonts w:asciiTheme="minorHAnsi" w:hAnsiTheme="minorHAnsi"/>
          <w:sz w:val="22"/>
          <w:szCs w:val="22"/>
        </w:rPr>
        <w:t xml:space="preserve">both the cases of </w:t>
      </w:r>
      <w:r w:rsidR="00855279">
        <w:rPr>
          <w:rFonts w:asciiTheme="minorHAnsi" w:hAnsiTheme="minorHAnsi"/>
          <w:i/>
          <w:sz w:val="22"/>
          <w:szCs w:val="22"/>
        </w:rPr>
        <w:t>Investment Trust</w:t>
      </w:r>
      <w:r w:rsidR="003B6133">
        <w:rPr>
          <w:rStyle w:val="FootnoteReference"/>
          <w:rFonts w:asciiTheme="minorHAnsi" w:hAnsiTheme="minorHAnsi"/>
          <w:i/>
          <w:sz w:val="22"/>
          <w:szCs w:val="22"/>
        </w:rPr>
        <w:footnoteReference w:id="40"/>
      </w:r>
      <w:r w:rsidR="00855279">
        <w:rPr>
          <w:rFonts w:asciiTheme="minorHAnsi" w:hAnsiTheme="minorHAnsi"/>
          <w:sz w:val="22"/>
          <w:szCs w:val="22"/>
        </w:rPr>
        <w:t xml:space="preserve"> and the case of </w:t>
      </w:r>
      <w:r w:rsidR="00855279">
        <w:rPr>
          <w:rFonts w:asciiTheme="minorHAnsi" w:hAnsiTheme="minorHAnsi"/>
          <w:i/>
          <w:sz w:val="22"/>
          <w:szCs w:val="22"/>
        </w:rPr>
        <w:t xml:space="preserve">Littlewoods </w:t>
      </w:r>
      <w:r w:rsidR="00C505C5">
        <w:rPr>
          <w:rFonts w:asciiTheme="minorHAnsi" w:hAnsiTheme="minorHAnsi"/>
          <w:sz w:val="22"/>
          <w:szCs w:val="22"/>
        </w:rPr>
        <w:t>involved the question whether</w:t>
      </w:r>
      <w:r w:rsidR="00855279">
        <w:rPr>
          <w:rFonts w:asciiTheme="minorHAnsi" w:hAnsiTheme="minorHAnsi"/>
          <w:sz w:val="22"/>
          <w:szCs w:val="22"/>
        </w:rPr>
        <w:t xml:space="preserve"> an EU-incompatible bar to recovery need be lifted just in relation to a so-called ‘</w:t>
      </w:r>
      <w:r w:rsidR="00855279">
        <w:rPr>
          <w:rFonts w:asciiTheme="minorHAnsi" w:hAnsiTheme="minorHAnsi"/>
          <w:i/>
          <w:sz w:val="22"/>
          <w:szCs w:val="22"/>
        </w:rPr>
        <w:t>Woolwich</w:t>
      </w:r>
      <w:r w:rsidR="00855279">
        <w:rPr>
          <w:rFonts w:asciiTheme="minorHAnsi" w:hAnsiTheme="minorHAnsi"/>
          <w:sz w:val="22"/>
          <w:szCs w:val="22"/>
        </w:rPr>
        <w:t xml:space="preserve">’ claim, i.e. a public law claim, or whether it would have to be lifted in relation to </w:t>
      </w:r>
      <w:r w:rsidR="00855279">
        <w:rPr>
          <w:rFonts w:asciiTheme="minorHAnsi" w:hAnsiTheme="minorHAnsi"/>
          <w:i/>
          <w:sz w:val="22"/>
          <w:szCs w:val="22"/>
        </w:rPr>
        <w:t>both</w:t>
      </w:r>
      <w:r w:rsidR="00855279">
        <w:rPr>
          <w:rFonts w:asciiTheme="minorHAnsi" w:hAnsiTheme="minorHAnsi"/>
          <w:sz w:val="22"/>
          <w:szCs w:val="22"/>
        </w:rPr>
        <w:t xml:space="preserve"> a mistake claim </w:t>
      </w:r>
      <w:r w:rsidR="00855279">
        <w:rPr>
          <w:rFonts w:asciiTheme="minorHAnsi" w:hAnsiTheme="minorHAnsi"/>
          <w:i/>
          <w:sz w:val="22"/>
          <w:szCs w:val="22"/>
        </w:rPr>
        <w:t xml:space="preserve">and </w:t>
      </w:r>
      <w:r w:rsidR="00855279">
        <w:rPr>
          <w:rFonts w:asciiTheme="minorHAnsi" w:hAnsiTheme="minorHAnsi"/>
          <w:sz w:val="22"/>
          <w:szCs w:val="22"/>
        </w:rPr>
        <w:t>a public law claim. That question simply does not arise if only the public law claim is available.</w:t>
      </w:r>
    </w:p>
    <w:p w14:paraId="6ED3766C" w14:textId="77777777" w:rsidR="003B6133" w:rsidRDefault="003B6133" w:rsidP="003B6133">
      <w:pPr>
        <w:pStyle w:val="Heading1"/>
      </w:pPr>
      <w:r>
        <w:t>Conclusion</w:t>
      </w:r>
    </w:p>
    <w:p w14:paraId="4172F2D6" w14:textId="77777777" w:rsidR="004A1BDB" w:rsidRPr="004A1BDB" w:rsidRDefault="00FB4FFD" w:rsidP="00EB78AC">
      <w:pPr>
        <w:spacing w:line="276" w:lineRule="auto"/>
      </w:pPr>
      <w:r>
        <w:rPr>
          <w:rFonts w:asciiTheme="minorHAnsi" w:hAnsiTheme="minorHAnsi"/>
          <w:sz w:val="22"/>
          <w:szCs w:val="22"/>
        </w:rPr>
        <w:t>In conclusion, then</w:t>
      </w:r>
      <w:r w:rsidR="004A1BDB">
        <w:rPr>
          <w:rFonts w:asciiTheme="minorHAnsi" w:hAnsiTheme="minorHAnsi"/>
          <w:sz w:val="22"/>
          <w:szCs w:val="22"/>
        </w:rPr>
        <w:t xml:space="preserve">, we cannot deal properly with </w:t>
      </w:r>
      <w:r w:rsidR="00E15914">
        <w:rPr>
          <w:rFonts w:asciiTheme="minorHAnsi" w:hAnsiTheme="minorHAnsi"/>
          <w:sz w:val="22"/>
          <w:szCs w:val="22"/>
        </w:rPr>
        <w:t>unjust enrichment</w:t>
      </w:r>
      <w:r w:rsidR="004A1BDB">
        <w:rPr>
          <w:rFonts w:asciiTheme="minorHAnsi" w:hAnsiTheme="minorHAnsi"/>
          <w:sz w:val="22"/>
          <w:szCs w:val="22"/>
        </w:rPr>
        <w:t xml:space="preserve"> claims </w:t>
      </w:r>
      <w:r w:rsidR="00E15914">
        <w:rPr>
          <w:rFonts w:asciiTheme="minorHAnsi" w:hAnsiTheme="minorHAnsi"/>
          <w:sz w:val="22"/>
          <w:szCs w:val="22"/>
        </w:rPr>
        <w:t xml:space="preserve">involving public authorities </w:t>
      </w:r>
      <w:r w:rsidR="004A1BDB">
        <w:rPr>
          <w:rFonts w:asciiTheme="minorHAnsi" w:hAnsiTheme="minorHAnsi"/>
          <w:sz w:val="22"/>
          <w:szCs w:val="22"/>
        </w:rPr>
        <w:t xml:space="preserve">unless we take a hybrid view of them, addressing both their public and their private law elements. For this reason the decisions of the House of Lords in </w:t>
      </w:r>
      <w:r w:rsidR="004A1BDB">
        <w:rPr>
          <w:rFonts w:asciiTheme="minorHAnsi" w:hAnsiTheme="minorHAnsi"/>
          <w:i/>
          <w:sz w:val="22"/>
          <w:szCs w:val="22"/>
        </w:rPr>
        <w:t>DMG</w:t>
      </w:r>
      <w:r w:rsidR="004A1BDB">
        <w:rPr>
          <w:rFonts w:asciiTheme="minorHAnsi" w:hAnsiTheme="minorHAnsi"/>
          <w:sz w:val="22"/>
          <w:szCs w:val="22"/>
        </w:rPr>
        <w:t xml:space="preserve"> and the Supreme Court in </w:t>
      </w:r>
      <w:r w:rsidR="004A1BDB">
        <w:rPr>
          <w:rFonts w:asciiTheme="minorHAnsi" w:hAnsiTheme="minorHAnsi"/>
          <w:i/>
          <w:sz w:val="22"/>
          <w:szCs w:val="22"/>
        </w:rPr>
        <w:t xml:space="preserve">FII </w:t>
      </w:r>
      <w:r w:rsidR="004A1BDB">
        <w:rPr>
          <w:rFonts w:asciiTheme="minorHAnsi" w:hAnsiTheme="minorHAnsi"/>
          <w:sz w:val="22"/>
          <w:szCs w:val="22"/>
        </w:rPr>
        <w:t xml:space="preserve">are to be regarded as a missed opportunity. Had the courts taken the approach advocated here </w:t>
      </w:r>
      <w:r w:rsidR="00163264">
        <w:rPr>
          <w:rFonts w:asciiTheme="minorHAnsi" w:hAnsiTheme="minorHAnsi"/>
          <w:sz w:val="22"/>
          <w:szCs w:val="22"/>
        </w:rPr>
        <w:t>they</w:t>
      </w:r>
      <w:r w:rsidR="004A1BDB">
        <w:rPr>
          <w:rFonts w:asciiTheme="minorHAnsi" w:hAnsiTheme="minorHAnsi"/>
          <w:sz w:val="22"/>
          <w:szCs w:val="22"/>
        </w:rPr>
        <w:t xml:space="preserve"> would have avoided all the subsequent litigation regarding the operation of the so-called ‘</w:t>
      </w:r>
      <w:r w:rsidR="004A1BDB">
        <w:rPr>
          <w:rFonts w:asciiTheme="minorHAnsi" w:hAnsiTheme="minorHAnsi"/>
          <w:i/>
          <w:sz w:val="22"/>
          <w:szCs w:val="22"/>
        </w:rPr>
        <w:t>Woolwich</w:t>
      </w:r>
      <w:r w:rsidR="004A1BDB">
        <w:rPr>
          <w:rFonts w:asciiTheme="minorHAnsi" w:hAnsiTheme="minorHAnsi"/>
          <w:sz w:val="22"/>
          <w:szCs w:val="22"/>
        </w:rPr>
        <w:t xml:space="preserve">’ unjust factor, the relationship of that unjust factor with that of mistake, and the extended time limit for mistake </w:t>
      </w:r>
      <w:proofErr w:type="gramStart"/>
      <w:r w:rsidR="004A1BDB">
        <w:rPr>
          <w:rFonts w:asciiTheme="minorHAnsi" w:hAnsiTheme="minorHAnsi"/>
          <w:sz w:val="22"/>
          <w:szCs w:val="22"/>
        </w:rPr>
        <w:t>claims.</w:t>
      </w:r>
      <w:proofErr w:type="gramEnd"/>
      <w:r w:rsidR="004A1BDB">
        <w:rPr>
          <w:rFonts w:asciiTheme="minorHAnsi" w:hAnsiTheme="minorHAnsi"/>
          <w:sz w:val="22"/>
          <w:szCs w:val="22"/>
        </w:rPr>
        <w:t xml:space="preserve"> </w:t>
      </w:r>
    </w:p>
    <w:sectPr w:rsidR="004A1BDB" w:rsidRPr="004A1BD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E918E" w14:textId="77777777" w:rsidR="009C483B" w:rsidRDefault="009C483B" w:rsidP="00CD0936">
      <w:pPr>
        <w:spacing w:before="0" w:after="0" w:line="240" w:lineRule="auto"/>
      </w:pPr>
      <w:r>
        <w:separator/>
      </w:r>
    </w:p>
  </w:endnote>
  <w:endnote w:type="continuationSeparator" w:id="0">
    <w:p w14:paraId="5B570AE8" w14:textId="77777777" w:rsidR="009C483B" w:rsidRDefault="009C483B" w:rsidP="00CD09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AE144" w14:textId="77777777" w:rsidR="009C483B" w:rsidRDefault="009C483B" w:rsidP="00CD0936">
      <w:pPr>
        <w:spacing w:before="0" w:after="0" w:line="240" w:lineRule="auto"/>
      </w:pPr>
      <w:r>
        <w:separator/>
      </w:r>
    </w:p>
  </w:footnote>
  <w:footnote w:type="continuationSeparator" w:id="0">
    <w:p w14:paraId="4068C6F5" w14:textId="77777777" w:rsidR="009C483B" w:rsidRDefault="009C483B" w:rsidP="00CD0936">
      <w:pPr>
        <w:spacing w:before="0" w:after="0" w:line="240" w:lineRule="auto"/>
      </w:pPr>
      <w:r>
        <w:continuationSeparator/>
      </w:r>
    </w:p>
  </w:footnote>
  <w:footnote w:id="1">
    <w:p w14:paraId="6B21C34B" w14:textId="77777777" w:rsidR="009C483B" w:rsidRPr="00E45408" w:rsidRDefault="009C483B">
      <w:pPr>
        <w:pStyle w:val="FootnoteText"/>
      </w:pPr>
      <w:r>
        <w:rPr>
          <w:rStyle w:val="FootnoteReference"/>
        </w:rPr>
        <w:footnoteRef/>
      </w:r>
      <w:r>
        <w:t xml:space="preserve"> </w:t>
      </w:r>
      <w:r>
        <w:rPr>
          <w:lang w:val="en-US"/>
        </w:rPr>
        <w:t xml:space="preserve">See further </w:t>
      </w:r>
      <w:r>
        <w:t xml:space="preserve">R Williams, </w:t>
      </w:r>
      <w:r w:rsidRPr="00C8552F">
        <w:rPr>
          <w:i/>
        </w:rPr>
        <w:t>Unjust Enrichment and Public Law</w:t>
      </w:r>
      <w:r>
        <w:t xml:space="preserve"> (Hart Publishing, 2010) and </w:t>
      </w:r>
      <w:proofErr w:type="spellStart"/>
      <w:r>
        <w:t>Ch</w:t>
      </w:r>
      <w:proofErr w:type="spellEnd"/>
      <w:r>
        <w:t xml:space="preserve"> 2 in S Elliott, B </w:t>
      </w:r>
      <w:proofErr w:type="spellStart"/>
      <w:r>
        <w:t>Häcker</w:t>
      </w:r>
      <w:proofErr w:type="spellEnd"/>
      <w:r>
        <w:t xml:space="preserve"> and C Mitchell (</w:t>
      </w:r>
      <w:proofErr w:type="spellStart"/>
      <w:r>
        <w:t>eds</w:t>
      </w:r>
      <w:proofErr w:type="spellEnd"/>
      <w:r>
        <w:t xml:space="preserve">) </w:t>
      </w:r>
      <w:r>
        <w:rPr>
          <w:i/>
        </w:rPr>
        <w:t>Restitution of Overpaid Tax</w:t>
      </w:r>
      <w:r>
        <w:t xml:space="preserve"> (Hart Publishing, 2013).</w:t>
      </w:r>
    </w:p>
  </w:footnote>
  <w:footnote w:id="2">
    <w:p w14:paraId="094DFCF6" w14:textId="77777777" w:rsidR="009C483B" w:rsidRPr="00DB0031" w:rsidRDefault="009C483B" w:rsidP="00A3269D">
      <w:pPr>
        <w:pStyle w:val="FootnoteText"/>
        <w:contextualSpacing/>
        <w:rPr>
          <w:lang w:val="en-US"/>
        </w:rPr>
      </w:pPr>
      <w:r>
        <w:rPr>
          <w:rStyle w:val="FootnoteReference"/>
        </w:rPr>
        <w:footnoteRef/>
      </w:r>
      <w:r>
        <w:t xml:space="preserve"> </w:t>
      </w:r>
      <w:r w:rsidRPr="00507257">
        <w:rPr>
          <w:i/>
          <w:lang w:val="de-DE"/>
        </w:rPr>
        <w:t xml:space="preserve">Deutsche Morgan Grenfell </w:t>
      </w:r>
      <w:r>
        <w:rPr>
          <w:i/>
          <w:lang w:val="de-DE"/>
        </w:rPr>
        <w:t xml:space="preserve">Group </w:t>
      </w:r>
      <w:proofErr w:type="spellStart"/>
      <w:r w:rsidRPr="00507257">
        <w:rPr>
          <w:i/>
          <w:lang w:val="de-DE"/>
        </w:rPr>
        <w:t>plc</w:t>
      </w:r>
      <w:proofErr w:type="spellEnd"/>
      <w:r w:rsidRPr="00507257">
        <w:rPr>
          <w:i/>
          <w:lang w:val="de-DE"/>
        </w:rPr>
        <w:t xml:space="preserve"> v I</w:t>
      </w:r>
      <w:r>
        <w:rPr>
          <w:i/>
          <w:lang w:val="de-DE"/>
        </w:rPr>
        <w:t xml:space="preserve">nland </w:t>
      </w:r>
      <w:r w:rsidRPr="00507257">
        <w:rPr>
          <w:i/>
          <w:lang w:val="de-DE"/>
        </w:rPr>
        <w:t>R</w:t>
      </w:r>
      <w:r>
        <w:rPr>
          <w:i/>
          <w:lang w:val="de-DE"/>
        </w:rPr>
        <w:t xml:space="preserve">evenue </w:t>
      </w:r>
      <w:proofErr w:type="spellStart"/>
      <w:r w:rsidRPr="00507257">
        <w:rPr>
          <w:i/>
          <w:lang w:val="de-DE"/>
        </w:rPr>
        <w:t>C</w:t>
      </w:r>
      <w:r>
        <w:rPr>
          <w:i/>
          <w:lang w:val="de-DE"/>
        </w:rPr>
        <w:t>ommissioners</w:t>
      </w:r>
      <w:proofErr w:type="spellEnd"/>
      <w:r w:rsidRPr="00507257">
        <w:rPr>
          <w:lang w:val="de-DE"/>
        </w:rPr>
        <w:t xml:space="preserve"> [2006] UKHL 49</w:t>
      </w:r>
      <w:r>
        <w:rPr>
          <w:lang w:val="de-DE"/>
        </w:rPr>
        <w:t>.</w:t>
      </w:r>
    </w:p>
  </w:footnote>
  <w:footnote w:id="3">
    <w:p w14:paraId="0FEE2A09" w14:textId="77777777" w:rsidR="009C483B" w:rsidRPr="00DB0031" w:rsidRDefault="009C483B" w:rsidP="00A3269D">
      <w:pPr>
        <w:pStyle w:val="FootnoteText"/>
        <w:contextualSpacing/>
        <w:rPr>
          <w:lang w:val="en-US"/>
        </w:rPr>
      </w:pPr>
      <w:r>
        <w:rPr>
          <w:rStyle w:val="FootnoteReference"/>
        </w:rPr>
        <w:footnoteRef/>
      </w:r>
      <w:r>
        <w:t xml:space="preserve"> </w:t>
      </w:r>
      <w:r w:rsidRPr="00507257">
        <w:rPr>
          <w:i/>
        </w:rPr>
        <w:t>Test Claimants in the Franked In</w:t>
      </w:r>
      <w:r>
        <w:rPr>
          <w:i/>
        </w:rPr>
        <w:t>vestment</w:t>
      </w:r>
      <w:r w:rsidRPr="00507257">
        <w:rPr>
          <w:i/>
        </w:rPr>
        <w:t xml:space="preserve"> In</w:t>
      </w:r>
      <w:r>
        <w:rPr>
          <w:i/>
        </w:rPr>
        <w:t>come</w:t>
      </w:r>
      <w:r w:rsidRPr="00507257">
        <w:rPr>
          <w:i/>
        </w:rPr>
        <w:t xml:space="preserve"> Group Litigation v HM Revenue &amp; Customs</w:t>
      </w:r>
      <w:r w:rsidRPr="00507257">
        <w:t xml:space="preserve"> [2012] UKSC 19, [2012] Bus LR 1033 (hereafter ‘</w:t>
      </w:r>
      <w:r w:rsidRPr="00507257">
        <w:rPr>
          <w:i/>
        </w:rPr>
        <w:t xml:space="preserve">FII </w:t>
      </w:r>
      <w:r w:rsidRPr="00507257">
        <w:t>(SC)’).</w:t>
      </w:r>
    </w:p>
  </w:footnote>
  <w:footnote w:id="4">
    <w:p w14:paraId="3ECF4561" w14:textId="77777777" w:rsidR="009C483B" w:rsidRPr="00A3269D" w:rsidRDefault="009C483B" w:rsidP="00A3269D">
      <w:pPr>
        <w:spacing w:before="0" w:after="0" w:line="240" w:lineRule="auto"/>
        <w:contextualSpacing/>
        <w:jc w:val="left"/>
        <w:rPr>
          <w:i/>
          <w:sz w:val="20"/>
          <w:szCs w:val="20"/>
        </w:rPr>
      </w:pPr>
      <w:r w:rsidRPr="009F74EE">
        <w:rPr>
          <w:rStyle w:val="FootnoteReference"/>
          <w:sz w:val="20"/>
          <w:szCs w:val="20"/>
        </w:rPr>
        <w:footnoteRef/>
      </w:r>
      <w:r w:rsidRPr="009F74EE">
        <w:rPr>
          <w:sz w:val="20"/>
          <w:szCs w:val="20"/>
        </w:rPr>
        <w:t xml:space="preserve"> </w:t>
      </w:r>
      <w:proofErr w:type="spellStart"/>
      <w:proofErr w:type="gramStart"/>
      <w:r w:rsidRPr="00DB0031">
        <w:rPr>
          <w:i/>
          <w:sz w:val="20"/>
          <w:szCs w:val="20"/>
        </w:rPr>
        <w:t>Kingstreet</w:t>
      </w:r>
      <w:proofErr w:type="spellEnd"/>
      <w:r w:rsidRPr="00DB0031">
        <w:rPr>
          <w:i/>
          <w:sz w:val="20"/>
          <w:szCs w:val="20"/>
        </w:rPr>
        <w:t xml:space="preserve"> Investments Ltd v New Brunswick (Finance) </w:t>
      </w:r>
      <w:r w:rsidRPr="00DB0031">
        <w:rPr>
          <w:sz w:val="20"/>
          <w:szCs w:val="20"/>
        </w:rPr>
        <w:t>[2007] SCC 1, [2007] 1 SCR 3</w:t>
      </w:r>
      <w:r w:rsidRPr="00DB0031">
        <w:rPr>
          <w:i/>
          <w:sz w:val="20"/>
          <w:szCs w:val="20"/>
        </w:rPr>
        <w:t>.</w:t>
      </w:r>
      <w:proofErr w:type="gramEnd"/>
    </w:p>
  </w:footnote>
  <w:footnote w:id="5">
    <w:p w14:paraId="30A5773A" w14:textId="77777777" w:rsidR="009C483B" w:rsidRPr="00A3269D" w:rsidRDefault="009C483B" w:rsidP="00A3269D">
      <w:pPr>
        <w:pStyle w:val="FootnoteText"/>
        <w:contextualSpacing/>
        <w:rPr>
          <w:lang w:val="en-US"/>
        </w:rPr>
      </w:pPr>
      <w:r>
        <w:rPr>
          <w:rStyle w:val="FootnoteReference"/>
        </w:rPr>
        <w:footnoteRef/>
      </w:r>
      <w:r>
        <w:t xml:space="preserve"> See, e.g. </w:t>
      </w:r>
      <w:proofErr w:type="spellStart"/>
      <w:r>
        <w:rPr>
          <w:i/>
        </w:rPr>
        <w:t>Banque</w:t>
      </w:r>
      <w:proofErr w:type="spellEnd"/>
      <w:r>
        <w:rPr>
          <w:i/>
        </w:rPr>
        <w:t xml:space="preserve"> </w:t>
      </w:r>
      <w:proofErr w:type="spellStart"/>
      <w:r>
        <w:rPr>
          <w:i/>
        </w:rPr>
        <w:t>Financière</w:t>
      </w:r>
      <w:proofErr w:type="spellEnd"/>
      <w:r>
        <w:rPr>
          <w:i/>
        </w:rPr>
        <w:t xml:space="preserve"> de la </w:t>
      </w:r>
      <w:proofErr w:type="spellStart"/>
      <w:r>
        <w:rPr>
          <w:i/>
        </w:rPr>
        <w:t>Cité</w:t>
      </w:r>
      <w:proofErr w:type="spellEnd"/>
      <w:r>
        <w:rPr>
          <w:i/>
        </w:rPr>
        <w:t xml:space="preserve"> v </w:t>
      </w:r>
      <w:proofErr w:type="spellStart"/>
      <w:r>
        <w:rPr>
          <w:i/>
        </w:rPr>
        <w:t>Parc</w:t>
      </w:r>
      <w:proofErr w:type="spellEnd"/>
      <w:r>
        <w:rPr>
          <w:i/>
        </w:rPr>
        <w:t xml:space="preserve"> (Battersea) </w:t>
      </w:r>
      <w:r w:rsidRPr="00D11E49">
        <w:rPr>
          <w:i/>
        </w:rPr>
        <w:t>Ltd</w:t>
      </w:r>
      <w:r>
        <w:t xml:space="preserve"> [1999] 1 AC 221.</w:t>
      </w:r>
    </w:p>
  </w:footnote>
  <w:footnote w:id="6">
    <w:p w14:paraId="56DBAF81" w14:textId="77777777" w:rsidR="009C483B" w:rsidRDefault="009C483B" w:rsidP="003B6133">
      <w:pPr>
        <w:pStyle w:val="FootnoteText"/>
        <w:rPr>
          <w:lang w:val="en-US"/>
        </w:rPr>
      </w:pPr>
      <w:r>
        <w:rPr>
          <w:rStyle w:val="FootnoteReference"/>
        </w:rPr>
        <w:footnoteRef/>
      </w:r>
      <w:r>
        <w:t xml:space="preserve"> There may, by analogy with </w:t>
      </w:r>
      <w:r>
        <w:rPr>
          <w:i/>
        </w:rPr>
        <w:t>Hemming (Trading as Simply Pleasure Ltd) v Westminster City Council</w:t>
      </w:r>
      <w:r>
        <w:t xml:space="preserve"> [2012] EWHC 1260 (Admin), be cases which raise a question over the precise extent of a public authority’s unjust enrichment in situations in which that authority was entitled to receive some money, but not as much as it did. However, these issues go not to the question of enrichment but to the extent to which that enrichment should be regarded as unjust in the particular case. The enrichment enquiry is only likely to arise in a situation in which the authority has received a service or product of some kind rather than money (money being inherently enriching), and thus the rules applicable to this issue do not need to be any different from those applicable in the private law context.</w:t>
      </w:r>
    </w:p>
  </w:footnote>
  <w:footnote w:id="7">
    <w:p w14:paraId="44E8D3FC" w14:textId="77777777" w:rsidR="009C483B" w:rsidRPr="00A3269D" w:rsidRDefault="009C483B" w:rsidP="00A3269D">
      <w:pPr>
        <w:pStyle w:val="Heading3"/>
        <w:spacing w:before="0"/>
        <w:rPr>
          <w:b w:val="0"/>
          <w:sz w:val="20"/>
          <w:szCs w:val="20"/>
        </w:rPr>
      </w:pPr>
      <w:r w:rsidRPr="00A3269D">
        <w:rPr>
          <w:rStyle w:val="FootnoteReference"/>
          <w:b w:val="0"/>
          <w:sz w:val="20"/>
          <w:szCs w:val="20"/>
        </w:rPr>
        <w:footnoteRef/>
      </w:r>
      <w:proofErr w:type="gramStart"/>
      <w:r w:rsidRPr="00A3269D">
        <w:rPr>
          <w:b w:val="0"/>
          <w:i/>
          <w:sz w:val="20"/>
          <w:szCs w:val="20"/>
        </w:rPr>
        <w:t xml:space="preserve">Woolwich Equitable Building Society v Inland Revenue Commissioners </w:t>
      </w:r>
      <w:r>
        <w:rPr>
          <w:b w:val="0"/>
          <w:sz w:val="20"/>
          <w:szCs w:val="20"/>
        </w:rPr>
        <w:t>[1993] AC 70 (HL).</w:t>
      </w:r>
      <w:proofErr w:type="gramEnd"/>
    </w:p>
    <w:p w14:paraId="33194882" w14:textId="77777777" w:rsidR="009C483B" w:rsidRPr="00A3269D" w:rsidRDefault="009C483B" w:rsidP="00A3269D">
      <w:pPr>
        <w:pStyle w:val="FootnoteText"/>
        <w:contextualSpacing/>
        <w:rPr>
          <w:lang w:val="en-US"/>
        </w:rPr>
      </w:pPr>
    </w:p>
  </w:footnote>
  <w:footnote w:id="8">
    <w:p w14:paraId="75E698CD" w14:textId="090114C6" w:rsidR="009C483B" w:rsidRPr="009C483B" w:rsidRDefault="009C483B">
      <w:pPr>
        <w:pStyle w:val="FootnoteText"/>
        <w:rPr>
          <w:lang w:val="en-US"/>
        </w:rPr>
      </w:pPr>
      <w:r>
        <w:rPr>
          <w:rStyle w:val="FootnoteReference"/>
        </w:rPr>
        <w:footnoteRef/>
      </w:r>
      <w:r>
        <w:t xml:space="preserve"> </w:t>
      </w:r>
      <w:proofErr w:type="gramStart"/>
      <w:r>
        <w:rPr>
          <w:i/>
          <w:lang w:val="en-US"/>
        </w:rPr>
        <w:t>R v IRC ex p Woolwich Equitable Building Society</w:t>
      </w:r>
      <w:r>
        <w:rPr>
          <w:lang w:val="en-US"/>
        </w:rPr>
        <w:t xml:space="preserve"> [1990] 1 WLR 1400 (HL).</w:t>
      </w:r>
      <w:proofErr w:type="gramEnd"/>
      <w:r>
        <w:rPr>
          <w:lang w:val="en-US"/>
        </w:rPr>
        <w:t xml:space="preserve"> </w:t>
      </w:r>
    </w:p>
  </w:footnote>
  <w:footnote w:id="9">
    <w:p w14:paraId="6BFF7485" w14:textId="77777777" w:rsidR="009C483B" w:rsidRPr="009F74EE" w:rsidRDefault="009C483B">
      <w:pPr>
        <w:pStyle w:val="FootnoteText"/>
        <w:rPr>
          <w:lang w:val="en-US"/>
        </w:rPr>
      </w:pPr>
      <w:r>
        <w:rPr>
          <w:rStyle w:val="FootnoteReference"/>
        </w:rPr>
        <w:footnoteRef/>
      </w:r>
      <w:r>
        <w:t xml:space="preserve"> </w:t>
      </w:r>
      <w:r>
        <w:rPr>
          <w:lang w:val="en-US"/>
        </w:rPr>
        <w:t xml:space="preserve">See further </w:t>
      </w:r>
      <w:r>
        <w:rPr>
          <w:i/>
          <w:lang w:val="en-US"/>
        </w:rPr>
        <w:t>Unjust Enrichment and Public Law</w:t>
      </w:r>
      <w:r>
        <w:rPr>
          <w:lang w:val="en-US"/>
        </w:rPr>
        <w:t xml:space="preserve">, above n </w:t>
      </w:r>
      <w:r>
        <w:rPr>
          <w:lang w:val="en-US"/>
        </w:rPr>
        <w:fldChar w:fldCharType="begin"/>
      </w:r>
      <w:r>
        <w:rPr>
          <w:lang w:val="en-US"/>
        </w:rPr>
        <w:instrText xml:space="preserve"> NOTEREF _Ref275433585 \h </w:instrText>
      </w:r>
      <w:r>
        <w:rPr>
          <w:lang w:val="en-US"/>
        </w:rPr>
      </w:r>
      <w:r>
        <w:rPr>
          <w:lang w:val="en-US"/>
        </w:rPr>
        <w:fldChar w:fldCharType="separate"/>
      </w:r>
      <w:r>
        <w:rPr>
          <w:lang w:val="en-US"/>
        </w:rPr>
        <w:t>1</w:t>
      </w:r>
      <w:r>
        <w:rPr>
          <w:lang w:val="en-US"/>
        </w:rPr>
        <w:fldChar w:fldCharType="end"/>
      </w:r>
      <w:r>
        <w:rPr>
          <w:lang w:val="en-US"/>
        </w:rPr>
        <w:t xml:space="preserve"> </w:t>
      </w:r>
      <w:proofErr w:type="spellStart"/>
      <w:r>
        <w:rPr>
          <w:lang w:val="en-US"/>
        </w:rPr>
        <w:t>pp</w:t>
      </w:r>
      <w:proofErr w:type="spellEnd"/>
      <w:r>
        <w:rPr>
          <w:lang w:val="en-US"/>
        </w:rPr>
        <w:t xml:space="preserve"> 28-30 and 36-39.</w:t>
      </w:r>
    </w:p>
  </w:footnote>
  <w:footnote w:id="10">
    <w:p w14:paraId="42261597" w14:textId="77777777" w:rsidR="009C483B" w:rsidRPr="00A3269D" w:rsidRDefault="009C483B">
      <w:pPr>
        <w:pStyle w:val="FootnoteText"/>
        <w:rPr>
          <w:lang w:val="en-US"/>
        </w:rPr>
      </w:pPr>
      <w:r>
        <w:rPr>
          <w:rStyle w:val="FootnoteReference"/>
        </w:rPr>
        <w:footnoteRef/>
      </w:r>
      <w:r>
        <w:t xml:space="preserve"> </w:t>
      </w:r>
      <w:r w:rsidRPr="00507257">
        <w:t xml:space="preserve">Laws J in </w:t>
      </w:r>
      <w:r w:rsidRPr="00507257">
        <w:rPr>
          <w:i/>
        </w:rPr>
        <w:t>R v Somerset County Council ex p</w:t>
      </w:r>
      <w:r>
        <w:rPr>
          <w:i/>
        </w:rPr>
        <w:t>arte</w:t>
      </w:r>
      <w:r w:rsidRPr="00507257">
        <w:rPr>
          <w:i/>
        </w:rPr>
        <w:t xml:space="preserve"> </w:t>
      </w:r>
      <w:proofErr w:type="spellStart"/>
      <w:r w:rsidRPr="00507257">
        <w:rPr>
          <w:i/>
        </w:rPr>
        <w:t>Fewings</w:t>
      </w:r>
      <w:proofErr w:type="spellEnd"/>
      <w:r w:rsidRPr="00507257">
        <w:t xml:space="preserve"> [1995] 1 All ER 513</w:t>
      </w:r>
      <w:r>
        <w:t>.</w:t>
      </w:r>
    </w:p>
  </w:footnote>
  <w:footnote w:id="11">
    <w:p w14:paraId="4A1724B0" w14:textId="77777777" w:rsidR="009C483B" w:rsidRPr="00500C8A" w:rsidRDefault="009C483B">
      <w:pPr>
        <w:pStyle w:val="FootnoteText"/>
        <w:rPr>
          <w:lang w:val="en-US"/>
        </w:rPr>
      </w:pPr>
      <w:r>
        <w:rPr>
          <w:rStyle w:val="FootnoteReference"/>
        </w:rPr>
        <w:footnoteRef/>
      </w:r>
      <w:r>
        <w:t xml:space="preserve"> </w:t>
      </w:r>
      <w:proofErr w:type="gramStart"/>
      <w:r w:rsidRPr="008000DC">
        <w:rPr>
          <w:i/>
        </w:rPr>
        <w:t xml:space="preserve">R v Panel on Take-overs and Mergers, ex parte </w:t>
      </w:r>
      <w:proofErr w:type="spellStart"/>
      <w:r w:rsidRPr="008000DC">
        <w:rPr>
          <w:i/>
        </w:rPr>
        <w:t>Datafin</w:t>
      </w:r>
      <w:proofErr w:type="spellEnd"/>
      <w:r w:rsidRPr="008000DC">
        <w:rPr>
          <w:i/>
        </w:rPr>
        <w:t xml:space="preserve"> </w:t>
      </w:r>
      <w:proofErr w:type="spellStart"/>
      <w:r w:rsidRPr="008000DC">
        <w:rPr>
          <w:i/>
        </w:rPr>
        <w:t>Plc</w:t>
      </w:r>
      <w:proofErr w:type="spellEnd"/>
      <w:r w:rsidRPr="008000DC">
        <w:t xml:space="preserve"> [1987] QB 815 (CA)</w:t>
      </w:r>
      <w:r>
        <w:t>.</w:t>
      </w:r>
      <w:proofErr w:type="gramEnd"/>
    </w:p>
  </w:footnote>
  <w:footnote w:id="12">
    <w:p w14:paraId="74E73DD0" w14:textId="77777777" w:rsidR="009C483B" w:rsidRPr="00E1197E" w:rsidRDefault="009C483B" w:rsidP="00E1197E">
      <w:pPr>
        <w:pStyle w:val="FootnoteText"/>
        <w:rPr>
          <w:lang w:val="en-US"/>
        </w:rPr>
      </w:pPr>
      <w:r>
        <w:rPr>
          <w:rStyle w:val="FootnoteReference"/>
        </w:rPr>
        <w:footnoteRef/>
      </w:r>
      <w:r>
        <w:t xml:space="preserve"> </w:t>
      </w:r>
      <w:r>
        <w:rPr>
          <w:lang w:val="en-US"/>
        </w:rPr>
        <w:t xml:space="preserve">For further examples, see </w:t>
      </w:r>
      <w:r>
        <w:rPr>
          <w:i/>
          <w:lang w:val="en-US"/>
        </w:rPr>
        <w:t xml:space="preserve">Unjust Enrichment and Public Law, </w:t>
      </w:r>
      <w:r>
        <w:rPr>
          <w:lang w:val="en-US"/>
        </w:rPr>
        <w:t xml:space="preserve">above n </w:t>
      </w:r>
      <w:r>
        <w:rPr>
          <w:lang w:val="en-US"/>
        </w:rPr>
        <w:fldChar w:fldCharType="begin"/>
      </w:r>
      <w:r>
        <w:rPr>
          <w:lang w:val="en-US"/>
        </w:rPr>
        <w:instrText xml:space="preserve"> NOTEREF _Ref275433585 \h </w:instrText>
      </w:r>
      <w:r>
        <w:rPr>
          <w:lang w:val="en-US"/>
        </w:rPr>
      </w:r>
      <w:r>
        <w:rPr>
          <w:lang w:val="en-US"/>
        </w:rPr>
        <w:fldChar w:fldCharType="separate"/>
      </w:r>
      <w:r>
        <w:rPr>
          <w:lang w:val="en-US"/>
        </w:rPr>
        <w:t>1</w:t>
      </w:r>
      <w:r>
        <w:rPr>
          <w:lang w:val="en-US"/>
        </w:rPr>
        <w:fldChar w:fldCharType="end"/>
      </w:r>
      <w:r>
        <w:rPr>
          <w:lang w:val="en-US"/>
        </w:rPr>
        <w:t xml:space="preserve">, </w:t>
      </w:r>
      <w:proofErr w:type="spellStart"/>
      <w:r>
        <w:rPr>
          <w:lang w:val="en-US"/>
        </w:rPr>
        <w:t>Ch</w:t>
      </w:r>
      <w:proofErr w:type="spellEnd"/>
      <w:r>
        <w:rPr>
          <w:lang w:val="en-US"/>
        </w:rPr>
        <w:t xml:space="preserve"> 3.</w:t>
      </w:r>
    </w:p>
  </w:footnote>
  <w:footnote w:id="13">
    <w:p w14:paraId="663B5882" w14:textId="77777777" w:rsidR="009C483B" w:rsidRPr="00500C8A" w:rsidRDefault="009C483B">
      <w:pPr>
        <w:pStyle w:val="FootnoteText"/>
        <w:rPr>
          <w:lang w:val="en-US"/>
        </w:rPr>
      </w:pPr>
      <w:r>
        <w:rPr>
          <w:rStyle w:val="FootnoteReference"/>
        </w:rPr>
        <w:footnoteRef/>
      </w:r>
      <w:r>
        <w:t xml:space="preserve"> </w:t>
      </w:r>
      <w:proofErr w:type="gramStart"/>
      <w:r>
        <w:rPr>
          <w:i/>
        </w:rPr>
        <w:t>Auckland Harbour Board v The King</w:t>
      </w:r>
      <w:r>
        <w:t xml:space="preserve"> [1924] AC 318 (PC).</w:t>
      </w:r>
      <w:proofErr w:type="gramEnd"/>
    </w:p>
  </w:footnote>
  <w:footnote w:id="14">
    <w:p w14:paraId="0DBF6E7D" w14:textId="77777777" w:rsidR="009C483B" w:rsidRPr="00F86DC3" w:rsidRDefault="009C483B">
      <w:pPr>
        <w:pStyle w:val="FootnoteText"/>
        <w:rPr>
          <w:lang w:val="en-US"/>
        </w:rPr>
      </w:pPr>
      <w:r>
        <w:rPr>
          <w:rStyle w:val="FootnoteReference"/>
        </w:rPr>
        <w:footnoteRef/>
      </w:r>
      <w:r>
        <w:t xml:space="preserve"> </w:t>
      </w:r>
      <w:proofErr w:type="spellStart"/>
      <w:proofErr w:type="gramStart"/>
      <w:r>
        <w:rPr>
          <w:i/>
        </w:rPr>
        <w:t>Hazell</w:t>
      </w:r>
      <w:proofErr w:type="spellEnd"/>
      <w:r>
        <w:rPr>
          <w:i/>
        </w:rPr>
        <w:t xml:space="preserve"> v Hammersmith and Fulham London Borough Council</w:t>
      </w:r>
      <w:r>
        <w:t xml:space="preserve"> [1992] 2 AC 1 (HL).</w:t>
      </w:r>
      <w:proofErr w:type="gramEnd"/>
    </w:p>
  </w:footnote>
  <w:footnote w:id="15">
    <w:p w14:paraId="03FE5D2C" w14:textId="77777777" w:rsidR="009C483B" w:rsidRPr="004D0AE1" w:rsidRDefault="009C483B">
      <w:pPr>
        <w:pStyle w:val="FootnoteText"/>
        <w:rPr>
          <w:lang w:val="en-US"/>
        </w:rPr>
      </w:pPr>
      <w:r>
        <w:rPr>
          <w:rStyle w:val="FootnoteReference"/>
        </w:rPr>
        <w:footnoteRef/>
      </w:r>
      <w:r>
        <w:t xml:space="preserve"> </w:t>
      </w:r>
      <w:proofErr w:type="spellStart"/>
      <w:r>
        <w:rPr>
          <w:i/>
        </w:rPr>
        <w:t>Westdeutsche</w:t>
      </w:r>
      <w:proofErr w:type="spellEnd"/>
      <w:r>
        <w:rPr>
          <w:i/>
        </w:rPr>
        <w:t xml:space="preserve"> </w:t>
      </w:r>
      <w:proofErr w:type="spellStart"/>
      <w:r>
        <w:rPr>
          <w:i/>
        </w:rPr>
        <w:t>Landesbank</w:t>
      </w:r>
      <w:proofErr w:type="spellEnd"/>
      <w:r>
        <w:rPr>
          <w:i/>
        </w:rPr>
        <w:t xml:space="preserve"> </w:t>
      </w:r>
      <w:proofErr w:type="spellStart"/>
      <w:r>
        <w:rPr>
          <w:i/>
        </w:rPr>
        <w:t>Girozentrale</w:t>
      </w:r>
      <w:proofErr w:type="spellEnd"/>
      <w:r>
        <w:rPr>
          <w:i/>
        </w:rPr>
        <w:t xml:space="preserve"> v Islington LBC</w:t>
      </w:r>
      <w:r>
        <w:t xml:space="preserve"> [1994] All ER 890: </w:t>
      </w:r>
      <w:proofErr w:type="spellStart"/>
      <w:r>
        <w:t>Hobhouse</w:t>
      </w:r>
      <w:proofErr w:type="spellEnd"/>
      <w:r>
        <w:t xml:space="preserve"> J.</w:t>
      </w:r>
    </w:p>
  </w:footnote>
  <w:footnote w:id="16">
    <w:p w14:paraId="50491775" w14:textId="77777777" w:rsidR="009C483B" w:rsidRPr="004D0AE1" w:rsidRDefault="009C483B">
      <w:pPr>
        <w:pStyle w:val="FootnoteText"/>
        <w:rPr>
          <w:i/>
          <w:lang w:val="en-US"/>
        </w:rPr>
      </w:pPr>
      <w:r>
        <w:rPr>
          <w:rStyle w:val="FootnoteReference"/>
        </w:rPr>
        <w:footnoteRef/>
      </w:r>
      <w:r>
        <w:t xml:space="preserve"> </w:t>
      </w:r>
      <w:proofErr w:type="gramStart"/>
      <w:r>
        <w:t xml:space="preserve">Robert Walker LJ in </w:t>
      </w:r>
      <w:r>
        <w:rPr>
          <w:i/>
        </w:rPr>
        <w:t>Guinness Mahon</w:t>
      </w:r>
      <w:r>
        <w:t xml:space="preserve"> </w:t>
      </w:r>
      <w:r>
        <w:rPr>
          <w:i/>
        </w:rPr>
        <w:t>and Co v Kensington and Chelsea RLBC</w:t>
      </w:r>
      <w:r>
        <w:t xml:space="preserve"> [1999] QB 215 (CA).</w:t>
      </w:r>
      <w:proofErr w:type="gramEnd"/>
    </w:p>
  </w:footnote>
  <w:footnote w:id="17">
    <w:p w14:paraId="1F15BF5E" w14:textId="77777777" w:rsidR="009C483B" w:rsidRPr="004D0AE1" w:rsidRDefault="009C483B">
      <w:pPr>
        <w:pStyle w:val="FootnoteText"/>
        <w:rPr>
          <w:lang w:val="en-US"/>
        </w:rPr>
      </w:pPr>
      <w:r>
        <w:rPr>
          <w:rStyle w:val="FootnoteReference"/>
        </w:rPr>
        <w:footnoteRef/>
      </w:r>
      <w:r>
        <w:t xml:space="preserve"> </w:t>
      </w:r>
      <w:proofErr w:type="gramStart"/>
      <w:r>
        <w:rPr>
          <w:i/>
        </w:rPr>
        <w:t>Kleinwort Benson v Lincoln CC</w:t>
      </w:r>
      <w:r>
        <w:t xml:space="preserve"> [1999] 2 AC 349 (HL).</w:t>
      </w:r>
      <w:proofErr w:type="gramEnd"/>
    </w:p>
  </w:footnote>
  <w:footnote w:id="18">
    <w:p w14:paraId="205B4727" w14:textId="77777777" w:rsidR="009C483B" w:rsidRPr="004D0AE1" w:rsidRDefault="009C483B">
      <w:pPr>
        <w:pStyle w:val="FootnoteText"/>
        <w:rPr>
          <w:lang w:val="en-US"/>
        </w:rPr>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_Ref275432849 \h </w:instrText>
      </w:r>
      <w:r>
        <w:rPr>
          <w:lang w:val="en-US"/>
        </w:rPr>
      </w:r>
      <w:r>
        <w:rPr>
          <w:lang w:val="en-US"/>
        </w:rPr>
        <w:fldChar w:fldCharType="separate"/>
      </w:r>
      <w:r>
        <w:rPr>
          <w:lang w:val="en-US"/>
        </w:rPr>
        <w:t>2</w:t>
      </w:r>
      <w:r>
        <w:rPr>
          <w:lang w:val="en-US"/>
        </w:rPr>
        <w:fldChar w:fldCharType="end"/>
      </w:r>
      <w:r>
        <w:rPr>
          <w:lang w:val="en-US"/>
        </w:rPr>
        <w:t>.</w:t>
      </w:r>
      <w:proofErr w:type="gramEnd"/>
    </w:p>
  </w:footnote>
  <w:footnote w:id="19">
    <w:p w14:paraId="68C55A03" w14:textId="77777777" w:rsidR="009C483B" w:rsidRPr="00E45408" w:rsidRDefault="009C483B">
      <w:pPr>
        <w:pStyle w:val="FootnoteText"/>
        <w:rPr>
          <w:lang w:val="en-US"/>
        </w:rPr>
      </w:pPr>
      <w:r>
        <w:rPr>
          <w:rStyle w:val="FootnoteReference"/>
        </w:rPr>
        <w:footnoteRef/>
      </w:r>
      <w:r>
        <w:t xml:space="preserve"> </w:t>
      </w:r>
      <w:proofErr w:type="gramStart"/>
      <w:r>
        <w:t xml:space="preserve">Cases C-397/98 and C-410/98 </w:t>
      </w:r>
      <w:proofErr w:type="spellStart"/>
      <w:r>
        <w:rPr>
          <w:i/>
        </w:rPr>
        <w:t>Metallgesellschaft</w:t>
      </w:r>
      <w:proofErr w:type="spellEnd"/>
      <w:r>
        <w:rPr>
          <w:i/>
        </w:rPr>
        <w:t xml:space="preserve"> Ltd v Inland Revenue Commissioners and Hoechst AG v Inland Revenue Commissioners</w:t>
      </w:r>
      <w:r>
        <w:t xml:space="preserve"> [2001] ECR I-1727.</w:t>
      </w:r>
      <w:proofErr w:type="gramEnd"/>
    </w:p>
  </w:footnote>
  <w:footnote w:id="20">
    <w:p w14:paraId="761B23CA" w14:textId="77777777" w:rsidR="009C483B" w:rsidRPr="00E45408" w:rsidRDefault="009C483B">
      <w:pPr>
        <w:pStyle w:val="FootnoteText"/>
        <w:rPr>
          <w:lang w:val="en-US"/>
        </w:rPr>
      </w:pPr>
      <w:r>
        <w:rPr>
          <w:rStyle w:val="FootnoteReference"/>
        </w:rPr>
        <w:footnoteRef/>
      </w:r>
      <w:r>
        <w:t xml:space="preserve"> </w:t>
      </w:r>
      <w:proofErr w:type="gramStart"/>
      <w:r>
        <w:t>Cases C-6/90 and C-9/</w:t>
      </w:r>
      <w:r>
        <w:rPr>
          <w:i/>
        </w:rPr>
        <w:t xml:space="preserve">90 </w:t>
      </w:r>
      <w:proofErr w:type="spellStart"/>
      <w:r>
        <w:rPr>
          <w:i/>
        </w:rPr>
        <w:t>Francovich</w:t>
      </w:r>
      <w:proofErr w:type="spellEnd"/>
      <w:r>
        <w:rPr>
          <w:i/>
        </w:rPr>
        <w:t xml:space="preserve"> and </w:t>
      </w:r>
      <w:proofErr w:type="spellStart"/>
      <w:r>
        <w:rPr>
          <w:i/>
        </w:rPr>
        <w:t>Bonifaci</w:t>
      </w:r>
      <w:proofErr w:type="spellEnd"/>
      <w:r>
        <w:rPr>
          <w:i/>
        </w:rPr>
        <w:t xml:space="preserve"> v Italian Republic</w:t>
      </w:r>
      <w:r>
        <w:t xml:space="preserve"> [1991] ECR I-5357.</w:t>
      </w:r>
      <w:proofErr w:type="gramEnd"/>
    </w:p>
  </w:footnote>
  <w:footnote w:id="21">
    <w:p w14:paraId="0A390282" w14:textId="77777777" w:rsidR="009C483B" w:rsidRPr="00E45408" w:rsidRDefault="009C483B">
      <w:pPr>
        <w:pStyle w:val="FootnoteText"/>
        <w:rPr>
          <w:lang w:val="en-US"/>
        </w:rPr>
      </w:pPr>
      <w:r>
        <w:rPr>
          <w:rStyle w:val="FootnoteReference"/>
        </w:rPr>
        <w:footnoteRef/>
      </w:r>
      <w:r>
        <w:t xml:space="preserve"> Cases C-46 and C-48/93 </w:t>
      </w:r>
      <w:proofErr w:type="spellStart"/>
      <w:r>
        <w:rPr>
          <w:i/>
        </w:rPr>
        <w:t>Brasserie</w:t>
      </w:r>
      <w:proofErr w:type="spellEnd"/>
      <w:r>
        <w:rPr>
          <w:i/>
        </w:rPr>
        <w:t xml:space="preserve"> du </w:t>
      </w:r>
      <w:proofErr w:type="spellStart"/>
      <w:r>
        <w:rPr>
          <w:i/>
        </w:rPr>
        <w:t>Pêcheur</w:t>
      </w:r>
      <w:proofErr w:type="spellEnd"/>
      <w:r>
        <w:rPr>
          <w:i/>
        </w:rPr>
        <w:t xml:space="preserve"> SA v Germany; R v Secretary of State for Transport, ex p </w:t>
      </w:r>
      <w:proofErr w:type="spellStart"/>
      <w:r>
        <w:rPr>
          <w:i/>
        </w:rPr>
        <w:t>Factortame</w:t>
      </w:r>
      <w:proofErr w:type="spellEnd"/>
      <w:r>
        <w:rPr>
          <w:i/>
        </w:rPr>
        <w:t xml:space="preserve"> Ltd (</w:t>
      </w:r>
      <w:proofErr w:type="spellStart"/>
      <w:r>
        <w:rPr>
          <w:i/>
        </w:rPr>
        <w:t>Factortame</w:t>
      </w:r>
      <w:proofErr w:type="spellEnd"/>
      <w:r>
        <w:rPr>
          <w:i/>
        </w:rPr>
        <w:t xml:space="preserve"> III)</w:t>
      </w:r>
      <w:r>
        <w:t>[1996] ECR I-1029).</w:t>
      </w:r>
    </w:p>
  </w:footnote>
  <w:footnote w:id="22">
    <w:p w14:paraId="4821EE19" w14:textId="77777777" w:rsidR="009C483B" w:rsidRPr="00E45408" w:rsidRDefault="009C483B">
      <w:pPr>
        <w:pStyle w:val="FootnoteText"/>
        <w:rPr>
          <w:lang w:val="en-US"/>
        </w:rPr>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_Ref275433414 \h </w:instrText>
      </w:r>
      <w:r>
        <w:rPr>
          <w:lang w:val="en-US"/>
        </w:rPr>
      </w:r>
      <w:r>
        <w:rPr>
          <w:lang w:val="en-US"/>
        </w:rPr>
        <w:fldChar w:fldCharType="separate"/>
      </w:r>
      <w:r>
        <w:rPr>
          <w:lang w:val="en-US"/>
        </w:rPr>
        <w:t>3</w:t>
      </w:r>
      <w:r>
        <w:rPr>
          <w:lang w:val="en-US"/>
        </w:rPr>
        <w:fldChar w:fldCharType="end"/>
      </w:r>
      <w:r>
        <w:rPr>
          <w:lang w:val="en-US"/>
        </w:rPr>
        <w:t>.</w:t>
      </w:r>
      <w:proofErr w:type="gramEnd"/>
    </w:p>
  </w:footnote>
  <w:footnote w:id="23">
    <w:p w14:paraId="58B809C0" w14:textId="77777777" w:rsidR="009C483B" w:rsidRPr="00E45408" w:rsidRDefault="009C483B">
      <w:pPr>
        <w:pStyle w:val="FootnoteText"/>
        <w:rPr>
          <w:lang w:val="en-US"/>
        </w:rPr>
      </w:pPr>
      <w:r>
        <w:rPr>
          <w:rStyle w:val="FootnoteReference"/>
        </w:rPr>
        <w:footnoteRef/>
      </w:r>
      <w:r>
        <w:t xml:space="preserve"> </w:t>
      </w:r>
      <w:r>
        <w:rPr>
          <w:lang w:val="en-US"/>
        </w:rPr>
        <w:t xml:space="preserve">For further discussion of the others, see above n </w:t>
      </w:r>
      <w:r>
        <w:rPr>
          <w:lang w:val="en-US"/>
        </w:rPr>
        <w:fldChar w:fldCharType="begin"/>
      </w:r>
      <w:r>
        <w:rPr>
          <w:lang w:val="en-US"/>
        </w:rPr>
        <w:instrText xml:space="preserve"> NOTEREF _Ref275433585 \h </w:instrText>
      </w:r>
      <w:r>
        <w:rPr>
          <w:lang w:val="en-US"/>
        </w:rPr>
      </w:r>
      <w:r>
        <w:rPr>
          <w:lang w:val="en-US"/>
        </w:rPr>
        <w:fldChar w:fldCharType="separate"/>
      </w:r>
      <w:r>
        <w:rPr>
          <w:lang w:val="en-US"/>
        </w:rPr>
        <w:t>1</w:t>
      </w:r>
      <w:r>
        <w:rPr>
          <w:lang w:val="en-US"/>
        </w:rPr>
        <w:fldChar w:fldCharType="end"/>
      </w:r>
      <w:r>
        <w:rPr>
          <w:lang w:val="en-US"/>
        </w:rPr>
        <w:t>.</w:t>
      </w:r>
    </w:p>
  </w:footnote>
  <w:footnote w:id="24">
    <w:p w14:paraId="275AEE55" w14:textId="77777777" w:rsidR="009C483B" w:rsidRPr="000F54BD" w:rsidRDefault="009C483B" w:rsidP="000F54BD">
      <w:pPr>
        <w:spacing w:before="0" w:after="0" w:line="240" w:lineRule="auto"/>
        <w:rPr>
          <w:sz w:val="20"/>
          <w:szCs w:val="20"/>
        </w:rPr>
      </w:pPr>
      <w:r w:rsidRPr="00E45408">
        <w:rPr>
          <w:rStyle w:val="FootnoteReference"/>
          <w:sz w:val="20"/>
          <w:szCs w:val="20"/>
        </w:rPr>
        <w:footnoteRef/>
      </w:r>
      <w:r w:rsidRPr="00E45408">
        <w:rPr>
          <w:sz w:val="20"/>
          <w:szCs w:val="20"/>
        </w:rPr>
        <w:t xml:space="preserve"> </w:t>
      </w:r>
      <w:proofErr w:type="gramStart"/>
      <w:r w:rsidRPr="00E45408">
        <w:rPr>
          <w:i/>
          <w:sz w:val="20"/>
          <w:szCs w:val="20"/>
        </w:rPr>
        <w:t xml:space="preserve">Henderson v </w:t>
      </w:r>
      <w:proofErr w:type="spellStart"/>
      <w:r w:rsidRPr="00E45408">
        <w:rPr>
          <w:i/>
          <w:sz w:val="20"/>
          <w:szCs w:val="20"/>
        </w:rPr>
        <w:t>Merrett</w:t>
      </w:r>
      <w:proofErr w:type="spellEnd"/>
      <w:r w:rsidRPr="00E45408">
        <w:rPr>
          <w:i/>
          <w:sz w:val="20"/>
          <w:szCs w:val="20"/>
        </w:rPr>
        <w:t xml:space="preserve"> Syndicates Ltd</w:t>
      </w:r>
      <w:r w:rsidRPr="00E45408">
        <w:rPr>
          <w:sz w:val="20"/>
          <w:szCs w:val="20"/>
        </w:rPr>
        <w:t xml:space="preserve"> [1995] 2 AC 145 (HL).</w:t>
      </w:r>
      <w:proofErr w:type="gramEnd"/>
    </w:p>
  </w:footnote>
  <w:footnote w:id="25">
    <w:p w14:paraId="6675F5B7" w14:textId="77777777" w:rsidR="009C483B" w:rsidRPr="000F54BD" w:rsidRDefault="009C483B" w:rsidP="000F54BD">
      <w:pPr>
        <w:widowControl w:val="0"/>
        <w:autoSpaceDE w:val="0"/>
        <w:autoSpaceDN w:val="0"/>
        <w:adjustRightInd w:val="0"/>
        <w:spacing w:before="0" w:after="0" w:line="240" w:lineRule="auto"/>
        <w:jc w:val="left"/>
        <w:rPr>
          <w:rFonts w:ascii="Times" w:eastAsiaTheme="minorHAnsi" w:hAnsi="Times" w:cs="Times"/>
        </w:rPr>
      </w:pPr>
      <w:r>
        <w:rPr>
          <w:rStyle w:val="FootnoteReference"/>
        </w:rPr>
        <w:footnoteRef/>
      </w:r>
      <w:r>
        <w:t xml:space="preserve"> </w:t>
      </w:r>
      <w:r w:rsidRPr="000F54BD">
        <w:rPr>
          <w:rFonts w:ascii="Times" w:eastAsiaTheme="minorHAnsi" w:hAnsi="Times" w:cs="Times"/>
          <w:sz w:val="20"/>
          <w:szCs w:val="20"/>
        </w:rPr>
        <w:t>A Burrows, ‘Public Authorities, Ultra Vires and Restitution’ in A Burrows (</w:t>
      </w:r>
      <w:proofErr w:type="spellStart"/>
      <w:r w:rsidRPr="000F54BD">
        <w:rPr>
          <w:rFonts w:ascii="Times" w:eastAsiaTheme="minorHAnsi" w:hAnsi="Times" w:cs="Times"/>
          <w:sz w:val="20"/>
          <w:szCs w:val="20"/>
        </w:rPr>
        <w:t>ed</w:t>
      </w:r>
      <w:proofErr w:type="spellEnd"/>
      <w:r w:rsidRPr="000F54BD">
        <w:rPr>
          <w:rFonts w:ascii="Times" w:eastAsiaTheme="minorHAnsi" w:hAnsi="Times" w:cs="Times"/>
          <w:sz w:val="20"/>
          <w:szCs w:val="20"/>
        </w:rPr>
        <w:t xml:space="preserve">), </w:t>
      </w:r>
      <w:r w:rsidRPr="000F54BD">
        <w:rPr>
          <w:rFonts w:ascii="Times" w:eastAsiaTheme="minorHAnsi" w:hAnsi="Times" w:cs="Times"/>
          <w:i/>
          <w:iCs/>
          <w:sz w:val="20"/>
          <w:szCs w:val="20"/>
        </w:rPr>
        <w:t xml:space="preserve">Essays on the Law of Restitution </w:t>
      </w:r>
      <w:r w:rsidRPr="000F54BD">
        <w:rPr>
          <w:rFonts w:ascii="Times" w:eastAsiaTheme="minorHAnsi" w:hAnsi="Times" w:cs="Times"/>
          <w:sz w:val="20"/>
          <w:szCs w:val="20"/>
        </w:rPr>
        <w:t>(Oxford, Clarendon Press, 1991) 40</w:t>
      </w:r>
      <w:r>
        <w:rPr>
          <w:rFonts w:ascii="Times" w:eastAsiaTheme="minorHAnsi" w:hAnsi="Times" w:cs="Times"/>
          <w:sz w:val="20"/>
          <w:szCs w:val="20"/>
        </w:rPr>
        <w:t>.</w:t>
      </w:r>
    </w:p>
  </w:footnote>
  <w:footnote w:id="26">
    <w:p w14:paraId="56604838" w14:textId="77777777" w:rsidR="009C483B" w:rsidRPr="000F54BD" w:rsidRDefault="009C483B">
      <w:pPr>
        <w:pStyle w:val="FootnoteText"/>
        <w:rPr>
          <w:lang w:val="en-US"/>
        </w:rPr>
      </w:pPr>
      <w:r>
        <w:rPr>
          <w:rStyle w:val="FootnoteReference"/>
        </w:rPr>
        <w:footnoteRef/>
      </w:r>
      <w:r>
        <w:t xml:space="preserve"> </w:t>
      </w:r>
      <w:proofErr w:type="gramStart"/>
      <w:r>
        <w:rPr>
          <w:i/>
        </w:rPr>
        <w:t xml:space="preserve">O’Reilly v </w:t>
      </w:r>
      <w:proofErr w:type="spellStart"/>
      <w:r>
        <w:rPr>
          <w:i/>
        </w:rPr>
        <w:t>Mackman</w:t>
      </w:r>
      <w:proofErr w:type="spellEnd"/>
      <w:r>
        <w:t xml:space="preserve"> [1983] 2 AC 237 (HL).</w:t>
      </w:r>
      <w:proofErr w:type="gramEnd"/>
    </w:p>
  </w:footnote>
  <w:footnote w:id="27">
    <w:p w14:paraId="46BF64E9" w14:textId="77777777" w:rsidR="009C483B" w:rsidRPr="000F54BD" w:rsidRDefault="009C483B" w:rsidP="000F54BD">
      <w:pPr>
        <w:spacing w:before="0" w:after="0" w:line="240" w:lineRule="auto"/>
        <w:rPr>
          <w:sz w:val="20"/>
          <w:szCs w:val="20"/>
        </w:rPr>
      </w:pPr>
      <w:r w:rsidRPr="000F54BD">
        <w:rPr>
          <w:rStyle w:val="FootnoteReference"/>
          <w:sz w:val="20"/>
          <w:szCs w:val="20"/>
        </w:rPr>
        <w:footnoteRef/>
      </w:r>
      <w:r w:rsidRPr="000F54BD">
        <w:rPr>
          <w:sz w:val="20"/>
          <w:szCs w:val="20"/>
        </w:rPr>
        <w:t xml:space="preserve"> </w:t>
      </w:r>
      <w:proofErr w:type="gramStart"/>
      <w:r w:rsidRPr="000F54BD">
        <w:rPr>
          <w:i/>
          <w:sz w:val="20"/>
          <w:szCs w:val="20"/>
        </w:rPr>
        <w:t>Clark v University of Lincolnshire and Humberside</w:t>
      </w:r>
      <w:r w:rsidRPr="000F54BD">
        <w:rPr>
          <w:sz w:val="20"/>
          <w:szCs w:val="20"/>
        </w:rPr>
        <w:t xml:space="preserve"> [2000] 1 WLR (HL).</w:t>
      </w:r>
      <w:proofErr w:type="gramEnd"/>
    </w:p>
  </w:footnote>
  <w:footnote w:id="28">
    <w:p w14:paraId="378F0CF2" w14:textId="77777777" w:rsidR="009C483B" w:rsidRPr="000F54BD" w:rsidRDefault="009C483B">
      <w:pPr>
        <w:pStyle w:val="FootnoteText"/>
        <w:rPr>
          <w:lang w:val="en-US"/>
        </w:rPr>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_Ref275433960 \h </w:instrText>
      </w:r>
      <w:r>
        <w:rPr>
          <w:lang w:val="en-US"/>
        </w:rPr>
      </w:r>
      <w:r>
        <w:rPr>
          <w:lang w:val="en-US"/>
        </w:rPr>
        <w:fldChar w:fldCharType="separate"/>
      </w:r>
      <w:r>
        <w:rPr>
          <w:lang w:val="en-US"/>
        </w:rPr>
        <w:t>10</w:t>
      </w:r>
      <w:r>
        <w:rPr>
          <w:lang w:val="en-US"/>
        </w:rPr>
        <w:fldChar w:fldCharType="end"/>
      </w:r>
      <w:r>
        <w:rPr>
          <w:lang w:val="en-US"/>
        </w:rPr>
        <w:t>.</w:t>
      </w:r>
      <w:proofErr w:type="gramEnd"/>
    </w:p>
  </w:footnote>
  <w:footnote w:id="29">
    <w:p w14:paraId="05F072A4" w14:textId="77777777" w:rsidR="009C483B" w:rsidRPr="000F54BD" w:rsidRDefault="009C483B">
      <w:pPr>
        <w:pStyle w:val="FootnoteText"/>
        <w:rPr>
          <w:lang w:val="en-US"/>
        </w:rPr>
      </w:pPr>
      <w:r>
        <w:rPr>
          <w:rStyle w:val="FootnoteReference"/>
        </w:rPr>
        <w:footnoteRef/>
      </w:r>
      <w:r>
        <w:t xml:space="preserve"> </w:t>
      </w:r>
      <w:proofErr w:type="gramStart"/>
      <w:r>
        <w:rPr>
          <w:i/>
        </w:rPr>
        <w:t xml:space="preserve">British Steel </w:t>
      </w:r>
      <w:proofErr w:type="spellStart"/>
      <w:r>
        <w:rPr>
          <w:i/>
        </w:rPr>
        <w:t>plc</w:t>
      </w:r>
      <w:proofErr w:type="spellEnd"/>
      <w:r>
        <w:rPr>
          <w:i/>
        </w:rPr>
        <w:t xml:space="preserve"> v Customs and Excise Commissioners</w:t>
      </w:r>
      <w:r>
        <w:t xml:space="preserve"> [1997] 2 All ER 366 (CA).</w:t>
      </w:r>
      <w:proofErr w:type="gramEnd"/>
    </w:p>
  </w:footnote>
  <w:footnote w:id="30">
    <w:p w14:paraId="746A9F11" w14:textId="77777777" w:rsidR="009C483B" w:rsidRPr="000F54BD" w:rsidRDefault="009C483B">
      <w:pPr>
        <w:pStyle w:val="FootnoteText"/>
        <w:rPr>
          <w:lang w:val="en-US"/>
        </w:rPr>
      </w:pPr>
      <w:r>
        <w:rPr>
          <w:rStyle w:val="FootnoteReference"/>
        </w:rPr>
        <w:footnoteRef/>
      </w:r>
      <w:r>
        <w:t xml:space="preserve"> </w:t>
      </w:r>
      <w:r>
        <w:rPr>
          <w:i/>
        </w:rPr>
        <w:t>Jones v Powys Local Health Board</w:t>
      </w:r>
      <w:r>
        <w:t xml:space="preserve"> [2008] EWHC 2562 (Admin).</w:t>
      </w:r>
    </w:p>
  </w:footnote>
  <w:footnote w:id="31">
    <w:p w14:paraId="396556CC" w14:textId="77777777" w:rsidR="009C483B" w:rsidRPr="003B6133" w:rsidRDefault="009C483B">
      <w:pPr>
        <w:pStyle w:val="FootnoteText"/>
        <w:rPr>
          <w:lang w:val="en-US"/>
        </w:rPr>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_Ref275455949 \h </w:instrText>
      </w:r>
      <w:r>
        <w:rPr>
          <w:lang w:val="en-US"/>
        </w:rPr>
      </w:r>
      <w:r>
        <w:rPr>
          <w:lang w:val="en-US"/>
        </w:rPr>
        <w:fldChar w:fldCharType="separate"/>
      </w:r>
      <w:r>
        <w:rPr>
          <w:lang w:val="en-US"/>
        </w:rPr>
        <w:t>6</w:t>
      </w:r>
      <w:r>
        <w:rPr>
          <w:lang w:val="en-US"/>
        </w:rPr>
        <w:fldChar w:fldCharType="end"/>
      </w:r>
      <w:r>
        <w:rPr>
          <w:lang w:val="en-US"/>
        </w:rPr>
        <w:t>.</w:t>
      </w:r>
      <w:proofErr w:type="gramEnd"/>
    </w:p>
  </w:footnote>
  <w:footnote w:id="32">
    <w:p w14:paraId="7FBFA141" w14:textId="77777777" w:rsidR="009C483B" w:rsidRPr="000F0415" w:rsidRDefault="009C483B">
      <w:pPr>
        <w:pStyle w:val="FootnoteText"/>
        <w:rPr>
          <w:lang w:val="en-US"/>
        </w:rPr>
      </w:pPr>
      <w:r>
        <w:rPr>
          <w:rStyle w:val="FootnoteReference"/>
        </w:rPr>
        <w:footnoteRef/>
      </w:r>
      <w:r>
        <w:t xml:space="preserve"> </w:t>
      </w:r>
      <w:proofErr w:type="gramStart"/>
      <w:r>
        <w:rPr>
          <w:i/>
        </w:rPr>
        <w:t>Hemming (Trading as Simply Pleasure Ltd) v Westminster City Council</w:t>
      </w:r>
      <w:r w:rsidRPr="000F0415">
        <w:rPr>
          <w:rFonts w:eastAsiaTheme="minorHAnsi"/>
        </w:rPr>
        <w:t xml:space="preserve"> [2013] EWCA </w:t>
      </w:r>
      <w:proofErr w:type="spellStart"/>
      <w:r w:rsidRPr="000F0415">
        <w:rPr>
          <w:rFonts w:eastAsiaTheme="minorHAnsi"/>
        </w:rPr>
        <w:t>Civ</w:t>
      </w:r>
      <w:proofErr w:type="spellEnd"/>
      <w:r w:rsidRPr="000F0415">
        <w:rPr>
          <w:rFonts w:eastAsiaTheme="minorHAnsi"/>
        </w:rPr>
        <w:t xml:space="preserve"> 591</w:t>
      </w:r>
      <w:r>
        <w:rPr>
          <w:rFonts w:eastAsiaTheme="minorHAnsi"/>
        </w:rPr>
        <w:t>.</w:t>
      </w:r>
      <w:proofErr w:type="gramEnd"/>
    </w:p>
  </w:footnote>
  <w:footnote w:id="33">
    <w:p w14:paraId="759A2FF3" w14:textId="77777777" w:rsidR="009C483B" w:rsidRPr="0052552A" w:rsidRDefault="009C483B" w:rsidP="0052552A">
      <w:pPr>
        <w:spacing w:before="0" w:after="0" w:line="276" w:lineRule="auto"/>
        <w:rPr>
          <w:sz w:val="20"/>
          <w:szCs w:val="20"/>
        </w:rPr>
      </w:pPr>
      <w:r w:rsidRPr="0052552A">
        <w:rPr>
          <w:rStyle w:val="FootnoteReference"/>
          <w:sz w:val="20"/>
          <w:szCs w:val="20"/>
        </w:rPr>
        <w:footnoteRef/>
      </w:r>
      <w:r w:rsidRPr="0052552A">
        <w:rPr>
          <w:sz w:val="20"/>
          <w:szCs w:val="20"/>
        </w:rPr>
        <w:t xml:space="preserve"> Ibid at [138] citing </w:t>
      </w:r>
      <w:r>
        <w:rPr>
          <w:sz w:val="20"/>
          <w:szCs w:val="20"/>
        </w:rPr>
        <w:t>‘</w:t>
      </w:r>
      <w:r w:rsidRPr="0052552A">
        <w:rPr>
          <w:rFonts w:eastAsiaTheme="minorHAnsi"/>
          <w:sz w:val="20"/>
          <w:szCs w:val="20"/>
        </w:rPr>
        <w:t xml:space="preserve">the discussion and the decisions cited in Williams, </w:t>
      </w:r>
      <w:r w:rsidRPr="0052552A">
        <w:rPr>
          <w:rFonts w:eastAsiaTheme="minorHAnsi"/>
          <w:i/>
          <w:sz w:val="20"/>
          <w:szCs w:val="20"/>
        </w:rPr>
        <w:t>Unjust Enrichment and Public Law</w:t>
      </w:r>
      <w:r w:rsidRPr="0052552A">
        <w:rPr>
          <w:rFonts w:eastAsiaTheme="minorHAnsi"/>
          <w:sz w:val="20"/>
          <w:szCs w:val="20"/>
        </w:rPr>
        <w:t xml:space="preserve"> (2010) </w:t>
      </w:r>
      <w:r>
        <w:rPr>
          <w:rFonts w:eastAsiaTheme="minorHAnsi"/>
          <w:sz w:val="20"/>
          <w:szCs w:val="20"/>
        </w:rPr>
        <w:t xml:space="preserve">[above n </w:t>
      </w:r>
      <w:r>
        <w:rPr>
          <w:rFonts w:eastAsiaTheme="minorHAnsi"/>
          <w:sz w:val="20"/>
          <w:szCs w:val="20"/>
        </w:rPr>
        <w:fldChar w:fldCharType="begin"/>
      </w:r>
      <w:r>
        <w:rPr>
          <w:rFonts w:eastAsiaTheme="minorHAnsi"/>
          <w:sz w:val="20"/>
          <w:szCs w:val="20"/>
        </w:rPr>
        <w:instrText xml:space="preserve"> NOTEREF _Ref275433585 \h </w:instrText>
      </w:r>
      <w:r>
        <w:rPr>
          <w:rFonts w:eastAsiaTheme="minorHAnsi"/>
          <w:sz w:val="20"/>
          <w:szCs w:val="20"/>
        </w:rPr>
      </w:r>
      <w:r>
        <w:rPr>
          <w:rFonts w:eastAsiaTheme="minorHAnsi"/>
          <w:sz w:val="20"/>
          <w:szCs w:val="20"/>
        </w:rPr>
        <w:fldChar w:fldCharType="separate"/>
      </w:r>
      <w:r>
        <w:rPr>
          <w:rFonts w:eastAsiaTheme="minorHAnsi"/>
          <w:sz w:val="20"/>
          <w:szCs w:val="20"/>
        </w:rPr>
        <w:t>1</w:t>
      </w:r>
      <w:r>
        <w:rPr>
          <w:rFonts w:eastAsiaTheme="minorHAnsi"/>
          <w:sz w:val="20"/>
          <w:szCs w:val="20"/>
        </w:rPr>
        <w:fldChar w:fldCharType="end"/>
      </w:r>
      <w:r>
        <w:rPr>
          <w:rFonts w:eastAsiaTheme="minorHAnsi"/>
          <w:sz w:val="20"/>
          <w:szCs w:val="20"/>
        </w:rPr>
        <w:t xml:space="preserve">] </w:t>
      </w:r>
      <w:r w:rsidRPr="0052552A">
        <w:rPr>
          <w:rFonts w:eastAsiaTheme="minorHAnsi"/>
          <w:sz w:val="20"/>
          <w:szCs w:val="20"/>
        </w:rPr>
        <w:t xml:space="preserve">49–52, and Burrows, </w:t>
      </w:r>
      <w:r w:rsidRPr="0052552A">
        <w:rPr>
          <w:rFonts w:eastAsiaTheme="minorHAnsi"/>
          <w:i/>
          <w:sz w:val="20"/>
          <w:szCs w:val="20"/>
        </w:rPr>
        <w:t>A Restatement of the English Law of Unjust Enrichment</w:t>
      </w:r>
      <w:r w:rsidRPr="0052552A">
        <w:rPr>
          <w:rFonts w:eastAsiaTheme="minorHAnsi"/>
          <w:sz w:val="20"/>
          <w:szCs w:val="20"/>
        </w:rPr>
        <w:t xml:space="preserve"> (2012), §21(4) and the commentary at 113.</w:t>
      </w:r>
      <w:r>
        <w:rPr>
          <w:rFonts w:eastAsiaTheme="minorHAnsi"/>
          <w:sz w:val="20"/>
          <w:szCs w:val="20"/>
        </w:rPr>
        <w:t xml:space="preserve"> </w:t>
      </w:r>
    </w:p>
    <w:p w14:paraId="372E6880" w14:textId="77777777" w:rsidR="009C483B" w:rsidRPr="000F0415" w:rsidRDefault="009C483B">
      <w:pPr>
        <w:pStyle w:val="FootnoteText"/>
        <w:rPr>
          <w:lang w:val="en-US"/>
        </w:rPr>
      </w:pPr>
    </w:p>
  </w:footnote>
  <w:footnote w:id="34">
    <w:p w14:paraId="0A6BCDA5" w14:textId="77777777" w:rsidR="009C483B" w:rsidRPr="00E1197E" w:rsidRDefault="009C483B">
      <w:pPr>
        <w:pStyle w:val="FootnoteText"/>
        <w:rPr>
          <w:lang w:val="en-US"/>
        </w:rPr>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_Ref275454546 \h </w:instrText>
      </w:r>
      <w:r>
        <w:rPr>
          <w:lang w:val="en-US"/>
        </w:rPr>
      </w:r>
      <w:r>
        <w:rPr>
          <w:lang w:val="en-US"/>
        </w:rPr>
        <w:fldChar w:fldCharType="separate"/>
      </w:r>
      <w:r>
        <w:rPr>
          <w:lang w:val="en-US"/>
        </w:rPr>
        <w:t>4</w:t>
      </w:r>
      <w:r>
        <w:rPr>
          <w:lang w:val="en-US"/>
        </w:rPr>
        <w:fldChar w:fldCharType="end"/>
      </w:r>
      <w:r>
        <w:rPr>
          <w:lang w:val="en-US"/>
        </w:rPr>
        <w:t>.</w:t>
      </w:r>
      <w:proofErr w:type="gramEnd"/>
    </w:p>
  </w:footnote>
  <w:footnote w:id="35">
    <w:p w14:paraId="64BCEFEE" w14:textId="77777777" w:rsidR="009C483B" w:rsidRPr="00E1197E" w:rsidRDefault="009C483B">
      <w:pPr>
        <w:pStyle w:val="FootnoteText"/>
        <w:rPr>
          <w:lang w:val="en-US"/>
        </w:rPr>
      </w:pPr>
      <w:r>
        <w:rPr>
          <w:rStyle w:val="FootnoteReference"/>
        </w:rPr>
        <w:footnoteRef/>
      </w:r>
      <w:r>
        <w:t xml:space="preserve"> </w:t>
      </w:r>
      <w:proofErr w:type="gramStart"/>
      <w:r>
        <w:rPr>
          <w:lang w:val="en-US"/>
        </w:rPr>
        <w:t xml:space="preserve">See further above n </w:t>
      </w:r>
      <w:r>
        <w:rPr>
          <w:lang w:val="en-US"/>
        </w:rPr>
        <w:fldChar w:fldCharType="begin"/>
      </w:r>
      <w:r>
        <w:rPr>
          <w:lang w:val="en-US"/>
        </w:rPr>
        <w:instrText xml:space="preserve"> NOTEREF _Ref275433585 \h </w:instrText>
      </w:r>
      <w:r>
        <w:rPr>
          <w:lang w:val="en-US"/>
        </w:rPr>
      </w:r>
      <w:r>
        <w:rPr>
          <w:lang w:val="en-US"/>
        </w:rPr>
        <w:fldChar w:fldCharType="separate"/>
      </w:r>
      <w:r>
        <w:rPr>
          <w:lang w:val="en-US"/>
        </w:rPr>
        <w:t>1</w:t>
      </w:r>
      <w:r>
        <w:rPr>
          <w:lang w:val="en-US"/>
        </w:rPr>
        <w:fldChar w:fldCharType="end"/>
      </w:r>
      <w:r>
        <w:rPr>
          <w:lang w:val="en-US"/>
        </w:rPr>
        <w:t xml:space="preserve"> at 31-35.</w:t>
      </w:r>
      <w:proofErr w:type="gramEnd"/>
    </w:p>
  </w:footnote>
  <w:footnote w:id="36">
    <w:p w14:paraId="3F4D781E" w14:textId="77777777" w:rsidR="009C483B" w:rsidRPr="003B6133" w:rsidRDefault="009C483B">
      <w:pPr>
        <w:pStyle w:val="FootnoteText"/>
        <w:rPr>
          <w:lang w:val="en-US"/>
        </w:rPr>
      </w:pPr>
      <w:r>
        <w:rPr>
          <w:rStyle w:val="FootnoteReference"/>
        </w:rPr>
        <w:footnoteRef/>
      </w:r>
      <w:r>
        <w:rPr>
          <w:rStyle w:val="FootnoteReference"/>
        </w:rPr>
        <w:footnoteRef/>
      </w:r>
      <w:r>
        <w:t xml:space="preserve"> </w:t>
      </w:r>
      <w:proofErr w:type="gramStart"/>
      <w:r>
        <w:t>Case 33/76</w:t>
      </w:r>
      <w:proofErr w:type="gramEnd"/>
      <w:r>
        <w:t xml:space="preserve"> </w:t>
      </w:r>
      <w:proofErr w:type="spellStart"/>
      <w:r>
        <w:rPr>
          <w:i/>
        </w:rPr>
        <w:t>Rewe-Zentralfinanz</w:t>
      </w:r>
      <w:proofErr w:type="spellEnd"/>
      <w:r>
        <w:rPr>
          <w:i/>
        </w:rPr>
        <w:t xml:space="preserve"> GmbH v </w:t>
      </w:r>
      <w:proofErr w:type="spellStart"/>
      <w:r>
        <w:rPr>
          <w:i/>
        </w:rPr>
        <w:t>Landwirtschaftskammer</w:t>
      </w:r>
      <w:proofErr w:type="spellEnd"/>
      <w:r>
        <w:rPr>
          <w:i/>
        </w:rPr>
        <w:t xml:space="preserve"> </w:t>
      </w:r>
      <w:proofErr w:type="spellStart"/>
      <w:r>
        <w:rPr>
          <w:i/>
        </w:rPr>
        <w:t>für</w:t>
      </w:r>
      <w:proofErr w:type="spellEnd"/>
      <w:r>
        <w:rPr>
          <w:i/>
        </w:rPr>
        <w:t xml:space="preserve"> das Saarland</w:t>
      </w:r>
      <w:r>
        <w:t xml:space="preserve"> [1976] ECR 1989 (</w:t>
      </w:r>
      <w:proofErr w:type="spellStart"/>
      <w:r>
        <w:rPr>
          <w:i/>
        </w:rPr>
        <w:t>Rewe</w:t>
      </w:r>
      <w:proofErr w:type="spellEnd"/>
      <w:r>
        <w:rPr>
          <w:i/>
        </w:rPr>
        <w:t xml:space="preserve"> I)</w:t>
      </w:r>
      <w:r>
        <w:t>).</w:t>
      </w:r>
    </w:p>
  </w:footnote>
  <w:footnote w:id="37">
    <w:p w14:paraId="1A05FE01" w14:textId="77777777" w:rsidR="009C483B" w:rsidRPr="003B6133" w:rsidRDefault="009C483B">
      <w:pPr>
        <w:pStyle w:val="FootnoteText"/>
      </w:pPr>
      <w:r>
        <w:rPr>
          <w:rStyle w:val="FootnoteReference"/>
        </w:rPr>
        <w:footnoteRef/>
      </w:r>
      <w:r>
        <w:t xml:space="preserve"> </w:t>
      </w:r>
      <w:proofErr w:type="spellStart"/>
      <w:r>
        <w:rPr>
          <w:i/>
        </w:rPr>
        <w:t>Edilizia</w:t>
      </w:r>
      <w:proofErr w:type="spellEnd"/>
      <w:r>
        <w:rPr>
          <w:i/>
        </w:rPr>
        <w:t xml:space="preserve"> </w:t>
      </w:r>
      <w:proofErr w:type="spellStart"/>
      <w:r>
        <w:rPr>
          <w:i/>
        </w:rPr>
        <w:t>Indistriale</w:t>
      </w:r>
      <w:proofErr w:type="spellEnd"/>
      <w:r>
        <w:rPr>
          <w:i/>
        </w:rPr>
        <w:t xml:space="preserve"> </w:t>
      </w:r>
      <w:proofErr w:type="spellStart"/>
      <w:r>
        <w:rPr>
          <w:i/>
        </w:rPr>
        <w:t>Siderurgica</w:t>
      </w:r>
      <w:proofErr w:type="spellEnd"/>
      <w:r>
        <w:rPr>
          <w:i/>
        </w:rPr>
        <w:t xml:space="preserve"> </w:t>
      </w:r>
      <w:proofErr w:type="spellStart"/>
      <w:r>
        <w:rPr>
          <w:i/>
        </w:rPr>
        <w:t>Srl</w:t>
      </w:r>
      <w:proofErr w:type="spellEnd"/>
      <w:r>
        <w:rPr>
          <w:i/>
        </w:rPr>
        <w:t xml:space="preserve"> (</w:t>
      </w:r>
      <w:proofErr w:type="spellStart"/>
      <w:r>
        <w:rPr>
          <w:i/>
        </w:rPr>
        <w:t>Edis</w:t>
      </w:r>
      <w:proofErr w:type="spellEnd"/>
      <w:r>
        <w:rPr>
          <w:i/>
        </w:rPr>
        <w:t xml:space="preserve">) v </w:t>
      </w:r>
      <w:proofErr w:type="spellStart"/>
      <w:r>
        <w:rPr>
          <w:i/>
        </w:rPr>
        <w:t>Ministero</w:t>
      </w:r>
      <w:proofErr w:type="spellEnd"/>
      <w:r>
        <w:rPr>
          <w:i/>
        </w:rPr>
        <w:t xml:space="preserve"> </w:t>
      </w:r>
      <w:proofErr w:type="spellStart"/>
      <w:r>
        <w:rPr>
          <w:i/>
        </w:rPr>
        <w:t>delle</w:t>
      </w:r>
      <w:proofErr w:type="spellEnd"/>
      <w:r>
        <w:rPr>
          <w:i/>
        </w:rPr>
        <w:t xml:space="preserve"> </w:t>
      </w:r>
      <w:proofErr w:type="spellStart"/>
      <w:r>
        <w:rPr>
          <w:i/>
        </w:rPr>
        <w:t>Finanze</w:t>
      </w:r>
      <w:proofErr w:type="spellEnd"/>
      <w:r>
        <w:t xml:space="preserve"> [1998] ECR I-4951.</w:t>
      </w:r>
    </w:p>
  </w:footnote>
  <w:footnote w:id="38">
    <w:p w14:paraId="72EE1D70" w14:textId="77777777" w:rsidR="009C483B" w:rsidRPr="003B6133" w:rsidRDefault="009C483B">
      <w:pPr>
        <w:pStyle w:val="FootnoteText"/>
      </w:pPr>
      <w:r>
        <w:rPr>
          <w:rStyle w:val="FootnoteReference"/>
        </w:rPr>
        <w:footnoteRef/>
      </w:r>
      <w:r>
        <w:t xml:space="preserve"> </w:t>
      </w:r>
      <w:r>
        <w:rPr>
          <w:i/>
        </w:rPr>
        <w:t xml:space="preserve">Littlewoods Retail Ltd v HM Revenue &amp; Customs </w:t>
      </w:r>
      <w:r>
        <w:t xml:space="preserve"> [2010] EWHC 1071 (</w:t>
      </w:r>
      <w:proofErr w:type="spellStart"/>
      <w:r>
        <w:t>Ch</w:t>
      </w:r>
      <w:proofErr w:type="spellEnd"/>
      <w:r>
        <w:t>).</w:t>
      </w:r>
    </w:p>
  </w:footnote>
  <w:footnote w:id="39">
    <w:p w14:paraId="33EC50EB" w14:textId="77777777" w:rsidR="009C483B" w:rsidRPr="003B6133" w:rsidRDefault="009C483B" w:rsidP="003B6133">
      <w:pPr>
        <w:pStyle w:val="FootnoteText"/>
        <w:rPr>
          <w:lang w:val="en-US"/>
        </w:rPr>
      </w:pPr>
      <w:r>
        <w:rPr>
          <w:rStyle w:val="FootnoteReference"/>
        </w:rPr>
        <w:footnoteRef/>
      </w:r>
      <w:r>
        <w:t xml:space="preserve"> </w:t>
      </w:r>
      <w:proofErr w:type="gramStart"/>
      <w:r w:rsidRPr="003B6133">
        <w:rPr>
          <w:lang w:val="en-US"/>
        </w:rPr>
        <w:t xml:space="preserve">Above n </w:t>
      </w:r>
      <w:r w:rsidRPr="003B6133">
        <w:rPr>
          <w:lang w:val="en-US"/>
        </w:rPr>
        <w:fldChar w:fldCharType="begin"/>
      </w:r>
      <w:r w:rsidRPr="003B6133">
        <w:rPr>
          <w:lang w:val="en-US"/>
        </w:rPr>
        <w:instrText xml:space="preserve"> NOTEREF _Ref275433414 \h </w:instrText>
      </w:r>
      <w:r w:rsidRPr="003B6133">
        <w:rPr>
          <w:lang w:val="en-US"/>
        </w:rPr>
      </w:r>
      <w:r w:rsidRPr="003B6133">
        <w:rPr>
          <w:lang w:val="en-US"/>
        </w:rPr>
        <w:fldChar w:fldCharType="separate"/>
      </w:r>
      <w:r w:rsidRPr="003B6133">
        <w:rPr>
          <w:lang w:val="en-US"/>
        </w:rPr>
        <w:t>3</w:t>
      </w:r>
      <w:r w:rsidRPr="003B6133">
        <w:rPr>
          <w:lang w:val="en-US"/>
        </w:rPr>
        <w:fldChar w:fldCharType="end"/>
      </w:r>
      <w:r w:rsidRPr="003B6133">
        <w:rPr>
          <w:lang w:val="en-US"/>
        </w:rPr>
        <w:t>.</w:t>
      </w:r>
      <w:proofErr w:type="gramEnd"/>
    </w:p>
  </w:footnote>
  <w:footnote w:id="40">
    <w:p w14:paraId="0BE90B56" w14:textId="77777777" w:rsidR="009C483B" w:rsidRPr="003B6133" w:rsidRDefault="009C483B" w:rsidP="003B6133">
      <w:pPr>
        <w:spacing w:before="0" w:after="0" w:line="240" w:lineRule="auto"/>
        <w:rPr>
          <w:sz w:val="20"/>
          <w:szCs w:val="20"/>
        </w:rPr>
      </w:pPr>
      <w:r w:rsidRPr="003B6133">
        <w:rPr>
          <w:rStyle w:val="FootnoteReference"/>
          <w:sz w:val="20"/>
          <w:szCs w:val="20"/>
        </w:rPr>
        <w:footnoteRef/>
      </w:r>
      <w:r w:rsidRPr="003B6133">
        <w:rPr>
          <w:sz w:val="20"/>
          <w:szCs w:val="20"/>
        </w:rPr>
        <w:t xml:space="preserve"> </w:t>
      </w:r>
      <w:proofErr w:type="gramStart"/>
      <w:r w:rsidRPr="003B6133">
        <w:rPr>
          <w:i/>
          <w:sz w:val="20"/>
          <w:szCs w:val="20"/>
        </w:rPr>
        <w:t xml:space="preserve">Investment Trust Companies (in </w:t>
      </w:r>
      <w:proofErr w:type="spellStart"/>
      <w:r w:rsidRPr="003B6133">
        <w:rPr>
          <w:i/>
          <w:sz w:val="20"/>
          <w:szCs w:val="20"/>
        </w:rPr>
        <w:t>liq</w:t>
      </w:r>
      <w:proofErr w:type="spellEnd"/>
      <w:r w:rsidRPr="003B6133">
        <w:rPr>
          <w:i/>
          <w:sz w:val="20"/>
          <w:szCs w:val="20"/>
        </w:rPr>
        <w:t>) v HM Revenue &amp; Customs</w:t>
      </w:r>
      <w:r w:rsidRPr="003B6133">
        <w:rPr>
          <w:sz w:val="20"/>
          <w:szCs w:val="20"/>
        </w:rPr>
        <w:t xml:space="preserve"> [2012] EWHC 458 (</w:t>
      </w:r>
      <w:proofErr w:type="spellStart"/>
      <w:r w:rsidRPr="003B6133">
        <w:rPr>
          <w:sz w:val="20"/>
          <w:szCs w:val="20"/>
        </w:rPr>
        <w:t>Ch</w:t>
      </w:r>
      <w:proofErr w:type="spellEnd"/>
      <w:r w:rsidRPr="003B6133">
        <w:rPr>
          <w:sz w:val="20"/>
          <w:szCs w:val="20"/>
        </w:rPr>
        <w:t>).</w:t>
      </w:r>
      <w:proofErr w:type="gramEnd"/>
    </w:p>
    <w:p w14:paraId="06648C0E" w14:textId="77777777" w:rsidR="009C483B" w:rsidRPr="003B6133" w:rsidRDefault="009C483B">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84680"/>
      <w:docPartObj>
        <w:docPartGallery w:val="Page Numbers (Top of Page)"/>
        <w:docPartUnique/>
      </w:docPartObj>
    </w:sdtPr>
    <w:sdtEndPr>
      <w:rPr>
        <w:noProof/>
      </w:rPr>
    </w:sdtEndPr>
    <w:sdtContent>
      <w:p w14:paraId="7E2004B2" w14:textId="77777777" w:rsidR="009C483B" w:rsidRDefault="009C483B">
        <w:pPr>
          <w:pStyle w:val="Header"/>
          <w:jc w:val="right"/>
        </w:pPr>
        <w:r>
          <w:fldChar w:fldCharType="begin"/>
        </w:r>
        <w:r>
          <w:instrText xml:space="preserve"> PAGE   \* MERGEFORMAT </w:instrText>
        </w:r>
        <w:r>
          <w:fldChar w:fldCharType="separate"/>
        </w:r>
        <w:r w:rsidR="003C77DE">
          <w:rPr>
            <w:noProof/>
          </w:rPr>
          <w:t>7</w:t>
        </w:r>
        <w:r>
          <w:rPr>
            <w:noProof/>
          </w:rPr>
          <w:fldChar w:fldCharType="end"/>
        </w:r>
      </w:p>
    </w:sdtContent>
  </w:sdt>
  <w:p w14:paraId="2D611ACC" w14:textId="77777777" w:rsidR="009C483B" w:rsidRDefault="009C48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994"/>
    <w:multiLevelType w:val="hybridMultilevel"/>
    <w:tmpl w:val="5D16921E"/>
    <w:lvl w:ilvl="0" w:tplc="C64A77DA">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0D"/>
    <w:rsid w:val="000133BD"/>
    <w:rsid w:val="000F0415"/>
    <w:rsid w:val="000F54BD"/>
    <w:rsid w:val="00153E23"/>
    <w:rsid w:val="00163264"/>
    <w:rsid w:val="00176A81"/>
    <w:rsid w:val="001A5651"/>
    <w:rsid w:val="001C3005"/>
    <w:rsid w:val="0021265B"/>
    <w:rsid w:val="0025141B"/>
    <w:rsid w:val="003424C8"/>
    <w:rsid w:val="003A5B35"/>
    <w:rsid w:val="003B6133"/>
    <w:rsid w:val="003C77DE"/>
    <w:rsid w:val="004A1BDB"/>
    <w:rsid w:val="004D0AE1"/>
    <w:rsid w:val="00500C8A"/>
    <w:rsid w:val="0052552A"/>
    <w:rsid w:val="0054474E"/>
    <w:rsid w:val="005813B2"/>
    <w:rsid w:val="0064125D"/>
    <w:rsid w:val="0069078C"/>
    <w:rsid w:val="006F6B05"/>
    <w:rsid w:val="00716D3D"/>
    <w:rsid w:val="0078031E"/>
    <w:rsid w:val="007D5FC7"/>
    <w:rsid w:val="00855279"/>
    <w:rsid w:val="0095207C"/>
    <w:rsid w:val="00963759"/>
    <w:rsid w:val="009C483B"/>
    <w:rsid w:val="009E02E8"/>
    <w:rsid w:val="009F00DC"/>
    <w:rsid w:val="009F74EE"/>
    <w:rsid w:val="00A204C8"/>
    <w:rsid w:val="00A3269D"/>
    <w:rsid w:val="00AC2C1C"/>
    <w:rsid w:val="00B776EF"/>
    <w:rsid w:val="00BE3E0D"/>
    <w:rsid w:val="00C505C5"/>
    <w:rsid w:val="00CD0936"/>
    <w:rsid w:val="00CD13B2"/>
    <w:rsid w:val="00D564A1"/>
    <w:rsid w:val="00DB0031"/>
    <w:rsid w:val="00E00095"/>
    <w:rsid w:val="00E1197E"/>
    <w:rsid w:val="00E15914"/>
    <w:rsid w:val="00E30C81"/>
    <w:rsid w:val="00E45408"/>
    <w:rsid w:val="00EB77CD"/>
    <w:rsid w:val="00EB78AC"/>
    <w:rsid w:val="00F4786F"/>
    <w:rsid w:val="00F65E50"/>
    <w:rsid w:val="00F86DC3"/>
    <w:rsid w:val="00FA5889"/>
    <w:rsid w:val="00FB4F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A3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0D"/>
    <w:pPr>
      <w:spacing w:before="120" w:after="120" w:line="36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5207C"/>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5207C"/>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A5889"/>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FA5889"/>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FA5889"/>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7C"/>
    <w:rPr>
      <w:rFonts w:eastAsiaTheme="majorEastAsia" w:cstheme="majorBidi"/>
      <w:b/>
      <w:bCs/>
      <w:sz w:val="28"/>
      <w:szCs w:val="28"/>
    </w:rPr>
  </w:style>
  <w:style w:type="character" w:customStyle="1" w:styleId="Heading2Char">
    <w:name w:val="Heading 2 Char"/>
    <w:basedOn w:val="DefaultParagraphFont"/>
    <w:link w:val="Heading2"/>
    <w:uiPriority w:val="9"/>
    <w:rsid w:val="0095207C"/>
    <w:rPr>
      <w:rFonts w:eastAsiaTheme="majorEastAsia" w:cstheme="majorBidi"/>
      <w:b/>
      <w:bCs/>
      <w:sz w:val="26"/>
      <w:szCs w:val="26"/>
    </w:rPr>
  </w:style>
  <w:style w:type="paragraph" w:styleId="Title">
    <w:name w:val="Title"/>
    <w:basedOn w:val="Normal"/>
    <w:next w:val="Normal"/>
    <w:link w:val="TitleChar"/>
    <w:uiPriority w:val="10"/>
    <w:qFormat/>
    <w:rsid w:val="0095207C"/>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5207C"/>
    <w:rPr>
      <w:rFonts w:eastAsiaTheme="majorEastAsia" w:cstheme="majorBidi"/>
      <w:spacing w:val="5"/>
      <w:kern w:val="28"/>
      <w:sz w:val="52"/>
      <w:szCs w:val="52"/>
    </w:rPr>
  </w:style>
  <w:style w:type="paragraph" w:styleId="NoSpacing">
    <w:name w:val="No Spacing"/>
    <w:uiPriority w:val="1"/>
    <w:qFormat/>
    <w:rsid w:val="0095207C"/>
    <w:pPr>
      <w:spacing w:after="0" w:line="240" w:lineRule="auto"/>
    </w:pPr>
  </w:style>
  <w:style w:type="character" w:customStyle="1" w:styleId="Heading3Char">
    <w:name w:val="Heading 3 Char"/>
    <w:basedOn w:val="DefaultParagraphFont"/>
    <w:link w:val="Heading3"/>
    <w:uiPriority w:val="9"/>
    <w:rsid w:val="00FA5889"/>
    <w:rPr>
      <w:rFonts w:eastAsiaTheme="majorEastAsia" w:cstheme="majorBidi"/>
      <w:b/>
      <w:bCs/>
    </w:rPr>
  </w:style>
  <w:style w:type="character" w:customStyle="1" w:styleId="Heading4Char">
    <w:name w:val="Heading 4 Char"/>
    <w:basedOn w:val="DefaultParagraphFont"/>
    <w:link w:val="Heading4"/>
    <w:uiPriority w:val="9"/>
    <w:rsid w:val="00FA5889"/>
    <w:rPr>
      <w:rFonts w:eastAsiaTheme="majorEastAsia" w:cstheme="majorBidi"/>
      <w:b/>
      <w:bCs/>
      <w:i/>
      <w:iCs/>
    </w:rPr>
  </w:style>
  <w:style w:type="character" w:customStyle="1" w:styleId="Heading5Char">
    <w:name w:val="Heading 5 Char"/>
    <w:basedOn w:val="DefaultParagraphFont"/>
    <w:link w:val="Heading5"/>
    <w:uiPriority w:val="9"/>
    <w:rsid w:val="00FA5889"/>
    <w:rPr>
      <w:rFonts w:eastAsiaTheme="majorEastAsia" w:cstheme="majorBidi"/>
      <w:color w:val="243F60" w:themeColor="accent1" w:themeShade="7F"/>
    </w:rPr>
  </w:style>
  <w:style w:type="paragraph" w:styleId="Header">
    <w:name w:val="header"/>
    <w:basedOn w:val="Normal"/>
    <w:link w:val="HeaderChar"/>
    <w:uiPriority w:val="99"/>
    <w:unhideWhenUsed/>
    <w:rsid w:val="00CD09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093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09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0936"/>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D0936"/>
    <w:pPr>
      <w:spacing w:before="0" w:after="0" w:line="240" w:lineRule="auto"/>
      <w:jc w:val="left"/>
    </w:pPr>
    <w:rPr>
      <w:sz w:val="20"/>
      <w:szCs w:val="20"/>
      <w:lang w:val="en-GB" w:eastAsia="en-GB"/>
    </w:rPr>
  </w:style>
  <w:style w:type="character" w:customStyle="1" w:styleId="FootnoteTextChar">
    <w:name w:val="Footnote Text Char"/>
    <w:basedOn w:val="DefaultParagraphFont"/>
    <w:link w:val="FootnoteText"/>
    <w:semiHidden/>
    <w:rsid w:val="00CD0936"/>
    <w:rPr>
      <w:rFonts w:ascii="Times New Roman" w:eastAsia="Times New Roman" w:hAnsi="Times New Roman" w:cs="Times New Roman"/>
      <w:sz w:val="20"/>
      <w:szCs w:val="20"/>
      <w:lang w:eastAsia="en-GB"/>
    </w:rPr>
  </w:style>
  <w:style w:type="character" w:styleId="FootnoteReference">
    <w:name w:val="footnote reference"/>
    <w:semiHidden/>
    <w:rsid w:val="00CD0936"/>
    <w:rPr>
      <w:vertAlign w:val="superscript"/>
    </w:rPr>
  </w:style>
  <w:style w:type="paragraph" w:styleId="EndnoteText">
    <w:name w:val="endnote text"/>
    <w:basedOn w:val="Normal"/>
    <w:link w:val="EndnoteTextChar"/>
    <w:uiPriority w:val="99"/>
    <w:unhideWhenUsed/>
    <w:rsid w:val="00500C8A"/>
    <w:pPr>
      <w:spacing w:before="0" w:after="0" w:line="240" w:lineRule="auto"/>
    </w:pPr>
  </w:style>
  <w:style w:type="character" w:customStyle="1" w:styleId="EndnoteTextChar">
    <w:name w:val="Endnote Text Char"/>
    <w:basedOn w:val="DefaultParagraphFont"/>
    <w:link w:val="EndnoteText"/>
    <w:uiPriority w:val="99"/>
    <w:rsid w:val="00500C8A"/>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unhideWhenUsed/>
    <w:rsid w:val="00500C8A"/>
    <w:rPr>
      <w:vertAlign w:val="superscript"/>
    </w:rPr>
  </w:style>
  <w:style w:type="paragraph" w:styleId="Revision">
    <w:name w:val="Revision"/>
    <w:hidden/>
    <w:uiPriority w:val="99"/>
    <w:semiHidden/>
    <w:rsid w:val="004D0AE1"/>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D0AE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AE1"/>
    <w:rPr>
      <w:rFonts w:ascii="Lucida Grande" w:eastAsia="Times New Roman" w:hAnsi="Lucida Grande" w:cs="Lucida Grande"/>
      <w:sz w:val="18"/>
      <w:szCs w:val="18"/>
      <w:lang w:val="en-US"/>
    </w:rPr>
  </w:style>
  <w:style w:type="paragraph" w:styleId="ListParagraph">
    <w:name w:val="List Paragraph"/>
    <w:basedOn w:val="Normal"/>
    <w:uiPriority w:val="34"/>
    <w:qFormat/>
    <w:rsid w:val="003B6133"/>
    <w:pPr>
      <w:spacing w:before="0" w:after="200" w:line="276" w:lineRule="auto"/>
      <w:ind w:left="720"/>
      <w:contextualSpacing/>
      <w:jc w:val="left"/>
    </w:pPr>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0D"/>
    <w:pPr>
      <w:spacing w:before="120" w:after="120" w:line="36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5207C"/>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5207C"/>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A5889"/>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FA5889"/>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FA5889"/>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7C"/>
    <w:rPr>
      <w:rFonts w:eastAsiaTheme="majorEastAsia" w:cstheme="majorBidi"/>
      <w:b/>
      <w:bCs/>
      <w:sz w:val="28"/>
      <w:szCs w:val="28"/>
    </w:rPr>
  </w:style>
  <w:style w:type="character" w:customStyle="1" w:styleId="Heading2Char">
    <w:name w:val="Heading 2 Char"/>
    <w:basedOn w:val="DefaultParagraphFont"/>
    <w:link w:val="Heading2"/>
    <w:uiPriority w:val="9"/>
    <w:rsid w:val="0095207C"/>
    <w:rPr>
      <w:rFonts w:eastAsiaTheme="majorEastAsia" w:cstheme="majorBidi"/>
      <w:b/>
      <w:bCs/>
      <w:sz w:val="26"/>
      <w:szCs w:val="26"/>
    </w:rPr>
  </w:style>
  <w:style w:type="paragraph" w:styleId="Title">
    <w:name w:val="Title"/>
    <w:basedOn w:val="Normal"/>
    <w:next w:val="Normal"/>
    <w:link w:val="TitleChar"/>
    <w:uiPriority w:val="10"/>
    <w:qFormat/>
    <w:rsid w:val="0095207C"/>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5207C"/>
    <w:rPr>
      <w:rFonts w:eastAsiaTheme="majorEastAsia" w:cstheme="majorBidi"/>
      <w:spacing w:val="5"/>
      <w:kern w:val="28"/>
      <w:sz w:val="52"/>
      <w:szCs w:val="52"/>
    </w:rPr>
  </w:style>
  <w:style w:type="paragraph" w:styleId="NoSpacing">
    <w:name w:val="No Spacing"/>
    <w:uiPriority w:val="1"/>
    <w:qFormat/>
    <w:rsid w:val="0095207C"/>
    <w:pPr>
      <w:spacing w:after="0" w:line="240" w:lineRule="auto"/>
    </w:pPr>
  </w:style>
  <w:style w:type="character" w:customStyle="1" w:styleId="Heading3Char">
    <w:name w:val="Heading 3 Char"/>
    <w:basedOn w:val="DefaultParagraphFont"/>
    <w:link w:val="Heading3"/>
    <w:uiPriority w:val="9"/>
    <w:rsid w:val="00FA5889"/>
    <w:rPr>
      <w:rFonts w:eastAsiaTheme="majorEastAsia" w:cstheme="majorBidi"/>
      <w:b/>
      <w:bCs/>
    </w:rPr>
  </w:style>
  <w:style w:type="character" w:customStyle="1" w:styleId="Heading4Char">
    <w:name w:val="Heading 4 Char"/>
    <w:basedOn w:val="DefaultParagraphFont"/>
    <w:link w:val="Heading4"/>
    <w:uiPriority w:val="9"/>
    <w:rsid w:val="00FA5889"/>
    <w:rPr>
      <w:rFonts w:eastAsiaTheme="majorEastAsia" w:cstheme="majorBidi"/>
      <w:b/>
      <w:bCs/>
      <w:i/>
      <w:iCs/>
    </w:rPr>
  </w:style>
  <w:style w:type="character" w:customStyle="1" w:styleId="Heading5Char">
    <w:name w:val="Heading 5 Char"/>
    <w:basedOn w:val="DefaultParagraphFont"/>
    <w:link w:val="Heading5"/>
    <w:uiPriority w:val="9"/>
    <w:rsid w:val="00FA5889"/>
    <w:rPr>
      <w:rFonts w:eastAsiaTheme="majorEastAsia" w:cstheme="majorBidi"/>
      <w:color w:val="243F60" w:themeColor="accent1" w:themeShade="7F"/>
    </w:rPr>
  </w:style>
  <w:style w:type="paragraph" w:styleId="Header">
    <w:name w:val="header"/>
    <w:basedOn w:val="Normal"/>
    <w:link w:val="HeaderChar"/>
    <w:uiPriority w:val="99"/>
    <w:unhideWhenUsed/>
    <w:rsid w:val="00CD09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093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09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0936"/>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D0936"/>
    <w:pPr>
      <w:spacing w:before="0" w:after="0" w:line="240" w:lineRule="auto"/>
      <w:jc w:val="left"/>
    </w:pPr>
    <w:rPr>
      <w:sz w:val="20"/>
      <w:szCs w:val="20"/>
      <w:lang w:val="en-GB" w:eastAsia="en-GB"/>
    </w:rPr>
  </w:style>
  <w:style w:type="character" w:customStyle="1" w:styleId="FootnoteTextChar">
    <w:name w:val="Footnote Text Char"/>
    <w:basedOn w:val="DefaultParagraphFont"/>
    <w:link w:val="FootnoteText"/>
    <w:semiHidden/>
    <w:rsid w:val="00CD0936"/>
    <w:rPr>
      <w:rFonts w:ascii="Times New Roman" w:eastAsia="Times New Roman" w:hAnsi="Times New Roman" w:cs="Times New Roman"/>
      <w:sz w:val="20"/>
      <w:szCs w:val="20"/>
      <w:lang w:eastAsia="en-GB"/>
    </w:rPr>
  </w:style>
  <w:style w:type="character" w:styleId="FootnoteReference">
    <w:name w:val="footnote reference"/>
    <w:semiHidden/>
    <w:rsid w:val="00CD0936"/>
    <w:rPr>
      <w:vertAlign w:val="superscript"/>
    </w:rPr>
  </w:style>
  <w:style w:type="paragraph" w:styleId="EndnoteText">
    <w:name w:val="endnote text"/>
    <w:basedOn w:val="Normal"/>
    <w:link w:val="EndnoteTextChar"/>
    <w:uiPriority w:val="99"/>
    <w:unhideWhenUsed/>
    <w:rsid w:val="00500C8A"/>
    <w:pPr>
      <w:spacing w:before="0" w:after="0" w:line="240" w:lineRule="auto"/>
    </w:pPr>
  </w:style>
  <w:style w:type="character" w:customStyle="1" w:styleId="EndnoteTextChar">
    <w:name w:val="Endnote Text Char"/>
    <w:basedOn w:val="DefaultParagraphFont"/>
    <w:link w:val="EndnoteText"/>
    <w:uiPriority w:val="99"/>
    <w:rsid w:val="00500C8A"/>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unhideWhenUsed/>
    <w:rsid w:val="00500C8A"/>
    <w:rPr>
      <w:vertAlign w:val="superscript"/>
    </w:rPr>
  </w:style>
  <w:style w:type="paragraph" w:styleId="Revision">
    <w:name w:val="Revision"/>
    <w:hidden/>
    <w:uiPriority w:val="99"/>
    <w:semiHidden/>
    <w:rsid w:val="004D0AE1"/>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D0AE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AE1"/>
    <w:rPr>
      <w:rFonts w:ascii="Lucida Grande" w:eastAsia="Times New Roman" w:hAnsi="Lucida Grande" w:cs="Lucida Grande"/>
      <w:sz w:val="18"/>
      <w:szCs w:val="18"/>
      <w:lang w:val="en-US"/>
    </w:rPr>
  </w:style>
  <w:style w:type="paragraph" w:styleId="ListParagraph">
    <w:name w:val="List Paragraph"/>
    <w:basedOn w:val="Normal"/>
    <w:uiPriority w:val="34"/>
    <w:qFormat/>
    <w:rsid w:val="003B6133"/>
    <w:pPr>
      <w:spacing w:before="0" w:after="200" w:line="276" w:lineRule="auto"/>
      <w:ind w:left="720"/>
      <w:contextualSpacing/>
      <w:jc w:val="left"/>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6007">
      <w:bodyDiv w:val="1"/>
      <w:marLeft w:val="0"/>
      <w:marRight w:val="0"/>
      <w:marTop w:val="0"/>
      <w:marBottom w:val="0"/>
      <w:divBdr>
        <w:top w:val="none" w:sz="0" w:space="0" w:color="auto"/>
        <w:left w:val="none" w:sz="0" w:space="0" w:color="auto"/>
        <w:bottom w:val="none" w:sz="0" w:space="0" w:color="auto"/>
        <w:right w:val="none" w:sz="0" w:space="0" w:color="auto"/>
      </w:divBdr>
    </w:div>
    <w:div w:id="333190989">
      <w:bodyDiv w:val="1"/>
      <w:marLeft w:val="0"/>
      <w:marRight w:val="0"/>
      <w:marTop w:val="0"/>
      <w:marBottom w:val="0"/>
      <w:divBdr>
        <w:top w:val="none" w:sz="0" w:space="0" w:color="auto"/>
        <w:left w:val="none" w:sz="0" w:space="0" w:color="auto"/>
        <w:bottom w:val="none" w:sz="0" w:space="0" w:color="auto"/>
        <w:right w:val="none" w:sz="0" w:space="0" w:color="auto"/>
      </w:divBdr>
    </w:div>
    <w:div w:id="497505347">
      <w:bodyDiv w:val="1"/>
      <w:marLeft w:val="0"/>
      <w:marRight w:val="0"/>
      <w:marTop w:val="0"/>
      <w:marBottom w:val="0"/>
      <w:divBdr>
        <w:top w:val="none" w:sz="0" w:space="0" w:color="auto"/>
        <w:left w:val="none" w:sz="0" w:space="0" w:color="auto"/>
        <w:bottom w:val="none" w:sz="0" w:space="0" w:color="auto"/>
        <w:right w:val="none" w:sz="0" w:space="0" w:color="auto"/>
      </w:divBdr>
    </w:div>
    <w:div w:id="619068937">
      <w:bodyDiv w:val="1"/>
      <w:marLeft w:val="0"/>
      <w:marRight w:val="0"/>
      <w:marTop w:val="0"/>
      <w:marBottom w:val="0"/>
      <w:divBdr>
        <w:top w:val="none" w:sz="0" w:space="0" w:color="auto"/>
        <w:left w:val="none" w:sz="0" w:space="0" w:color="auto"/>
        <w:bottom w:val="none" w:sz="0" w:space="0" w:color="auto"/>
        <w:right w:val="none" w:sz="0" w:space="0" w:color="auto"/>
      </w:divBdr>
    </w:div>
    <w:div w:id="628433999">
      <w:bodyDiv w:val="1"/>
      <w:marLeft w:val="0"/>
      <w:marRight w:val="0"/>
      <w:marTop w:val="0"/>
      <w:marBottom w:val="0"/>
      <w:divBdr>
        <w:top w:val="none" w:sz="0" w:space="0" w:color="auto"/>
        <w:left w:val="none" w:sz="0" w:space="0" w:color="auto"/>
        <w:bottom w:val="none" w:sz="0" w:space="0" w:color="auto"/>
        <w:right w:val="none" w:sz="0" w:space="0" w:color="auto"/>
      </w:divBdr>
    </w:div>
    <w:div w:id="713624054">
      <w:bodyDiv w:val="1"/>
      <w:marLeft w:val="0"/>
      <w:marRight w:val="0"/>
      <w:marTop w:val="0"/>
      <w:marBottom w:val="0"/>
      <w:divBdr>
        <w:top w:val="none" w:sz="0" w:space="0" w:color="auto"/>
        <w:left w:val="none" w:sz="0" w:space="0" w:color="auto"/>
        <w:bottom w:val="none" w:sz="0" w:space="0" w:color="auto"/>
        <w:right w:val="none" w:sz="0" w:space="0" w:color="auto"/>
      </w:divBdr>
    </w:div>
    <w:div w:id="1344161300">
      <w:bodyDiv w:val="1"/>
      <w:marLeft w:val="0"/>
      <w:marRight w:val="0"/>
      <w:marTop w:val="0"/>
      <w:marBottom w:val="0"/>
      <w:divBdr>
        <w:top w:val="none" w:sz="0" w:space="0" w:color="auto"/>
        <w:left w:val="none" w:sz="0" w:space="0" w:color="auto"/>
        <w:bottom w:val="none" w:sz="0" w:space="0" w:color="auto"/>
        <w:right w:val="none" w:sz="0" w:space="0" w:color="auto"/>
      </w:divBdr>
    </w:div>
    <w:div w:id="1647969310">
      <w:bodyDiv w:val="1"/>
      <w:marLeft w:val="0"/>
      <w:marRight w:val="0"/>
      <w:marTop w:val="0"/>
      <w:marBottom w:val="0"/>
      <w:divBdr>
        <w:top w:val="none" w:sz="0" w:space="0" w:color="auto"/>
        <w:left w:val="none" w:sz="0" w:space="0" w:color="auto"/>
        <w:bottom w:val="none" w:sz="0" w:space="0" w:color="auto"/>
        <w:right w:val="none" w:sz="0" w:space="0" w:color="auto"/>
      </w:divBdr>
    </w:div>
    <w:div w:id="1718890349">
      <w:bodyDiv w:val="1"/>
      <w:marLeft w:val="0"/>
      <w:marRight w:val="0"/>
      <w:marTop w:val="0"/>
      <w:marBottom w:val="0"/>
      <w:divBdr>
        <w:top w:val="none" w:sz="0" w:space="0" w:color="auto"/>
        <w:left w:val="none" w:sz="0" w:space="0" w:color="auto"/>
        <w:bottom w:val="none" w:sz="0" w:space="0" w:color="auto"/>
        <w:right w:val="none" w:sz="0" w:space="0" w:color="auto"/>
      </w:divBdr>
    </w:div>
    <w:div w:id="17754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128E-B381-9349-9A2D-C3AC657E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3513</Words>
  <Characters>20028</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 Williams</cp:lastModifiedBy>
  <cp:revision>5</cp:revision>
  <dcterms:created xsi:type="dcterms:W3CDTF">2014-10-20T14:36:00Z</dcterms:created>
  <dcterms:modified xsi:type="dcterms:W3CDTF">2014-10-20T21:39:00Z</dcterms:modified>
</cp:coreProperties>
</file>