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FF043" w14:textId="030E70D4" w:rsidR="000F2739" w:rsidRDefault="00F7160F" w:rsidP="002C59FD">
      <w:pPr>
        <w:jc w:val="center"/>
        <w:rPr>
          <w:b/>
          <w:sz w:val="28"/>
          <w:szCs w:val="28"/>
        </w:rPr>
      </w:pPr>
      <w:r>
        <w:rPr>
          <w:b/>
          <w:sz w:val="28"/>
          <w:szCs w:val="28"/>
        </w:rPr>
        <w:t>Fully Accountable</w:t>
      </w:r>
    </w:p>
    <w:p w14:paraId="3220F17D" w14:textId="09A641FB" w:rsidR="000F2739" w:rsidRDefault="00377F8B" w:rsidP="000F2739">
      <w:pPr>
        <w:jc w:val="center"/>
      </w:pPr>
      <w:r>
        <w:t>Helen Small</w:t>
      </w:r>
    </w:p>
    <w:p w14:paraId="34DD1643" w14:textId="77777777" w:rsidR="000F2739" w:rsidRDefault="000F2739" w:rsidP="000F2739">
      <w:pPr>
        <w:jc w:val="center"/>
      </w:pPr>
    </w:p>
    <w:p w14:paraId="20ABD79E" w14:textId="359464F7" w:rsidR="000F2739" w:rsidRDefault="002368D5" w:rsidP="000F2739">
      <w:r>
        <w:t xml:space="preserve">There is a moment in Zadie Smith’s latest novel, </w:t>
      </w:r>
      <w:r w:rsidRPr="004B6026">
        <w:rPr>
          <w:u w:val="single"/>
        </w:rPr>
        <w:t>NW</w:t>
      </w:r>
      <w:r w:rsidRPr="00A76F71">
        <w:rPr>
          <w:i/>
        </w:rPr>
        <w:t xml:space="preserve"> </w:t>
      </w:r>
      <w:r>
        <w:t>(2012</w:t>
      </w:r>
      <w:r w:rsidR="001400C1">
        <w:t>), when Leah Hanwell, the one</w:t>
      </w:r>
      <w:r w:rsidR="006220FF">
        <w:t xml:space="preserve"> of</w:t>
      </w:r>
      <w:r w:rsidR="002B219A">
        <w:t xml:space="preserve"> </w:t>
      </w:r>
      <w:r>
        <w:t>four protagonists</w:t>
      </w:r>
      <w:r w:rsidR="006220FF">
        <w:t xml:space="preserve"> whose lives </w:t>
      </w:r>
      <w:r w:rsidR="003E7A83">
        <w:t>it</w:t>
      </w:r>
      <w:r w:rsidR="00FB7414">
        <w:t xml:space="preserve"> cha</w:t>
      </w:r>
      <w:r w:rsidR="00DC6607">
        <w:t>rts</w:t>
      </w:r>
      <w:r w:rsidR="001C75AA">
        <w:t xml:space="preserve"> </w:t>
      </w:r>
      <w:r w:rsidR="00F1577E">
        <w:t>into their</w:t>
      </w:r>
      <w:r w:rsidR="00DC6607">
        <w:t xml:space="preserve"> thirties</w:t>
      </w:r>
      <w:r w:rsidR="006220FF">
        <w:t>, rehearses a</w:t>
      </w:r>
      <w:r w:rsidR="00395458">
        <w:t xml:space="preserve"> work orientation speech (or it may be a</w:t>
      </w:r>
      <w:r w:rsidR="001C75AA">
        <w:t xml:space="preserve"> </w:t>
      </w:r>
      <w:r>
        <w:t>regul</w:t>
      </w:r>
      <w:r w:rsidR="007746D5">
        <w:t>ar pep talk</w:t>
      </w:r>
      <w:r w:rsidR="00395458">
        <w:t>)</w:t>
      </w:r>
      <w:r w:rsidR="001C75AA">
        <w:t xml:space="preserve"> </w:t>
      </w:r>
      <w:r w:rsidR="007746D5">
        <w:t xml:space="preserve">given by </w:t>
      </w:r>
      <w:r w:rsidR="005733F8">
        <w:t xml:space="preserve">Adina, </w:t>
      </w:r>
      <w:r w:rsidR="00BF173C">
        <w:t>her</w:t>
      </w:r>
      <w:r>
        <w:t xml:space="preserve"> </w:t>
      </w:r>
      <w:r w:rsidR="00961636">
        <w:t>“</w:t>
      </w:r>
      <w:r>
        <w:t>Team Leader</w:t>
      </w:r>
      <w:r w:rsidR="00961636">
        <w:t>”</w:t>
      </w:r>
      <w:r w:rsidR="005733F8">
        <w:t xml:space="preserve"> </w:t>
      </w:r>
      <w:r>
        <w:t xml:space="preserve">at </w:t>
      </w:r>
      <w:r w:rsidR="00BF173C">
        <w:t>a</w:t>
      </w:r>
      <w:r w:rsidR="00590E11">
        <w:t xml:space="preserve"> </w:t>
      </w:r>
      <w:r>
        <w:t>council lottery-fund distribution centre in North West London.</w:t>
      </w:r>
    </w:p>
    <w:p w14:paraId="7B7B829D" w14:textId="7352408B" w:rsidR="000F2739" w:rsidRDefault="000F2739" w:rsidP="00B50724">
      <w:pPr>
        <w:pStyle w:val="Quotation"/>
      </w:pPr>
      <w:r>
        <w:t>The decision-making is obviously about relatability and yeah, empathy, and a personal connection but it’s also about follow-through and visibility in the sense of value for money, that we get to be conscious of via a process of paperwork</w:t>
      </w:r>
      <w:r w:rsidR="00AF3D2E">
        <w:t>. Paperworkpaperworkpaperwork. I</w:t>
      </w:r>
      <w:r>
        <w:t>n the current climate every i has to be dotted and every t crossed so when I am put in a position, as Team Leader, by the people upstairs I can say: yup, fully accountable. Here’s x, y and z, fully accountable. Not splitting the atom, ladies, I should hope.</w:t>
      </w:r>
      <w:r w:rsidR="00377F8B">
        <w:rPr>
          <w:rStyle w:val="EndnoteReference"/>
        </w:rPr>
        <w:endnoteReference w:id="1"/>
      </w:r>
    </w:p>
    <w:p w14:paraId="3CDED1FE" w14:textId="3560BC8F" w:rsidR="00B50724" w:rsidRDefault="002368D5" w:rsidP="003B112F">
      <w:r>
        <w:t>Quite what the tone and the direction, o</w:t>
      </w:r>
      <w:r w:rsidR="00601A08">
        <w:t xml:space="preserve">r directions, of irony are </w:t>
      </w:r>
      <w:r>
        <w:t xml:space="preserve">is a nice question. </w:t>
      </w:r>
      <w:r w:rsidR="005733F8">
        <w:t xml:space="preserve">Stylistically speaking, </w:t>
      </w:r>
      <w:r w:rsidR="00BF173C">
        <w:t xml:space="preserve">Adina and Leah know that they </w:t>
      </w:r>
      <w:r w:rsidR="005733F8">
        <w:t xml:space="preserve">are in hoc to managerial cliché, </w:t>
      </w:r>
      <w:r w:rsidR="00BF173C">
        <w:t xml:space="preserve">the lingua franca of public accountability </w:t>
      </w:r>
      <w:r w:rsidR="00E0315C">
        <w:t xml:space="preserve">where </w:t>
      </w:r>
      <w:r w:rsidR="00961636">
        <w:t>“</w:t>
      </w:r>
      <w:r w:rsidR="00BF173C">
        <w:t>r</w:t>
      </w:r>
      <w:r w:rsidR="00961636">
        <w:t>elatability and empathy”</w:t>
      </w:r>
      <w:r w:rsidR="008C00B1">
        <w:t>,</w:t>
      </w:r>
      <w:r w:rsidR="00961636">
        <w:t xml:space="preserve"> “</w:t>
      </w:r>
      <w:r w:rsidR="00C055E4">
        <w:t>follow-through</w:t>
      </w:r>
      <w:r w:rsidR="008C00B1">
        <w:t xml:space="preserve"> and visibility</w:t>
      </w:r>
      <w:r w:rsidR="00961636">
        <w:t>”</w:t>
      </w:r>
      <w:r w:rsidR="00BF173C">
        <w:t xml:space="preserve"> have</w:t>
      </w:r>
      <w:r w:rsidR="001C75AA">
        <w:t xml:space="preserve"> </w:t>
      </w:r>
      <w:r w:rsidR="00E0315C">
        <w:t>recently joined old</w:t>
      </w:r>
      <w:r w:rsidR="00CD3593">
        <w:t>er</w:t>
      </w:r>
      <w:r w:rsidR="00C055E4">
        <w:t xml:space="preserve"> </w:t>
      </w:r>
      <w:r w:rsidR="005733F8">
        <w:t>familiars</w:t>
      </w:r>
      <w:r w:rsidR="008C00B1">
        <w:t>—</w:t>
      </w:r>
      <w:r w:rsidR="00961636">
        <w:t>dotted “i”</w:t>
      </w:r>
      <w:r w:rsidR="007C4177">
        <w:t>s and crosse</w:t>
      </w:r>
      <w:r w:rsidR="00961636">
        <w:t>d “t”</w:t>
      </w:r>
      <w:r w:rsidR="00BF173C">
        <w:t>s,</w:t>
      </w:r>
      <w:r w:rsidR="00C055E4">
        <w:t xml:space="preserve"> </w:t>
      </w:r>
      <w:r w:rsidR="003E7A83">
        <w:t xml:space="preserve">the </w:t>
      </w:r>
      <w:r w:rsidR="00FB7414">
        <w:t>by now semi-anachronistic</w:t>
      </w:r>
      <w:r w:rsidR="00C055E4">
        <w:t xml:space="preserve"> </w:t>
      </w:r>
      <w:r w:rsidR="009D5FC4">
        <w:t>“</w:t>
      </w:r>
      <w:r w:rsidR="00961636">
        <w:t>paperwork”</w:t>
      </w:r>
      <w:r w:rsidR="00C055E4">
        <w:t xml:space="preserve">. </w:t>
      </w:r>
      <w:r w:rsidR="000D77D5">
        <w:t xml:space="preserve">The passage makes </w:t>
      </w:r>
      <w:r w:rsidR="00AF3403">
        <w:t>fittingly heavy</w:t>
      </w:r>
      <w:r w:rsidR="000D77D5">
        <w:t xml:space="preserve"> play with Adina’s conflicted view of her managerial role: her eagerness to pres</w:t>
      </w:r>
      <w:r w:rsidR="00B72B38">
        <w:t>ent herself as one of the team</w:t>
      </w:r>
      <w:r w:rsidR="00961636">
        <w:t xml:space="preserve"> (“we get to be conscious”</w:t>
      </w:r>
      <w:r w:rsidR="00FB6C21">
        <w:t>)</w:t>
      </w:r>
      <w:r w:rsidR="00B72B38">
        <w:t xml:space="preserve">, </w:t>
      </w:r>
      <w:r w:rsidR="00961636">
        <w:t>not among those “upstairs”</w:t>
      </w:r>
      <w:r w:rsidR="000D77D5">
        <w:t xml:space="preserve"> who are the dictators of due p</w:t>
      </w:r>
      <w:r w:rsidR="00941B86">
        <w:t>rocess</w:t>
      </w:r>
      <w:r w:rsidR="00843EF0">
        <w:t xml:space="preserve"> despite her evident aspiration</w:t>
      </w:r>
      <w:r w:rsidR="000D77D5">
        <w:t xml:space="preserve"> to their authority </w:t>
      </w:r>
      <w:r w:rsidR="00FB6C21">
        <w:t>(</w:t>
      </w:r>
      <w:r w:rsidR="00961636">
        <w:t>“</w:t>
      </w:r>
      <w:r w:rsidR="000D77D5">
        <w:t>In the curre</w:t>
      </w:r>
      <w:r w:rsidR="00961636">
        <w:t>nt climate …”</w:t>
      </w:r>
      <w:r w:rsidR="00FF61FA">
        <w:t xml:space="preserve">). </w:t>
      </w:r>
      <w:r w:rsidR="00194BD5">
        <w:t xml:space="preserve">Leah’s attitude to </w:t>
      </w:r>
      <w:r w:rsidR="00FB6C21">
        <w:t xml:space="preserve">the </w:t>
      </w:r>
      <w:r w:rsidR="00194BD5">
        <w:t xml:space="preserve">managerial pressure from above toward scrupulous </w:t>
      </w:r>
      <w:r w:rsidR="000F35F4">
        <w:t>“visibility”</w:t>
      </w:r>
      <w:r w:rsidR="00194BD5">
        <w:t xml:space="preserve"> is, presumably, more sk</w:t>
      </w:r>
      <w:r w:rsidR="00961636">
        <w:t>eptical but it’s hard to tell. “Not splitting the atom, ladies”</w:t>
      </w:r>
      <w:r w:rsidR="00194BD5">
        <w:t xml:space="preserve"> may be a caustic elaboration, tantamount to a question</w:t>
      </w:r>
      <w:r w:rsidR="00B3738C">
        <w:t xml:space="preserve"> from </w:t>
      </w:r>
      <w:r w:rsidR="00B3738C">
        <w:lastRenderedPageBreak/>
        <w:t>Leah</w:t>
      </w:r>
      <w:r w:rsidR="00194BD5">
        <w:t>—</w:t>
      </w:r>
      <w:r w:rsidR="00961636">
        <w:t>“</w:t>
      </w:r>
      <w:r w:rsidR="00194BD5">
        <w:t>why are you aping the patronizing sexis</w:t>
      </w:r>
      <w:r w:rsidR="00961636">
        <w:t>m of an old-style male manager?”</w:t>
      </w:r>
      <w:r w:rsidR="00B3738C">
        <w:t>—, or it may</w:t>
      </w:r>
      <w:r w:rsidR="00194BD5">
        <w:t xml:space="preserve"> be Adina’s</w:t>
      </w:r>
      <w:r w:rsidR="00B3738C">
        <w:t xml:space="preserve"> own</w:t>
      </w:r>
      <w:r w:rsidR="00194BD5">
        <w:t xml:space="preserve"> closing bid at straddling the office power divide, declaring an obligatory suspicion of bureaucratic authority while enjoining obedience. </w:t>
      </w:r>
      <w:r w:rsidR="00976A06">
        <w:t xml:space="preserve">The extent to which the office workers </w:t>
      </w:r>
      <w:r w:rsidR="00194BD5">
        <w:t>apprehend</w:t>
      </w:r>
      <w:r w:rsidR="00976A06">
        <w:t xml:space="preserve"> themselves to be participating in a comedy </w:t>
      </w:r>
      <w:r w:rsidR="009717BF">
        <w:t>is moot</w:t>
      </w:r>
      <w:r w:rsidR="00CE53DE">
        <w:t xml:space="preserve">. </w:t>
      </w:r>
      <w:r w:rsidR="00194BD5">
        <w:t xml:space="preserve">Certainly </w:t>
      </w:r>
      <w:r w:rsidR="00976A06">
        <w:t>Adina’s</w:t>
      </w:r>
      <w:r w:rsidR="00194BD5">
        <w:t xml:space="preserve"> </w:t>
      </w:r>
      <w:r w:rsidR="00C2055E">
        <w:t>claim to ironic distance on</w:t>
      </w:r>
      <w:r w:rsidR="00961636">
        <w:t xml:space="preserve"> the language she employs (“yeah, empathy”</w:t>
      </w:r>
      <w:r w:rsidR="00843EF0">
        <w:t xml:space="preserve">, </w:t>
      </w:r>
      <w:r w:rsidR="00961636">
        <w:t>“Paperworkpaperworkpaperwork”</w:t>
      </w:r>
      <w:r w:rsidR="00C2055E">
        <w:t xml:space="preserve">) </w:t>
      </w:r>
      <w:r w:rsidR="009C2FA9">
        <w:t xml:space="preserve">contributes to the </w:t>
      </w:r>
      <w:r w:rsidR="00C2055E">
        <w:t>mo</w:t>
      </w:r>
      <w:r w:rsidR="009C2FA9">
        <w:t xml:space="preserve">ckumentary </w:t>
      </w:r>
      <w:r w:rsidR="008C00B1">
        <w:t>flavour</w:t>
      </w:r>
      <w:r w:rsidR="00A37FA4">
        <w:t xml:space="preserve"> of the whole</w:t>
      </w:r>
      <w:r w:rsidR="009717BF">
        <w:t xml:space="preserve">, </w:t>
      </w:r>
      <w:r w:rsidR="002E257A">
        <w:t xml:space="preserve">irony being </w:t>
      </w:r>
      <w:r w:rsidR="005D0763">
        <w:t>no</w:t>
      </w:r>
      <w:r w:rsidR="0033625F">
        <w:t xml:space="preserve"> guarantee that others won’t recognise</w:t>
      </w:r>
      <w:r w:rsidR="002E257A">
        <w:t xml:space="preserve"> an apparatchik</w:t>
      </w:r>
      <w:r w:rsidR="008C00B1">
        <w:t>. W</w:t>
      </w:r>
      <w:r w:rsidR="00A37FA4">
        <w:t xml:space="preserve">e are closer to Ricky Jervais and Stephen Merchant’s </w:t>
      </w:r>
      <w:r w:rsidR="00A37FA4" w:rsidRPr="00DF47C4">
        <w:rPr>
          <w:u w:val="single"/>
        </w:rPr>
        <w:t>The Office</w:t>
      </w:r>
      <w:r w:rsidR="00A37FA4">
        <w:t>, in short, than to Joseph Heller or Franz Kafka.</w:t>
      </w:r>
      <w:r w:rsidR="00B50724">
        <w:rPr>
          <w:rStyle w:val="EndnoteReference"/>
        </w:rPr>
        <w:endnoteReference w:id="2"/>
      </w:r>
    </w:p>
    <w:p w14:paraId="6BBB2130" w14:textId="18F222A9" w:rsidR="00B50724" w:rsidRDefault="00B50724" w:rsidP="00FB6C21">
      <w:pPr>
        <w:ind w:firstLine="720"/>
      </w:pPr>
      <w:r>
        <w:t xml:space="preserve">In identifying as the tone of public sector accounting today an uneasy concoction of pragmatism, cynicism, comedy, </w:t>
      </w:r>
      <w:r w:rsidR="001400C1">
        <w:t xml:space="preserve">and </w:t>
      </w:r>
      <w:r>
        <w:t xml:space="preserve">resentment, Smith puts her finger on the complex spirit in which recipients of UK public funding, including university academics, have responded to the burden of reporting to government on the social benefits returned to the public. If that seems something of a step—from the lottery distribution office to the university—it’s one </w:t>
      </w:r>
      <w:r w:rsidRPr="00DF47C4">
        <w:rPr>
          <w:u w:val="single"/>
        </w:rPr>
        <w:t>NW</w:t>
      </w:r>
      <w:r>
        <w:t xml:space="preserve"> encourages its reader to make. Before thinking harder about it implications, I want to take a preliminary hint from Smith’s representation of dual demands, empathy and visibility, relatability and accountability, shaping the process of demonstrating </w:t>
      </w:r>
      <w:r w:rsidR="00961636">
        <w:t>“value for money”</w:t>
      </w:r>
      <w:r>
        <w:t xml:space="preserve"> in today’s public sector: namely, the suggestion that there is a comparison waiting to be drawn out here between recent economic efforts at more qualitatively sensitive accounting and the much longer-standing aims and procedures of literary realism.</w:t>
      </w:r>
    </w:p>
    <w:p w14:paraId="056EBA2A" w14:textId="1C287973" w:rsidR="00B50724" w:rsidRDefault="00B50724" w:rsidP="005E1EFE">
      <w:pPr>
        <w:ind w:firstLine="720"/>
      </w:pPr>
      <w:r>
        <w:t xml:space="preserve">This essay takes that suggestion seriously. There is, I argue, </w:t>
      </w:r>
      <w:r w:rsidRPr="005E1EFE">
        <w:t>a</w:t>
      </w:r>
      <w:r>
        <w:t xml:space="preserve"> partial but telling resemblance between efforts in public sector management today to produce detailed qualitative as well as quantitative descriptions of the social benefits achieved with public funding</w:t>
      </w:r>
      <w:r w:rsidR="001400C1">
        <w:t>,</w:t>
      </w:r>
      <w:r>
        <w:t xml:space="preserve"> and the aspirations of realist fiction writers to get beyond representation of the external features of a society to the psychological and moral experiences that might yield a deeper valuation of it. Like literary realism, though operating within much stricter procedural</w:t>
      </w:r>
      <w:r w:rsidR="00961636">
        <w:t xml:space="preserve"> limits, accounting for social “outcomes”</w:t>
      </w:r>
      <w:r>
        <w:t xml:space="preserve">, and especially social benefits, arbitrates between competing </w:t>
      </w:r>
      <w:r w:rsidR="00F449AC">
        <w:t xml:space="preserve">formal </w:t>
      </w:r>
      <w:r>
        <w:t xml:space="preserve">imperatives: </w:t>
      </w:r>
      <w:r w:rsidR="00961636">
        <w:t>“personal connection” and procedural “follow-through”</w:t>
      </w:r>
      <w:r>
        <w:t>, showing the capacity to relate psychologically and emotionally to others but r</w:t>
      </w:r>
      <w:r w:rsidR="009717BF">
        <w:t>especting the obligation to render</w:t>
      </w:r>
      <w:r>
        <w:t xml:space="preserve"> a clear and accurate account. The social benefit accountant responds, as does any literary realist who enters the marketplace, to distinct, not always coherent, drivers: financial incentives to capture quality as well as quantity; psychological and moral incentives to achieve a clearer understanding of human behavior. (These motives can of course operate simultaneously, but they are likely to give rise to conflicts and will be accorded quite different levels of relevance by </w:t>
      </w:r>
      <w:r w:rsidR="003B028E">
        <w:t>different recipients</w:t>
      </w:r>
      <w:r>
        <w:t>.)</w:t>
      </w:r>
      <w:r w:rsidR="002431C1">
        <w:t xml:space="preserve"> Many (clearly not all) of the technical strategies employed are strikingly similar: gesturalism of reporting, </w:t>
      </w:r>
      <w:r w:rsidR="006D2AC2">
        <w:t xml:space="preserve">involving </w:t>
      </w:r>
      <w:r w:rsidR="002431C1">
        <w:t>indicat</w:t>
      </w:r>
      <w:r w:rsidR="006D2AC2">
        <w:t>ive (not exhaustive) denotation;</w:t>
      </w:r>
      <w:r w:rsidR="002431C1">
        <w:t xml:space="preserve"> admission of subjectivity in judgements; the arrangement of narrated events to particular stories about social significance.</w:t>
      </w:r>
    </w:p>
    <w:p w14:paraId="1FE1A9D0" w14:textId="77777777" w:rsidR="00B3738C" w:rsidRDefault="00B50724" w:rsidP="00B3738C">
      <w:pPr>
        <w:ind w:firstLine="720"/>
      </w:pPr>
      <w:r>
        <w:t>In what follows I examine the shaping of t</w:t>
      </w:r>
      <w:r w:rsidR="00DF47C4">
        <w:t>he concept of qualit</w:t>
      </w:r>
      <w:r>
        <w:t xml:space="preserve">ative accounting for social benefits as recommended to governments in the early public management literature on the subject. I then look at how the model has subsequently been adapted to fit the specific task of accounting for the public value of research in the humanities, asking (as I take Smith to be asking, without the external pressure I am bringing to bear on her novel) what the new accounting exercise stands to learn from the old one. </w:t>
      </w:r>
      <w:r w:rsidR="00B3738C">
        <w:t>A detailed account of the evolution of public sector accounting is beyond my scope and (frankly) my interests, and probably beyond the interests of readers of this journal. I treat modern public accounting returns instead as a quasi-literary genre open to rhetorical and conceptual analysis as well as functional analysis of its fitness for purpose. The last section of the essay takes up Smith’s imaginative juxtaposition of the lottery fund distribution office with the university, considering how and why the novel makes it peculiarly difficult to account for the social benefit of the university, and why the case of the university especially should give rise to dispute about the depth of public agreement on what that benefit ought to be.</w:t>
      </w:r>
    </w:p>
    <w:p w14:paraId="60B27F09" w14:textId="4DB90EC9" w:rsidR="00B3738C" w:rsidRDefault="00B3738C" w:rsidP="00047B1A">
      <w:pPr>
        <w:ind w:firstLine="720"/>
      </w:pPr>
      <w:r>
        <w:t xml:space="preserve">It will be clear that I am approaching the idea of qualitative accounting with a different set of concerns from those that have motivated most </w:t>
      </w:r>
      <w:r w:rsidR="009717BF">
        <w:t>academic responses to demands for accountability</w:t>
      </w:r>
      <w:r>
        <w:t xml:space="preserve"> to date. The tendency in the UK, as in the US, has been</w:t>
      </w:r>
      <w:r w:rsidR="009717BF">
        <w:t xml:space="preserve"> toward aristocratic hauteur (easie</w:t>
      </w:r>
      <w:r>
        <w:t>r for those in elite schools</w:t>
      </w:r>
      <w:r w:rsidR="00F449AC">
        <w:t xml:space="preserve"> than elsewhere</w:t>
      </w:r>
      <w:r>
        <w:t xml:space="preserve">) at perceived “philistinism”, or to </w:t>
      </w:r>
      <w:r w:rsidR="009717BF">
        <w:t xml:space="preserve">outraged fulmination on the </w:t>
      </w:r>
      <w:r>
        <w:t>theme of neoliberalism and university</w:t>
      </w:r>
      <w:r w:rsidR="009717BF">
        <w:t xml:space="preserve"> corporatization. Resistance is in order</w:t>
      </w:r>
      <w:r w:rsidR="001400C1">
        <w:t>,</w:t>
      </w:r>
      <w:r w:rsidR="009717BF">
        <w:t xml:space="preserve"> but </w:t>
      </w:r>
      <w:r w:rsidR="00F637A4">
        <w:t xml:space="preserve">it </w:t>
      </w:r>
      <w:r>
        <w:t>may command more attention from</w:t>
      </w:r>
      <w:r w:rsidR="009717BF">
        <w:t xml:space="preserve"> politicians and university managers if it </w:t>
      </w:r>
      <w:r>
        <w:t>works with a sharper</w:t>
      </w:r>
      <w:r w:rsidR="009717BF">
        <w:t xml:space="preserve"> understanding of the public values and virtues </w:t>
      </w:r>
      <w:r>
        <w:t>entailed</w:t>
      </w:r>
      <w:r w:rsidR="009717BF">
        <w:t xml:space="preserve"> in government attempts at social accounting. Part of my purpose here is, indeed, to </w:t>
      </w:r>
      <w:r>
        <w:t>reflect on the degree to which</w:t>
      </w:r>
      <w:r w:rsidR="009717BF">
        <w:t xml:space="preserve"> values and virtues </w:t>
      </w:r>
      <w:r w:rsidR="00F637A4">
        <w:t>(as well a</w:t>
      </w:r>
      <w:r w:rsidR="00F449AC">
        <w:t>s competitive market interests) lie</w:t>
      </w:r>
      <w:r>
        <w:rPr>
          <w:i/>
        </w:rPr>
        <w:t xml:space="preserve"> </w:t>
      </w:r>
      <w:r w:rsidR="00F449AC">
        <w:t>behind</w:t>
      </w:r>
      <w:r w:rsidR="00F637A4">
        <w:t xml:space="preserve"> the pressures on universities to account for their social benefit. </w:t>
      </w:r>
      <w:r w:rsidR="00F449AC">
        <w:t>I argue</w:t>
      </w:r>
      <w:r w:rsidR="00F637A4">
        <w:t xml:space="preserve"> that t</w:t>
      </w:r>
      <w:r>
        <w:t xml:space="preserve">he </w:t>
      </w:r>
      <w:r w:rsidR="00F637A4">
        <w:t>latest mode of accounting for those</w:t>
      </w:r>
      <w:r>
        <w:t xml:space="preserve"> values and virtues</w:t>
      </w:r>
      <w:r w:rsidR="009717BF">
        <w:t xml:space="preserve"> </w:t>
      </w:r>
      <w:r w:rsidR="00F637A4">
        <w:t>is</w:t>
      </w:r>
      <w:r>
        <w:t>, in practice,</w:t>
      </w:r>
      <w:r w:rsidR="009717BF">
        <w:t xml:space="preserve"> </w:t>
      </w:r>
      <w:r w:rsidR="00F637A4">
        <w:t>anything but</w:t>
      </w:r>
      <w:r w:rsidR="009717BF">
        <w:t xml:space="preserve"> m</w:t>
      </w:r>
      <w:r w:rsidR="00F449AC">
        <w:t xml:space="preserve">arket-efficient, and </w:t>
      </w:r>
      <w:r>
        <w:t xml:space="preserve">this is one </w:t>
      </w:r>
      <w:r w:rsidR="009717BF">
        <w:t>re</w:t>
      </w:r>
      <w:r w:rsidR="001400C1">
        <w:t>ason to resist it</w:t>
      </w:r>
      <w:r w:rsidR="00F449AC">
        <w:t>. But another, arguably more fundamental</w:t>
      </w:r>
      <w:r w:rsidR="001400C1">
        <w:t xml:space="preserve"> reason</w:t>
      </w:r>
      <w:r w:rsidR="00F449AC">
        <w:t>, is that</w:t>
      </w:r>
      <w:r w:rsidR="00F637A4">
        <w:t xml:space="preserve"> the values and virtues are misrepresented </w:t>
      </w:r>
      <w:r w:rsidR="009717BF">
        <w:t>by the modes of asse</w:t>
      </w:r>
      <w:r w:rsidR="00F449AC">
        <w:t>ssment claiming to capture them.</w:t>
      </w:r>
    </w:p>
    <w:p w14:paraId="37DBC307" w14:textId="3BF0AE65" w:rsidR="00B50724" w:rsidRDefault="00047B1A" w:rsidP="00194BD5">
      <w:pPr>
        <w:ind w:firstLine="720"/>
      </w:pPr>
      <w:r>
        <w:t>Accounting for social benefit</w:t>
      </w:r>
      <w:r w:rsidR="00B50724">
        <w:t xml:space="preserve"> is the sharp edge of the </w:t>
      </w:r>
      <w:r w:rsidR="00653D40">
        <w:t>“usefulness”</w:t>
      </w:r>
      <w:r w:rsidR="00B50724">
        <w:t xml:space="preserve"> question as it bears on humanities research in the UK at present. Until recently, a</w:t>
      </w:r>
      <w:r w:rsidR="00653D40">
        <w:t>rguments about the validity of “usefulness”</w:t>
      </w:r>
      <w:r w:rsidR="00B50724">
        <w:t xml:space="preserve"> as a criterion by which to judge the work of university faculties collectively, and humanities faculties particularly, </w:t>
      </w:r>
      <w:r w:rsidR="00F637A4">
        <w:t>typically</w:t>
      </w:r>
      <w:r w:rsidR="00B50724">
        <w:t xml:space="preserve"> gather</w:t>
      </w:r>
      <w:r w:rsidR="00F637A4">
        <w:t>ed</w:t>
      </w:r>
      <w:r w:rsidR="00B50724">
        <w:t xml:space="preserve"> around the old opposition between political economists from Adam Smith onwards who have urged that a publicly-funded education should have practical ends in view, and defenders of alternative values that are understood to exceed demonstrable usefulness or are conceived in frank opposition to it—self-development, knowledge for its own sake, freedom of intellectual inquiry, unpredictable outcomes.</w:t>
      </w:r>
      <w:r w:rsidR="00B50724">
        <w:rPr>
          <w:rStyle w:val="EndnoteReference"/>
        </w:rPr>
        <w:endnoteReference w:id="3"/>
      </w:r>
      <w:r w:rsidR="00B50724">
        <w:t xml:space="preserve"> (These are not exclusively liberal notions, though the first three especially have loomed large in the history of liberal thinking about the university.) The more immediate and financially salient pressure on UK higher education institutions today stems from the role of government research assessment exercises in determining the allocation of public research funds across the higher education sector and securing or threatening institutional reputations. To quote from the published guidance for the current assessment process (submis</w:t>
      </w:r>
      <w:r w:rsidR="00653D40">
        <w:t>sions due at the end of 2014), “submitting units”</w:t>
      </w:r>
      <w:r w:rsidR="00B50724">
        <w:t xml:space="preserve"> are now required to describe the</w:t>
      </w:r>
      <w:r w:rsidR="00B50724" w:rsidRPr="008E0891">
        <w:t xml:space="preserve"> </w:t>
      </w:r>
      <w:r w:rsidR="00653D40">
        <w:t>“</w:t>
      </w:r>
      <w:r w:rsidR="00B50724">
        <w:t>reach and significance</w:t>
      </w:r>
      <w:r w:rsidR="00B50724" w:rsidRPr="008E0891">
        <w:t xml:space="preserve"> of </w:t>
      </w:r>
      <w:r w:rsidR="00B50724">
        <w:t xml:space="preserve">[non-academic] </w:t>
      </w:r>
      <w:r w:rsidR="00B50724" w:rsidRPr="008E0891">
        <w:t xml:space="preserve">impacts on the economy, society and/or culture </w:t>
      </w:r>
      <w:r w:rsidR="00B50724">
        <w:t>[…]</w:t>
      </w:r>
      <w:r w:rsidR="00B50724" w:rsidRPr="008E0891">
        <w:t xml:space="preserve"> underpinned by</w:t>
      </w:r>
      <w:r w:rsidR="00653D40">
        <w:t xml:space="preserve"> excellent research”</w:t>
      </w:r>
      <w:r w:rsidR="00B50724">
        <w:t>; also to set out institutional strategies for</w:t>
      </w:r>
      <w:r w:rsidR="00B50724" w:rsidRPr="008E0891">
        <w:t xml:space="preserve"> </w:t>
      </w:r>
      <w:r w:rsidR="00653D40">
        <w:t>“</w:t>
      </w:r>
      <w:r w:rsidR="00B50724" w:rsidRPr="008E0891">
        <w:t>enabling</w:t>
      </w:r>
      <w:r w:rsidR="00653D40">
        <w:t>”</w:t>
      </w:r>
      <w:r w:rsidR="00B50724">
        <w:t xml:space="preserve"> future</w:t>
      </w:r>
      <w:r w:rsidR="00B50724" w:rsidRPr="008E0891">
        <w:t xml:space="preserve"> impact</w:t>
      </w:r>
      <w:r w:rsidR="00B50724">
        <w:t>.</w:t>
      </w:r>
      <w:r w:rsidR="00B50724">
        <w:rPr>
          <w:rStyle w:val="EndnoteReference"/>
        </w:rPr>
        <w:endnoteReference w:id="4"/>
      </w:r>
    </w:p>
    <w:p w14:paraId="60BC8991" w14:textId="2B2E5F18" w:rsidR="00B50724" w:rsidRDefault="00B50724" w:rsidP="00AD1B37">
      <w:pPr>
        <w:ind w:firstLine="720"/>
      </w:pPr>
      <w:r>
        <w:t>Strictly, description of social benefits resulting from humanities scholarship is a second order form of justification. The benefits are likely to o</w:t>
      </w:r>
      <w:r w:rsidR="00653D40">
        <w:t>ccur at some distance from the “underpinning research”</w:t>
      </w:r>
      <w:r>
        <w:t>, and accounting for them can only follow from prior agreement about the kind of social effects credibly to be looked for. The overtaking of the old theoretical debate about practical ends by practical efforts to evidence the actual public benefits of research partly bespeaks a compulsory</w:t>
      </w:r>
      <w:r w:rsidR="00F637A4">
        <w:t xml:space="preserve"> pragmatism in the UK in 2014. </w:t>
      </w:r>
      <w:r>
        <w:t>Not to participate in the exerci</w:t>
      </w:r>
      <w:r w:rsidR="00653D40">
        <w:t>se would be to cut off your “submitting unit”</w:t>
      </w:r>
      <w:r>
        <w:t>’s acc</w:t>
      </w:r>
      <w:r w:rsidR="00F637A4">
        <w:t>ess to public research funding.</w:t>
      </w:r>
      <w:r>
        <w:t xml:space="preserve"> But if accounting for social benefit looks like a peculiarly UK deformation of the global debate about the value of the humanities, it would be a mistake to think the topic has no wider relevance. The UK is in effect a policy testing ground at present for public accounting methods already extensively trialed in US public sector management, and under close consideration for application to higher education in other countries including Canada and Australia. The attem</w:t>
      </w:r>
      <w:r w:rsidR="00047B1A">
        <w:t>pt to assess the social benefit</w:t>
      </w:r>
      <w:r>
        <w:t xml:space="preserve"> derived from humanities research is the latest refinement in what several critics hav</w:t>
      </w:r>
      <w:r w:rsidR="00653D40">
        <w:t>e described as an uncontrolled “experiment”</w:t>
      </w:r>
      <w:r>
        <w:t xml:space="preserve"> in redesigning UK higher education</w:t>
      </w:r>
      <w:r>
        <w:rPr>
          <w:rStyle w:val="EndnoteReference"/>
        </w:rPr>
        <w:endnoteReference w:id="5"/>
      </w:r>
      <w:r>
        <w:t>—though the defaul</w:t>
      </w:r>
      <w:r w:rsidR="00653D40">
        <w:t>t term “marketization”</w:t>
      </w:r>
      <w:r>
        <w:t xml:space="preserve"> doesn’t quite capture the complexity of the skew relationship between market rationales and public management imperatives in operation.</w:t>
      </w:r>
      <w:r>
        <w:rPr>
          <w:rStyle w:val="EndnoteReference"/>
        </w:rPr>
        <w:endnoteReference w:id="6"/>
      </w:r>
      <w:r>
        <w:t xml:space="preserve">  Stefan Collini puts the situation bluntly: consider the UK </w:t>
      </w:r>
      <w:r w:rsidR="00653D40">
        <w:t>“the canary in the mine”</w:t>
      </w:r>
      <w:r>
        <w:t>.</w:t>
      </w:r>
      <w:r>
        <w:rPr>
          <w:rStyle w:val="EndnoteReference"/>
        </w:rPr>
        <w:endnoteReference w:id="7"/>
      </w:r>
    </w:p>
    <w:p w14:paraId="7D21811E" w14:textId="0A778DCB" w:rsidR="00B50724" w:rsidRPr="009164D0" w:rsidRDefault="00B50724" w:rsidP="00C22655">
      <w:pPr>
        <w:ind w:firstLine="720"/>
      </w:pPr>
      <w:r>
        <w:t>It will be evident in some of what follows that my interest in how and whether the humanities should account for the social benefit of their research has been shaped by acting a</w:t>
      </w:r>
      <w:r w:rsidR="00653D40">
        <w:t>s the Oxford English Faculty’s “Impact Co-ordinator”</w:t>
      </w:r>
      <w:r>
        <w:t xml:space="preserve"> for the government research exercise. It is nonetheless, and predominantly in this context, a theoretical interest abstractable from the institutional experience. Like the principle of demonstrable usefulness from which it derives, the notion of accounting for social benefits created by the humanities is not one the humanities can reject outright. Those economists who claim that assessment of social impacts was conceived in order to allow the humanities to account for their work in terms closer to their own understanding of its value</w:t>
      </w:r>
      <w:r>
        <w:rPr>
          <w:rStyle w:val="EndnoteReference"/>
        </w:rPr>
        <w:endnoteReference w:id="8"/>
      </w:r>
      <w:r>
        <w:t xml:space="preserve"> are not, I think, being Machiavellian—or if they are being Machiavellian, they are playing the part with exceptional finesse. When advocates for the humanities criticize, as they standardly do, the dominance of bluntly quantitative econometric measures of human happiness, or social prosperity, they are asking, in theory, for just such an inclusion of qualitative understandings of public value. A cynical humanist would say that someone is calling our bluff.</w:t>
      </w:r>
    </w:p>
    <w:p w14:paraId="2C5DBF3D" w14:textId="77777777" w:rsidR="00B50724" w:rsidRDefault="00B50724" w:rsidP="00DA455B">
      <w:pPr>
        <w:ind w:firstLine="720"/>
      </w:pPr>
    </w:p>
    <w:p w14:paraId="237E5370" w14:textId="68E2D7A9" w:rsidR="00B50724" w:rsidRDefault="00B50724" w:rsidP="006A439A">
      <w:pPr>
        <w:ind w:firstLine="720"/>
        <w:jc w:val="center"/>
      </w:pPr>
      <w:r>
        <w:t>*</w:t>
      </w:r>
    </w:p>
    <w:p w14:paraId="49EAD2C2" w14:textId="7CC74E6F" w:rsidR="00B50724" w:rsidRDefault="00B50724" w:rsidP="0058624E">
      <w:r>
        <w:t xml:space="preserve">The concept of quantitative-plus-qualitative accounting is an outgrowth of the </w:t>
      </w:r>
      <w:r w:rsidR="00653D40">
        <w:t>“New Public Management”</w:t>
      </w:r>
      <w:r>
        <w:t xml:space="preserve"> (NPM) techniques first employed from the late 1970s, and rapidly advanced in the US, Britain and many other western democracies during the 1990s.</w:t>
      </w:r>
      <w:r>
        <w:rPr>
          <w:rStyle w:val="EndnoteReference"/>
        </w:rPr>
        <w:endnoteReference w:id="9"/>
      </w:r>
      <w:r>
        <w:t xml:space="preserve"> Strongly associated with neo-liberal ideological drivers, NPM promoted the incorporation of private sector lessons into public service delivery with the aims of </w:t>
      </w:r>
      <w:r w:rsidR="005851EB">
        <w:t>“</w:t>
      </w:r>
      <w:r>
        <w:t>incentivizing service providers</w:t>
      </w:r>
      <w:r w:rsidR="005851EB">
        <w:t>”</w:t>
      </w:r>
      <w:r w:rsidR="00047B1A">
        <w:t xml:space="preserve"> (I dispense with scare quotes from this point)</w:t>
      </w:r>
      <w:r>
        <w:t xml:space="preserve"> to give better quality service, improve efficiency (on the public funder’s side), and improve accountability (a good for all)</w:t>
      </w:r>
      <w:r w:rsidR="002431C1">
        <w:t>.</w:t>
      </w:r>
      <w:r w:rsidR="005851EB">
        <w:t xml:space="preserve"> </w:t>
      </w:r>
      <w:r>
        <w:t>The last f</w:t>
      </w:r>
      <w:r w:rsidR="00653D40">
        <w:t>ew years have seen NPM and the “</w:t>
      </w:r>
      <w:r>
        <w:t>neo-managerial</w:t>
      </w:r>
      <w:r w:rsidR="00653D40">
        <w:t>”</w:t>
      </w:r>
      <w:r>
        <w:rPr>
          <w:rStyle w:val="EndnoteReference"/>
        </w:rPr>
        <w:endnoteReference w:id="10"/>
      </w:r>
      <w:r>
        <w:t xml:space="preserve"> methods it gave rise to partly o</w:t>
      </w:r>
      <w:r w:rsidR="00653D40">
        <w:t>vertaken by a widely perceived “</w:t>
      </w:r>
      <w:r w:rsidRPr="002A6896">
        <w:t>shift in the nature and role of the state from a monolithic bureaucratic hierarchy toward multilevel institutions that interpenetrate with civil society through markets and networks</w:t>
      </w:r>
      <w:r w:rsidR="00653D40">
        <w:t>”</w:t>
      </w:r>
      <w:r>
        <w:t>.</w:t>
      </w:r>
      <w:r>
        <w:rPr>
          <w:rStyle w:val="EndnoteReference"/>
        </w:rPr>
        <w:endnoteReference w:id="11"/>
      </w:r>
      <w:r w:rsidRPr="002A6896">
        <w:t xml:space="preserve"> </w:t>
      </w:r>
      <w:r>
        <w:t>Systems governance models, while clearly indebted to NPM, place greater stress on trying to remedy deficits in representative democracy by eliciting more active citizen participation in allocation decisions and evaluations of public services.</w:t>
      </w:r>
      <w:r>
        <w:rPr>
          <w:rStyle w:val="EndnoteReference"/>
        </w:rPr>
        <w:endnoteReference w:id="12"/>
      </w:r>
      <w:r>
        <w:t xml:space="preserve"> The management theory labels matter less than the broad fact of an evolving commitment to private sector methods and improved accountability in the public sector.</w:t>
      </w:r>
    </w:p>
    <w:p w14:paraId="68DBEDAD" w14:textId="637A2468" w:rsidR="00B50724" w:rsidRDefault="00B50724" w:rsidP="0058624E">
      <w:r>
        <w:tab/>
        <w:t xml:space="preserve">Among the most popular early works in the public management literature to draw attention to the critical question of how bureaucratic measurements should be reformed in line with NPM thinking was David Osborne and Ted Gaebler’s </w:t>
      </w:r>
      <w:r w:rsidRPr="00DF47C4">
        <w:rPr>
          <w:u w:val="single"/>
        </w:rPr>
        <w:t>Reinventing Government: How the Entrepreneurial Spirit is Transforming the Public Sector</w:t>
      </w:r>
      <w:r>
        <w:t xml:space="preserve"> (1993).</w:t>
      </w:r>
      <w:r>
        <w:rPr>
          <w:rStyle w:val="EndnoteReference"/>
        </w:rPr>
        <w:endnoteReference w:id="13"/>
      </w:r>
      <w:r>
        <w:t xml:space="preserve"> Described by </w:t>
      </w:r>
      <w:r w:rsidRPr="00DF47C4">
        <w:rPr>
          <w:u w:val="single"/>
        </w:rPr>
        <w:t>Business Week</w:t>
      </w:r>
      <w:r>
        <w:t xml:space="preserve"> as </w:t>
      </w:r>
      <w:r w:rsidR="00653D40">
        <w:t>“</w:t>
      </w:r>
      <w:r>
        <w:t>th</w:t>
      </w:r>
      <w:r w:rsidR="00653D40">
        <w:t>e new gospel of good government”</w:t>
      </w:r>
      <w:r>
        <w:t xml:space="preserve">, </w:t>
      </w:r>
      <w:r w:rsidRPr="00DF47C4">
        <w:rPr>
          <w:u w:val="single"/>
        </w:rPr>
        <w:t>Reinventing Government</w:t>
      </w:r>
      <w:r>
        <w:t xml:space="preserve"> drew praise from both sides of the American political spectrum: from Bill Clinton and various prominent Democratic mayors and governors; equally from James D. Pinkerton (deputy assistant to then President George Bush) and various prominent Republican mayors and governors. In the course of the larger argument for bringing business methods and entrepreneurial strategies to public service, Osborne and Gaebler urged the introduction of intelligent analysis of social </w:t>
      </w:r>
      <w:r w:rsidR="00653D40">
        <w:t>“outcomes”</w:t>
      </w:r>
      <w:r>
        <w:t xml:space="preserve"> alongside more fa</w:t>
      </w:r>
      <w:r w:rsidR="00653D40">
        <w:t>miliar statistical analyses of “outputs”</w:t>
      </w:r>
      <w:r>
        <w:t>. Their imaginary test case for how and why governments stand to gain a better understanding of the effects of public spending descends, imaginatively, straight from Mayhew.</w:t>
      </w:r>
    </w:p>
    <w:p w14:paraId="5839F0EB" w14:textId="77777777" w:rsidR="00B50724" w:rsidRDefault="00B50724" w:rsidP="00113F46">
      <w:pPr>
        <w:pStyle w:val="Quotation"/>
      </w:pPr>
      <w:r>
        <w:t xml:space="preserve">To use street sweeping as an example, […] one would measure the </w:t>
      </w:r>
      <w:r w:rsidRPr="00DF47C4">
        <w:rPr>
          <w:u w:val="single"/>
        </w:rPr>
        <w:t>output</w:t>
      </w:r>
      <w:r>
        <w:rPr>
          <w:i/>
        </w:rPr>
        <w:t xml:space="preserve"> </w:t>
      </w:r>
      <w:r>
        <w:t xml:space="preserve">or process, by measuring the number of miles swept. But if one wanted to measure the </w:t>
      </w:r>
      <w:r w:rsidRPr="00DF47C4">
        <w:rPr>
          <w:u w:val="single"/>
        </w:rPr>
        <w:t>outcome</w:t>
      </w:r>
      <w:r>
        <w:t xml:space="preserve">, or result, one would have to measure the cleanliness of the streets—as rated, perhaps, by objective, trained observers. This latter measurement would be the </w:t>
      </w:r>
      <w:r w:rsidRPr="00DF47C4">
        <w:rPr>
          <w:u w:val="single"/>
        </w:rPr>
        <w:t>program outcome</w:t>
      </w:r>
      <w:r>
        <w:t xml:space="preserve">. A </w:t>
      </w:r>
      <w:r w:rsidRPr="00DF47C4">
        <w:rPr>
          <w:u w:val="single"/>
        </w:rPr>
        <w:t>policy outcome</w:t>
      </w:r>
      <w:r>
        <w:t xml:space="preserve"> would look at a broader question: how much litter do citizens leave on the streets, and how effective is public policy at minimizing this account.</w:t>
      </w:r>
    </w:p>
    <w:p w14:paraId="41DC56DD" w14:textId="0E645F61" w:rsidR="00B50724" w:rsidRPr="00142AA3" w:rsidRDefault="00B50724" w:rsidP="00113F46">
      <w:pPr>
        <w:pStyle w:val="Quotation"/>
      </w:pPr>
      <w:r>
        <w:tab/>
        <w:t xml:space="preserve">To determine </w:t>
      </w:r>
      <w:r w:rsidRPr="00DF47C4">
        <w:rPr>
          <w:u w:val="single"/>
        </w:rPr>
        <w:t>program efficiency</w:t>
      </w:r>
      <w:r>
        <w:t xml:space="preserve">, an organization would simply measure the cost per mile swept. But to determine </w:t>
      </w:r>
      <w:r w:rsidRPr="00DF47C4">
        <w:rPr>
          <w:u w:val="single"/>
        </w:rPr>
        <w:t>policy efficiency</w:t>
      </w:r>
      <w:r>
        <w:t>, it would have to measure the cost to achieve a desired level of street cleanliness, by whatever method—street sweeping, pr</w:t>
      </w:r>
      <w:r w:rsidR="005851EB">
        <w:t>evention, community self-help. F</w:t>
      </w:r>
      <w:r>
        <w:t xml:space="preserve">inally, to measure </w:t>
      </w:r>
      <w:r w:rsidRPr="00DF47C4">
        <w:rPr>
          <w:u w:val="single"/>
        </w:rPr>
        <w:t>program effectiveness</w:t>
      </w:r>
      <w:r>
        <w:t xml:space="preserve">, a city might measure citizen satisfaction with the level of street cleanliness. But to measure </w:t>
      </w:r>
      <w:r w:rsidRPr="00DF47C4">
        <w:rPr>
          <w:u w:val="single"/>
        </w:rPr>
        <w:t>policy effectiveness</w:t>
      </w:r>
      <w:r>
        <w:t>, it might ask citizens whether they wanted their money spent keeping the streets clean, or whether alternative uses, such as construction or repaving, would be preferable. (354-5)</w:t>
      </w:r>
    </w:p>
    <w:p w14:paraId="4FC6C6FD" w14:textId="7E4458B7" w:rsidR="00B50724" w:rsidRDefault="00B50724" w:rsidP="00113F46">
      <w:r>
        <w:t>In principle, there is plenty to command agreement here: rational consideration of ends before means, identification not just of the benefit wanted but</w:t>
      </w:r>
      <w:r>
        <w:rPr>
          <w:i/>
        </w:rPr>
        <w:t xml:space="preserve"> </w:t>
      </w:r>
      <w:r w:rsidRPr="0097289E">
        <w:t xml:space="preserve">the priority to be given to </w:t>
      </w:r>
      <w:r>
        <w:t xml:space="preserve">any one </w:t>
      </w:r>
      <w:r w:rsidRPr="0097289E">
        <w:t xml:space="preserve">benefit among </w:t>
      </w:r>
      <w:r>
        <w:t xml:space="preserve">others that might reasonably be preferred. There is also something to admire, perhaps, in the sheer actuarial ambition. Amongst so much emphasis on programmes, processes, efficiency, practicality, one can see the intellectual attraction to a problem worth grappling with: the definition of socially sensitive economic measurements and relevant ways of evidencing them. </w:t>
      </w:r>
    </w:p>
    <w:p w14:paraId="67E77058" w14:textId="630BB214" w:rsidR="00B50724" w:rsidRPr="009D73B3" w:rsidRDefault="00B50724" w:rsidP="009D73B3">
      <w:pPr>
        <w:ind w:firstLine="720"/>
      </w:pPr>
      <w:r>
        <w:t xml:space="preserve">Though street sweeping may have appealed to Osborne and Gaebler for its distinguished literary/social-scientific heritage, it is not surprising to find that the political drivers are the reverse of Mayhew’s moral reformist interest in documenting the conditions of London labour in his day. Mayhew thought of labour as an intricate social interdependency requiring certain moral protections (he broke with the first publisher of </w:t>
      </w:r>
      <w:r w:rsidRPr="00DF47C4">
        <w:rPr>
          <w:u w:val="single"/>
        </w:rPr>
        <w:t>London Labour and the London Poor</w:t>
      </w:r>
      <w:r>
        <w:t xml:space="preserve">, the </w:t>
      </w:r>
      <w:r w:rsidRPr="00DF47C4">
        <w:rPr>
          <w:u w:val="single"/>
        </w:rPr>
        <w:t>Morning Chronicle</w:t>
      </w:r>
      <w:r>
        <w:rPr>
          <w:i/>
        </w:rPr>
        <w:t xml:space="preserve">, </w:t>
      </w:r>
      <w:r>
        <w:t>when that paper came out in support of free trade,</w:t>
      </w:r>
      <w:r>
        <w:rPr>
          <w:rStyle w:val="EndnoteReference"/>
        </w:rPr>
        <w:endnoteReference w:id="14"/>
      </w:r>
      <w:r>
        <w:t xml:space="preserve"> perceiving that unregulated international competition would imperil living wages). Such protectionism looks quaint set against the full-blown neo-liberal commitment to market rationality. In </w:t>
      </w:r>
      <w:r w:rsidRPr="00DF47C4">
        <w:rPr>
          <w:u w:val="single"/>
        </w:rPr>
        <w:t>Reinventing Government</w:t>
      </w:r>
      <w:r>
        <w:t>, t</w:t>
      </w:r>
      <w:r w:rsidRPr="00461BFA">
        <w:t>he</w:t>
      </w:r>
      <w:r>
        <w:t xml:space="preserve"> street-sweeper has given way to </w:t>
      </w:r>
      <w:r w:rsidR="00653D40">
        <w:t>“street-sweeping”</w:t>
      </w:r>
      <w:r>
        <w:t xml:space="preserve"> as a rhetorically agentless activity in competition with other agentless activities for public prioritisation. Free market competition is the assumed answer to that great enemy of public sector efficiency, the complacency and distorted incentives that resul</w:t>
      </w:r>
      <w:r w:rsidR="00DC6306">
        <w:t>t from monopoly state provision</w:t>
      </w:r>
      <w:r>
        <w:t xml:space="preserve"> of services (</w:t>
      </w:r>
      <w:r w:rsidR="00653D40">
        <w:t>“jobs for the boys”</w:t>
      </w:r>
      <w:r>
        <w:t xml:space="preserve"> etc.).</w:t>
      </w:r>
    </w:p>
    <w:p w14:paraId="6B7E15E0" w14:textId="49C73E5E" w:rsidR="00B50724" w:rsidRDefault="00B50724" w:rsidP="00A34108">
      <w:pPr>
        <w:ind w:firstLine="720"/>
      </w:pPr>
      <w:r>
        <w:t>Even in the broad theoretical outline, however, one can see that large accounting inefficiencies are going to be generated as soon as one seeks genuinely qualitative measures of outcomes. The accounting body will have to commit substantially more money to the measuring process. Time and expertise will be</w:t>
      </w:r>
      <w:r w:rsidR="002431C1">
        <w:t xml:space="preserve"> required: there will be a need</w:t>
      </w:r>
      <w:r>
        <w:t xml:space="preserve"> </w:t>
      </w:r>
      <w:r w:rsidR="00653D40">
        <w:t>“perhaps” for “objective, trained observers”</w:t>
      </w:r>
      <w:r>
        <w:t xml:space="preserve">. And once public sector managers set about the still more complex task of measuring </w:t>
      </w:r>
      <w:r w:rsidR="00653D40">
        <w:t>“</w:t>
      </w:r>
      <w:r>
        <w:t>program effectiveness</w:t>
      </w:r>
      <w:r w:rsidR="00653D40">
        <w:t>”</w:t>
      </w:r>
      <w:r>
        <w:t xml:space="preserve"> they create a form of work for which there was previously no call: the work of the citizen who attests to the benefit received. This activity is, significantly, not conceived of as work, let alone burdensome. The citizen’s satisfaction level is a vital piece of information for a q</w:t>
      </w:r>
      <w:r w:rsidR="00DC6306">
        <w:t>ualitative utilitarian account;</w:t>
      </w:r>
      <w:r>
        <w:t xml:space="preserve"> how it is to be gauged and what may be the cost (in time and possible diminishment of the satisfaction) is not territory Osborne and Gaebler venture on.</w:t>
      </w:r>
      <w:r>
        <w:rPr>
          <w:rStyle w:val="EndnoteReference"/>
        </w:rPr>
        <w:endnoteReference w:id="15"/>
      </w:r>
      <w:r w:rsidR="001400C1">
        <w:t xml:space="preserve"> If the pressure on beneficiaries</w:t>
      </w:r>
      <w:r>
        <w:t xml:space="preserve"> to testify to their experience is lightly conceived and compliance optional (as when Amazon emails you to ask for your </w:t>
      </w:r>
      <w:r w:rsidR="002431C1">
        <w:t>rating of a book supplier)</w:t>
      </w:r>
      <w:r w:rsidR="001400C1">
        <w:t>,</w:t>
      </w:r>
      <w:r w:rsidR="002431C1">
        <w:t xml:space="preserve"> responding </w:t>
      </w:r>
      <w:r w:rsidR="001400C1">
        <w:t>takes ten</w:t>
      </w:r>
      <w:r>
        <w:t xml:space="preserve"> seconds and not a great deal of customer good will. As soon as the request becomes more elaborate (as when the garage which serviced your car this morning phones in the afternoon to ask for your completion of a telephone feedback survey on the experience of having your car serviced)</w:t>
      </w:r>
      <w:r w:rsidR="001400C1">
        <w:t>,</w:t>
      </w:r>
      <w:r>
        <w:t xml:space="preserve"> the risk of customer alienation rises. At that point, and anything beyond, it may be necessary to incentivize the beneficiary to respond; and an incentivized beneficiary may fairly be considered no longer an objective reporter. At the yet higher level of ambition entailed in discovering what citizens think about the relative desirability of competing policies, common sense would say that the public sector manager must pay for sample polling or wait till the next election (though it is not clear that the common sense response is what Osborne and Gaebler have in mind). </w:t>
      </w:r>
    </w:p>
    <w:p w14:paraId="5A612AC7" w14:textId="3AA5A85A" w:rsidR="00B50724" w:rsidRDefault="00B50724" w:rsidP="00A34108">
      <w:pPr>
        <w:ind w:firstLine="720"/>
      </w:pPr>
      <w:r>
        <w:t xml:space="preserve">It is worth asking where </w:t>
      </w:r>
      <w:r w:rsidR="00653D40">
        <w:t>“the public”</w:t>
      </w:r>
      <w:r>
        <w:t xml:space="preserve"> is in all this. In effect, the public is sym</w:t>
      </w:r>
      <w:r w:rsidR="001827D5">
        <w:t>ptomatically relocated with the</w:t>
      </w:r>
      <w:r>
        <w:t xml:space="preserve"> shift </w:t>
      </w:r>
      <w:r w:rsidR="001827D5">
        <w:t>toward qualitative accounting</w:t>
      </w:r>
      <w:r>
        <w:t xml:space="preserve">. Process outcome measurement imagines the public as the recipient of the good, to be accounted </w:t>
      </w:r>
      <w:r w:rsidRPr="006046B6">
        <w:rPr>
          <w:u w:val="single"/>
        </w:rPr>
        <w:t>to</w:t>
      </w:r>
      <w:r>
        <w:t xml:space="preserve">. Policy outcome measurement takes the public’s behavior into its considerations of public policy—one then accounts </w:t>
      </w:r>
      <w:r w:rsidRPr="00DF47C4">
        <w:rPr>
          <w:u w:val="single"/>
        </w:rPr>
        <w:t>for</w:t>
      </w:r>
      <w:r>
        <w:rPr>
          <w:i/>
        </w:rPr>
        <w:t xml:space="preserve"> </w:t>
      </w:r>
      <w:r>
        <w:t xml:space="preserve">as well as </w:t>
      </w:r>
      <w:r w:rsidRPr="00DF47C4">
        <w:rPr>
          <w:u w:val="single"/>
        </w:rPr>
        <w:t>to</w:t>
      </w:r>
      <w:r>
        <w:rPr>
          <w:i/>
        </w:rPr>
        <w:t xml:space="preserve"> </w:t>
      </w:r>
      <w:r>
        <w:t xml:space="preserve">the public. In theory this is an intelligent refinement of utilitarian accounting in the direction of behavioural economics (one taken further by system governance theory); in practice it adds a further complexity of bureaucratic activity and a further dilution of the core activity of policy delivery. The public service provider is no longer merely scrutinizing the efficiency of what is done but reflecting critically on whether what is done is sufficiently desirable. What was a legitimate concern for policy makers at the point </w:t>
      </w:r>
      <w:r w:rsidR="001400C1">
        <w:t>when policy was first conceived</w:t>
      </w:r>
      <w:r>
        <w:t xml:space="preserve"> thus becomes an embedded requirement for self-reflexiveness in the service provider’s activity. </w:t>
      </w:r>
      <w:r w:rsidR="00653D40">
        <w:t>“</w:t>
      </w:r>
      <w:r w:rsidR="003C5A60">
        <w:t xml:space="preserve">Subject </w:t>
      </w:r>
      <w:r w:rsidRPr="003C5A60">
        <w:t>measures</w:t>
      </w:r>
      <w:r>
        <w:t xml:space="preserve"> to</w:t>
      </w:r>
      <w:r w:rsidR="00653D40">
        <w:t xml:space="preserve"> annual review and modification”, Osborne and Gaebler advise. “</w:t>
      </w:r>
      <w:r>
        <w:t>Anticipate powerful resistance. … The best way to deal with [it] is to bring providers and employees into the process of defining measures. To use data effectively […] pe</w:t>
      </w:r>
      <w:r w:rsidR="00653D40">
        <w:t>ople have to buy into its value”</w:t>
      </w:r>
      <w:r>
        <w:t xml:space="preserve"> (357-8).</w:t>
      </w:r>
    </w:p>
    <w:p w14:paraId="51EDA5EC" w14:textId="1F9F86C6" w:rsidR="00B50724" w:rsidRPr="00153541" w:rsidRDefault="00B50724" w:rsidP="00153541">
      <w:pPr>
        <w:ind w:firstLine="720"/>
      </w:pPr>
      <w:r>
        <w:t xml:space="preserve">In </w:t>
      </w:r>
      <w:r w:rsidRPr="00DF47C4">
        <w:rPr>
          <w:u w:val="single"/>
        </w:rPr>
        <w:t>Public Spending</w:t>
      </w:r>
      <w:r>
        <w:rPr>
          <w:i/>
        </w:rPr>
        <w:t xml:space="preserve"> </w:t>
      </w:r>
      <w:r w:rsidR="00DC6306">
        <w:t>(1998), Evan Davis describes</w:t>
      </w:r>
      <w:r>
        <w:t xml:space="preserve"> a perennial difficulty for bureaucratic efforts at measuring the value returned by public spending. Wherever the purchaser (that is, the government) operates </w:t>
      </w:r>
      <w:r w:rsidR="00653D40">
        <w:t>“at arm’s length” from the “provider”</w:t>
      </w:r>
      <w:r>
        <w:t xml:space="preserve"> there will be a point at which one has to measure what the providers are doing:</w:t>
      </w:r>
    </w:p>
    <w:p w14:paraId="250324E8" w14:textId="04AACF27" w:rsidR="00B50724" w:rsidRDefault="00B50724" w:rsidP="0056228D">
      <w:pPr>
        <w:pStyle w:val="Quotation"/>
      </w:pPr>
      <w:r>
        <w:t>And this is not easy—it involves an inconvenient process of regulation. Either you measure outputs in a crude way, and hence encourage providers to provide those crude outputs [</w:t>
      </w:r>
      <w:r>
        <w:rPr>
          <w:i/>
        </w:rPr>
        <w:t>vide</w:t>
      </w:r>
      <w:r>
        <w:t xml:space="preserve"> the </w:t>
      </w:r>
      <w:r w:rsidR="00653D40">
        <w:t>“</w:t>
      </w:r>
      <w:r>
        <w:t>abysmal deteriorati</w:t>
      </w:r>
      <w:r w:rsidR="00653D40">
        <w:t>on in the quality of production”</w:t>
      </w:r>
      <w:r>
        <w:t xml:space="preserve"> under the old Communist systems]. Or you measure output in a sophisticated way, and endure the administrative cost involved.</w:t>
      </w:r>
      <w:r>
        <w:rPr>
          <w:rStyle w:val="EndnoteReference"/>
        </w:rPr>
        <w:endnoteReference w:id="16"/>
      </w:r>
    </w:p>
    <w:p w14:paraId="3B0EA00A" w14:textId="5CEDA538" w:rsidR="00B50724" w:rsidRDefault="00B50724" w:rsidP="00113F46">
      <w:r>
        <w:t xml:space="preserve">Increasingly, he observed, providers of funding are willing to endure the administrative burden of </w:t>
      </w:r>
      <w:r w:rsidR="00653D40">
        <w:t>“sophistication” and are attempting to measure “outcomes”</w:t>
      </w:r>
      <w:r>
        <w:t xml:space="preserve"> as well as </w:t>
      </w:r>
      <w:r w:rsidR="00653D40">
        <w:t>“outputs”</w:t>
      </w:r>
      <w:r>
        <w:t>. Fifteen years of sophistication down the line, and the competing claims of convenience and quality of information are less obviously in any kind of balance—but it is also now plain that calibrating the right level of commitment to bureaucratic measurement is</w:t>
      </w:r>
      <w:r w:rsidR="00653D40">
        <w:t xml:space="preserve"> a publicly pervasive problem. “</w:t>
      </w:r>
      <w:r>
        <w:t>Social accou</w:t>
      </w:r>
      <w:r w:rsidR="00653D40">
        <w:t>nting”,</w:t>
      </w:r>
      <w:r>
        <w:t xml:space="preserve"> as it is now often described and increasingly widely practiced,</w:t>
      </w:r>
      <w:r>
        <w:rPr>
          <w:rStyle w:val="EndnoteReference"/>
        </w:rPr>
        <w:endnoteReference w:id="17"/>
      </w:r>
      <w:r>
        <w:t xml:space="preserve"> is onerous—the more </w:t>
      </w:r>
      <w:r w:rsidR="00653D40">
        <w:t>so in proportion as it aims at “constructivis</w:t>
      </w:r>
      <w:r w:rsidR="000F35F4">
        <w:t>t evaluation” of the kind where “</w:t>
      </w:r>
      <w:r w:rsidR="00653D40">
        <w:t>the ‘evaluand’</w:t>
      </w:r>
      <w:r>
        <w:t>, the object of the evaluation, is not given in advance and must be defined through a hermeneutic process involving stakeholders.</w:t>
      </w:r>
      <w:r w:rsidR="00653D40">
        <w:t>”</w:t>
      </w:r>
      <w:r>
        <w:rPr>
          <w:rStyle w:val="EndnoteReference"/>
        </w:rPr>
        <w:endnoteReference w:id="18"/>
      </w:r>
      <w:r w:rsidR="00653D40">
        <w:t xml:space="preserve"> “Social accounting”</w:t>
      </w:r>
      <w:r>
        <w:t xml:space="preserve"> and social auditing require definition of the organisation’s mission, vision, values and policies; identification of critical areas of performance (</w:t>
      </w:r>
      <w:r w:rsidR="00DC6306">
        <w:t>with</w:t>
      </w:r>
      <w:r>
        <w:t xml:space="preserve"> stakeholders asked to describe any inconsistencies between stated values and actual performance); definition of social and economic indicators and textual/narrative contributions; data collecting and reporting; then the final communication and evaluation.</w:t>
      </w:r>
      <w:r>
        <w:rPr>
          <w:rStyle w:val="EndnoteReference"/>
        </w:rPr>
        <w:endnoteReference w:id="19"/>
      </w:r>
    </w:p>
    <w:p w14:paraId="6D47ECAB" w14:textId="77777777" w:rsidR="00DC6306" w:rsidRDefault="00DC6306" w:rsidP="00DC6306">
      <w:pPr>
        <w:ind w:firstLine="720"/>
      </w:pPr>
      <w:r>
        <w:t>It is no small problem</w:t>
      </w:r>
      <w:r w:rsidR="00B50724">
        <w:t xml:space="preserve"> that the public </w:t>
      </w:r>
      <w:r w:rsidR="00653D40">
        <w:t>“stakeholders”</w:t>
      </w:r>
      <w:r w:rsidR="00B50724">
        <w:t xml:space="preserve"> who</w:t>
      </w:r>
      <w:r>
        <w:t>m the principle aims to serve are</w:t>
      </w:r>
      <w:r w:rsidR="00B50724">
        <w:t xml:space="preserve"> not </w:t>
      </w:r>
      <w:r>
        <w:t>eager to provide</w:t>
      </w:r>
      <w:r w:rsidR="00B50724">
        <w:t xml:space="preserve"> the data wanted. For a stark example of how difficult the bureaucratic challenge is, consider the National Health Service’s ongoing efforts to obtain statistically meaningful levels of public feedback about quality of care. The latest NHS guidelines for improving quality standards seek to impose a </w:t>
      </w:r>
      <w:r w:rsidR="00653D40">
        <w:t>“Family and Friends”</w:t>
      </w:r>
      <w:r w:rsidR="00B50724">
        <w:t xml:space="preserve"> feedbac</w:t>
      </w:r>
      <w:r w:rsidR="00653D40">
        <w:t>k test that will (it is hoped) “</w:t>
      </w:r>
      <w:r w:rsidR="00B50724">
        <w:t>provide timely, granular feedback from patients about their exper</w:t>
      </w:r>
      <w:r w:rsidR="00653D40">
        <w:t>ience”.</w:t>
      </w:r>
      <w:r w:rsidR="00B50724">
        <w:t xml:space="preserve"> The stated goal, which NHS providers are heavily financially incentivized to reach, is a baseline response of 15%, with at least 20% returns by the final quarter of the fiscal year.</w:t>
      </w:r>
      <w:r w:rsidR="00B50724">
        <w:rPr>
          <w:rStyle w:val="EndnoteReference"/>
        </w:rPr>
        <w:endnoteReference w:id="20"/>
      </w:r>
      <w:r w:rsidR="00B50724">
        <w:t xml:space="preserve"> Monitory figures from the last financial year are quoted: </w:t>
      </w:r>
      <w:r w:rsidR="00653D40">
        <w:t>“</w:t>
      </w:r>
      <w:r w:rsidR="00B50724">
        <w:t xml:space="preserve">The </w:t>
      </w:r>
      <w:r w:rsidR="00B50724" w:rsidRPr="00760A23">
        <w:t>2011/12 national inpatient survey showed that only 13 per cent of patients in acute hospital inpatient wards and A&amp;E departments were asked for feedback</w:t>
      </w:r>
      <w:r w:rsidR="00653D40">
        <w:t>”</w:t>
      </w:r>
      <w:r w:rsidR="006046B6">
        <w:t xml:space="preserve"> (</w:t>
      </w:r>
      <w:r w:rsidR="00B50724">
        <w:t>11).</w:t>
      </w:r>
      <w:r>
        <w:t xml:space="preserve"> </w:t>
      </w:r>
      <w:r w:rsidR="00B50724">
        <w:t xml:space="preserve">Perhaps A&amp;E departments, acutely ill patients and their families have better things to do than describe levels of satisfaction. </w:t>
      </w:r>
      <w:r w:rsidR="00653D40">
        <w:t>“We count what we care about”</w:t>
      </w:r>
      <w:r w:rsidR="00B50724">
        <w:t>, as Martha Minow puts it, succinctly</w:t>
      </w:r>
      <w:r w:rsidR="00B50724">
        <w:rPr>
          <w:rStyle w:val="EndnoteReference"/>
        </w:rPr>
        <w:endnoteReference w:id="21"/>
      </w:r>
      <w:r w:rsidR="00B50724">
        <w:t>—but there is only so much evaluation the culture will bear and the NHS example is a stark reminder that even some of the things we have best reason to care about do not inspire us to put</w:t>
      </w:r>
      <w:r>
        <w:t xml:space="preserve"> our utility ratings on record.</w:t>
      </w:r>
    </w:p>
    <w:p w14:paraId="5B3E1D00" w14:textId="0038558C" w:rsidR="00B50724" w:rsidRDefault="00B50724" w:rsidP="00DC6306">
      <w:pPr>
        <w:ind w:firstLine="720"/>
      </w:pPr>
      <w:r>
        <w:t>Public management theorists have offered a variety of more abstract reasons for why the public isn’t playing the game. Where 1990s theorists tended to posit the public as the problem (what was needed was intensive public education in the responsibilities of participatory democracy</w:t>
      </w:r>
      <w:r>
        <w:rPr>
          <w:rStyle w:val="EndnoteReference"/>
        </w:rPr>
        <w:endnoteReference w:id="22"/>
      </w:r>
      <w:r>
        <w:t xml:space="preserve">), more recent commentators have recognized ongoing deep attitudinal problems in the managerial system itself. Mark Bevir, for example, argues that the public senses at best ambivalence, at worst real reluctance, on the part of public service providers to solicit </w:t>
      </w:r>
      <w:r w:rsidR="00653D40">
        <w:t>“</w:t>
      </w:r>
      <w:r w:rsidRPr="00DB2869">
        <w:t>genuinely broadening participation</w:t>
      </w:r>
      <w:r w:rsidR="00653D40">
        <w:t>”</w:t>
      </w:r>
      <w:r w:rsidRPr="00DB2869">
        <w:t xml:space="preserve">, </w:t>
      </w:r>
      <w:r>
        <w:t xml:space="preserve">which would introduce </w:t>
      </w:r>
      <w:r w:rsidR="00653D40">
        <w:t>“</w:t>
      </w:r>
      <w:r>
        <w:t>the possibility</w:t>
      </w:r>
      <w:r w:rsidRPr="00DB2869">
        <w:t xml:space="preserve"> that citizens and associations would act as catalysts for change, overturning existing norms, practices, and institutions, instead of enhancing their legitimacy and effectiveness</w:t>
      </w:r>
      <w:r w:rsidR="00653D40">
        <w:t>”</w:t>
      </w:r>
      <w:r>
        <w:t>.</w:t>
      </w:r>
      <w:r>
        <w:rPr>
          <w:rStyle w:val="EndnoteReference"/>
        </w:rPr>
        <w:endnoteReference w:id="23"/>
      </w:r>
      <w:r>
        <w:t xml:space="preserve"> In defence of third sector organisations, Giulio Citroni and Sabina Nicolella justly point out that </w:t>
      </w:r>
      <w:r w:rsidR="00653D40">
        <w:t>“</w:t>
      </w:r>
      <w:r>
        <w:t>the relatively narrow nature of the issues and the interests … pursue[d] prevent[s] them from being representative of wider social needs.</w:t>
      </w:r>
      <w:r w:rsidR="0031282B">
        <w:t>”</w:t>
      </w:r>
      <w:r>
        <w:rPr>
          <w:rStyle w:val="EndnoteReference"/>
        </w:rPr>
        <w:endnoteReference w:id="24"/>
      </w:r>
      <w:r>
        <w:t xml:space="preserve"> The most politically provocative warning against the culture of intense evaluation remains the one posited by Vincent Wright back in 1997: that the </w:t>
      </w:r>
      <w:r w:rsidR="00653D40">
        <w:t>“craze”</w:t>
      </w:r>
      <w:r>
        <w:t xml:space="preserve"> for accountabil</w:t>
      </w:r>
      <w:r w:rsidR="00653D40">
        <w:t>ity risks “delegitimating”</w:t>
      </w:r>
      <w:r>
        <w:t xml:space="preserve"> the means by which democracies have in the past been able to effect anything like an efficient rationing of scar</w:t>
      </w:r>
      <w:r w:rsidR="001400C1">
        <w:t>c</w:t>
      </w:r>
      <w:r>
        <w:t xml:space="preserve">e resources, because it introduces an expectation </w:t>
      </w:r>
      <w:r w:rsidR="006D1F41">
        <w:t>of fairness and</w:t>
      </w:r>
      <w:r>
        <w:t xml:space="preserve"> procedural mechanisms claiming to manage it, when fairness is never in fact going to be possible.</w:t>
      </w:r>
      <w:r>
        <w:rPr>
          <w:rStyle w:val="EndnoteReference"/>
        </w:rPr>
        <w:endnoteReference w:id="25"/>
      </w:r>
      <w:r>
        <w:t xml:space="preserve"> </w:t>
      </w:r>
    </w:p>
    <w:p w14:paraId="49AA41F1" w14:textId="2065789B" w:rsidR="00B50724" w:rsidRDefault="00B50724" w:rsidP="00CF35B9">
      <w:pPr>
        <w:ind w:firstLine="720"/>
      </w:pPr>
      <w:r>
        <w:t xml:space="preserve">Cost of delivery, non-compliance by the public, a perceived lack of a serious democratic openness on the part of managers, </w:t>
      </w:r>
      <w:r w:rsidR="00653D40">
        <w:t>“the paradox”</w:t>
      </w:r>
      <w:r>
        <w:t xml:space="preserve"> (a</w:t>
      </w:r>
      <w:r w:rsidR="00653D40">
        <w:t>s Citroni and Nicolella put it “</w:t>
      </w:r>
      <w:r>
        <w:t>of motivation and accord that must pre-exist in order to be elaborated upon and reinf</w:t>
      </w:r>
      <w:r w:rsidR="00653D40">
        <w:t>orced in the [auditing] process”</w:t>
      </w:r>
      <w:r>
        <w:t xml:space="preserve"> (34): if, for all these reasons, qualitatively rich accounting might have been expected to be short lived, it nevertheless has acquired a political standing very hard to dislodge. The reason</w:t>
      </w:r>
      <w:r w:rsidR="006D1F41">
        <w:t xml:space="preserve">s for that standing are, or </w:t>
      </w:r>
      <w:r>
        <w:t xml:space="preserve">can quite credibly claim to be, moral, and they escape the grasp of the standard political critiques of neoliberalisation and marketisation. At a bare minimum they involve prudential concerns for institutional reputation and a recognition of duties, but they may also express a real commitment to public virtues: responsibility, care for others, a concern for equality and for social justice. All the political credit attached to qualitative accounting rests on its provision of a visible assurance that certain indisputably desirable public desiderata are being met: that reporting on </w:t>
      </w:r>
      <w:r w:rsidR="006D1F41">
        <w:t>“value for money”-</w:t>
      </w:r>
      <w:r w:rsidR="00653D40">
        <w:t>provided should be “evidence based”</w:t>
      </w:r>
      <w:r w:rsidR="006D1F41">
        <w:t>; that the claims</w:t>
      </w:r>
      <w:r>
        <w:t xml:space="preserve"> should be specific n</w:t>
      </w:r>
      <w:r w:rsidR="006D1F41">
        <w:t>ot gesturally assertive; that they</w:t>
      </w:r>
      <w:r>
        <w:t xml:space="preserve"> should detail th</w:t>
      </w:r>
      <w:r w:rsidR="00653D40">
        <w:t>e “significance” and “reach”</w:t>
      </w:r>
      <w:r>
        <w:t xml:space="preserve"> of what was achieved as well as blunt </w:t>
      </w:r>
      <w:r w:rsidR="002431C1">
        <w:t>quantities</w:t>
      </w:r>
      <w:r>
        <w:t xml:space="preserve">; not least, that dealings with beneficiaries should demonstrate respect for the democratic principle of equality of opportunity and the legal requirement of due process. </w:t>
      </w:r>
      <w:r w:rsidRPr="00CF35B9">
        <w:t>Certa</w:t>
      </w:r>
      <w:r>
        <w:t>inly qualitative-cum-quantitative accounting</w:t>
      </w:r>
      <w:r w:rsidRPr="00CF35B9">
        <w:t xml:space="preserve"> honours the letter of those principles. The question is whether it damages the life of them.</w:t>
      </w:r>
    </w:p>
    <w:p w14:paraId="188C0C84" w14:textId="77777777" w:rsidR="00B50724" w:rsidRPr="00CF35B9" w:rsidRDefault="00B50724" w:rsidP="00CF35B9">
      <w:pPr>
        <w:ind w:firstLine="720"/>
      </w:pPr>
    </w:p>
    <w:p w14:paraId="18817676" w14:textId="5B6D643B" w:rsidR="00B50724" w:rsidRDefault="00B50724" w:rsidP="00B85B53">
      <w:r>
        <w:t xml:space="preserve">This is the globally evolved accounting culture in which the UK Research Excellence Framework 2014 version of accounting for the social benefit of university research operates. For the purposes of the REF, </w:t>
      </w:r>
      <w:r w:rsidR="00653D40">
        <w:t>“impact” is defined as “</w:t>
      </w:r>
      <w:r w:rsidRPr="001A348C">
        <w:t xml:space="preserve">an effect on, change or benefit to the economy, society, culture, public policy or services, health, the environment or quality of life, beyond </w:t>
      </w:r>
      <w:r w:rsidR="00653D40">
        <w:t>academia”</w:t>
      </w:r>
      <w:r>
        <w:t>.</w:t>
      </w:r>
      <w:r>
        <w:rPr>
          <w:rStyle w:val="EndnoteReference"/>
        </w:rPr>
        <w:endnoteReference w:id="26"/>
      </w:r>
      <w:r>
        <w:t xml:space="preserve"> Hard work and a great deal of lobbying by scholarly societies </w:t>
      </w:r>
      <w:r w:rsidR="006D1F41">
        <w:t>and other representative bodies</w:t>
      </w:r>
      <w:r>
        <w:t xml:space="preserve"> went into refining the more specific guidelines applying to impact from the humanities.</w:t>
      </w:r>
      <w:r>
        <w:rPr>
          <w:rStyle w:val="EndnoteReference"/>
        </w:rPr>
        <w:endnoteReference w:id="27"/>
      </w:r>
      <w:r>
        <w:t xml:space="preserve"> The following indicative examples, selected from the final </w:t>
      </w:r>
      <w:r w:rsidR="006D1F41">
        <w:t xml:space="preserve">guidelines, are likely to be </w:t>
      </w:r>
      <w:r>
        <w:t>the kind</w:t>
      </w:r>
      <w:r w:rsidR="006D1F41">
        <w:t>s of impact most often claimed in</w:t>
      </w:r>
      <w:r>
        <w:t xml:space="preserve"> English language and literature case studies:</w:t>
      </w:r>
    </w:p>
    <w:p w14:paraId="5783D2D3" w14:textId="02BA8704" w:rsidR="00B50724" w:rsidRDefault="00B50724" w:rsidP="005421F8">
      <w:pPr>
        <w:pStyle w:val="Quotation"/>
      </w:pPr>
      <w:r>
        <w:t>—Generating new ways of thinking that influence creative practice.</w:t>
      </w:r>
    </w:p>
    <w:p w14:paraId="48DA4AE4" w14:textId="44AD4E78" w:rsidR="00B50724" w:rsidRDefault="00B50724" w:rsidP="005421F8">
      <w:pPr>
        <w:pStyle w:val="Quotation"/>
      </w:pPr>
      <w:r>
        <w:t>—Creating, inspiring and supporting new forms of artistic, literary, linguistic, social, economic, religious and other expression.</w:t>
      </w:r>
    </w:p>
    <w:p w14:paraId="47A82AD5" w14:textId="7A8E74D9" w:rsidR="00B50724" w:rsidRDefault="00B50724" w:rsidP="005421F8">
      <w:pPr>
        <w:pStyle w:val="Quotation"/>
      </w:pPr>
      <w:r>
        <w:t>—Contributing to economic prosperity via the creative sector including publishing, music, theatre, museums and galleries, film and television, fashion, tourism, and computer games.</w:t>
      </w:r>
    </w:p>
    <w:p w14:paraId="25319784" w14:textId="0C0197B3" w:rsidR="00B50724" w:rsidRDefault="00B50724" w:rsidP="005421F8">
      <w:pPr>
        <w:pStyle w:val="Quotation"/>
      </w:pPr>
      <w:r>
        <w:t>—informing or influencing practice or policy as a result of research on the nature and extent of religious, sexual, ethnic or linguistic discrimination.</w:t>
      </w:r>
    </w:p>
    <w:p w14:paraId="598CDCDB" w14:textId="34257536" w:rsidR="00B50724" w:rsidRDefault="00B50724" w:rsidP="005421F8">
      <w:pPr>
        <w:pStyle w:val="Quotation"/>
      </w:pPr>
      <w:r>
        <w:t>—Helping professionals and organisations adapt to changing cultural values.</w:t>
      </w:r>
    </w:p>
    <w:p w14:paraId="1C0E6186" w14:textId="6EC02167" w:rsidR="00B50724" w:rsidRDefault="00B50724" w:rsidP="005421F8">
      <w:pPr>
        <w:pStyle w:val="Quotation"/>
      </w:pPr>
      <w:r>
        <w:t>—Preserving, conserving, and presenting cultural heritage.</w:t>
      </w:r>
    </w:p>
    <w:p w14:paraId="0D41548B" w14:textId="6FD096A4" w:rsidR="00B50724" w:rsidRDefault="00B50724" w:rsidP="002431C1">
      <w:pPr>
        <w:pStyle w:val="Quotation"/>
      </w:pPr>
      <w:r>
        <w:t>—Influencing the design and delivery of curriculum and syllabi in schools, other HEIs or other educational institutions [beyond the originating institution] for example through the widespread use of text books, primary sources or an IT resource in education.</w:t>
      </w:r>
      <w:r>
        <w:rPr>
          <w:rStyle w:val="EndnoteReference"/>
        </w:rPr>
        <w:endnoteReference w:id="28"/>
      </w:r>
    </w:p>
    <w:p w14:paraId="7F8E8485" w14:textId="0EAB0B6C" w:rsidR="00B50724" w:rsidRDefault="00B50724" w:rsidP="001A348C">
      <w:pPr>
        <w:ind w:firstLine="720"/>
      </w:pPr>
      <w:r>
        <w:t xml:space="preserve">In addition to the core submission of staff publications and narrative description of the institutional research environment and strategy, universities must provide a narrative description of the unit’s </w:t>
      </w:r>
      <w:r w:rsidR="00653D40">
        <w:t>“</w:t>
      </w:r>
      <w:r>
        <w:t xml:space="preserve">approach … </w:t>
      </w:r>
      <w:r w:rsidRPr="00ED15C2">
        <w:t>to</w:t>
      </w:r>
      <w:r w:rsidRPr="009075A9">
        <w:t xml:space="preserve"> enabling impact</w:t>
      </w:r>
      <w:r w:rsidR="00653D40">
        <w:t>”</w:t>
      </w:r>
      <w:r>
        <w:t xml:space="preserve"> and</w:t>
      </w:r>
      <w:r w:rsidRPr="009075A9">
        <w:t xml:space="preserve"> </w:t>
      </w:r>
      <w:r w:rsidR="00653D40">
        <w:t>“</w:t>
      </w:r>
      <w:r w:rsidRPr="009075A9">
        <w:t>case studies describing specific examples of impacts achieved during the assessment period, underpinned by excellent research</w:t>
      </w:r>
      <w:r w:rsidR="00653D40">
        <w:t>”</w:t>
      </w:r>
      <w:r>
        <w:t xml:space="preserve"> (underpinning research may be backdated up to 15 years prior to the main publications assessment period). The larger the unit the more case studies are required (two for a submission of up to 15 staff members; one for every additional 10 persons thereafter). They will be ranked nationally on a scale from 4 stars (</w:t>
      </w:r>
      <w:r w:rsidR="00653D40">
        <w:t>“</w:t>
      </w:r>
      <w:r>
        <w:t>Outstanding impacts in terms of their reach a</w:t>
      </w:r>
      <w:r w:rsidR="00653D40">
        <w:t>nd significance”</w:t>
      </w:r>
      <w:r>
        <w:t>) to</w:t>
      </w:r>
      <w:r w:rsidR="00653D40">
        <w:t xml:space="preserve"> no stars (negligible impact) (“Guidance”</w:t>
      </w:r>
      <w:r w:rsidR="006046B6">
        <w:t xml:space="preserve">, </w:t>
      </w:r>
      <w:r>
        <w:t>44).</w:t>
      </w:r>
    </w:p>
    <w:p w14:paraId="1E386339" w14:textId="0C368EF7" w:rsidR="00B50724" w:rsidRDefault="00B50724" w:rsidP="001A348C">
      <w:pPr>
        <w:ind w:firstLine="720"/>
      </w:pPr>
      <w:r>
        <w:t xml:space="preserve">There is a certain amount of ingenuity involved in shaping a retrospective account of an activity (let alone a policy and a strategy) for which the terms of assessment were not known before 2011. But the hard work is in the case studies, where the evidence is often not easy to track. The </w:t>
      </w:r>
      <w:r w:rsidR="00653D40">
        <w:t>“vagrant nature”</w:t>
      </w:r>
      <w:r>
        <w:t xml:space="preserve"> (as Citroni and Nicolleli nicely put it) of many so</w:t>
      </w:r>
      <w:r w:rsidR="00653D40">
        <w:t>cial benefits resists capture; “stories and conditions” are “not easily generalized”</w:t>
      </w:r>
      <w:r>
        <w:t>.</w:t>
      </w:r>
      <w:r>
        <w:rPr>
          <w:rStyle w:val="EndnoteReference"/>
        </w:rPr>
        <w:endnoteReference w:id="29"/>
      </w:r>
      <w:r>
        <w:t xml:space="preserve"> An iterative process of drafting and redrafting over the past two years has moved them ever more exactingly away from broad assertions to specific demonstrated effects on specific beneficiaries. So, a first draft of a case study which cites, for example, large sales of a literary biography and extensive public engagement activities (lectures, public readings, television and radio interviews) may have demonstrated </w:t>
      </w:r>
      <w:r w:rsidR="00653D40">
        <w:t>“reach</w:t>
      </w:r>
      <w:r w:rsidR="001400C1">
        <w:t>,</w:t>
      </w:r>
      <w:r w:rsidR="00653D40">
        <w:t>” but the case for “significance”</w:t>
      </w:r>
      <w:r>
        <w:t xml:space="preserve"> won’t pass muster without evidence that those who bought the book were in some way effected, changed or benefitted. In theory, one could hope that the publisher would release sales profit figures that would evidence a contribution to economic prosperity; in practice trade publishers are reluctant to release that information (pharmaceutical companies are even less willing to comply with profit requests from colleagues in the sciences).</w:t>
      </w:r>
    </w:p>
    <w:p w14:paraId="54CA20C6" w14:textId="50C53276" w:rsidR="00B50724" w:rsidRDefault="00B50724" w:rsidP="001A348C">
      <w:pPr>
        <w:ind w:firstLine="720"/>
      </w:pPr>
      <w:r>
        <w:t>A process of extensive solicitation of testimonials therefore begins, with the ambition of extracting evidence from beneficiaries. This may be relatively straightforward when a colleague has, say, worked with a film company or a school examinations board</w:t>
      </w:r>
      <w:r w:rsidR="006D1F41">
        <w:t xml:space="preserve"> which has </w:t>
      </w:r>
      <w:r>
        <w:t xml:space="preserve">some prior familiarity with public sector reporting requirements. The already experienced will know that a testimonial reading </w:t>
      </w:r>
      <w:r w:rsidR="00653D40">
        <w:t>“</w:t>
      </w:r>
      <w:r>
        <w:t>Pro</w:t>
      </w:r>
      <w:r w:rsidR="00653D40">
        <w:t>fessor X was enormously helpful”</w:t>
      </w:r>
      <w:r>
        <w:t xml:space="preserve"> is of no </w:t>
      </w:r>
      <w:r w:rsidR="00653D40">
        <w:t>help; whereas one stating that “</w:t>
      </w:r>
      <w:r>
        <w:t>Professor X changed our understanding of [this precise subject] in [this precise way]</w:t>
      </w:r>
      <w:r w:rsidR="00653D40">
        <w:t>”</w:t>
      </w:r>
      <w:r>
        <w:t xml:space="preserve"> is evidential gold. Claims to have affected </w:t>
      </w:r>
      <w:r w:rsidR="00653D40">
        <w:t>“practice or policy”</w:t>
      </w:r>
      <w:r>
        <w:t xml:space="preserve"> outside academia are exceptionally difficult to secure. For research to be taken up by a think tank, for example, would intuitively seem a high order of impact, but if the think tank merely talked (as think tanks tend to do) and did not report the researcher’s distinctive contribution</w:t>
      </w:r>
      <w:r w:rsidR="006D1F41">
        <w:t xml:space="preserve"> (Chatham House rules require them not to do so)</w:t>
      </w:r>
      <w:r>
        <w:t xml:space="preserve">, or keep tabs on subsequent uptake of its published report, then the evidence is of the evaporating kind and not likely to score well </w:t>
      </w:r>
      <w:r w:rsidR="001400C1">
        <w:t>with either</w:t>
      </w:r>
      <w:r>
        <w:t xml:space="preserve"> internal institutional managers or the final assessors.</w:t>
      </w:r>
    </w:p>
    <w:p w14:paraId="4F59242B" w14:textId="321B8CC2" w:rsidR="00B50724" w:rsidRDefault="00B50724" w:rsidP="001A348C">
      <w:pPr>
        <w:ind w:firstLine="720"/>
      </w:pPr>
      <w:r>
        <w:t>To the best of my knowled</w:t>
      </w:r>
      <w:r w:rsidR="001400C1">
        <w:t xml:space="preserve">ge no-one is scripting </w:t>
      </w:r>
      <w:r>
        <w:t xml:space="preserve">testimonials before asking beneficiaries to adopt them, but that may be only a matter of time and desperation. The practice of soliciting </w:t>
      </w:r>
      <w:r w:rsidR="00653D40">
        <w:t>“user feedback”</w:t>
      </w:r>
      <w:r>
        <w:t xml:space="preserve"> at the point of public engagement activity by researchers, on the other hand, has quickly become almost mandatory. It is a reasonable prediction that research grants will soon start to factor in a funding component for canvassing such feedback, and that fewer members of the public will be free to attend public lectures or exhibitions or performances without being asked before and afterwards for a report on their state of mind. And so, the university researcher qua public benefactor morphs into the university researcher qua public nuisance.</w:t>
      </w:r>
    </w:p>
    <w:p w14:paraId="4B8C0AB8" w14:textId="65F3CE62" w:rsidR="00B50724" w:rsidRDefault="00B50724" w:rsidP="0005089B">
      <w:pPr>
        <w:ind w:firstLine="720"/>
      </w:pPr>
      <w:r>
        <w:t>A cost-benefit analysis of time and money expended by UK universities on this exercise awaits analysis at the end of the assessment process. Providing it would probably require extensive use of the Freedom of Information Act. Anecdotally, the cost is huge: individual academics given up to 500 hours of teaching remission; numerous 2-3 year appointments made to the administrative sections of universities; additional appointments to the assessing panels. If, as is entirely possible given that this is a time of austerity, the monies paid out by government once the results are in are less than what was anticipated, then the university must bear the economic cost of its bureaucratic overinvestment. It would probably have done so even with prior knowledge</w:t>
      </w:r>
      <w:r w:rsidR="001400C1">
        <w:t>,</w:t>
      </w:r>
      <w:r>
        <w:t xml:space="preserve"> given the reputational importance now attached to the exercise. On the other hand, it will be surprising if the final outcome effects any major changes in the overall rankings of institutions, since the already wealthiest research institutions can best afford to swallow the financial an</w:t>
      </w:r>
      <w:r w:rsidR="006D1F41">
        <w:t>d</w:t>
      </w:r>
      <w:r>
        <w:t xml:space="preserve"> administrative cost of the accounting exercise.</w:t>
      </w:r>
    </w:p>
    <w:p w14:paraId="47C3BB45" w14:textId="57646A24" w:rsidR="00B50724" w:rsidRPr="005364C2" w:rsidRDefault="00B50724" w:rsidP="005364C2">
      <w:pPr>
        <w:ind w:firstLine="720"/>
      </w:pPr>
      <w:r>
        <w:t xml:space="preserve">A genre-credibility analysis, on the other hand, can work with the information already to hand. If social benefit accounting is the brain child of public sector policy makers and managers looking to improve </w:t>
      </w:r>
      <w:r w:rsidR="006D1F41">
        <w:t xml:space="preserve">qualitatively </w:t>
      </w:r>
      <w:r>
        <w:t xml:space="preserve">the modes of financial measurement, it nonetheless bears a striking resemblance to the traditional aspirations, and at least some of the methods, of literary realism. In this respect, as in others, it suggests a </w:t>
      </w:r>
      <w:r w:rsidR="00653D40">
        <w:t>“softening”</w:t>
      </w:r>
      <w:r>
        <w:t xml:space="preserve"> of the mode of authority associated with economics and financial accounting: an admission of styles of accounting for value that (as Mary Poovey has shown) have since the late 18</w:t>
      </w:r>
      <w:r w:rsidRPr="008311DA">
        <w:rPr>
          <w:vertAlign w:val="superscript"/>
        </w:rPr>
        <w:t>th</w:t>
      </w:r>
      <w:r>
        <w:t xml:space="preserve"> century commonly defined the authority of literature as </w:t>
      </w:r>
      <w:r>
        <w:rPr>
          <w:i/>
        </w:rPr>
        <w:t>unlike</w:t>
      </w:r>
      <w:r>
        <w:t xml:space="preserve"> that of the written instruments more directly serving the credit economy.</w:t>
      </w:r>
      <w:r>
        <w:rPr>
          <w:rStyle w:val="EndnoteReference"/>
        </w:rPr>
        <w:endnoteReference w:id="30"/>
      </w:r>
      <w:r>
        <w:t xml:space="preserve"> Impact accounting relies on strategies of representation long familiar to the novel. Gesturalism of reporting, for example: presentation of the indicative fact or event that evidences a larger picture necessarily exceeding completeness of description</w:t>
      </w:r>
      <w:r w:rsidR="006D2AC2">
        <w:t xml:space="preserve">. </w:t>
      </w:r>
      <w:r>
        <w:t xml:space="preserve">(The contrast is with quantitative reporting where completeness of the data set is essential; here it is understood to be impossible and undesirable.) </w:t>
      </w:r>
      <w:r w:rsidR="006D2AC2">
        <w:t xml:space="preserve">Reliance upon witness testimony, and with it the admission of subjectivity in judgement as a necessary component in the presentation of social experience. </w:t>
      </w:r>
      <w:r>
        <w:t xml:space="preserve">As in much realism, objective and subjective reporting co-exist, and getting the measure of the subjectivity is a challenge for writer and reader/critic alike. Objective </w:t>
      </w:r>
      <w:r w:rsidR="00653D40">
        <w:t>“facts”</w:t>
      </w:r>
      <w:r>
        <w:t xml:space="preserve"> (so, for English language and literature impact case studies</w:t>
      </w:r>
      <w:r w:rsidR="006D1F41">
        <w:t>:</w:t>
      </w:r>
      <w:r>
        <w:t xml:space="preserve"> </w:t>
      </w:r>
      <w:r w:rsidR="003C5A60">
        <w:t>sales figures, website page view count</w:t>
      </w:r>
      <w:r>
        <w:t xml:space="preserve">s, audience sizes, examination board uptake, and so forth) sit alongside </w:t>
      </w:r>
      <w:r w:rsidR="006D1F41">
        <w:t xml:space="preserve">corroborating statements </w:t>
      </w:r>
      <w:r>
        <w:t xml:space="preserve">from beneficiaries, which are, ambiguously, at once evidential data and psychological reports. The overriding aim, as in many of the most famous pronouncements on the purposes of realism, is to discover the </w:t>
      </w:r>
      <w:r w:rsidR="00653D40">
        <w:t xml:space="preserve">“significance” </w:t>
      </w:r>
      <w:r>
        <w:t>of acts and their effects, but that significance is</w:t>
      </w:r>
      <w:r w:rsidR="006D1F41">
        <w:t xml:space="preserve"> at once plural in its internal perception and</w:t>
      </w:r>
      <w:r>
        <w:t>, as soon as it reaches the hands of the reader, a matter for interpretation—potentially in conflict with the stated intentions of the authors and the value placed upon their own endeavours.</w:t>
      </w:r>
      <w:r w:rsidR="006D2AC2">
        <w:t xml:space="preserve"> Not least, social accounting aims at telling meaningful stories about the social consequences of particular actions and events: it requires, as does classic realism, the arrangement of narrated events into particular orders, under particular named imperatives, to yield up that social significance (which need not mean denying its complexity or its openness to dispute).</w:t>
      </w:r>
    </w:p>
    <w:p w14:paraId="4DF6AE75" w14:textId="6809617D" w:rsidR="00B50724" w:rsidRDefault="00B50724" w:rsidP="00174B88">
      <w:pPr>
        <w:ind w:firstLine="720"/>
      </w:pPr>
      <w:r>
        <w:t xml:space="preserve">One response, not an unreasonable one, from the literary faculties of the university to economists and managers eager to capture meaningful social outcomes is to ask, accordingly, for a larger measure of literary realism’s pervasive (to a degree defining) acknowledgement that there are insurmountable limits to qualitative accounting. Both gesturalism and self-conscious distancing from </w:t>
      </w:r>
      <w:r w:rsidR="00653D40">
        <w:t>“the real world”</w:t>
      </w:r>
      <w:r>
        <w:t xml:space="preserve">, as any writer or critic of realism knows, stand to yield a more credible representation of human actions and their social effects than procedural evidencing. When literary realism attempts exhaustiveness it quickly sacrifices </w:t>
      </w:r>
      <w:r w:rsidR="00653D40">
        <w:t>“insight” to “description”</w:t>
      </w:r>
      <w:r>
        <w:t>, as Virginia Woolf put it;</w:t>
      </w:r>
      <w:r>
        <w:rPr>
          <w:rStyle w:val="EndnoteReference"/>
        </w:rPr>
        <w:endnoteReference w:id="31"/>
      </w:r>
      <w:r>
        <w:t xml:space="preserve"> alternatively it may venture on an effort at exhausting the descriptive resources of the language, as in the Ithaca section of </w:t>
      </w:r>
      <w:r w:rsidRPr="00DF47C4">
        <w:rPr>
          <w:u w:val="single"/>
        </w:rPr>
        <w:t>Ulysses</w:t>
      </w:r>
      <w:r>
        <w:rPr>
          <w:i/>
          <w:sz w:val="22"/>
        </w:rPr>
        <w:t xml:space="preserve">, </w:t>
      </w:r>
      <w:r w:rsidR="0047513E">
        <w:t xml:space="preserve">the effect of which may be </w:t>
      </w:r>
      <w:r w:rsidRPr="00A34108">
        <w:t>variously read as extreme virtuosity, comedy, or neurosis.</w:t>
      </w:r>
    </w:p>
    <w:p w14:paraId="10BBD93C" w14:textId="3D2D0E2A" w:rsidR="00B50724" w:rsidRDefault="002431C1" w:rsidP="0005089B">
      <w:pPr>
        <w:ind w:firstLine="720"/>
      </w:pPr>
      <w:r>
        <w:t>But e</w:t>
      </w:r>
      <w:r w:rsidR="00B50724">
        <w:t xml:space="preserve">conomists and the public sector managers who have overseen the development of impact accounting are </w:t>
      </w:r>
      <w:r w:rsidR="0047513E">
        <w:t>well</w:t>
      </w:r>
      <w:r w:rsidR="00B50724">
        <w:t xml:space="preserve"> aware of the limits on fullness. Impact case study writers are procedurally constrained as no realist novelist would agree to be (a 4-page limit, c. 100 word summary; c. 500 words on underpinning research; maximum six bibliographic references; c. 750 words describing impact; up to 10 corroborating sources). The more taxing question from the academy back to the economists</w:t>
      </w:r>
      <w:r w:rsidR="006046B6">
        <w:t>, politicians, managers</w:t>
      </w:r>
      <w:r w:rsidR="00B50724">
        <w:t xml:space="preserve"> is whether the exercise in qualitative accounting is, its technical repertoires notwithstanding, telling a true story about what public benefit derives from university research and how that public benefit comes about.</w:t>
      </w:r>
    </w:p>
    <w:p w14:paraId="41B1F612" w14:textId="730162F6" w:rsidR="00B50724" w:rsidRDefault="00B50724" w:rsidP="005E6EAE">
      <w:pPr>
        <w:ind w:firstLine="720"/>
      </w:pPr>
      <w:r>
        <w:t xml:space="preserve">The splitting of the notion of </w:t>
      </w:r>
      <w:r w:rsidR="00653D40">
        <w:t>“value” around the term “benefit”</w:t>
      </w:r>
      <w:r w:rsidR="006046B6">
        <w:t xml:space="preserve"> is a fundamental problem. “Impact”</w:t>
      </w:r>
      <w:r>
        <w:t xml:space="preserve"> evidences have a dual function in relation to proving value: they will be taken both as indicators </w:t>
      </w:r>
      <w:r w:rsidR="006046B6">
        <w:t>of the recognised “quality”</w:t>
      </w:r>
      <w:r>
        <w:t xml:space="preserve"> of the research and, collectively, </w:t>
      </w:r>
      <w:r w:rsidR="0047513E">
        <w:t xml:space="preserve">as </w:t>
      </w:r>
      <w:r>
        <w:t>evidence of its social value.  But they are, in truth</w:t>
      </w:r>
      <w:r w:rsidR="00947B11">
        <w:t>, neither.  The case studies</w:t>
      </w:r>
      <w:r>
        <w:t xml:space="preserve"> track some beneficial effects, but these are not indicators of research quality, and the real value to society of the research cannot be equated with the sum of these impacts. </w:t>
      </w:r>
      <w:r w:rsidR="00947B11">
        <w:t>To an extent the guidelines recognize this by setting the bar for research quality rela</w:t>
      </w:r>
      <w:r w:rsidR="003C5A60">
        <w:t>tively low (the emphasis is on “relatively”</w:t>
      </w:r>
      <w:r w:rsidR="00947B11">
        <w:t>), where the Impact Case Studies are concerned: unde</w:t>
      </w:r>
      <w:r w:rsidR="003C5A60">
        <w:t>rpinning research need only be “2*”</w:t>
      </w:r>
      <w:r w:rsidR="00947B11">
        <w:t xml:space="preserve"> in quality: </w:t>
      </w:r>
      <w:r w:rsidR="003C5A60">
        <w:t>“</w:t>
      </w:r>
      <w:r w:rsidR="00947B11" w:rsidRPr="00947B11">
        <w:t>recognised internationally in terms of origi</w:t>
      </w:r>
      <w:r w:rsidR="003C5A60">
        <w:t>nality, significance and rigour”, rather than necessarily “world leading” (4*) or “</w:t>
      </w:r>
      <w:r w:rsidR="00947B11">
        <w:t>internationally excellent … but fall[ing] short of the highest standards of excellence</w:t>
      </w:r>
      <w:r w:rsidR="003C5A60">
        <w:t>”</w:t>
      </w:r>
      <w:r w:rsidR="00947B11">
        <w:t xml:space="preserve"> (3*). But it’s an odd compromise, or indeed fudging, of two different kinds of judgement (of research excellence and of social consequence) that leads to that softening of the criteria for research quality.</w:t>
      </w:r>
      <w:r>
        <w:t xml:space="preserve"> If the exercise is about looking for a mea</w:t>
      </w:r>
      <w:r w:rsidR="006046B6">
        <w:t>ns by which the university can justify</w:t>
      </w:r>
      <w:r>
        <w:t xml:space="preserve"> its research activities to the public, and the government can justify the expenditure involved in supporting that research, one has to say that it does not truthfully do that.</w:t>
      </w:r>
    </w:p>
    <w:p w14:paraId="20045B0F" w14:textId="4AD7229D" w:rsidR="00B50724" w:rsidRDefault="00B50724" w:rsidP="00DB1785">
      <w:pPr>
        <w:ind w:firstLine="720"/>
      </w:pPr>
      <w:r>
        <w:t xml:space="preserve">Second, for all the attention paid, and the work spent, on qualitative social accounting along the way, the nub of the judgements made will come down to metrics: ordinal number </w:t>
      </w:r>
      <w:r w:rsidR="00653D40">
        <w:t>“</w:t>
      </w:r>
      <w:r>
        <w:t>trans</w:t>
      </w:r>
      <w:r w:rsidR="00653D40">
        <w:t>lations”</w:t>
      </w:r>
      <w:r>
        <w:t xml:space="preserve"> of complex judgements which have no credibility with the researchers themselves. And at this point of operat</w:t>
      </w:r>
      <w:r w:rsidR="00690D9C">
        <w:t>ive fallacy where a judgment of research consequence transforms into a nu</w:t>
      </w:r>
      <w:r w:rsidR="001400C1">
        <w:t>merical ranking of social worth</w:t>
      </w:r>
      <w:r w:rsidR="00690D9C">
        <w:t xml:space="preserve">, </w:t>
      </w:r>
      <w:r w:rsidR="0047513E">
        <w:t>impact accounting</w:t>
      </w:r>
      <w:r>
        <w:t xml:space="preserve"> parts company with literary realism. The</w:t>
      </w:r>
      <w:r w:rsidR="0047513E">
        <w:t xml:space="preserve"> narrative descriptions—</w:t>
      </w:r>
      <w:r>
        <w:t>benign stories about</w:t>
      </w:r>
      <w:r w:rsidR="0047513E">
        <w:t xml:space="preserve"> the social impact of research—</w:t>
      </w:r>
      <w:r>
        <w:t xml:space="preserve">will likely enjoy a brief afterlife as </w:t>
      </w:r>
      <w:r w:rsidR="002431C1">
        <w:t xml:space="preserve">promotional </w:t>
      </w:r>
      <w:r>
        <w:t>material for university departments, but the numerical scores that will carry the real economic weight of the judgement are pernicious fictions.</w:t>
      </w:r>
      <w:r w:rsidR="00690D9C">
        <w:t xml:space="preserve"> (One would say ‘mere fictions’ but the fact that they will have institutional and financial force requires the stronger phrase.)</w:t>
      </w:r>
    </w:p>
    <w:p w14:paraId="6BA50915" w14:textId="67910F6A" w:rsidR="00B50724" w:rsidRDefault="00B50724" w:rsidP="001518EB">
      <w:pPr>
        <w:ind w:firstLine="720"/>
      </w:pPr>
      <w:r>
        <w:t>Managerial tolerance of resi</w:t>
      </w:r>
      <w:r w:rsidR="002431C1">
        <w:t>stance</w:t>
      </w:r>
      <w:r>
        <w:t xml:space="preserve"> tends to runs cool at the point where humanities scholars start protesting that impact is being mis</w:t>
      </w:r>
      <w:r w:rsidR="00690D9C">
        <w:t>-</w:t>
      </w:r>
      <w:r>
        <w:t xml:space="preserve">described, even after so many overtures inviting them to </w:t>
      </w:r>
      <w:r w:rsidR="00653D40">
        <w:t>“buy into [the] value”</w:t>
      </w:r>
      <w:r>
        <w:t xml:space="preserve"> of the exercise. Reminders that impact is often unsolicited, accidental, not actively worked for (let alone strategized after), remote in time and circumstances from the scholar’s intentions, and sometimes most interesting when it takes negative forms (antagonism, dubiety, intolerance), and that it is fundamentally untranslatable into numerical judgements</w:t>
      </w:r>
      <w:r w:rsidR="0047513E">
        <w:t>,</w:t>
      </w:r>
      <w:r>
        <w:t xml:space="preserve"> are after all impediments to pragmatism. And, for now (given that the cur</w:t>
      </w:r>
      <w:r w:rsidR="0047513E">
        <w:t>rent exercise is unstoppable)</w:t>
      </w:r>
      <w:r w:rsidR="001400C1">
        <w:t>,</w:t>
      </w:r>
      <w:r w:rsidR="0047513E">
        <w:t xml:space="preserve"> UK universities</w:t>
      </w:r>
      <w:r w:rsidR="001D2C50">
        <w:t xml:space="preserve"> are at an impasse, with</w:t>
      </w:r>
      <w:r>
        <w:t xml:space="preserve"> the politicians and managers in p</w:t>
      </w:r>
      <w:r w:rsidR="001D2C50">
        <w:t xml:space="preserve">ower </w:t>
      </w:r>
      <w:r w:rsidR="003C5A60">
        <w:t>unconcerned with</w:t>
      </w:r>
      <w:r w:rsidR="001400C1">
        <w:t xml:space="preserve"> the truth of the objections</w:t>
      </w:r>
      <w:r>
        <w:t xml:space="preserve"> and academics (agreeing to act pragmatically) </w:t>
      </w:r>
      <w:r w:rsidR="001D2C50">
        <w:t>left juggling</w:t>
      </w:r>
      <w:r>
        <w:t xml:space="preserve"> incompatible tones: practical submission, angry criticism, strategic use (perhaps) of comedy—though it is getting harder to laugh.</w:t>
      </w:r>
    </w:p>
    <w:p w14:paraId="335E77A9" w14:textId="6EDDEEBB" w:rsidR="00B50724" w:rsidRDefault="00B50724" w:rsidP="00A34108">
      <w:pPr>
        <w:ind w:firstLine="720"/>
      </w:pPr>
      <w:r>
        <w:t>Anyone who has sought to put qualitative bureaucratic accounting into practice knows that the sheer investment of labour in evidencing (paperworkpaperworkpaperwork) leaves the accountant</w:t>
      </w:r>
      <w:r w:rsidR="001400C1">
        <w:t>s</w:t>
      </w:r>
      <w:r>
        <w:t xml:space="preserve"> and (it may be) their reader</w:t>
      </w:r>
      <w:r w:rsidR="001400C1">
        <w:t>s</w:t>
      </w:r>
      <w:r>
        <w:t xml:space="preserve"> uncertain what to do with their own alienation. </w:t>
      </w:r>
      <w:r w:rsidRPr="00DF47C4">
        <w:rPr>
          <w:u w:val="single"/>
        </w:rPr>
        <w:t>NW</w:t>
      </w:r>
      <w:r>
        <w:rPr>
          <w:i/>
        </w:rPr>
        <w:t xml:space="preserve"> </w:t>
      </w:r>
      <w:r>
        <w:t>is an acute gauge of that uncertainty. One doesn’t expect novels to be in love with bureaucracy, but Smith knows that there is something going on in the modern accounting office that takes us beyond the old (for literary critics, typically self-serving) opposition between proceduralism and imaginative exploration, economic accounting and novelistic recounting. So, easy laughter at Adina’s expense jostles with more unsettling responses to her</w:t>
      </w:r>
      <w:r w:rsidR="001D2C50">
        <w:t>,</w:t>
      </w:r>
      <w:r>
        <w:t xml:space="preserve"> including reluctant attraction and stalled revolt. Leah is drawn in</w:t>
      </w:r>
      <w:r w:rsidR="001400C1">
        <w:t>,</w:t>
      </w:r>
      <w:r>
        <w:t xml:space="preserve"> as well as alienated</w:t>
      </w:r>
      <w:r w:rsidR="001400C1">
        <w:t>,</w:t>
      </w:r>
      <w:r>
        <w:t xml:space="preserve"> by </w:t>
      </w:r>
      <w:r w:rsidR="00653D40">
        <w:t>“</w:t>
      </w:r>
      <w:r>
        <w:t>that</w:t>
      </w:r>
      <w:r w:rsidR="00653D40">
        <w:t xml:space="preserve"> thing [Adina] does to language”</w:t>
      </w:r>
      <w:r>
        <w:t xml:space="preserve">, and her undecidedness about what her response means gives the novel one of its most teasingly </w:t>
      </w:r>
      <w:r w:rsidR="00653D40">
        <w:t xml:space="preserve">“yes it is/no it isn’t” </w:t>
      </w:r>
      <w:r w:rsidRPr="002C72A7">
        <w:t>moments of play with realism</w:t>
      </w:r>
      <w:r>
        <w:t>. As Adina spouts her quasi-ironic bureaucratese, her speaking mouth becomes (almost) a concrete poem in Leah’s narrative:</w:t>
      </w:r>
    </w:p>
    <w:p w14:paraId="4A215833" w14:textId="77777777" w:rsidR="00B50724" w:rsidRDefault="00B50724" w:rsidP="00ED5078">
      <w:r>
        <w:rPr>
          <w:b/>
          <w:noProof/>
        </w:rPr>
        <w:drawing>
          <wp:inline distT="0" distB="0" distL="0" distR="0" wp14:anchorId="75EB2B61" wp14:editId="59EC1974">
            <wp:extent cx="3883794" cy="134968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3794" cy="1349687"/>
                    </a:xfrm>
                    <a:prstGeom prst="rect">
                      <a:avLst/>
                    </a:prstGeom>
                    <a:noFill/>
                    <a:ln>
                      <a:noFill/>
                    </a:ln>
                  </pic:spPr>
                </pic:pic>
              </a:graphicData>
            </a:graphic>
          </wp:inline>
        </w:drawing>
      </w:r>
    </w:p>
    <w:p w14:paraId="778E9105" w14:textId="5074E170" w:rsidR="00B50724" w:rsidRDefault="00B50724" w:rsidP="00ED5078">
      <w:r>
        <w:t>Erotic invitation complicates the threat of ingestion and a show of damage patchily rectified by money. Did Adina’s council salary pay for that gold tooth?—legible, then, as a punningly literal form of indenturing.</w:t>
      </w:r>
    </w:p>
    <w:p w14:paraId="78DFA840" w14:textId="77777777" w:rsidR="00B50724" w:rsidRDefault="00B50724" w:rsidP="00ED5078"/>
    <w:p w14:paraId="3746938A" w14:textId="2996EB61" w:rsidR="00B50724" w:rsidRDefault="00B50724" w:rsidP="003C2A2C">
      <w:pPr>
        <w:jc w:val="center"/>
      </w:pPr>
      <w:r>
        <w:t>*</w:t>
      </w:r>
    </w:p>
    <w:p w14:paraId="7A2C8C34" w14:textId="531C808E" w:rsidR="00B50724" w:rsidRDefault="00B50724" w:rsidP="002C72A7">
      <w:r>
        <w:t xml:space="preserve">In the manner of its accounting, the lottery fund distribution office in </w:t>
      </w:r>
      <w:r w:rsidRPr="00DF47C4">
        <w:rPr>
          <w:u w:val="single"/>
        </w:rPr>
        <w:t>NW</w:t>
      </w:r>
      <w:r>
        <w:t xml:space="preserve"> could be any organization in Britain or America or many other parts of the world in receipt of, and answerable for, public funds. But the specific work of l</w:t>
      </w:r>
      <w:r w:rsidRPr="006E27D4">
        <w:t>ottery</w:t>
      </w:r>
      <w:r>
        <w:t xml:space="preserve"> fund distribution</w:t>
      </w:r>
      <w:r w:rsidRPr="006E27D4">
        <w:t xml:space="preserve"> </w:t>
      </w:r>
      <w:r>
        <w:t xml:space="preserve">also stands </w:t>
      </w:r>
      <w:r w:rsidRPr="006E27D4">
        <w:t>as bo</w:t>
      </w:r>
      <w:r>
        <w:t xml:space="preserve">th synecdoche and symbol for a more general ambivalence toward modern public accounting for social benefit. For all the efforts of today’s public sector managers to reassure the public that </w:t>
      </w:r>
      <w:r w:rsidR="00653D40">
        <w:t>“value for money”</w:t>
      </w:r>
      <w:r>
        <w:t xml:space="preserve"> is being delivered with proper respect for democratic values, strenuous accounting procedures appear in </w:t>
      </w:r>
      <w:r>
        <w:rPr>
          <w:i/>
        </w:rPr>
        <w:t xml:space="preserve">NW </w:t>
      </w:r>
      <w:r w:rsidR="001400C1">
        <w:t xml:space="preserve">as </w:t>
      </w:r>
      <w:r>
        <w:t xml:space="preserve">a thin cover and small apology for a fundamental randomness in the allocation of advantages in life: </w:t>
      </w:r>
      <w:r w:rsidR="00653D40">
        <w:t>“</w:t>
      </w:r>
      <w:r>
        <w:t>Here [in the lottery fund distribution centre] a nation’s bad bets morph into a semblance of the collective good: after-school play groups, translation services, garden clearance for the e</w:t>
      </w:r>
      <w:r w:rsidR="00653D40">
        <w:t xml:space="preserve">lderly, quilting for prisoners” </w:t>
      </w:r>
      <w:r>
        <w:t xml:space="preserve">(31). The accent falls on the word </w:t>
      </w:r>
      <w:r w:rsidR="00653D40">
        <w:t>“semblance”</w:t>
      </w:r>
      <w:r>
        <w:t>, which agitates for something more than this while acknowledging it can’t be had. There is only so much money to be dispersed, only so much rectification of life’s unfairnesses that the public sector can achieve. A semblance is not enough, but it is better than nothing.</w:t>
      </w:r>
    </w:p>
    <w:p w14:paraId="03A4BBED" w14:textId="2686349B" w:rsidR="00B50724" w:rsidRDefault="00B50724" w:rsidP="005A4BFD">
      <w:pPr>
        <w:ind w:firstLine="720"/>
      </w:pPr>
      <w:r>
        <w:t xml:space="preserve">No institution receives a larger measure of this self-consciously irrational disappointment than the university. </w:t>
      </w:r>
      <w:r w:rsidR="00653D40">
        <w:t>“What was the point of it all?”</w:t>
      </w:r>
      <w:r>
        <w:t>, Leah asks herself, looking back on her undergraduate degree at Edinburgh:</w:t>
      </w:r>
    </w:p>
    <w:p w14:paraId="22F769EC" w14:textId="42FB194A" w:rsidR="00B50724" w:rsidRDefault="00B50724" w:rsidP="006046B6">
      <w:pPr>
        <w:pStyle w:val="Quotation"/>
      </w:pPr>
      <w:r>
        <w:t xml:space="preserve">Three years of useless study. Out of pocket, out of her depth. It was only philosophy in the first place because she was scared of dying and thought it might help and because she could not add or draw or remember lists of facts or speak a language other than her own. In the university prospectus, an italic script over a picture of the Firth of Forth, </w:t>
      </w:r>
      <w:r w:rsidRPr="00DF47C4">
        <w:rPr>
          <w:u w:val="single"/>
        </w:rPr>
        <w:t>Philosophy is learning how to die</w:t>
      </w:r>
      <w:r>
        <w:t>.</w:t>
      </w:r>
      <w:r>
        <w:rPr>
          <w:i/>
        </w:rPr>
        <w:t xml:space="preserve"> </w:t>
      </w:r>
      <w:r>
        <w:t>Philosophy is listening to warbling posh boys, it is being more bored than you have ever been in your life … In the end, only one idea reliably retained: time as a relative experience, different for the jogger, the lover</w:t>
      </w:r>
      <w:r w:rsidR="002524A7">
        <w:t>,</w:t>
      </w:r>
      <w:r>
        <w:t xml:space="preserve"> the tortured, the leisured. Like right now [at work in the distribution centre]. Otherwise useless. (33)</w:t>
      </w:r>
    </w:p>
    <w:p w14:paraId="34A22F5B" w14:textId="563502A5" w:rsidR="00B50724" w:rsidRDefault="00B50724" w:rsidP="002C72A7">
      <w:r>
        <w:t xml:space="preserve">This isn’t (we are quickly told) a fair set of reflections. </w:t>
      </w:r>
      <w:r w:rsidR="00653D40">
        <w:t>“</w:t>
      </w:r>
      <w:r>
        <w:t>Sometimes b</w:t>
      </w:r>
      <w:r w:rsidR="00653D40">
        <w:t>itterness makes a grab for Leah”</w:t>
      </w:r>
      <w:r>
        <w:t xml:space="preserve"> (33)</w:t>
      </w:r>
      <w:r w:rsidR="001400C1">
        <w:t>,</w:t>
      </w:r>
      <w:r>
        <w:t xml:space="preserve"> and it finds a quick foothold in that standard accusation levied against the humanities by political economists: that they are </w:t>
      </w:r>
      <w:r w:rsidR="00653D40">
        <w:t>“useless”</w:t>
      </w:r>
      <w:r>
        <w:t xml:space="preserve">—normally taken to mean that they do not meet the requirement that such an education should benefit the economy. A (not very good) degree in philosophy from Edinburgh hasn’t helped Leah to advance much beyond the council estate she grew up in, and </w:t>
      </w:r>
      <w:r w:rsidR="001400C1">
        <w:t xml:space="preserve">it </w:t>
      </w:r>
      <w:r w:rsidRPr="006046B6">
        <w:rPr>
          <w:u w:val="single"/>
        </w:rPr>
        <w:t>has</w:t>
      </w:r>
      <w:r>
        <w:rPr>
          <w:i/>
        </w:rPr>
        <w:t xml:space="preserve"> </w:t>
      </w:r>
      <w:r>
        <w:t>left her feeling intellectually inadequate and (for the duration of her education) socially alienated.</w:t>
      </w:r>
    </w:p>
    <w:p w14:paraId="68411C10" w14:textId="49FABC9A" w:rsidR="00B50724" w:rsidRPr="003821AF" w:rsidRDefault="00B50724" w:rsidP="003821AF">
      <w:pPr>
        <w:ind w:firstLine="720"/>
        <w:rPr>
          <w:b/>
        </w:rPr>
      </w:pPr>
      <w:r>
        <w:t xml:space="preserve">It isn’t hard to salvage a defence for the Edinburgh School of Philosophy. Arguably, the degree has delivered precisely what the prospectus promised: a capacity for </w:t>
      </w:r>
      <w:r w:rsidR="00653D40">
        <w:t>“examined living”</w:t>
      </w:r>
      <w:r>
        <w:t xml:space="preserve"> (though it’s not much welcomed in the lottery office); a vocabulary and a range of ways of thinking about the meaning of death that the novel will have quite a lot of cause to deploy in the course of its interlocking narratives; and</w:t>
      </w:r>
      <w:r w:rsidR="002524A7">
        <w:t>, as Leah</w:t>
      </w:r>
      <w:r>
        <w:t xml:space="preserve"> herself concedes, some understanding of the phenomenology of time</w:t>
      </w:r>
      <w:r w:rsidR="002524A7">
        <w:t>. The somewhat arch quotation from</w:t>
      </w:r>
      <w:r>
        <w:t xml:space="preserve"> Socrates against the background of the Firth of Forth (more than 800 people are estimated to have jumped from the Forth Road Bridge in its short history</w:t>
      </w:r>
      <w:r>
        <w:rPr>
          <w:rStyle w:val="EndnoteReference"/>
        </w:rPr>
        <w:endnoteReference w:id="32"/>
      </w:r>
      <w:r>
        <w:t>) might even have been a warning that the degree course wasn’t promising easy answers (it certainly wasn’t promising to turn Leah into a Stoic). And, practically speaking, it has helped her to a job with some stability (6 years and running), if not to the high earning financial analyst’s career followed by many of her posher classmates.</w:t>
      </w:r>
    </w:p>
    <w:p w14:paraId="49D87412" w14:textId="3F3B6697" w:rsidR="00B50724" w:rsidRDefault="00B50724" w:rsidP="00D95ECC">
      <w:pPr>
        <w:ind w:firstLine="720"/>
      </w:pPr>
      <w:r>
        <w:t xml:space="preserve">The grit of the insistence here that the university has been, notwithstanding, essentially </w:t>
      </w:r>
      <w:r w:rsidR="00653D40">
        <w:t>“useless”</w:t>
      </w:r>
      <w:r>
        <w:t xml:space="preserve"> isn’t</w:t>
      </w:r>
      <w:r w:rsidR="00B25C11">
        <w:t>,</w:t>
      </w:r>
      <w:r>
        <w:t xml:space="preserve"> however</w:t>
      </w:r>
      <w:r w:rsidR="00B25C11">
        <w:t>,</w:t>
      </w:r>
      <w:r>
        <w:t xml:space="preserve"> primarily an economistic complaint. It lies rather in the novel’s deep resistance to the common public perception that it is the function of the university to bring a more meritocratic society into being. Leah and her oldest friend Keisha (subsequently self-refashioned as Natalie) have had, thanks to university education, chances to move up and out of the economically impoverished area of NW in which they grew up. Both actively choose not to (they leave, but return). Keisha/Natalie, who does better than Leah in financial terms, expresses early puzzlement in life at the preferential treatment in the lottery of </w:t>
      </w:r>
      <w:r w:rsidR="00653D40">
        <w:t>“desires and capacities”</w:t>
      </w:r>
      <w:r>
        <w:t xml:space="preserve"> that has given her what many people would call special talent but she prefers to call a random advantageous </w:t>
      </w:r>
      <w:r w:rsidR="00653D40">
        <w:t>“mutation”</w:t>
      </w:r>
      <w:r>
        <w:t>:</w:t>
      </w:r>
    </w:p>
    <w:p w14:paraId="15825949" w14:textId="1CAB8611" w:rsidR="00B50724" w:rsidRDefault="00B50724" w:rsidP="00DF47C4">
      <w:pPr>
        <w:pStyle w:val="Quotation"/>
      </w:pPr>
      <w:r>
        <w:t>it seemed at first that her desires and her capacities were basically aligned. She wanted to read things—and reading was easily done, and relatively inexpensive. On the other hand, that she should receive any praise for such reflexive habits baffled the girl, for she knew herself to be fantastically stupid about many things. Wasn’t it possible that what others mistook for intelligence was in fact only a sort of mutation of the will? (178)</w:t>
      </w:r>
    </w:p>
    <w:p w14:paraId="26F9558D" w14:textId="4325978E" w:rsidR="00B50724" w:rsidRDefault="00B50724" w:rsidP="00F90879">
      <w:r>
        <w:t xml:space="preserve">The long section of the novel that deals with Natalie’s never complete psychological adjustment to the opportunities and pressures to leave her working class community for a life with all the trappings of a high-earning corporate lawyer’s career focuses largely on the process by which she loses contact with this youthful levelling instinct. </w:t>
      </w:r>
    </w:p>
    <w:p w14:paraId="65C6A7F4" w14:textId="2581F123" w:rsidR="00B50724" w:rsidRDefault="00B50724" w:rsidP="00F90879">
      <w:pPr>
        <w:ind w:firstLine="720"/>
      </w:pPr>
      <w:r>
        <w:t xml:space="preserve">In a radio discussion of </w:t>
      </w:r>
      <w:r w:rsidRPr="00DF47C4">
        <w:rPr>
          <w:u w:val="single"/>
        </w:rPr>
        <w:t>NW</w:t>
      </w:r>
      <w:r>
        <w:rPr>
          <w:i/>
        </w:rPr>
        <w:t xml:space="preserve"> </w:t>
      </w:r>
      <w:r w:rsidRPr="005D595D">
        <w:t>with</w:t>
      </w:r>
      <w:r>
        <w:t xml:space="preserve"> the economic journalist Stephanie Flanders and the UK’s Conservativ</w:t>
      </w:r>
      <w:r w:rsidR="006046B6">
        <w:t>e Minister for Higher Education</w:t>
      </w:r>
      <w:r>
        <w:t xml:space="preserve"> David Willetts, Smith makes again</w:t>
      </w:r>
      <w:r w:rsidR="006046B6">
        <w:t xml:space="preserve"> the young Natalie’s point</w:t>
      </w:r>
      <w:r>
        <w:t xml:space="preserve"> against reading luck as merit</w:t>
      </w:r>
      <w:r w:rsidR="006046B6">
        <w:t>—and makes it on her own behalf</w:t>
      </w:r>
      <w:r>
        <w:t xml:space="preserve"> as a</w:t>
      </w:r>
      <w:r w:rsidR="006046B6">
        <w:t xml:space="preserve"> successful</w:t>
      </w:r>
      <w:r>
        <w:t xml:space="preserve"> novelist. The </w:t>
      </w:r>
      <w:r>
        <w:rPr>
          <w:rFonts w:cs="Times New Roman"/>
        </w:rPr>
        <w:t xml:space="preserve">problem with the notion of meritocracy, she says, is that it presumes those who didn’t make it chose not to; it rests, in short, on individuals’ willingness to be </w:t>
      </w:r>
      <w:r w:rsidR="00653D40">
        <w:rPr>
          <w:rFonts w:cs="Times New Roman"/>
        </w:rPr>
        <w:t>“</w:t>
      </w:r>
      <w:r>
        <w:rPr>
          <w:rFonts w:cs="Times New Roman"/>
        </w:rPr>
        <w:t xml:space="preserve">emboldened by the failures of others. … </w:t>
      </w:r>
      <w:r>
        <w:t>Just because [I] have some talent in one area … doesn’t by rights give me an expectation of social reality so different</w:t>
      </w:r>
      <w:r w:rsidR="00653D40">
        <w:t xml:space="preserve"> from my uncles, my aunts etc.” </w:t>
      </w:r>
      <w:r>
        <w:t xml:space="preserve">When Natalie, at the end of the novel, tells Leah that they have their relatively privileged lives now </w:t>
      </w:r>
      <w:r w:rsidR="009D5FC4">
        <w:t>“</w:t>
      </w:r>
      <w:r>
        <w:t>Because we worked harder … We were smarter and we knew we didn’t want to end up begg</w:t>
      </w:r>
      <w:r w:rsidR="009D5FC4">
        <w:t>ing on other people’s doorsteps”</w:t>
      </w:r>
      <w:r>
        <w:t xml:space="preserve"> (332), we are hearing a deep note of social betrayal.</w:t>
      </w:r>
    </w:p>
    <w:p w14:paraId="2269BED2" w14:textId="1E69FDDC" w:rsidR="00B50724" w:rsidRDefault="00B50724" w:rsidP="00616589">
      <w:pPr>
        <w:ind w:firstLine="720"/>
        <w:rPr>
          <w:rFonts w:cs="Times New Roman"/>
        </w:rPr>
      </w:pPr>
      <w:r>
        <w:t>Smith surely knows that she is pushing against the dominant perception of the social benefits provided by the university, prominent among many other state (or formerly state) institutions—a perception that can call for su</w:t>
      </w:r>
      <w:r w:rsidR="00B25C11">
        <w:t>pport from strong economic data</w:t>
      </w:r>
      <w:r>
        <w:t xml:space="preserve"> consistently linking higher education with increases in individual prosperity</w:t>
      </w:r>
      <w:r w:rsidR="00B25C11">
        <w:rPr>
          <w:rStyle w:val="EndnoteReference"/>
        </w:rPr>
        <w:endnoteReference w:id="33"/>
      </w:r>
      <w:r>
        <w:t xml:space="preserve"> and major contributions to GDP, as well as deeply engrained cultural expectations that the university should serve as a driver of upward mobility. Her appeal to the language of rights (no </w:t>
      </w:r>
      <w:r w:rsidR="009D5FC4">
        <w:t>“right”</w:t>
      </w:r>
      <w:r>
        <w:t xml:space="preserve"> to a different </w:t>
      </w:r>
      <w:r w:rsidR="009D5FC4">
        <w:t>“expectation of social reality”</w:t>
      </w:r>
      <w:r>
        <w:t xml:space="preserve">), rather than the language of opportunities, is a </w:t>
      </w:r>
      <w:r w:rsidR="006046B6">
        <w:t>political gesture from the left</w:t>
      </w:r>
      <w:r>
        <w:t xml:space="preserve"> aiming to unmask the false consciousness that would make all privilege earned privilege. She and Willetts have some robust exchanges on the subject of the political system’s loss of faith in mixed-ability comprehensive schools (the </w:t>
      </w:r>
      <w:r w:rsidR="009D5FC4">
        <w:t>“bog standard”</w:t>
      </w:r>
      <w:r>
        <w:t xml:space="preserve"> ground of British secondary education, as it was notoriously smeared by Tony Blair’s Director of Communications and Strategy, Alistair Campbell, in 2001</w:t>
      </w:r>
      <w:r>
        <w:rPr>
          <w:rStyle w:val="EndnoteReference"/>
        </w:rPr>
        <w:endnoteReference w:id="34"/>
      </w:r>
      <w:r>
        <w:t xml:space="preserve">). In fact Willetts himself has made a strikingly similar claim for a bedrock understanding of democracy in terms of our inability to choose some of the most important advantages or disadvantages that may fall our way in life. We can find a </w:t>
      </w:r>
      <w:r>
        <w:rPr>
          <w:rFonts w:cs="Times New Roman"/>
        </w:rPr>
        <w:t xml:space="preserve">proxy for democracy, he suggests in </w:t>
      </w:r>
      <w:r w:rsidRPr="00DF47C4">
        <w:rPr>
          <w:rFonts w:cs="Times New Roman"/>
          <w:u w:val="single"/>
        </w:rPr>
        <w:t>The Pinch</w:t>
      </w:r>
      <w:r>
        <w:rPr>
          <w:rFonts w:cs="Times New Roman"/>
          <w:i/>
        </w:rPr>
        <w:t xml:space="preserve"> </w:t>
      </w:r>
      <w:r>
        <w:rPr>
          <w:rFonts w:cs="Times New Roman"/>
        </w:rPr>
        <w:t xml:space="preserve">(2010) in the unpredictable outcomes of having and raising children. </w:t>
      </w:r>
      <w:r w:rsidR="009D5FC4">
        <w:rPr>
          <w:rFonts w:cs="Times New Roman"/>
        </w:rPr>
        <w:t>“</w:t>
      </w:r>
      <w:r>
        <w:rPr>
          <w:rFonts w:cs="Times New Roman"/>
        </w:rPr>
        <w:t>[Child rearing] is deeply democratic … —you can mess up despite great privileges or you can do brilliantly despite facing great adversity.</w:t>
      </w:r>
      <w:r w:rsidR="009D5FC4">
        <w:rPr>
          <w:rFonts w:cs="Times New Roman"/>
        </w:rPr>
        <w:t>”</w:t>
      </w:r>
      <w:r>
        <w:rPr>
          <w:rStyle w:val="EndnoteReference"/>
          <w:rFonts w:cs="Times New Roman"/>
        </w:rPr>
        <w:endnoteReference w:id="35"/>
      </w:r>
      <w:r w:rsidR="002524A7">
        <w:rPr>
          <w:rFonts w:cs="Times New Roman"/>
        </w:rPr>
        <w:t xml:space="preserve"> Which means (for Willett</w:t>
      </w:r>
      <w:r>
        <w:rPr>
          <w:rFonts w:cs="Times New Roman"/>
        </w:rPr>
        <w:t xml:space="preserve">s) that the state’s role is to do its level best to smooth the way, most pressingly to counter the inter-generational imbalance of </w:t>
      </w:r>
      <w:r w:rsidR="002524A7">
        <w:rPr>
          <w:rFonts w:cs="Times New Roman"/>
        </w:rPr>
        <w:t>opportunit</w:t>
      </w:r>
      <w:r w:rsidR="006D2AC2">
        <w:rPr>
          <w:rFonts w:cs="Times New Roman"/>
        </w:rPr>
        <w:t>y</w:t>
      </w:r>
      <w:r>
        <w:rPr>
          <w:rFonts w:cs="Times New Roman"/>
        </w:rPr>
        <w:t xml:space="preserve"> currently adding to all the other inequalities of opportunity individuals face.</w:t>
      </w:r>
    </w:p>
    <w:p w14:paraId="221CBDE9" w14:textId="698830E7" w:rsidR="00694A21" w:rsidRDefault="00B50724" w:rsidP="0075799E">
      <w:pPr>
        <w:ind w:firstLine="720"/>
        <w:rPr>
          <w:rFonts w:cs="Times New Roman"/>
        </w:rPr>
      </w:pPr>
      <w:r>
        <w:rPr>
          <w:rFonts w:cs="Times New Roman"/>
        </w:rPr>
        <w:t>Smith isn’t</w:t>
      </w:r>
      <w:r w:rsidR="00B25C11">
        <w:rPr>
          <w:rFonts w:cs="Times New Roman"/>
        </w:rPr>
        <w:t>,</w:t>
      </w:r>
      <w:r>
        <w:rPr>
          <w:rFonts w:cs="Times New Roman"/>
        </w:rPr>
        <w:t xml:space="preserve"> of course</w:t>
      </w:r>
      <w:r w:rsidR="00B25C11">
        <w:rPr>
          <w:rFonts w:cs="Times New Roman"/>
        </w:rPr>
        <w:t>,</w:t>
      </w:r>
      <w:r>
        <w:rPr>
          <w:rFonts w:cs="Times New Roman"/>
        </w:rPr>
        <w:t xml:space="preserve"> arguing against state efforts to ameliorate unequal life chances, b</w:t>
      </w:r>
      <w:r w:rsidR="0075799E">
        <w:rPr>
          <w:rFonts w:cs="Times New Roman"/>
        </w:rPr>
        <w:t xml:space="preserve">ut she asks us to be skeptical </w:t>
      </w:r>
      <w:r w:rsidR="002524A7">
        <w:rPr>
          <w:rFonts w:cs="Times New Roman"/>
        </w:rPr>
        <w:t>about the ways in which Willett</w:t>
      </w:r>
      <w:r>
        <w:rPr>
          <w:rFonts w:cs="Times New Roman"/>
        </w:rPr>
        <w:t>s</w:t>
      </w:r>
      <w:r w:rsidR="002524A7">
        <w:rPr>
          <w:rFonts w:cs="Times New Roman"/>
        </w:rPr>
        <w:t>’s</w:t>
      </w:r>
      <w:r>
        <w:rPr>
          <w:rFonts w:cs="Times New Roman"/>
        </w:rPr>
        <w:t xml:space="preserve"> state is currently offering to give us, collectively, </w:t>
      </w:r>
      <w:r w:rsidR="009D5FC4">
        <w:rPr>
          <w:rFonts w:cs="Times New Roman"/>
        </w:rPr>
        <w:t>“value for our money”</w:t>
      </w:r>
      <w:r>
        <w:rPr>
          <w:rFonts w:cs="Times New Roman"/>
        </w:rPr>
        <w:t xml:space="preserve"> in the form of adjustments to individual expectations of social reality. A principled assertion of fidelity to the specificity and chanciness of all our social reality, underst</w:t>
      </w:r>
      <w:r w:rsidR="00B25C11">
        <w:rPr>
          <w:rFonts w:cs="Times New Roman"/>
        </w:rPr>
        <w:t xml:space="preserve">ood as the common ground of </w:t>
      </w:r>
      <w:r>
        <w:rPr>
          <w:rFonts w:cs="Times New Roman"/>
        </w:rPr>
        <w:t xml:space="preserve">democracy, is fiercely defended by </w:t>
      </w:r>
      <w:r w:rsidRPr="00DF47C4">
        <w:rPr>
          <w:rFonts w:cs="Times New Roman"/>
          <w:u w:val="single"/>
        </w:rPr>
        <w:t>NW</w:t>
      </w:r>
      <w:r>
        <w:rPr>
          <w:rFonts w:cs="Times New Roman"/>
        </w:rPr>
        <w:t>. It would be easy to read that fidelity, as it comes into conflict with the deformation of realism performed by Adina, as simply the novel’s predictable preferen</w:t>
      </w:r>
      <w:r w:rsidR="00B25C11">
        <w:rPr>
          <w:rFonts w:cs="Times New Roman"/>
        </w:rPr>
        <w:t xml:space="preserve">ce for </w:t>
      </w:r>
      <w:r>
        <w:rPr>
          <w:rFonts w:cs="Times New Roman"/>
        </w:rPr>
        <w:t>the richer versions of literary realism in which it operates.</w:t>
      </w:r>
      <w:r>
        <w:rPr>
          <w:rStyle w:val="EndnoteReference"/>
          <w:rFonts w:cs="Times New Roman"/>
        </w:rPr>
        <w:endnoteReference w:id="36"/>
      </w:r>
      <w:r w:rsidR="000575FD">
        <w:rPr>
          <w:rFonts w:cs="Times New Roman"/>
        </w:rPr>
        <w:t xml:space="preserve"> But anyone working at the practical end of bureaucratic reporting on the impact of humanities re</w:t>
      </w:r>
      <w:r w:rsidR="00B73ADF">
        <w:rPr>
          <w:rFonts w:cs="Times New Roman"/>
        </w:rPr>
        <w:t>search at present</w:t>
      </w:r>
      <w:r w:rsidR="000575FD">
        <w:rPr>
          <w:rFonts w:cs="Times New Roman"/>
        </w:rPr>
        <w:t xml:space="preserve"> is likely to recognize a more serious and timely political point to the </w:t>
      </w:r>
      <w:r w:rsidR="005E62AA">
        <w:rPr>
          <w:rFonts w:cs="Times New Roman"/>
        </w:rPr>
        <w:t>confrontation of genres</w:t>
      </w:r>
      <w:r w:rsidR="00E554F5">
        <w:rPr>
          <w:rFonts w:cs="Times New Roman"/>
        </w:rPr>
        <w:t>: if realism is to be the chosen ground of modern economic and social evaluation of the humanities, it had better be a realism we can believe in.</w:t>
      </w:r>
    </w:p>
    <w:p w14:paraId="1C9BE89C" w14:textId="1DE31F76" w:rsidR="002067B8" w:rsidRDefault="006D2AC2" w:rsidP="00BF52CE">
      <w:pPr>
        <w:ind w:firstLine="720"/>
        <w:rPr>
          <w:rFonts w:cs="Times New Roman"/>
        </w:rPr>
      </w:pPr>
      <w:r>
        <w:rPr>
          <w:rFonts w:cs="Times New Roman"/>
        </w:rPr>
        <w:t xml:space="preserve">The </w:t>
      </w:r>
      <w:r w:rsidR="00690D9C">
        <w:rPr>
          <w:rFonts w:cs="Times New Roman"/>
        </w:rPr>
        <w:t>first part of this essay mounted two rational objections to full accounting</w:t>
      </w:r>
      <w:r w:rsidR="005F63F3">
        <w:rPr>
          <w:rFonts w:cs="Times New Roman"/>
        </w:rPr>
        <w:t xml:space="preserve"> as it is now being applied to universities in the UK</w:t>
      </w:r>
      <w:r w:rsidR="00362B07">
        <w:rPr>
          <w:rFonts w:cs="Times New Roman"/>
        </w:rPr>
        <w:t>: a</w:t>
      </w:r>
      <w:r w:rsidR="00605D3D">
        <w:rPr>
          <w:rFonts w:cs="Times New Roman"/>
        </w:rPr>
        <w:t>n</w:t>
      </w:r>
      <w:r w:rsidR="00690D9C">
        <w:rPr>
          <w:rFonts w:cs="Times New Roman"/>
        </w:rPr>
        <w:t xml:space="preserve"> economic objection</w:t>
      </w:r>
      <w:r w:rsidR="00605D3D">
        <w:rPr>
          <w:rFonts w:cs="Times New Roman"/>
        </w:rPr>
        <w:t>,</w:t>
      </w:r>
      <w:r w:rsidR="00690D9C">
        <w:rPr>
          <w:rFonts w:cs="Times New Roman"/>
        </w:rPr>
        <w:t xml:space="preserve"> that it over-invests in the accounting exercise at the expense of the core activity</w:t>
      </w:r>
      <w:r w:rsidR="00514A6E">
        <w:rPr>
          <w:rFonts w:cs="Times New Roman"/>
        </w:rPr>
        <w:t xml:space="preserve"> being accounted for; and an objection </w:t>
      </w:r>
      <w:r w:rsidR="00B25C11">
        <w:rPr>
          <w:rFonts w:cs="Times New Roman"/>
        </w:rPr>
        <w:t>on the basis of</w:t>
      </w:r>
      <w:r w:rsidR="00E554F5">
        <w:rPr>
          <w:rFonts w:cs="Times New Roman"/>
        </w:rPr>
        <w:t xml:space="preserve"> </w:t>
      </w:r>
      <w:r w:rsidR="00514A6E">
        <w:rPr>
          <w:rFonts w:cs="Times New Roman"/>
        </w:rPr>
        <w:t>definitional incohe</w:t>
      </w:r>
      <w:r w:rsidR="00605D3D">
        <w:rPr>
          <w:rFonts w:cs="Times New Roman"/>
        </w:rPr>
        <w:t xml:space="preserve">rence. </w:t>
      </w:r>
      <w:r w:rsidR="005F63F3">
        <w:rPr>
          <w:rFonts w:cs="Times New Roman"/>
        </w:rPr>
        <w:t>That is, it</w:t>
      </w:r>
      <w:r w:rsidR="00694A21">
        <w:rPr>
          <w:rFonts w:cs="Times New Roman"/>
        </w:rPr>
        <w:t xml:space="preserve"> confuses two different kinds of qualitative judgement: the kind involved in assessing the merit of academic publications (where ordinal ranking is possible,</w:t>
      </w:r>
      <w:r w:rsidR="00014EAA">
        <w:rPr>
          <w:rFonts w:cs="Times New Roman"/>
        </w:rPr>
        <w:t xml:space="preserve"> albeit subject to disagreement</w:t>
      </w:r>
      <w:r w:rsidR="00694A21">
        <w:rPr>
          <w:rFonts w:cs="Times New Roman"/>
        </w:rPr>
        <w:t xml:space="preserve"> and requiring </w:t>
      </w:r>
      <w:r w:rsidR="00514A6E">
        <w:rPr>
          <w:rFonts w:cs="Times New Roman"/>
        </w:rPr>
        <w:t>careful</w:t>
      </w:r>
      <w:r w:rsidR="00694A21">
        <w:rPr>
          <w:rFonts w:cs="Times New Roman"/>
        </w:rPr>
        <w:t xml:space="preserve"> procedures for reaching consensus) and the kind involved in assessing </w:t>
      </w:r>
      <w:r w:rsidR="00014EAA">
        <w:rPr>
          <w:rFonts w:cs="Times New Roman"/>
        </w:rPr>
        <w:t xml:space="preserve">the </w:t>
      </w:r>
      <w:r w:rsidR="00694A21">
        <w:rPr>
          <w:rFonts w:cs="Times New Roman"/>
        </w:rPr>
        <w:t xml:space="preserve">social benefits derived from acts and events that put </w:t>
      </w:r>
      <w:r w:rsidR="00514A6E">
        <w:rPr>
          <w:rFonts w:cs="Times New Roman"/>
        </w:rPr>
        <w:t xml:space="preserve">some </w:t>
      </w:r>
      <w:r w:rsidR="00362B07">
        <w:rPr>
          <w:rFonts w:cs="Times New Roman"/>
        </w:rPr>
        <w:t>aspect of</w:t>
      </w:r>
      <w:r w:rsidR="00514A6E">
        <w:rPr>
          <w:rFonts w:cs="Times New Roman"/>
        </w:rPr>
        <w:t xml:space="preserve"> </w:t>
      </w:r>
      <w:r w:rsidR="00694A21">
        <w:rPr>
          <w:rFonts w:cs="Times New Roman"/>
        </w:rPr>
        <w:t>academic knowledge or expertise to work</w:t>
      </w:r>
      <w:r w:rsidR="00014EAA">
        <w:rPr>
          <w:rFonts w:cs="Times New Roman"/>
        </w:rPr>
        <w:t xml:space="preserve">. </w:t>
      </w:r>
      <w:r w:rsidR="00514A6E" w:rsidRPr="00514A6E">
        <w:rPr>
          <w:rFonts w:cs="Times New Roman"/>
          <w:u w:val="single"/>
        </w:rPr>
        <w:t>NW</w:t>
      </w:r>
      <w:r w:rsidR="00514A6E" w:rsidRPr="00514A6E">
        <w:rPr>
          <w:rFonts w:cs="Times New Roman"/>
        </w:rPr>
        <w:t xml:space="preserve"> </w:t>
      </w:r>
      <w:r w:rsidR="00514A6E">
        <w:rPr>
          <w:rFonts w:cs="Times New Roman"/>
        </w:rPr>
        <w:t xml:space="preserve">raises a larger contextual objection, </w:t>
      </w:r>
      <w:r w:rsidR="005F5562">
        <w:rPr>
          <w:rFonts w:cs="Times New Roman"/>
        </w:rPr>
        <w:t>especial</w:t>
      </w:r>
      <w:r w:rsidR="00514A6E">
        <w:rPr>
          <w:rFonts w:cs="Times New Roman"/>
        </w:rPr>
        <w:t>ly p</w:t>
      </w:r>
      <w:r w:rsidR="005F5562">
        <w:rPr>
          <w:rFonts w:cs="Times New Roman"/>
        </w:rPr>
        <w:t>ertinent to the ways in which one can seek to</w:t>
      </w:r>
      <w:r w:rsidR="00514A6E">
        <w:rPr>
          <w:rFonts w:cs="Times New Roman"/>
        </w:rPr>
        <w:t xml:space="preserve"> account for the social good of the university. There is, Smith </w:t>
      </w:r>
      <w:r w:rsidR="00362B07">
        <w:rPr>
          <w:rFonts w:cs="Times New Roman"/>
        </w:rPr>
        <w:t>suggests</w:t>
      </w:r>
      <w:r w:rsidR="00514A6E">
        <w:rPr>
          <w:rFonts w:cs="Times New Roman"/>
        </w:rPr>
        <w:t xml:space="preserve">, </w:t>
      </w:r>
      <w:r w:rsidR="00362B07">
        <w:rPr>
          <w:rFonts w:cs="Times New Roman"/>
        </w:rPr>
        <w:t>cause to distrust the way</w:t>
      </w:r>
      <w:r w:rsidR="00514A6E">
        <w:rPr>
          <w:rFonts w:cs="Times New Roman"/>
        </w:rPr>
        <w:t xml:space="preserve"> universities have aligned themselves in recent history with the </w:t>
      </w:r>
      <w:r w:rsidR="005F5562">
        <w:rPr>
          <w:rFonts w:cs="Times New Roman"/>
        </w:rPr>
        <w:t>goals</w:t>
      </w:r>
      <w:r w:rsidR="002B38B4">
        <w:rPr>
          <w:rFonts w:cs="Times New Roman"/>
        </w:rPr>
        <w:t xml:space="preserve"> of feeding</w:t>
      </w:r>
      <w:r w:rsidR="00F547C2">
        <w:rPr>
          <w:rFonts w:cs="Times New Roman"/>
        </w:rPr>
        <w:t xml:space="preserve"> social aspiration</w:t>
      </w:r>
      <w:r w:rsidR="00514A6E">
        <w:rPr>
          <w:rFonts w:cs="Times New Roman"/>
        </w:rPr>
        <w:t xml:space="preserve"> and </w:t>
      </w:r>
      <w:r w:rsidR="002B38B4">
        <w:rPr>
          <w:rFonts w:cs="Times New Roman"/>
        </w:rPr>
        <w:t>enabli</w:t>
      </w:r>
      <w:r w:rsidR="00F547C2">
        <w:rPr>
          <w:rFonts w:cs="Times New Roman"/>
        </w:rPr>
        <w:t>ng</w:t>
      </w:r>
      <w:r w:rsidR="005F5562">
        <w:rPr>
          <w:rFonts w:cs="Times New Roman"/>
        </w:rPr>
        <w:t xml:space="preserve"> meritocratic upward mobility. Meritocracy, she points out,</w:t>
      </w:r>
      <w:r w:rsidR="00F547C2">
        <w:rPr>
          <w:rFonts w:cs="Times New Roman"/>
        </w:rPr>
        <w:t xml:space="preserve"> </w:t>
      </w:r>
      <w:r w:rsidR="005F5562">
        <w:rPr>
          <w:rFonts w:cs="Times New Roman"/>
        </w:rPr>
        <w:t xml:space="preserve">too easily justifies inequality, allowing </w:t>
      </w:r>
      <w:r w:rsidR="00F547C2">
        <w:rPr>
          <w:rFonts w:cs="Times New Roman"/>
        </w:rPr>
        <w:t>those who had the good luck, as well as the supporting social advantages, to find their capabilities well matched to their desires.</w:t>
      </w:r>
    </w:p>
    <w:p w14:paraId="78AAA39E" w14:textId="11BDD117" w:rsidR="00F372BF" w:rsidRDefault="005F5562" w:rsidP="00BF52CE">
      <w:pPr>
        <w:ind w:firstLine="720"/>
        <w:rPr>
          <w:rFonts w:cs="Times New Roman"/>
        </w:rPr>
      </w:pPr>
      <w:r>
        <w:rPr>
          <w:rFonts w:cs="Times New Roman"/>
        </w:rPr>
        <w:t>The</w:t>
      </w:r>
      <w:r w:rsidR="00B25C11">
        <w:rPr>
          <w:rFonts w:cs="Times New Roman"/>
        </w:rPr>
        <w:t xml:space="preserve"> claim is not that</w:t>
      </w:r>
      <w:r w:rsidR="004B31EB">
        <w:rPr>
          <w:rFonts w:cs="Times New Roman"/>
        </w:rPr>
        <w:t xml:space="preserve"> university</w:t>
      </w:r>
      <w:r w:rsidR="00B25C11">
        <w:rPr>
          <w:rFonts w:cs="Times New Roman"/>
        </w:rPr>
        <w:t xml:space="preserve"> education</w:t>
      </w:r>
      <w:bookmarkStart w:id="0" w:name="_GoBack"/>
      <w:bookmarkEnd w:id="0"/>
      <w:r w:rsidR="004B31EB">
        <w:rPr>
          <w:rFonts w:cs="Times New Roman"/>
        </w:rPr>
        <w:t xml:space="preserve"> does not provide social benefits. It does: </w:t>
      </w:r>
      <w:r w:rsidR="00E554F5">
        <w:rPr>
          <w:rFonts w:cs="Times New Roman"/>
        </w:rPr>
        <w:t xml:space="preserve">and they are sufficiently, if not enthusiastically, </w:t>
      </w:r>
      <w:r>
        <w:rPr>
          <w:rFonts w:cs="Times New Roman"/>
        </w:rPr>
        <w:t xml:space="preserve">recognized in </w:t>
      </w:r>
      <w:r w:rsidRPr="005F5562">
        <w:rPr>
          <w:rFonts w:cs="Times New Roman"/>
          <w:u w:val="single"/>
        </w:rPr>
        <w:t>NW</w:t>
      </w:r>
      <w:r>
        <w:rPr>
          <w:rFonts w:cs="Times New Roman"/>
        </w:rPr>
        <w:t xml:space="preserve"> as </w:t>
      </w:r>
      <w:r w:rsidR="004B31EB" w:rsidRPr="005F5562">
        <w:rPr>
          <w:rFonts w:cs="Times New Roman"/>
        </w:rPr>
        <w:t>economic</w:t>
      </w:r>
      <w:r w:rsidR="004B31EB">
        <w:rPr>
          <w:rFonts w:cs="Times New Roman"/>
        </w:rPr>
        <w:t>, cultural, psychological. But when the university star</w:t>
      </w:r>
      <w:r>
        <w:rPr>
          <w:rFonts w:cs="Times New Roman"/>
        </w:rPr>
        <w:t xml:space="preserve">ts </w:t>
      </w:r>
      <w:r w:rsidR="004B31EB">
        <w:rPr>
          <w:rFonts w:cs="Times New Roman"/>
        </w:rPr>
        <w:t xml:space="preserve">accounting for </w:t>
      </w:r>
      <w:r>
        <w:rPr>
          <w:rFonts w:cs="Times New Roman"/>
        </w:rPr>
        <w:t xml:space="preserve">the </w:t>
      </w:r>
      <w:r w:rsidR="00BF3021">
        <w:rPr>
          <w:rFonts w:cs="Times New Roman"/>
        </w:rPr>
        <w:t xml:space="preserve">social good it does </w:t>
      </w:r>
      <w:r>
        <w:rPr>
          <w:rFonts w:cs="Times New Roman"/>
        </w:rPr>
        <w:t>as if the good were e</w:t>
      </w:r>
      <w:r w:rsidR="00BF3021">
        <w:rPr>
          <w:rFonts w:cs="Times New Roman"/>
        </w:rPr>
        <w:t>arned, strategic, and rat</w:t>
      </w:r>
      <w:r>
        <w:rPr>
          <w:rFonts w:cs="Times New Roman"/>
        </w:rPr>
        <w:t>able,</w:t>
      </w:r>
      <w:r w:rsidR="004B31EB">
        <w:rPr>
          <w:rFonts w:cs="Times New Roman"/>
        </w:rPr>
        <w:t xml:space="preserve"> it </w:t>
      </w:r>
      <w:r w:rsidR="00A5444C">
        <w:rPr>
          <w:rFonts w:cs="Times New Roman"/>
        </w:rPr>
        <w:t>provides a more than usually stark example of</w:t>
      </w:r>
      <w:r w:rsidR="004B31EB">
        <w:rPr>
          <w:rFonts w:cs="Times New Roman"/>
        </w:rPr>
        <w:t xml:space="preserve"> </w:t>
      </w:r>
      <w:r w:rsidR="00A5444C">
        <w:rPr>
          <w:rFonts w:cs="Times New Roman"/>
        </w:rPr>
        <w:t>the</w:t>
      </w:r>
      <w:r w:rsidR="004B31EB">
        <w:rPr>
          <w:rFonts w:cs="Times New Roman"/>
        </w:rPr>
        <w:t xml:space="preserve"> problem</w:t>
      </w:r>
      <w:r w:rsidR="00A5444C">
        <w:rPr>
          <w:rFonts w:cs="Times New Roman"/>
        </w:rPr>
        <w:t xml:space="preserve"> presented by attempts at full social accounting across the public sector. Social accounting serve</w:t>
      </w:r>
      <w:r w:rsidR="00925056">
        <w:rPr>
          <w:rFonts w:cs="Times New Roman"/>
        </w:rPr>
        <w:t>s</w:t>
      </w:r>
      <w:r w:rsidR="00A5444C">
        <w:rPr>
          <w:rFonts w:cs="Times New Roman"/>
        </w:rPr>
        <w:t xml:space="preserve"> some very important public values: democratic</w:t>
      </w:r>
      <w:r w:rsidR="00A5444C">
        <w:rPr>
          <w:rFonts w:cs="Times New Roman"/>
          <w:b/>
        </w:rPr>
        <w:t xml:space="preserve"> </w:t>
      </w:r>
      <w:r w:rsidR="00A5444C" w:rsidRPr="00A5444C">
        <w:rPr>
          <w:rFonts w:cs="Times New Roman"/>
        </w:rPr>
        <w:t>identification and prioritization of public needs; fair access to public goods for those in need of them; transparency in the use of public funding; evidence-based reporting</w:t>
      </w:r>
      <w:r w:rsidR="00A5444C">
        <w:rPr>
          <w:rFonts w:cs="Times New Roman"/>
        </w:rPr>
        <w:t>.</w:t>
      </w:r>
      <w:r>
        <w:rPr>
          <w:rFonts w:cs="Times New Roman"/>
        </w:rPr>
        <w:t xml:space="preserve"> But in its strenuous </w:t>
      </w:r>
      <w:r w:rsidR="00605D3D">
        <w:rPr>
          <w:rFonts w:cs="Times New Roman"/>
        </w:rPr>
        <w:t>effort</w:t>
      </w:r>
      <w:r>
        <w:rPr>
          <w:rFonts w:cs="Times New Roman"/>
        </w:rPr>
        <w:t>s</w:t>
      </w:r>
      <w:r w:rsidR="00605D3D">
        <w:rPr>
          <w:rFonts w:cs="Times New Roman"/>
        </w:rPr>
        <w:t xml:space="preserve"> towards qualitative sensitivity it gets the balance wrong between </w:t>
      </w:r>
      <w:r w:rsidR="00E554F5">
        <w:rPr>
          <w:rFonts w:cs="Times New Roman"/>
        </w:rPr>
        <w:t>the work of meeting</w:t>
      </w:r>
      <w:r w:rsidR="00605D3D">
        <w:rPr>
          <w:rFonts w:cs="Times New Roman"/>
        </w:rPr>
        <w:t xml:space="preserve"> social needs and the </w:t>
      </w:r>
      <w:r>
        <w:rPr>
          <w:rFonts w:cs="Times New Roman"/>
        </w:rPr>
        <w:t xml:space="preserve">self-serving </w:t>
      </w:r>
      <w:r w:rsidR="00605D3D">
        <w:rPr>
          <w:rFonts w:cs="Times New Roman"/>
        </w:rPr>
        <w:t xml:space="preserve">work of </w:t>
      </w:r>
      <w:r w:rsidR="00E554F5">
        <w:rPr>
          <w:rFonts w:cs="Times New Roman"/>
        </w:rPr>
        <w:t>holding up</w:t>
      </w:r>
      <w:r w:rsidR="00605D3D">
        <w:rPr>
          <w:rFonts w:cs="Times New Roman"/>
        </w:rPr>
        <w:t xml:space="preserve"> </w:t>
      </w:r>
      <w:r w:rsidR="00925056">
        <w:rPr>
          <w:rFonts w:cs="Times New Roman"/>
        </w:rPr>
        <w:t>public sector</w:t>
      </w:r>
      <w:r w:rsidR="00E554F5">
        <w:rPr>
          <w:rFonts w:cs="Times New Roman"/>
        </w:rPr>
        <w:t xml:space="preserve"> </w:t>
      </w:r>
      <w:r>
        <w:rPr>
          <w:rFonts w:cs="Times New Roman"/>
        </w:rPr>
        <w:t>values</w:t>
      </w:r>
      <w:r w:rsidR="00E554F5">
        <w:rPr>
          <w:rFonts w:cs="Times New Roman"/>
        </w:rPr>
        <w:t xml:space="preserve"> to public scrutiny</w:t>
      </w:r>
      <w:r w:rsidR="00925056">
        <w:rPr>
          <w:rFonts w:cs="Times New Roman"/>
        </w:rPr>
        <w:t>. It also</w:t>
      </w:r>
      <w:r w:rsidR="003B028E">
        <w:rPr>
          <w:rFonts w:cs="Times New Roman"/>
        </w:rPr>
        <w:t xml:space="preserve"> starts to falsify the social life it reports on</w:t>
      </w:r>
      <w:r w:rsidR="00925056">
        <w:rPr>
          <w:rFonts w:cs="Times New Roman"/>
        </w:rPr>
        <w:t>, creating</w:t>
      </w:r>
      <w:r w:rsidR="00605D3D">
        <w:rPr>
          <w:rFonts w:cs="Times New Roman"/>
        </w:rPr>
        <w:t xml:space="preserve"> a </w:t>
      </w:r>
      <w:r>
        <w:rPr>
          <w:rFonts w:cs="Times New Roman"/>
        </w:rPr>
        <w:t>faux-realism</w:t>
      </w:r>
      <w:r w:rsidR="00605D3D">
        <w:rPr>
          <w:rFonts w:cs="Times New Roman"/>
        </w:rPr>
        <w:t xml:space="preserve"> in which </w:t>
      </w:r>
      <w:r w:rsidR="003B028E">
        <w:rPr>
          <w:rFonts w:cs="Times New Roman"/>
        </w:rPr>
        <w:t>documenting</w:t>
      </w:r>
      <w:r w:rsidR="00605D3D">
        <w:rPr>
          <w:rFonts w:cs="Times New Roman"/>
        </w:rPr>
        <w:t xml:space="preserve"> quality </w:t>
      </w:r>
      <w:r w:rsidR="00925056">
        <w:rPr>
          <w:rFonts w:cs="Times New Roman"/>
        </w:rPr>
        <w:t>emboldens institutions but does not add social benefit</w:t>
      </w:r>
      <w:r w:rsidR="00BF52CE">
        <w:rPr>
          <w:rFonts w:cs="Times New Roman"/>
        </w:rPr>
        <w:t xml:space="preserve">, and </w:t>
      </w:r>
      <w:r w:rsidR="00E554F5">
        <w:rPr>
          <w:rFonts w:cs="Times New Roman"/>
        </w:rPr>
        <w:t>(realistically) chancy</w:t>
      </w:r>
      <w:r w:rsidR="00BF52CE">
        <w:rPr>
          <w:rFonts w:cs="Times New Roman"/>
        </w:rPr>
        <w:t xml:space="preserve"> </w:t>
      </w:r>
      <w:r w:rsidR="00925056">
        <w:rPr>
          <w:rFonts w:cs="Times New Roman"/>
        </w:rPr>
        <w:t>improvements to the public good</w:t>
      </w:r>
      <w:r w:rsidR="003B028E">
        <w:rPr>
          <w:rFonts w:cs="Times New Roman"/>
        </w:rPr>
        <w:t xml:space="preserve"> </w:t>
      </w:r>
      <w:r w:rsidR="00925056">
        <w:rPr>
          <w:rFonts w:cs="Times New Roman"/>
        </w:rPr>
        <w:t>start</w:t>
      </w:r>
      <w:r w:rsidR="00BF52CE">
        <w:rPr>
          <w:rFonts w:cs="Times New Roman"/>
        </w:rPr>
        <w:t xml:space="preserve"> to look </w:t>
      </w:r>
      <w:r w:rsidR="00E554F5">
        <w:rPr>
          <w:rFonts w:cs="Times New Roman"/>
        </w:rPr>
        <w:t>(unrealistically)</w:t>
      </w:r>
      <w:r w:rsidR="00BF52CE">
        <w:rPr>
          <w:rFonts w:cs="Times New Roman"/>
        </w:rPr>
        <w:t xml:space="preserve"> </w:t>
      </w:r>
      <w:r w:rsidR="00925056">
        <w:rPr>
          <w:rFonts w:cs="Times New Roman"/>
        </w:rPr>
        <w:t>democratic</w:t>
      </w:r>
      <w:r w:rsidR="00F372BF">
        <w:rPr>
          <w:rFonts w:cs="Times New Roman"/>
        </w:rPr>
        <w:t>.</w:t>
      </w:r>
    </w:p>
    <w:p w14:paraId="120F945E" w14:textId="069C83BA" w:rsidR="0012183D" w:rsidRDefault="00F372BF" w:rsidP="00F372BF">
      <w:pPr>
        <w:ind w:firstLine="720"/>
        <w:rPr>
          <w:rFonts w:cs="Times New Roman"/>
        </w:rPr>
      </w:pPr>
      <w:r w:rsidRPr="00F372BF">
        <w:rPr>
          <w:rFonts w:cs="Times New Roman"/>
        </w:rPr>
        <w:t xml:space="preserve">Qualitative accounting is an exercise in realism driven by </w:t>
      </w:r>
      <w:r>
        <w:rPr>
          <w:rFonts w:cs="Times New Roman"/>
        </w:rPr>
        <w:t>a motive that is</w:t>
      </w:r>
      <w:r w:rsidRPr="00F372BF">
        <w:rPr>
          <w:rFonts w:cs="Times New Roman"/>
        </w:rPr>
        <w:t>, to a considerable extent</w:t>
      </w:r>
      <w:r>
        <w:rPr>
          <w:rFonts w:cs="Times New Roman"/>
        </w:rPr>
        <w:t>,</w:t>
      </w:r>
      <w:r w:rsidRPr="00F372BF">
        <w:rPr>
          <w:rFonts w:cs="Times New Roman"/>
        </w:rPr>
        <w:t xml:space="preserve"> laudable: a </w:t>
      </w:r>
      <w:r>
        <w:rPr>
          <w:rFonts w:cs="Times New Roman"/>
        </w:rPr>
        <w:t>wish</w:t>
      </w:r>
      <w:r w:rsidRPr="00F372BF">
        <w:rPr>
          <w:rFonts w:cs="Times New Roman"/>
        </w:rPr>
        <w:t xml:space="preserve"> to create socially sensitive measures of public value that are, also, responsive to important democratic principles. But it does not, and cannot,</w:t>
      </w:r>
      <w:r>
        <w:rPr>
          <w:rFonts w:cs="Times New Roman"/>
        </w:rPr>
        <w:t xml:space="preserve"> do what it claims to do, </w:t>
      </w:r>
      <w:r w:rsidR="00BF3021">
        <w:rPr>
          <w:rFonts w:cs="Times New Roman"/>
        </w:rPr>
        <w:t>because</w:t>
      </w:r>
      <w:r w:rsidR="00E554F5">
        <w:rPr>
          <w:rFonts w:cs="Times New Roman"/>
        </w:rPr>
        <w:t xml:space="preserve"> the </w:t>
      </w:r>
      <w:r w:rsidR="00966652">
        <w:rPr>
          <w:rFonts w:cs="Times New Roman"/>
        </w:rPr>
        <w:t xml:space="preserve">realism </w:t>
      </w:r>
      <w:r w:rsidR="00E554F5">
        <w:rPr>
          <w:rFonts w:cs="Times New Roman"/>
        </w:rPr>
        <w:t>it pra</w:t>
      </w:r>
      <w:r w:rsidR="00BF3021">
        <w:rPr>
          <w:rFonts w:cs="Times New Roman"/>
        </w:rPr>
        <w:t>c</w:t>
      </w:r>
      <w:r w:rsidR="00E554F5">
        <w:rPr>
          <w:rFonts w:cs="Times New Roman"/>
        </w:rPr>
        <w:t xml:space="preserve">tices </w:t>
      </w:r>
      <w:r w:rsidR="00966652">
        <w:rPr>
          <w:rFonts w:cs="Times New Roman"/>
        </w:rPr>
        <w:t xml:space="preserve">is </w:t>
      </w:r>
      <w:r w:rsidR="00BF3021">
        <w:rPr>
          <w:rFonts w:cs="Times New Roman"/>
        </w:rPr>
        <w:t xml:space="preserve">overly </w:t>
      </w:r>
      <w:r w:rsidR="002067B8">
        <w:rPr>
          <w:rFonts w:cs="Times New Roman"/>
        </w:rPr>
        <w:t>self-regarding and deforms</w:t>
      </w:r>
      <w:r w:rsidR="00966652">
        <w:rPr>
          <w:rFonts w:cs="Times New Roman"/>
        </w:rPr>
        <w:t xml:space="preserve"> t</w:t>
      </w:r>
      <w:r w:rsidR="00BF3021">
        <w:rPr>
          <w:rFonts w:cs="Times New Roman"/>
        </w:rPr>
        <w:t>he reality it want</w:t>
      </w:r>
      <w:r w:rsidR="00966652">
        <w:rPr>
          <w:rFonts w:cs="Times New Roman"/>
        </w:rPr>
        <w:t>s to represent. It would be an</w:t>
      </w:r>
      <w:r w:rsidR="00BF3021">
        <w:rPr>
          <w:rFonts w:cs="Times New Roman"/>
        </w:rPr>
        <w:t xml:space="preserve"> alternative</w:t>
      </w:r>
      <w:r w:rsidR="00966652">
        <w:rPr>
          <w:rFonts w:cs="Times New Roman"/>
        </w:rPr>
        <w:t xml:space="preserve"> and more pertinent </w:t>
      </w:r>
      <w:r w:rsidR="00BF3021">
        <w:rPr>
          <w:rFonts w:cs="Times New Roman"/>
        </w:rPr>
        <w:t>act</w:t>
      </w:r>
      <w:r w:rsidR="00966652">
        <w:rPr>
          <w:rFonts w:cs="Times New Roman"/>
        </w:rPr>
        <w:t xml:space="preserve"> of realism to let it go.</w:t>
      </w:r>
    </w:p>
    <w:p w14:paraId="0D43DA92" w14:textId="77777777" w:rsidR="00B50724" w:rsidRDefault="00B50724" w:rsidP="00616589">
      <w:pPr>
        <w:ind w:firstLine="720"/>
        <w:rPr>
          <w:rFonts w:cs="Times New Roman"/>
        </w:rPr>
      </w:pPr>
    </w:p>
    <w:p w14:paraId="0D38D5C5" w14:textId="70ABBB26" w:rsidR="00FA1BCF" w:rsidRPr="00F372BF" w:rsidRDefault="00B50724" w:rsidP="00F372BF">
      <w:pPr>
        <w:ind w:firstLine="720"/>
        <w:jc w:val="right"/>
        <w:rPr>
          <w:rFonts w:cs="Times New Roman"/>
        </w:rPr>
      </w:pPr>
      <w:r>
        <w:rPr>
          <w:rFonts w:cs="Times New Roman"/>
        </w:rPr>
        <w:t>Pembroke College, University of Oxford</w:t>
      </w:r>
    </w:p>
    <w:sectPr w:rsidR="00FA1BCF" w:rsidRPr="00F372BF" w:rsidSect="00907D60">
      <w:headerReference w:type="even" r:id="rId8"/>
      <w:headerReference w:type="default" r:id="rId9"/>
      <w:endnotePr>
        <w:numFmt w:val="decimal"/>
      </w:endnotePr>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07194" w14:textId="77777777" w:rsidR="001400C1" w:rsidRDefault="001400C1" w:rsidP="00212BB2">
      <w:pPr>
        <w:spacing w:line="240" w:lineRule="auto"/>
      </w:pPr>
      <w:r>
        <w:separator/>
      </w:r>
    </w:p>
  </w:endnote>
  <w:endnote w:type="continuationSeparator" w:id="0">
    <w:p w14:paraId="289E7EB9" w14:textId="77777777" w:rsidR="001400C1" w:rsidRDefault="001400C1" w:rsidP="00212BB2">
      <w:pPr>
        <w:spacing w:line="240" w:lineRule="auto"/>
      </w:pPr>
      <w:r>
        <w:continuationSeparator/>
      </w:r>
    </w:p>
  </w:endnote>
  <w:endnote w:id="1">
    <w:p w14:paraId="3582FC1F" w14:textId="526A486A" w:rsidR="001400C1" w:rsidRDefault="001400C1" w:rsidP="00377F8B">
      <w:pPr>
        <w:pStyle w:val="Endnote"/>
      </w:pPr>
      <w:r>
        <w:rPr>
          <w:rStyle w:val="EndnoteReference"/>
        </w:rPr>
        <w:endnoteRef/>
      </w:r>
      <w:r>
        <w:rPr>
          <w:i/>
        </w:rPr>
        <w:t xml:space="preserve"> </w:t>
      </w:r>
      <w:r>
        <w:t>(London: Penguin Books, 2012), 32.</w:t>
      </w:r>
    </w:p>
  </w:endnote>
  <w:endnote w:id="2">
    <w:p w14:paraId="19BDD3CB" w14:textId="2D5E7BC8" w:rsidR="001400C1" w:rsidRPr="005A4A46" w:rsidRDefault="001400C1" w:rsidP="00377F8B">
      <w:pPr>
        <w:pStyle w:val="EndnoteText"/>
        <w:rPr>
          <w:b/>
        </w:rPr>
      </w:pPr>
      <w:r>
        <w:rPr>
          <w:rStyle w:val="EndnoteReference"/>
        </w:rPr>
        <w:endnoteRef/>
      </w:r>
      <w:r>
        <w:t xml:space="preserve"> </w:t>
      </w:r>
      <w:r w:rsidRPr="00E57B32">
        <w:t>On the</w:t>
      </w:r>
      <w:r>
        <w:t xml:space="preserve"> tension between parody and its “normativisation” in mockumentary, see</w:t>
      </w:r>
      <w:r w:rsidRPr="00E57B32">
        <w:t xml:space="preserve"> Craig Hight, </w:t>
      </w:r>
      <w:r w:rsidRPr="00377F8B">
        <w:rPr>
          <w:u w:val="single"/>
        </w:rPr>
        <w:t>Television Mockumentary: Reflexivity, Satire, and a Call</w:t>
      </w:r>
      <w:r w:rsidRPr="00377F8B">
        <w:rPr>
          <w:b/>
          <w:u w:val="single"/>
        </w:rPr>
        <w:t xml:space="preserve"> to </w:t>
      </w:r>
      <w:r w:rsidRPr="00377F8B">
        <w:rPr>
          <w:u w:val="single"/>
        </w:rPr>
        <w:t>Play</w:t>
      </w:r>
      <w:r w:rsidRPr="00E57B32">
        <w:rPr>
          <w:i/>
        </w:rPr>
        <w:t xml:space="preserve"> </w:t>
      </w:r>
      <w:r w:rsidRPr="00E57B32">
        <w:t>(Manchester: Manchester UP, 2010)</w:t>
      </w:r>
      <w:r>
        <w:t>, 292-93.</w:t>
      </w:r>
    </w:p>
  </w:endnote>
  <w:endnote w:id="3">
    <w:p w14:paraId="300129E1" w14:textId="49D92C80" w:rsidR="001400C1" w:rsidRDefault="001400C1">
      <w:pPr>
        <w:pStyle w:val="EndnoteText"/>
      </w:pPr>
      <w:r>
        <w:rPr>
          <w:rStyle w:val="EndnoteReference"/>
        </w:rPr>
        <w:endnoteRef/>
      </w:r>
      <w:r>
        <w:t xml:space="preserve"> See </w:t>
      </w:r>
      <w:r w:rsidRPr="00377F8B">
        <w:rPr>
          <w:u w:val="single"/>
        </w:rPr>
        <w:t>An Inquiry into the Nature and Causes of the Wealth of Nations</w:t>
      </w:r>
      <w:r>
        <w:t xml:space="preserve">, gen. eds R. H. Campbell and A. S. Skinner, textual editor W. B. Todd, 2 vols (Oxford: Clarendon Press, 1976), II, 771-86. For discussion, see Robert  </w:t>
      </w:r>
      <w:r w:rsidRPr="001036ED">
        <w:t xml:space="preserve">J. Young, </w:t>
      </w:r>
      <w:r>
        <w:t>“</w:t>
      </w:r>
      <w:r w:rsidRPr="001036ED">
        <w:t>The Idea</w:t>
      </w:r>
      <w:r>
        <w:t xml:space="preserve"> of a Chrestomathic University” </w:t>
      </w:r>
      <w:r w:rsidRPr="001036ED">
        <w:t xml:space="preserve">(1992), in </w:t>
      </w:r>
      <w:r w:rsidRPr="00377F8B">
        <w:rPr>
          <w:u w:val="single"/>
        </w:rPr>
        <w:t>Torn Halves: Political Conflict in Literary and Cultural Theory</w:t>
      </w:r>
      <w:r w:rsidRPr="001036ED">
        <w:t xml:space="preserve"> (Manchester University Press, 1996)</w:t>
      </w:r>
      <w:r>
        <w:t xml:space="preserve">, 290-351; and Helen Small, </w:t>
      </w:r>
      <w:r w:rsidRPr="00377F8B">
        <w:rPr>
          <w:u w:val="single"/>
        </w:rPr>
        <w:t xml:space="preserve">The Value of the Humanities </w:t>
      </w:r>
      <w:r>
        <w:t>(Oxford: Oxford University Press, 2013), ch. 2.</w:t>
      </w:r>
    </w:p>
  </w:endnote>
  <w:endnote w:id="4">
    <w:p w14:paraId="74231AF7" w14:textId="16380F6B" w:rsidR="001400C1" w:rsidRPr="000E0CEE" w:rsidRDefault="001400C1">
      <w:pPr>
        <w:pStyle w:val="EndnoteText"/>
      </w:pPr>
      <w:r>
        <w:rPr>
          <w:rStyle w:val="EndnoteReference"/>
        </w:rPr>
        <w:endnoteRef/>
      </w:r>
      <w:r>
        <w:t xml:space="preserve"> REF 2014, “Assessment Framework and Guidance on Submissions (updated to include addendum published in January 2014)”, </w:t>
      </w:r>
      <w:hyperlink r:id="rId1" w:history="1">
        <w:r w:rsidRPr="00CE669F">
          <w:rPr>
            <w:rStyle w:val="Hyperlink"/>
          </w:rPr>
          <w:t>http://www.ref.ac.uk/media/ref/content/pub/assessmentframeworkandguidanceonsubmissions/02_11.pdf</w:t>
        </w:r>
      </w:hyperlink>
      <w:r>
        <w:t xml:space="preserve"> (p. 1). Accessed 30 July 2013. For an early, much noticed critical response to the introduction and framing of the “Impact” requirement, see Stefan Collini, “Impact”, in </w:t>
      </w:r>
      <w:r w:rsidRPr="00377F8B">
        <w:rPr>
          <w:u w:val="single"/>
        </w:rPr>
        <w:t>What Are Universities For?</w:t>
      </w:r>
      <w:r>
        <w:rPr>
          <w:i/>
        </w:rPr>
        <w:t xml:space="preserve"> </w:t>
      </w:r>
      <w:r>
        <w:t>(London: Penguin, 2012), 168-77.</w:t>
      </w:r>
    </w:p>
  </w:endnote>
  <w:endnote w:id="5">
    <w:p w14:paraId="445C186B" w14:textId="0AF9EF56" w:rsidR="001400C1" w:rsidRPr="002A6896" w:rsidRDefault="001400C1" w:rsidP="009164D0">
      <w:pPr>
        <w:pStyle w:val="EndnoteText"/>
      </w:pPr>
      <w:r>
        <w:rPr>
          <w:rStyle w:val="EndnoteReference"/>
        </w:rPr>
        <w:endnoteRef/>
      </w:r>
      <w:r>
        <w:t xml:space="preserve"> Roger Brown with Helen Carasso, </w:t>
      </w:r>
      <w:r w:rsidRPr="00377F8B">
        <w:rPr>
          <w:u w:val="single"/>
        </w:rPr>
        <w:t>Everything for Sale? The Marketisation of UK Higher Education</w:t>
      </w:r>
      <w:r>
        <w:t xml:space="preserve"> (London: Routledge, 2013), 179. See also Andrew McGettigan, </w:t>
      </w:r>
      <w:r w:rsidRPr="00377F8B">
        <w:rPr>
          <w:u w:val="single"/>
        </w:rPr>
        <w:t>The Great University Gamble: Money, Markets and the Future of Higher Education</w:t>
      </w:r>
      <w:r>
        <w:t xml:space="preserve"> (London: Pluto Press, 2013), 2.</w:t>
      </w:r>
    </w:p>
  </w:endnote>
  <w:endnote w:id="6">
    <w:p w14:paraId="4FA2AA65" w14:textId="433DD6C1" w:rsidR="001400C1" w:rsidRPr="00522306" w:rsidRDefault="001400C1" w:rsidP="00EC248C">
      <w:pPr>
        <w:pStyle w:val="EndnoteText"/>
      </w:pPr>
      <w:r>
        <w:rPr>
          <w:rStyle w:val="EndnoteReference"/>
        </w:rPr>
        <w:endnoteRef/>
      </w:r>
      <w:r>
        <w:t xml:space="preserve"> .</w:t>
      </w:r>
      <w:r w:rsidRPr="00EC248C">
        <w:t xml:space="preserve"> </w:t>
      </w:r>
      <w:r>
        <w:t xml:space="preserve">As Colin Crouch puts it, pithily, neoliberalism turns out to be “nothing like as devoted to free markets as is claimed. It is, rather, devoted to the dominance of public life by the giant corporation.” Colin Crouch, </w:t>
      </w:r>
      <w:r w:rsidRPr="00377F8B">
        <w:rPr>
          <w:u w:val="single"/>
        </w:rPr>
        <w:t>The Strange Non-Death of Neo-Liberalism</w:t>
      </w:r>
      <w:r>
        <w:t xml:space="preserve"> (Cambridge: Polity, 2011).</w:t>
      </w:r>
    </w:p>
  </w:endnote>
  <w:endnote w:id="7">
    <w:p w14:paraId="379B1428" w14:textId="03B37DEF" w:rsidR="001400C1" w:rsidRPr="00FF6787" w:rsidRDefault="001400C1">
      <w:pPr>
        <w:pStyle w:val="EndnoteText"/>
      </w:pPr>
      <w:r>
        <w:rPr>
          <w:rStyle w:val="EndnoteReference"/>
        </w:rPr>
        <w:endnoteRef/>
      </w:r>
      <w:r>
        <w:t xml:space="preserve"> “***”, Review of Brown and Carasso, </w:t>
      </w:r>
      <w:r w:rsidRPr="00377F8B">
        <w:rPr>
          <w:u w:val="single"/>
        </w:rPr>
        <w:t>Everything for Sale</w:t>
      </w:r>
      <w:r>
        <w:t xml:space="preserve"> and McGettigan, </w:t>
      </w:r>
      <w:r w:rsidRPr="00377F8B">
        <w:rPr>
          <w:u w:val="single"/>
        </w:rPr>
        <w:t>The Great University Gamble</w:t>
      </w:r>
      <w:r>
        <w:t xml:space="preserve">, </w:t>
      </w:r>
      <w:r w:rsidRPr="00377F8B">
        <w:rPr>
          <w:u w:val="single"/>
        </w:rPr>
        <w:t>London Review of Books</w:t>
      </w:r>
      <w:r>
        <w:rPr>
          <w:i/>
        </w:rPr>
        <w:t xml:space="preserve"> </w:t>
      </w:r>
      <w:r>
        <w:t>forthcoming [next issue?].</w:t>
      </w:r>
    </w:p>
  </w:endnote>
  <w:endnote w:id="8">
    <w:p w14:paraId="638A198C" w14:textId="3B47C485" w:rsidR="001400C1" w:rsidRPr="00A35CC3" w:rsidRDefault="001400C1">
      <w:pPr>
        <w:pStyle w:val="EndnoteText"/>
        <w:rPr>
          <w:b/>
        </w:rPr>
      </w:pPr>
      <w:r>
        <w:rPr>
          <w:rStyle w:val="EndnoteReference"/>
        </w:rPr>
        <w:endnoteRef/>
      </w:r>
      <w:r>
        <w:t xml:space="preserve"> Regrettably, I have not been able to retrieve the name of the economist who identified himself to me that he was a member of the initial panel devising the terms for impact. My thanks to John Beath for strenuous attempts to identify him.</w:t>
      </w:r>
    </w:p>
  </w:endnote>
  <w:endnote w:id="9">
    <w:p w14:paraId="5E708010" w14:textId="58E234D9" w:rsidR="001400C1" w:rsidRPr="006571D6" w:rsidRDefault="001400C1">
      <w:pPr>
        <w:pStyle w:val="EndnoteText"/>
        <w:rPr>
          <w:b/>
        </w:rPr>
      </w:pPr>
      <w:r>
        <w:rPr>
          <w:rStyle w:val="EndnoteReference"/>
        </w:rPr>
        <w:endnoteRef/>
      </w:r>
      <w:r>
        <w:t xml:space="preserve"> See Stephen P. Osborne (ed.), </w:t>
      </w:r>
      <w:r w:rsidRPr="00377F8B">
        <w:rPr>
          <w:u w:val="single"/>
        </w:rPr>
        <w:t>The New Public Governance: Emerging Perspectives on the Theory and Practice of Public Governance</w:t>
      </w:r>
      <w:r>
        <w:rPr>
          <w:i/>
        </w:rPr>
        <w:t xml:space="preserve"> </w:t>
      </w:r>
      <w:r>
        <w:t xml:space="preserve">(New York: Routledge, 2010), Introduction, 3-4. </w:t>
      </w:r>
      <w:r w:rsidRPr="00377F8B">
        <w:rPr>
          <w:u w:val="single"/>
        </w:rPr>
        <w:t>Value for Money in Government: Public Administration after “New Public Management”</w:t>
      </w:r>
      <w:r>
        <w:t xml:space="preserve"> (OECD, 2010), 55; and the essays collected in Amanda Ball and Stephen P. Osborne (eds),</w:t>
      </w:r>
      <w:r>
        <w:rPr>
          <w:b/>
        </w:rPr>
        <w:t xml:space="preserve"> </w:t>
      </w:r>
      <w:r w:rsidRPr="00377F8B">
        <w:rPr>
          <w:u w:val="single"/>
        </w:rPr>
        <w:t>Social Accounting and Public Management: Accountability for the Common Good</w:t>
      </w:r>
      <w:r w:rsidRPr="00A34108">
        <w:rPr>
          <w:i/>
        </w:rPr>
        <w:t xml:space="preserve"> </w:t>
      </w:r>
      <w:r w:rsidRPr="00A34108">
        <w:t>(New York: Routledge, 2011).</w:t>
      </w:r>
    </w:p>
  </w:endnote>
  <w:endnote w:id="10">
    <w:p w14:paraId="0DD5A445" w14:textId="323BD571" w:rsidR="001400C1" w:rsidRDefault="001400C1" w:rsidP="00C439BD">
      <w:pPr>
        <w:pStyle w:val="EndnoteText"/>
      </w:pPr>
      <w:r>
        <w:rPr>
          <w:rStyle w:val="EndnoteReference"/>
        </w:rPr>
        <w:endnoteRef/>
      </w:r>
      <w:r>
        <w:t xml:space="preserve"> </w:t>
      </w:r>
      <w:r w:rsidRPr="00AD67C0">
        <w:t xml:space="preserve">See Larry D. Terry, </w:t>
      </w:r>
      <w:r>
        <w:t>“</w:t>
      </w:r>
      <w:r w:rsidRPr="00AD67C0">
        <w:t>Administrative Leadership, Neo-Managerialism, and</w:t>
      </w:r>
      <w:r>
        <w:t xml:space="preserve"> the Public Management Movement”</w:t>
      </w:r>
      <w:r w:rsidRPr="00AD67C0">
        <w:t xml:space="preserve"> (1998), </w:t>
      </w:r>
      <w:r>
        <w:t xml:space="preserve">rpt. </w:t>
      </w:r>
      <w:r w:rsidRPr="00AD67C0">
        <w:t xml:space="preserve">in Mark </w:t>
      </w:r>
      <w:r w:rsidRPr="00AD67C0">
        <w:rPr>
          <w:rStyle w:val="FootnoteTextChar"/>
        </w:rPr>
        <w:t xml:space="preserve">Bevir, </w:t>
      </w:r>
      <w:r w:rsidRPr="00377F8B">
        <w:rPr>
          <w:rStyle w:val="FootnoteTextChar"/>
          <w:u w:val="single"/>
        </w:rPr>
        <w:t>Public Governance</w:t>
      </w:r>
      <w:r>
        <w:rPr>
          <w:rStyle w:val="FootnoteTextChar"/>
        </w:rPr>
        <w:t>, 4 vols (London: SAGE</w:t>
      </w:r>
      <w:r w:rsidRPr="00AD67C0">
        <w:rPr>
          <w:rStyle w:val="FootnoteTextChar"/>
        </w:rPr>
        <w:t>, 2007)</w:t>
      </w:r>
      <w:r>
        <w:rPr>
          <w:rStyle w:val="FootnoteTextChar"/>
        </w:rPr>
        <w:t xml:space="preserve">, IV, </w:t>
      </w:r>
      <w:r w:rsidRPr="00AD67C0">
        <w:t>131-44</w:t>
      </w:r>
      <w:r>
        <w:t>.</w:t>
      </w:r>
    </w:p>
  </w:endnote>
  <w:endnote w:id="11">
    <w:p w14:paraId="67AF9763" w14:textId="64E64A2D" w:rsidR="001400C1" w:rsidRPr="002A6896" w:rsidRDefault="001400C1" w:rsidP="002A6896">
      <w:pPr>
        <w:pStyle w:val="EndnoteText"/>
        <w:rPr>
          <w:b/>
          <w:u w:val="single"/>
        </w:rPr>
      </w:pPr>
      <w:r>
        <w:rPr>
          <w:rStyle w:val="EndnoteReference"/>
        </w:rPr>
        <w:endnoteRef/>
      </w:r>
      <w:r w:rsidRPr="002A6896">
        <w:rPr>
          <w:rStyle w:val="FootnoteTextChar"/>
        </w:rPr>
        <w:t xml:space="preserve"> Bevir, </w:t>
      </w:r>
      <w:r>
        <w:rPr>
          <w:rStyle w:val="FootnoteTextChar"/>
        </w:rPr>
        <w:t>“</w:t>
      </w:r>
      <w:r w:rsidRPr="002A6896">
        <w:rPr>
          <w:rStyle w:val="FootnoteTextChar"/>
        </w:rPr>
        <w:t>Democratic Governance: S</w:t>
      </w:r>
      <w:r>
        <w:rPr>
          <w:rStyle w:val="FootnoteTextChar"/>
        </w:rPr>
        <w:t>ystems and Radical Perspectives”</w:t>
      </w:r>
      <w:r w:rsidRPr="002A6896">
        <w:rPr>
          <w:rStyle w:val="FootnoteTextChar"/>
        </w:rPr>
        <w:t xml:space="preserve">, </w:t>
      </w:r>
      <w:r>
        <w:rPr>
          <w:rStyle w:val="FootnoteTextChar"/>
        </w:rPr>
        <w:t xml:space="preserve">in </w:t>
      </w:r>
      <w:r w:rsidRPr="002A6896">
        <w:rPr>
          <w:rStyle w:val="FootnoteTextChar"/>
        </w:rPr>
        <w:t xml:space="preserve">Bevir, </w:t>
      </w:r>
      <w:r w:rsidRPr="00377F8B">
        <w:rPr>
          <w:rStyle w:val="FootnoteTextChar"/>
          <w:u w:val="single"/>
        </w:rPr>
        <w:t>Public Governance</w:t>
      </w:r>
      <w:r w:rsidRPr="002A6896">
        <w:rPr>
          <w:rStyle w:val="FootnoteTextChar"/>
        </w:rPr>
        <w:t xml:space="preserve">, </w:t>
      </w:r>
      <w:r>
        <w:rPr>
          <w:rStyle w:val="FootnoteTextChar"/>
        </w:rPr>
        <w:t>IV, 384-403 (399).</w:t>
      </w:r>
    </w:p>
  </w:endnote>
  <w:endnote w:id="12">
    <w:p w14:paraId="1C45838F" w14:textId="6F15EA60" w:rsidR="001400C1" w:rsidRPr="00AD67C0" w:rsidRDefault="001400C1">
      <w:pPr>
        <w:pStyle w:val="EndnoteText"/>
      </w:pPr>
      <w:r>
        <w:rPr>
          <w:rStyle w:val="EndnoteReference"/>
        </w:rPr>
        <w:endnoteRef/>
      </w:r>
      <w:r>
        <w:t xml:space="preserve"> See esp. Eran Vigoda, “From Responsiveness to Collaboration: Governance, Citizens, and the Next Generation of Public Administration”, in Bevir, </w:t>
      </w:r>
      <w:r w:rsidRPr="00377F8B">
        <w:rPr>
          <w:rStyle w:val="FootnoteTextChar"/>
          <w:u w:val="single"/>
        </w:rPr>
        <w:t>Public Governance</w:t>
      </w:r>
      <w:r w:rsidRPr="00377F8B">
        <w:t xml:space="preserve"> </w:t>
      </w:r>
      <w:r>
        <w:t>IV, 131-53; and for skeptical views: Bevir, “Democratic Governance”, 399-400; and Mark Considine,</w:t>
      </w:r>
      <w:r w:rsidRPr="00AD67C0">
        <w:t xml:space="preserve"> </w:t>
      </w:r>
      <w:r>
        <w:t>“</w:t>
      </w:r>
      <w:r w:rsidRPr="00AD67C0">
        <w:t>The End of the Line? Accountable Governance in the Age of Networks, Partn</w:t>
      </w:r>
      <w:r>
        <w:t xml:space="preserve">erships, and Joined-up Services” (2002), rpt. in Bevir, </w:t>
      </w:r>
      <w:r w:rsidRPr="00377F8B">
        <w:rPr>
          <w:u w:val="single"/>
        </w:rPr>
        <w:t>Public Governance</w:t>
      </w:r>
      <w:r>
        <w:t>, IV, 177-95.</w:t>
      </w:r>
    </w:p>
  </w:endnote>
  <w:endnote w:id="13">
    <w:p w14:paraId="6ACC3328" w14:textId="77777777" w:rsidR="001400C1" w:rsidRDefault="001400C1" w:rsidP="00113F46">
      <w:pPr>
        <w:pStyle w:val="EndnoteText"/>
      </w:pPr>
      <w:r>
        <w:rPr>
          <w:rStyle w:val="EndnoteReference"/>
        </w:rPr>
        <w:endnoteRef/>
      </w:r>
      <w:r>
        <w:t xml:space="preserve"> (New York: Plume). </w:t>
      </w:r>
    </w:p>
  </w:endnote>
  <w:endnote w:id="14">
    <w:p w14:paraId="55E5D7C7" w14:textId="1BCF91D5" w:rsidR="001400C1" w:rsidRPr="009D73B3" w:rsidRDefault="001400C1">
      <w:pPr>
        <w:pStyle w:val="EndnoteText"/>
      </w:pPr>
      <w:r>
        <w:rPr>
          <w:rStyle w:val="EndnoteReference"/>
        </w:rPr>
        <w:endnoteRef/>
      </w:r>
      <w:r>
        <w:t xml:space="preserve"> Anne Humpherys, </w:t>
      </w:r>
      <w:r w:rsidRPr="00377F8B">
        <w:rPr>
          <w:u w:val="single"/>
        </w:rPr>
        <w:t>Henry Mayhew</w:t>
      </w:r>
      <w:r>
        <w:rPr>
          <w:i/>
        </w:rPr>
        <w:t xml:space="preserve"> </w:t>
      </w:r>
      <w:r>
        <w:t>(Boston: Twayne Publishers, 1984), 8.</w:t>
      </w:r>
    </w:p>
  </w:endnote>
  <w:endnote w:id="15">
    <w:p w14:paraId="248D9475" w14:textId="47EF077D" w:rsidR="001400C1" w:rsidRDefault="001400C1">
      <w:pPr>
        <w:pStyle w:val="EndnoteText"/>
      </w:pPr>
      <w:r>
        <w:rPr>
          <w:rStyle w:val="EndnoteReference"/>
        </w:rPr>
        <w:endnoteRef/>
      </w:r>
      <w:r>
        <w:t xml:space="preserve"> For a defence of the core claim that modern public accounting reduces bureaucracy, but in ways that rather confirm the generation of a burden on the public, see </w:t>
      </w:r>
      <w:r w:rsidRPr="00A34108">
        <w:t xml:space="preserve">David Osborne and Peter Plastnik, </w:t>
      </w:r>
      <w:r w:rsidRPr="00377F8B">
        <w:rPr>
          <w:u w:val="single"/>
        </w:rPr>
        <w:t xml:space="preserve">Banishing Bureaucracy: The Five Strategies for Reinventing Government </w:t>
      </w:r>
      <w:r w:rsidRPr="00A34108">
        <w:t>(</w:t>
      </w:r>
      <w:r>
        <w:t>New York: Plume, 1997</w:t>
      </w:r>
      <w:r w:rsidRPr="00A34108">
        <w:t>).</w:t>
      </w:r>
    </w:p>
  </w:endnote>
  <w:endnote w:id="16">
    <w:p w14:paraId="63D6D1D2" w14:textId="391B8529" w:rsidR="001400C1" w:rsidRDefault="001400C1">
      <w:pPr>
        <w:pStyle w:val="EndnoteText"/>
      </w:pPr>
      <w:r>
        <w:rPr>
          <w:rStyle w:val="EndnoteReference"/>
        </w:rPr>
        <w:endnoteRef/>
      </w:r>
      <w:r>
        <w:t xml:space="preserve"> (London: Penguin Books, 1998), 228-9.</w:t>
      </w:r>
    </w:p>
  </w:endnote>
  <w:endnote w:id="17">
    <w:p w14:paraId="14DA960D" w14:textId="553BC134" w:rsidR="001400C1" w:rsidRDefault="001400C1">
      <w:pPr>
        <w:pStyle w:val="EndnoteText"/>
      </w:pPr>
      <w:r>
        <w:rPr>
          <w:rStyle w:val="EndnoteReference"/>
        </w:rPr>
        <w:endnoteRef/>
      </w:r>
      <w:r>
        <w:t xml:space="preserve"> See Citroni and Nicolella, “Participatory Governance”, esp. 30-31.</w:t>
      </w:r>
    </w:p>
  </w:endnote>
  <w:endnote w:id="18">
    <w:p w14:paraId="2253C7FD" w14:textId="1DF9E97D" w:rsidR="001400C1" w:rsidRDefault="001400C1">
      <w:pPr>
        <w:pStyle w:val="EndnoteText"/>
      </w:pPr>
      <w:r>
        <w:rPr>
          <w:rStyle w:val="EndnoteReference"/>
        </w:rPr>
        <w:endnoteRef/>
      </w:r>
      <w:r>
        <w:t xml:space="preserve"> Citroni and Nicolella, “Participatory Governance”, 30. See also </w:t>
      </w:r>
      <w:r w:rsidRPr="00377F8B">
        <w:rPr>
          <w:u w:val="single"/>
        </w:rPr>
        <w:t>Guidelines and Checklist for Constructivist (a.k.a. Fourth G</w:t>
      </w:r>
      <w:r>
        <w:rPr>
          <w:u w:val="single"/>
        </w:rPr>
        <w:t>enerational</w:t>
      </w:r>
      <w:r w:rsidRPr="00377F8B">
        <w:rPr>
          <w:u w:val="single"/>
        </w:rPr>
        <w:t xml:space="preserve"> Evaluation, Evaluation Checklists Project</w:t>
      </w:r>
      <w:r>
        <w:t xml:space="preserve">. </w:t>
      </w:r>
      <w:hyperlink r:id="rId2" w:history="1">
        <w:r w:rsidRPr="009C7EA4">
          <w:rPr>
            <w:rStyle w:val="Hyperlink"/>
          </w:rPr>
          <w:t>http://www.wmich.edu/evalctr/checklists/evaluation-checklists/</w:t>
        </w:r>
      </w:hyperlink>
      <w:r>
        <w:t xml:space="preserve"> Accessed 2 August 2013.</w:t>
      </w:r>
    </w:p>
  </w:endnote>
  <w:endnote w:id="19">
    <w:p w14:paraId="30D8D92E" w14:textId="58FE41A7" w:rsidR="001400C1" w:rsidRDefault="001400C1">
      <w:pPr>
        <w:pStyle w:val="EndnoteText"/>
      </w:pPr>
      <w:r>
        <w:rPr>
          <w:rStyle w:val="EndnoteReference"/>
        </w:rPr>
        <w:endnoteRef/>
      </w:r>
      <w:r>
        <w:t xml:space="preserve"> Summarizing Citroni and Nicolella, “Participatory Governance”, 30-31.</w:t>
      </w:r>
    </w:p>
  </w:endnote>
  <w:endnote w:id="20">
    <w:p w14:paraId="5326222E" w14:textId="77777777" w:rsidR="001400C1" w:rsidRDefault="001400C1" w:rsidP="00CF1B39">
      <w:pPr>
        <w:pStyle w:val="EndnoteText"/>
      </w:pPr>
      <w:r>
        <w:rPr>
          <w:rStyle w:val="EndnoteReference"/>
        </w:rPr>
        <w:endnoteRef/>
      </w:r>
      <w:r>
        <w:t xml:space="preserve"> NHS Commissioning Board, </w:t>
      </w:r>
      <w:r w:rsidRPr="00377F8B">
        <w:rPr>
          <w:u w:val="single"/>
        </w:rPr>
        <w:t>Commissioning for Quality and Innovation (CQUIN): 2013-14 Guidance</w:t>
      </w:r>
      <w:r>
        <w:t xml:space="preserve">. </w:t>
      </w:r>
      <w:hyperlink r:id="rId3" w:history="1">
        <w:r w:rsidRPr="00746DB0">
          <w:rPr>
            <w:rStyle w:val="Hyperlink"/>
          </w:rPr>
          <w:t>https://www.supply2health.nhs.uk/eContracts/Documents/cquin-guidance.pdf</w:t>
        </w:r>
      </w:hyperlink>
      <w:r>
        <w:t xml:space="preserve"> (p. 11). Accessed 31 July 2013.</w:t>
      </w:r>
    </w:p>
    <w:p w14:paraId="78FA28BB" w14:textId="77777777" w:rsidR="001400C1" w:rsidRDefault="001400C1" w:rsidP="00CF1B39">
      <w:pPr>
        <w:pStyle w:val="EndnoteText"/>
      </w:pPr>
      <w:r>
        <w:t xml:space="preserve"> p. 11. On the underlying definition of </w:t>
      </w:r>
      <w:r w:rsidRPr="00CB5DB5">
        <w:t>Commissioning for Quality and Innovation (CQUINs) payments framework</w:t>
      </w:r>
      <w:r>
        <w:t xml:space="preserve">, see </w:t>
      </w:r>
      <w:hyperlink r:id="rId4" w:history="1">
        <w:r w:rsidRPr="00746DB0">
          <w:rPr>
            <w:rStyle w:val="Hyperlink"/>
          </w:rPr>
          <w:t>http://www.partnershipsincare.co.uk/what-are-cquins</w:t>
        </w:r>
      </w:hyperlink>
      <w:r>
        <w:t xml:space="preserve"> Accessed 31 July 2013.</w:t>
      </w:r>
    </w:p>
  </w:endnote>
  <w:endnote w:id="21">
    <w:p w14:paraId="23F6199B" w14:textId="31886FBB" w:rsidR="001400C1" w:rsidRDefault="001400C1" w:rsidP="00676650">
      <w:pPr>
        <w:pStyle w:val="EndnoteText"/>
      </w:pPr>
      <w:r>
        <w:rPr>
          <w:rStyle w:val="EndnoteReference"/>
        </w:rPr>
        <w:endnoteRef/>
      </w:r>
      <w:r>
        <w:t xml:space="preserve"> “</w:t>
      </w:r>
      <w:r w:rsidRPr="00563117">
        <w:t xml:space="preserve">Public and Private Partnerships: </w:t>
      </w:r>
      <w:r>
        <w:t>Accounting for the New Religion”</w:t>
      </w:r>
      <w:r w:rsidRPr="00563117">
        <w:t xml:space="preserve"> (2003), </w:t>
      </w:r>
      <w:r>
        <w:t xml:space="preserve">rpt in Bevir, </w:t>
      </w:r>
      <w:r w:rsidRPr="004B6026">
        <w:rPr>
          <w:u w:val="single"/>
        </w:rPr>
        <w:t>Public Governance</w:t>
      </w:r>
      <w:r>
        <w:t>, IV, 196-234 (220).</w:t>
      </w:r>
    </w:p>
  </w:endnote>
  <w:endnote w:id="22">
    <w:p w14:paraId="5188AD4F" w14:textId="266B40FE" w:rsidR="001400C1" w:rsidRDefault="001400C1" w:rsidP="00676650">
      <w:pPr>
        <w:pStyle w:val="EndnoteText"/>
      </w:pPr>
      <w:r>
        <w:rPr>
          <w:rStyle w:val="EndnoteReference"/>
        </w:rPr>
        <w:endnoteRef/>
      </w:r>
      <w:r>
        <w:t xml:space="preserve"> See Vigoda, “From Responsiveness to Collaboration”, esp. 144-50.</w:t>
      </w:r>
    </w:p>
  </w:endnote>
  <w:endnote w:id="23">
    <w:p w14:paraId="08E124B4" w14:textId="08331045" w:rsidR="001400C1" w:rsidRDefault="001400C1" w:rsidP="00563117">
      <w:pPr>
        <w:pStyle w:val="EndnoteText"/>
      </w:pPr>
      <w:r>
        <w:rPr>
          <w:rStyle w:val="EndnoteReference"/>
        </w:rPr>
        <w:endnoteRef/>
      </w:r>
      <w:r>
        <w:t xml:space="preserve"> Bevir, “Democratic Governance”, 400.</w:t>
      </w:r>
    </w:p>
  </w:endnote>
  <w:endnote w:id="24">
    <w:p w14:paraId="5CACE5FB" w14:textId="27CF1D4C" w:rsidR="001400C1" w:rsidRPr="001A5CA8" w:rsidRDefault="001400C1">
      <w:pPr>
        <w:pStyle w:val="EndnoteText"/>
      </w:pPr>
      <w:r>
        <w:rPr>
          <w:rStyle w:val="EndnoteReference"/>
        </w:rPr>
        <w:endnoteRef/>
      </w:r>
      <w:r>
        <w:t xml:space="preserve"> “Participatory Governance and Social Audit in the Third Sector”, in Bell and Osborne (eds), </w:t>
      </w:r>
      <w:r w:rsidRPr="004B6026">
        <w:rPr>
          <w:u w:val="single"/>
        </w:rPr>
        <w:t>Social Accounting and Public Management</w:t>
      </w:r>
      <w:r w:rsidRPr="001A5CA8">
        <w:t>, 23-35 (24).</w:t>
      </w:r>
    </w:p>
  </w:endnote>
  <w:endnote w:id="25">
    <w:p w14:paraId="4460B3EF" w14:textId="12213FFC" w:rsidR="001400C1" w:rsidRPr="00563117" w:rsidRDefault="001400C1" w:rsidP="000A5000">
      <w:pPr>
        <w:pStyle w:val="EndnoteText"/>
      </w:pPr>
      <w:r>
        <w:rPr>
          <w:rStyle w:val="EndnoteReference"/>
        </w:rPr>
        <w:endnoteRef/>
      </w:r>
      <w:r>
        <w:t xml:space="preserve"> “[</w:t>
      </w:r>
      <w:r w:rsidRPr="00357A01">
        <w:t>D</w:t>
      </w:r>
      <w:r>
        <w:t>]</w:t>
      </w:r>
      <w:r w:rsidRPr="00357A01">
        <w:t>ecisions about rationing are being removed from politicians and self-regulating professions like teachers and doctors and they are being transferred to managers and to entrepreneurs, who quite simply lack the essential legitimacy to spread the essential misery. We may expect, therefore, increased controversies and resort to the courts for redress …</w:t>
      </w:r>
      <w:r>
        <w:t>” “</w:t>
      </w:r>
      <w:r w:rsidRPr="00563117">
        <w:t>The Paradoxes o</w:t>
      </w:r>
      <w:r>
        <w:t xml:space="preserve">f Administrative Reform” (1997), rpt. in Bevir, </w:t>
      </w:r>
      <w:r w:rsidRPr="004B6026">
        <w:rPr>
          <w:u w:val="single"/>
        </w:rPr>
        <w:t>Public Governance</w:t>
      </w:r>
      <w:r>
        <w:t>, II, 96-102 (100).</w:t>
      </w:r>
    </w:p>
  </w:endnote>
  <w:endnote w:id="26">
    <w:p w14:paraId="3CA4D233" w14:textId="1E1AF233" w:rsidR="001400C1" w:rsidRDefault="001400C1">
      <w:pPr>
        <w:pStyle w:val="EndnoteText"/>
      </w:pPr>
      <w:r>
        <w:rPr>
          <w:rStyle w:val="EndnoteReference"/>
        </w:rPr>
        <w:endnoteRef/>
      </w:r>
      <w:r>
        <w:t xml:space="preserve"> “Guidance”, Annex C, 48Effects </w:t>
      </w:r>
      <w:r w:rsidRPr="002B6783">
        <w:t>on research or the advancement of academic knowledge within the higher education sector (whether in the UK or internationally)</w:t>
      </w:r>
      <w:r>
        <w:t>’</w:t>
      </w:r>
      <w:r w:rsidRPr="002B6783">
        <w:t xml:space="preserve"> are </w:t>
      </w:r>
      <w:r>
        <w:t xml:space="preserve">specifically </w:t>
      </w:r>
      <w:r w:rsidRPr="002B6783">
        <w:t>excluded</w:t>
      </w:r>
      <w:r>
        <w:t>. Impacts on teaching are included only when they extend beyond the originating institution.</w:t>
      </w:r>
      <w:r w:rsidRPr="00B70437">
        <w:t xml:space="preserve"> </w:t>
      </w:r>
      <w:r>
        <w:t>(“Guidance”, 26.)</w:t>
      </w:r>
    </w:p>
  </w:endnote>
  <w:endnote w:id="27">
    <w:p w14:paraId="01BFA220" w14:textId="1CE167F7" w:rsidR="001400C1" w:rsidRPr="00815AF9" w:rsidRDefault="001400C1">
      <w:pPr>
        <w:pStyle w:val="EndnoteText"/>
      </w:pPr>
      <w:r>
        <w:rPr>
          <w:rStyle w:val="EndnoteReference"/>
        </w:rPr>
        <w:endnoteRef/>
      </w:r>
      <w:r>
        <w:t xml:space="preserve"> Influential contributions include “Research Excellence Framework: The British Academy’s Contribution to HEFCE’s consultation” (London: British Academy, 2009). Accessed via </w:t>
      </w:r>
      <w:hyperlink r:id="rId5" w:history="1">
        <w:r w:rsidRPr="00746DB0">
          <w:rPr>
            <w:rStyle w:val="Hyperlink"/>
          </w:rPr>
          <w:t>http://www.britac.ac.uk/policy/Pol-res-assess-funding.cfm</w:t>
        </w:r>
      </w:hyperlink>
      <w:r>
        <w:t xml:space="preserve"> 31 July 2013. See also the London School of Economics report on </w:t>
      </w:r>
      <w:r w:rsidRPr="004B6026">
        <w:rPr>
          <w:u w:val="single"/>
        </w:rPr>
        <w:t>Patterns of External Research Impacts</w:t>
      </w:r>
      <w:r>
        <w:t xml:space="preserve">—explicitly critical of the extensive use made of case studies in the impact literature, which it takes to be perpetuating “myths” and “fairy tales” of individual discovery and determinant influence. </w:t>
      </w:r>
      <w:hyperlink r:id="rId6" w:history="1">
        <w:r w:rsidRPr="00746DB0">
          <w:rPr>
            <w:rStyle w:val="Hyperlink"/>
          </w:rPr>
          <w:t>http://blogs.lse.ac.uk/impactofsocialsciences/the-handbook/chapter-5-the-origins-and-patterning-of-external-research-impacts/</w:t>
        </w:r>
      </w:hyperlink>
      <w:r>
        <w:t xml:space="preserve"> Accessed 31 July 2013. For the government’s own consideration of the REF accountability burden, see </w:t>
      </w:r>
      <w:r w:rsidRPr="004B6026">
        <w:rPr>
          <w:u w:val="single"/>
        </w:rPr>
        <w:t>The REF and accountability burden: discussion paper</w:t>
      </w:r>
      <w:r>
        <w:t xml:space="preserve"> (24 March 2009), </w:t>
      </w:r>
      <w:hyperlink r:id="rId7" w:history="1">
        <w:r w:rsidRPr="00746DB0">
          <w:rPr>
            <w:rStyle w:val="Hyperlink"/>
          </w:rPr>
          <w:t>http://www.ref.ac.uk/media/ref/content/background/secondconsult/acc_work_discuss.pdf</w:t>
        </w:r>
      </w:hyperlink>
      <w:r>
        <w:t xml:space="preserve"> Accessed 31 July 2013.</w:t>
      </w:r>
    </w:p>
  </w:endnote>
  <w:endnote w:id="28">
    <w:p w14:paraId="0ECEDD97" w14:textId="31987E20" w:rsidR="001400C1" w:rsidRDefault="001400C1">
      <w:pPr>
        <w:pStyle w:val="EndnoteText"/>
      </w:pPr>
      <w:r>
        <w:rPr>
          <w:rStyle w:val="EndnoteReference"/>
        </w:rPr>
        <w:endnoteRef/>
      </w:r>
      <w:r>
        <w:t xml:space="preserve"> REF 2014 </w:t>
      </w:r>
      <w:r w:rsidRPr="004B6026">
        <w:rPr>
          <w:u w:val="single"/>
        </w:rPr>
        <w:t>Part 2D: Main Panel D Criteria</w:t>
      </w:r>
      <w:r>
        <w:t xml:space="preserve">. </w:t>
      </w:r>
      <w:hyperlink r:id="rId8" w:history="1">
        <w:r w:rsidRPr="00CE669F">
          <w:rPr>
            <w:rStyle w:val="Hyperlink"/>
          </w:rPr>
          <w:t>http://www.ref.ac.uk/pubs/2012-01/</w:t>
        </w:r>
      </w:hyperlink>
      <w:r>
        <w:t xml:space="preserve"> (para. 85, p. 90). Accessed 30 July 2013.</w:t>
      </w:r>
    </w:p>
  </w:endnote>
  <w:endnote w:id="29">
    <w:p w14:paraId="41F65426" w14:textId="6A0AF730" w:rsidR="001400C1" w:rsidRDefault="001400C1" w:rsidP="00173A4D">
      <w:pPr>
        <w:pStyle w:val="EndnoteText"/>
      </w:pPr>
      <w:r>
        <w:rPr>
          <w:rStyle w:val="EndnoteReference"/>
        </w:rPr>
        <w:endnoteRef/>
      </w:r>
      <w:r>
        <w:t xml:space="preserve"> Citroni and Nicolelli, “Participatory Governance”, 32.</w:t>
      </w:r>
    </w:p>
  </w:endnote>
  <w:endnote w:id="30">
    <w:p w14:paraId="525807F3" w14:textId="77777777" w:rsidR="001400C1" w:rsidRPr="00CB620D" w:rsidRDefault="001400C1" w:rsidP="00CB620D">
      <w:pPr>
        <w:pStyle w:val="EndnoteText"/>
      </w:pPr>
      <w:r>
        <w:rPr>
          <w:rStyle w:val="EndnoteReference"/>
        </w:rPr>
        <w:endnoteRef/>
      </w:r>
      <w:r>
        <w:t xml:space="preserve"> </w:t>
      </w:r>
      <w:r w:rsidRPr="004B6026">
        <w:rPr>
          <w:u w:val="single"/>
        </w:rPr>
        <w:t>Genres of the Credit Economy: Mediating Value in Eighteenth- and Nineteenth-Century Britain</w:t>
      </w:r>
      <w:r>
        <w:rPr>
          <w:i/>
        </w:rPr>
        <w:t xml:space="preserve"> </w:t>
      </w:r>
      <w:r>
        <w:t>(Chicago: Chicago University Press, 2008). See esp. ch. 6.</w:t>
      </w:r>
    </w:p>
  </w:endnote>
  <w:endnote w:id="31">
    <w:p w14:paraId="1EF6F218" w14:textId="216FEB77" w:rsidR="001400C1" w:rsidRPr="00D86A49" w:rsidRDefault="001400C1" w:rsidP="008E0F34">
      <w:pPr>
        <w:pStyle w:val="EndnoteText"/>
      </w:pPr>
      <w:r>
        <w:rPr>
          <w:rStyle w:val="EndnoteReference"/>
        </w:rPr>
        <w:endnoteRef/>
      </w:r>
      <w:r>
        <w:t xml:space="preserve"> “Mr. Bennett and Mrs. Brown”, in </w:t>
      </w:r>
      <w:r w:rsidRPr="004B6026">
        <w:rPr>
          <w:u w:val="single"/>
        </w:rPr>
        <w:t>The Hogarth Essays</w:t>
      </w:r>
      <w:r>
        <w:rPr>
          <w:i/>
        </w:rPr>
        <w:t xml:space="preserve"> </w:t>
      </w:r>
      <w:r>
        <w:t>(London: The Hogarth Press, 1924), 3-24 (14-15): “One line of insight would have done more than all those lines of description.”</w:t>
      </w:r>
    </w:p>
  </w:endnote>
  <w:endnote w:id="32">
    <w:p w14:paraId="151A7681" w14:textId="1D30C908" w:rsidR="001400C1" w:rsidRDefault="001400C1" w:rsidP="00913462">
      <w:pPr>
        <w:pStyle w:val="EndnoteText"/>
      </w:pPr>
      <w:r>
        <w:rPr>
          <w:rStyle w:val="EndnoteReference"/>
        </w:rPr>
        <w:endnoteRef/>
      </w:r>
      <w:r>
        <w:t xml:space="preserve"> Only 3 are known to have survived. See Fred Bridgland, “Woman survives 150 foot jump from Forth bridge”, </w:t>
      </w:r>
      <w:r w:rsidRPr="004B6026">
        <w:rPr>
          <w:u w:val="single"/>
        </w:rPr>
        <w:t>The Independent</w:t>
      </w:r>
      <w:r>
        <w:rPr>
          <w:i/>
        </w:rPr>
        <w:t xml:space="preserve"> </w:t>
      </w:r>
      <w:r>
        <w:t xml:space="preserve">18 August 2000.  </w:t>
      </w:r>
      <w:hyperlink r:id="rId9" w:history="1">
        <w:r w:rsidRPr="00873DD0">
          <w:rPr>
            <w:rStyle w:val="Hyperlink"/>
          </w:rPr>
          <w:t>http://www.independent.co.uk/news/uk/this-britain/woman-survives-150ft-jump-from-forth-bridge-710828.html</w:t>
        </w:r>
      </w:hyperlink>
      <w:r>
        <w:t xml:space="preserve"> Accessed 1 August 2014.</w:t>
      </w:r>
    </w:p>
  </w:endnote>
  <w:endnote w:id="33">
    <w:p w14:paraId="633C973E" w14:textId="501E77FE" w:rsidR="00B25C11" w:rsidRDefault="00B25C11">
      <w:pPr>
        <w:pStyle w:val="EndnoteText"/>
      </w:pPr>
      <w:r>
        <w:rPr>
          <w:rStyle w:val="EndnoteReference"/>
        </w:rPr>
        <w:endnoteRef/>
      </w:r>
      <w:r>
        <w:t xml:space="preserve"> </w:t>
      </w:r>
      <w:r w:rsidRPr="00B25C11">
        <w:t xml:space="preserve">The data demonstrating a link with improved individual prosperity are under pressure, at present. A series of articles in </w:t>
      </w:r>
      <w:r w:rsidRPr="00B25C11">
        <w:rPr>
          <w:i/>
        </w:rPr>
        <w:t>The Financial Times</w:t>
      </w:r>
      <w:r w:rsidRPr="00B25C11">
        <w:t xml:space="preserve"> details the damage done to graduate earnings by the combination of a general financial downturn and increased tuition fees. See esp. Sarah Connor, 'Graduate Data Reveal England's Lost and Indebted Generation', 18 November 2013</w:t>
      </w:r>
      <w:r>
        <w:t>.</w:t>
      </w:r>
    </w:p>
  </w:endnote>
  <w:endnote w:id="34">
    <w:p w14:paraId="4DCA4C97" w14:textId="134F9DCF" w:rsidR="001400C1" w:rsidRPr="006F3ACA" w:rsidRDefault="001400C1" w:rsidP="00616589">
      <w:pPr>
        <w:pStyle w:val="EndnoteText"/>
        <w:rPr>
          <w:i/>
        </w:rPr>
      </w:pPr>
      <w:r>
        <w:rPr>
          <w:rStyle w:val="EndnoteReference"/>
        </w:rPr>
        <w:endnoteRef/>
      </w:r>
      <w:r>
        <w:t xml:space="preserve"> “</w:t>
      </w:r>
      <w:r w:rsidRPr="00212BB2">
        <w:t>The day of the bog-standar</w:t>
      </w:r>
      <w:r>
        <w:t xml:space="preserve">d comprehensive school is over.” Speech launching the government green paper on secondary education, 12 February 2001. See “Comprehensive Changes”, </w:t>
      </w:r>
      <w:r w:rsidRPr="004B6026">
        <w:rPr>
          <w:u w:val="single"/>
        </w:rPr>
        <w:t>BBC News online</w:t>
      </w:r>
      <w:r>
        <w:rPr>
          <w:i/>
        </w:rPr>
        <w:t xml:space="preserve">, </w:t>
      </w:r>
      <w:hyperlink r:id="rId10" w:history="1">
        <w:r w:rsidRPr="00E95025">
          <w:rPr>
            <w:rStyle w:val="Hyperlink"/>
          </w:rPr>
          <w:t>http://news.bbc.co.uk/1/hi/programmes/world_at_one/programme_highlights/1166580.stm</w:t>
        </w:r>
      </w:hyperlink>
      <w:r>
        <w:t>. Accessed 16 July 2013.</w:t>
      </w:r>
    </w:p>
  </w:endnote>
  <w:endnote w:id="35">
    <w:p w14:paraId="64E90F93" w14:textId="45854268" w:rsidR="001400C1" w:rsidRDefault="001400C1" w:rsidP="00616589">
      <w:pPr>
        <w:pStyle w:val="EndnoteText"/>
      </w:pPr>
      <w:r>
        <w:rPr>
          <w:rStyle w:val="EndnoteReference"/>
        </w:rPr>
        <w:endnoteRef/>
      </w:r>
      <w:r>
        <w:rPr>
          <w:rFonts w:cs="Times New Roman"/>
        </w:rPr>
        <w:t xml:space="preserve"> </w:t>
      </w:r>
      <w:r w:rsidRPr="004B6026">
        <w:rPr>
          <w:rFonts w:cs="Times New Roman"/>
          <w:u w:val="single"/>
        </w:rPr>
        <w:t>How the Baby Boomers Took Their Children’s Future — and Why They Should Give it Back</w:t>
      </w:r>
      <w:r>
        <w:rPr>
          <w:rFonts w:cs="Times New Roman"/>
          <w:i/>
        </w:rPr>
        <w:t xml:space="preserve"> </w:t>
      </w:r>
      <w:r>
        <w:rPr>
          <w:rFonts w:cs="Times New Roman"/>
        </w:rPr>
        <w:t>(London: Atlantic Books, 2010), 171.</w:t>
      </w:r>
    </w:p>
  </w:endnote>
  <w:endnote w:id="36">
    <w:p w14:paraId="38D2215C" w14:textId="0F92D74C" w:rsidR="001400C1" w:rsidRDefault="001400C1" w:rsidP="005E62AA">
      <w:pPr>
        <w:pStyle w:val="EndnoteText"/>
      </w:pPr>
      <w:r>
        <w:rPr>
          <w:rStyle w:val="EndnoteReference"/>
        </w:rPr>
        <w:endnoteRef/>
      </w:r>
      <w:r>
        <w:t xml:space="preserve"> For all its much remarked-upon nods towards Joyce, Woolf, Dos Passos, this is a deeply Dickensian work of social realism—the question that animates it being less Paul Dombey’s grand infant challenge to political economy, “what is money?”, than the full-grown preoccupation of modern public life, “what is value for public money?”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AABE8" w14:textId="77777777" w:rsidR="001400C1" w:rsidRDefault="001400C1" w:rsidP="00212BB2">
      <w:pPr>
        <w:spacing w:line="240" w:lineRule="auto"/>
      </w:pPr>
      <w:r>
        <w:separator/>
      </w:r>
    </w:p>
  </w:footnote>
  <w:footnote w:type="continuationSeparator" w:id="0">
    <w:p w14:paraId="6DEC396D" w14:textId="77777777" w:rsidR="001400C1" w:rsidRDefault="001400C1" w:rsidP="00212BB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52D4" w14:textId="77777777" w:rsidR="001400C1" w:rsidRDefault="001400C1" w:rsidP="00907D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41EDA" w14:textId="77777777" w:rsidR="001400C1" w:rsidRDefault="001400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0928" w14:textId="77777777" w:rsidR="001400C1" w:rsidRDefault="001400C1" w:rsidP="00907D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C11">
      <w:rPr>
        <w:rStyle w:val="PageNumber"/>
        <w:noProof/>
      </w:rPr>
      <w:t>28</w:t>
    </w:r>
    <w:r>
      <w:rPr>
        <w:rStyle w:val="PageNumber"/>
      </w:rPr>
      <w:fldChar w:fldCharType="end"/>
    </w:r>
  </w:p>
  <w:p w14:paraId="76EDA154" w14:textId="77777777" w:rsidR="001400C1" w:rsidRDefault="00140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39"/>
    <w:rsid w:val="000027E1"/>
    <w:rsid w:val="000049EC"/>
    <w:rsid w:val="00014EAA"/>
    <w:rsid w:val="00015309"/>
    <w:rsid w:val="00015495"/>
    <w:rsid w:val="0002057E"/>
    <w:rsid w:val="0002418C"/>
    <w:rsid w:val="00037F92"/>
    <w:rsid w:val="00041915"/>
    <w:rsid w:val="00042965"/>
    <w:rsid w:val="00043E18"/>
    <w:rsid w:val="000457D3"/>
    <w:rsid w:val="00047B1A"/>
    <w:rsid w:val="0005089B"/>
    <w:rsid w:val="00051C9C"/>
    <w:rsid w:val="000575FD"/>
    <w:rsid w:val="0006731E"/>
    <w:rsid w:val="00093887"/>
    <w:rsid w:val="000A5000"/>
    <w:rsid w:val="000A71CD"/>
    <w:rsid w:val="000B1BAA"/>
    <w:rsid w:val="000B2013"/>
    <w:rsid w:val="000C75B8"/>
    <w:rsid w:val="000D1E89"/>
    <w:rsid w:val="000D77D5"/>
    <w:rsid w:val="000E0CEE"/>
    <w:rsid w:val="000F2739"/>
    <w:rsid w:val="000F35F4"/>
    <w:rsid w:val="00106450"/>
    <w:rsid w:val="00107A9D"/>
    <w:rsid w:val="00112DA8"/>
    <w:rsid w:val="00113F46"/>
    <w:rsid w:val="0012183D"/>
    <w:rsid w:val="00123F2D"/>
    <w:rsid w:val="00134D84"/>
    <w:rsid w:val="001400C1"/>
    <w:rsid w:val="00142AA3"/>
    <w:rsid w:val="00144A15"/>
    <w:rsid w:val="00145EE8"/>
    <w:rsid w:val="001518EB"/>
    <w:rsid w:val="00152CBD"/>
    <w:rsid w:val="00153541"/>
    <w:rsid w:val="00154052"/>
    <w:rsid w:val="00157ACA"/>
    <w:rsid w:val="0016001D"/>
    <w:rsid w:val="00164D6E"/>
    <w:rsid w:val="00165662"/>
    <w:rsid w:val="00172C64"/>
    <w:rsid w:val="00173A4D"/>
    <w:rsid w:val="00174B88"/>
    <w:rsid w:val="001763BA"/>
    <w:rsid w:val="00181C3D"/>
    <w:rsid w:val="001827D5"/>
    <w:rsid w:val="0019441C"/>
    <w:rsid w:val="00194BD5"/>
    <w:rsid w:val="001A348C"/>
    <w:rsid w:val="001A37FE"/>
    <w:rsid w:val="001A5CA8"/>
    <w:rsid w:val="001A7584"/>
    <w:rsid w:val="001C5D9F"/>
    <w:rsid w:val="001C75AA"/>
    <w:rsid w:val="001D2C50"/>
    <w:rsid w:val="001F1DD5"/>
    <w:rsid w:val="001F56D1"/>
    <w:rsid w:val="00202C49"/>
    <w:rsid w:val="0020497A"/>
    <w:rsid w:val="002067B8"/>
    <w:rsid w:val="00210030"/>
    <w:rsid w:val="00210FBA"/>
    <w:rsid w:val="00212BB2"/>
    <w:rsid w:val="00216C2A"/>
    <w:rsid w:val="002250CF"/>
    <w:rsid w:val="0023453E"/>
    <w:rsid w:val="002348C1"/>
    <w:rsid w:val="002368D5"/>
    <w:rsid w:val="002431C1"/>
    <w:rsid w:val="002524A7"/>
    <w:rsid w:val="002529FD"/>
    <w:rsid w:val="00256BDE"/>
    <w:rsid w:val="002802F1"/>
    <w:rsid w:val="00281DFD"/>
    <w:rsid w:val="0028313A"/>
    <w:rsid w:val="002A6896"/>
    <w:rsid w:val="002A7017"/>
    <w:rsid w:val="002B18BB"/>
    <w:rsid w:val="002B219A"/>
    <w:rsid w:val="002B38B4"/>
    <w:rsid w:val="002B4ED0"/>
    <w:rsid w:val="002B6783"/>
    <w:rsid w:val="002C59FD"/>
    <w:rsid w:val="002C72A7"/>
    <w:rsid w:val="002D2047"/>
    <w:rsid w:val="002E257A"/>
    <w:rsid w:val="002E341C"/>
    <w:rsid w:val="002F31D8"/>
    <w:rsid w:val="002F4E3F"/>
    <w:rsid w:val="002F66A0"/>
    <w:rsid w:val="00300C1B"/>
    <w:rsid w:val="00310CAD"/>
    <w:rsid w:val="0031282B"/>
    <w:rsid w:val="00314777"/>
    <w:rsid w:val="0033625F"/>
    <w:rsid w:val="00340E53"/>
    <w:rsid w:val="00346773"/>
    <w:rsid w:val="00355D31"/>
    <w:rsid w:val="00357A01"/>
    <w:rsid w:val="0036019D"/>
    <w:rsid w:val="00362B07"/>
    <w:rsid w:val="00373A1B"/>
    <w:rsid w:val="00377F8B"/>
    <w:rsid w:val="003809EE"/>
    <w:rsid w:val="003821AF"/>
    <w:rsid w:val="00390317"/>
    <w:rsid w:val="00395458"/>
    <w:rsid w:val="003A6A45"/>
    <w:rsid w:val="003B028E"/>
    <w:rsid w:val="003B112F"/>
    <w:rsid w:val="003C0CA1"/>
    <w:rsid w:val="003C2A2C"/>
    <w:rsid w:val="003C572F"/>
    <w:rsid w:val="003C5A60"/>
    <w:rsid w:val="003C6511"/>
    <w:rsid w:val="003C7230"/>
    <w:rsid w:val="003C7EEB"/>
    <w:rsid w:val="003D55A9"/>
    <w:rsid w:val="003D62ED"/>
    <w:rsid w:val="003E3B58"/>
    <w:rsid w:val="003E7A83"/>
    <w:rsid w:val="003F5D0D"/>
    <w:rsid w:val="00401CC3"/>
    <w:rsid w:val="00420A82"/>
    <w:rsid w:val="00421C22"/>
    <w:rsid w:val="0043218A"/>
    <w:rsid w:val="00450FB1"/>
    <w:rsid w:val="0045136B"/>
    <w:rsid w:val="00457E26"/>
    <w:rsid w:val="00461BFA"/>
    <w:rsid w:val="00465685"/>
    <w:rsid w:val="004656C1"/>
    <w:rsid w:val="0047513E"/>
    <w:rsid w:val="00475EC2"/>
    <w:rsid w:val="0048748C"/>
    <w:rsid w:val="0049594D"/>
    <w:rsid w:val="004A0E50"/>
    <w:rsid w:val="004A206B"/>
    <w:rsid w:val="004A4D5F"/>
    <w:rsid w:val="004A5907"/>
    <w:rsid w:val="004B2E4E"/>
    <w:rsid w:val="004B31EB"/>
    <w:rsid w:val="004B49B2"/>
    <w:rsid w:val="004B6026"/>
    <w:rsid w:val="004C2113"/>
    <w:rsid w:val="004C7F71"/>
    <w:rsid w:val="004C7FF0"/>
    <w:rsid w:val="004D4D70"/>
    <w:rsid w:val="004E2221"/>
    <w:rsid w:val="004E3CFE"/>
    <w:rsid w:val="005120D5"/>
    <w:rsid w:val="00512EA2"/>
    <w:rsid w:val="00514A6E"/>
    <w:rsid w:val="00516F09"/>
    <w:rsid w:val="00522306"/>
    <w:rsid w:val="00531FC4"/>
    <w:rsid w:val="005363B8"/>
    <w:rsid w:val="005364C2"/>
    <w:rsid w:val="005421F8"/>
    <w:rsid w:val="0054521C"/>
    <w:rsid w:val="0055362B"/>
    <w:rsid w:val="00553D62"/>
    <w:rsid w:val="0056228D"/>
    <w:rsid w:val="00563117"/>
    <w:rsid w:val="00563E59"/>
    <w:rsid w:val="005733F8"/>
    <w:rsid w:val="00577C74"/>
    <w:rsid w:val="0058089B"/>
    <w:rsid w:val="005851EB"/>
    <w:rsid w:val="0058624E"/>
    <w:rsid w:val="00590E11"/>
    <w:rsid w:val="00596518"/>
    <w:rsid w:val="005A19A1"/>
    <w:rsid w:val="005A2988"/>
    <w:rsid w:val="005A4A46"/>
    <w:rsid w:val="005A4BFD"/>
    <w:rsid w:val="005B6CCF"/>
    <w:rsid w:val="005C2555"/>
    <w:rsid w:val="005C5602"/>
    <w:rsid w:val="005D0763"/>
    <w:rsid w:val="005D297E"/>
    <w:rsid w:val="005D595D"/>
    <w:rsid w:val="005E1EFE"/>
    <w:rsid w:val="005E62AA"/>
    <w:rsid w:val="005E6EAE"/>
    <w:rsid w:val="005E7477"/>
    <w:rsid w:val="005F5562"/>
    <w:rsid w:val="005F5809"/>
    <w:rsid w:val="005F63F3"/>
    <w:rsid w:val="00601A08"/>
    <w:rsid w:val="006032C6"/>
    <w:rsid w:val="006046B6"/>
    <w:rsid w:val="00605D3D"/>
    <w:rsid w:val="00616589"/>
    <w:rsid w:val="006178FE"/>
    <w:rsid w:val="006220FF"/>
    <w:rsid w:val="00623ED7"/>
    <w:rsid w:val="00623FA8"/>
    <w:rsid w:val="00626C75"/>
    <w:rsid w:val="006427E1"/>
    <w:rsid w:val="00645170"/>
    <w:rsid w:val="00653D40"/>
    <w:rsid w:val="00655FCC"/>
    <w:rsid w:val="006571D6"/>
    <w:rsid w:val="00675BBF"/>
    <w:rsid w:val="00676650"/>
    <w:rsid w:val="0068094F"/>
    <w:rsid w:val="00687F96"/>
    <w:rsid w:val="00690D9C"/>
    <w:rsid w:val="00694A21"/>
    <w:rsid w:val="006962DB"/>
    <w:rsid w:val="006A1E00"/>
    <w:rsid w:val="006A439A"/>
    <w:rsid w:val="006B287B"/>
    <w:rsid w:val="006B43CE"/>
    <w:rsid w:val="006B6394"/>
    <w:rsid w:val="006C4EE9"/>
    <w:rsid w:val="006C5926"/>
    <w:rsid w:val="006D1F41"/>
    <w:rsid w:val="006D2AC2"/>
    <w:rsid w:val="006E1A92"/>
    <w:rsid w:val="006E27D4"/>
    <w:rsid w:val="006E469D"/>
    <w:rsid w:val="006E5207"/>
    <w:rsid w:val="006F3ACA"/>
    <w:rsid w:val="006F4428"/>
    <w:rsid w:val="006F5BF6"/>
    <w:rsid w:val="00700228"/>
    <w:rsid w:val="00702488"/>
    <w:rsid w:val="00713DB4"/>
    <w:rsid w:val="00720E3E"/>
    <w:rsid w:val="00721E46"/>
    <w:rsid w:val="00731067"/>
    <w:rsid w:val="00736B7A"/>
    <w:rsid w:val="00754266"/>
    <w:rsid w:val="0075799E"/>
    <w:rsid w:val="00760A23"/>
    <w:rsid w:val="007746D5"/>
    <w:rsid w:val="007826ED"/>
    <w:rsid w:val="007912B5"/>
    <w:rsid w:val="007A735F"/>
    <w:rsid w:val="007B45B6"/>
    <w:rsid w:val="007C4177"/>
    <w:rsid w:val="007C75EF"/>
    <w:rsid w:val="007F2053"/>
    <w:rsid w:val="007F4CFF"/>
    <w:rsid w:val="007F7171"/>
    <w:rsid w:val="00815AF9"/>
    <w:rsid w:val="00820CCE"/>
    <w:rsid w:val="00821616"/>
    <w:rsid w:val="00822871"/>
    <w:rsid w:val="00822A89"/>
    <w:rsid w:val="00826B2A"/>
    <w:rsid w:val="00830C37"/>
    <w:rsid w:val="008311DA"/>
    <w:rsid w:val="00836C63"/>
    <w:rsid w:val="00837418"/>
    <w:rsid w:val="00841C87"/>
    <w:rsid w:val="00843EF0"/>
    <w:rsid w:val="00852DBE"/>
    <w:rsid w:val="008567C4"/>
    <w:rsid w:val="00877478"/>
    <w:rsid w:val="00892AA1"/>
    <w:rsid w:val="008A5F98"/>
    <w:rsid w:val="008B17B3"/>
    <w:rsid w:val="008C00B1"/>
    <w:rsid w:val="008D0FA8"/>
    <w:rsid w:val="008E0891"/>
    <w:rsid w:val="008E0F34"/>
    <w:rsid w:val="008E4ACD"/>
    <w:rsid w:val="008E78E0"/>
    <w:rsid w:val="008F146F"/>
    <w:rsid w:val="008F19FA"/>
    <w:rsid w:val="008F34CB"/>
    <w:rsid w:val="009075A9"/>
    <w:rsid w:val="00907D60"/>
    <w:rsid w:val="00913462"/>
    <w:rsid w:val="00914644"/>
    <w:rsid w:val="0091580E"/>
    <w:rsid w:val="009164D0"/>
    <w:rsid w:val="009212D3"/>
    <w:rsid w:val="00925056"/>
    <w:rsid w:val="00927B22"/>
    <w:rsid w:val="00930A58"/>
    <w:rsid w:val="009341A4"/>
    <w:rsid w:val="00941B86"/>
    <w:rsid w:val="00947B11"/>
    <w:rsid w:val="00947FAD"/>
    <w:rsid w:val="00950AB5"/>
    <w:rsid w:val="00961636"/>
    <w:rsid w:val="00966652"/>
    <w:rsid w:val="009717BF"/>
    <w:rsid w:val="0097289E"/>
    <w:rsid w:val="00976A06"/>
    <w:rsid w:val="00985B8B"/>
    <w:rsid w:val="009A1F21"/>
    <w:rsid w:val="009A4E9F"/>
    <w:rsid w:val="009C0E28"/>
    <w:rsid w:val="009C2FA9"/>
    <w:rsid w:val="009D2061"/>
    <w:rsid w:val="009D3474"/>
    <w:rsid w:val="009D5FC4"/>
    <w:rsid w:val="009D73B3"/>
    <w:rsid w:val="009E13BB"/>
    <w:rsid w:val="009E259B"/>
    <w:rsid w:val="009E73A1"/>
    <w:rsid w:val="00A234DF"/>
    <w:rsid w:val="00A26A9A"/>
    <w:rsid w:val="00A34108"/>
    <w:rsid w:val="00A35CC3"/>
    <w:rsid w:val="00A37FA4"/>
    <w:rsid w:val="00A53FA7"/>
    <w:rsid w:val="00A5444C"/>
    <w:rsid w:val="00A627D2"/>
    <w:rsid w:val="00A663EF"/>
    <w:rsid w:val="00A66A07"/>
    <w:rsid w:val="00A76D32"/>
    <w:rsid w:val="00A76F71"/>
    <w:rsid w:val="00A8344C"/>
    <w:rsid w:val="00A837A1"/>
    <w:rsid w:val="00A85957"/>
    <w:rsid w:val="00AA6214"/>
    <w:rsid w:val="00AC528C"/>
    <w:rsid w:val="00AD1B37"/>
    <w:rsid w:val="00AD67C0"/>
    <w:rsid w:val="00AF3403"/>
    <w:rsid w:val="00AF3D2E"/>
    <w:rsid w:val="00AF6B5C"/>
    <w:rsid w:val="00AF7CEF"/>
    <w:rsid w:val="00B05CF3"/>
    <w:rsid w:val="00B15C10"/>
    <w:rsid w:val="00B233C7"/>
    <w:rsid w:val="00B25C11"/>
    <w:rsid w:val="00B336BB"/>
    <w:rsid w:val="00B3738C"/>
    <w:rsid w:val="00B50724"/>
    <w:rsid w:val="00B57EC7"/>
    <w:rsid w:val="00B70437"/>
    <w:rsid w:val="00B72B38"/>
    <w:rsid w:val="00B73ADF"/>
    <w:rsid w:val="00B84F36"/>
    <w:rsid w:val="00B85B53"/>
    <w:rsid w:val="00B91E49"/>
    <w:rsid w:val="00B94D8B"/>
    <w:rsid w:val="00BA060D"/>
    <w:rsid w:val="00BA4751"/>
    <w:rsid w:val="00BA66DC"/>
    <w:rsid w:val="00BC696F"/>
    <w:rsid w:val="00BD4315"/>
    <w:rsid w:val="00BF173C"/>
    <w:rsid w:val="00BF1A4B"/>
    <w:rsid w:val="00BF3021"/>
    <w:rsid w:val="00BF52CE"/>
    <w:rsid w:val="00C01CDD"/>
    <w:rsid w:val="00C0228D"/>
    <w:rsid w:val="00C055E4"/>
    <w:rsid w:val="00C2055E"/>
    <w:rsid w:val="00C2139B"/>
    <w:rsid w:val="00C22655"/>
    <w:rsid w:val="00C36E48"/>
    <w:rsid w:val="00C434A3"/>
    <w:rsid w:val="00C439BD"/>
    <w:rsid w:val="00C554E7"/>
    <w:rsid w:val="00C60628"/>
    <w:rsid w:val="00C63D92"/>
    <w:rsid w:val="00C7020A"/>
    <w:rsid w:val="00C714D6"/>
    <w:rsid w:val="00C72435"/>
    <w:rsid w:val="00C82B5A"/>
    <w:rsid w:val="00C85AE3"/>
    <w:rsid w:val="00CB5DB5"/>
    <w:rsid w:val="00CB620D"/>
    <w:rsid w:val="00CC0004"/>
    <w:rsid w:val="00CD219C"/>
    <w:rsid w:val="00CD3593"/>
    <w:rsid w:val="00CE1135"/>
    <w:rsid w:val="00CE53DE"/>
    <w:rsid w:val="00CF1B39"/>
    <w:rsid w:val="00CF35B9"/>
    <w:rsid w:val="00D05049"/>
    <w:rsid w:val="00D076BD"/>
    <w:rsid w:val="00D114EB"/>
    <w:rsid w:val="00D21FF0"/>
    <w:rsid w:val="00D47B5F"/>
    <w:rsid w:val="00D51C6A"/>
    <w:rsid w:val="00D54D62"/>
    <w:rsid w:val="00D608A4"/>
    <w:rsid w:val="00D62CBE"/>
    <w:rsid w:val="00D6536C"/>
    <w:rsid w:val="00D72353"/>
    <w:rsid w:val="00D74774"/>
    <w:rsid w:val="00D82F9C"/>
    <w:rsid w:val="00D86A49"/>
    <w:rsid w:val="00D95254"/>
    <w:rsid w:val="00D95ECC"/>
    <w:rsid w:val="00DA455B"/>
    <w:rsid w:val="00DB1785"/>
    <w:rsid w:val="00DB2869"/>
    <w:rsid w:val="00DC6306"/>
    <w:rsid w:val="00DC6607"/>
    <w:rsid w:val="00DD1FF4"/>
    <w:rsid w:val="00DD67A1"/>
    <w:rsid w:val="00DD6E2F"/>
    <w:rsid w:val="00DE143F"/>
    <w:rsid w:val="00DE149D"/>
    <w:rsid w:val="00DE61FE"/>
    <w:rsid w:val="00DF1439"/>
    <w:rsid w:val="00DF210A"/>
    <w:rsid w:val="00DF47C4"/>
    <w:rsid w:val="00E0315C"/>
    <w:rsid w:val="00E05B2F"/>
    <w:rsid w:val="00E062BB"/>
    <w:rsid w:val="00E1703D"/>
    <w:rsid w:val="00E3344C"/>
    <w:rsid w:val="00E5148C"/>
    <w:rsid w:val="00E554F5"/>
    <w:rsid w:val="00E57B32"/>
    <w:rsid w:val="00E57C44"/>
    <w:rsid w:val="00E60025"/>
    <w:rsid w:val="00E61618"/>
    <w:rsid w:val="00E74FEB"/>
    <w:rsid w:val="00E75237"/>
    <w:rsid w:val="00E87EA8"/>
    <w:rsid w:val="00EA1758"/>
    <w:rsid w:val="00EA7F5A"/>
    <w:rsid w:val="00EB5E16"/>
    <w:rsid w:val="00EC248C"/>
    <w:rsid w:val="00ED15C2"/>
    <w:rsid w:val="00ED2486"/>
    <w:rsid w:val="00ED27B8"/>
    <w:rsid w:val="00ED5078"/>
    <w:rsid w:val="00ED5DF4"/>
    <w:rsid w:val="00EE34A2"/>
    <w:rsid w:val="00EE429C"/>
    <w:rsid w:val="00EE739B"/>
    <w:rsid w:val="00EF15E7"/>
    <w:rsid w:val="00EF7285"/>
    <w:rsid w:val="00F00A1F"/>
    <w:rsid w:val="00F143C6"/>
    <w:rsid w:val="00F1577E"/>
    <w:rsid w:val="00F16337"/>
    <w:rsid w:val="00F372BF"/>
    <w:rsid w:val="00F449AC"/>
    <w:rsid w:val="00F547C2"/>
    <w:rsid w:val="00F62BCB"/>
    <w:rsid w:val="00F637A4"/>
    <w:rsid w:val="00F6784A"/>
    <w:rsid w:val="00F7160F"/>
    <w:rsid w:val="00F7616C"/>
    <w:rsid w:val="00F82011"/>
    <w:rsid w:val="00F90879"/>
    <w:rsid w:val="00F91519"/>
    <w:rsid w:val="00F93506"/>
    <w:rsid w:val="00F9673C"/>
    <w:rsid w:val="00F97226"/>
    <w:rsid w:val="00FA1BCF"/>
    <w:rsid w:val="00FB3FCD"/>
    <w:rsid w:val="00FB6C21"/>
    <w:rsid w:val="00FB7414"/>
    <w:rsid w:val="00FB76CD"/>
    <w:rsid w:val="00FB7A8C"/>
    <w:rsid w:val="00FC7E02"/>
    <w:rsid w:val="00FD39F4"/>
    <w:rsid w:val="00FE7A32"/>
    <w:rsid w:val="00FF123B"/>
    <w:rsid w:val="00FF1943"/>
    <w:rsid w:val="00FF61FA"/>
    <w:rsid w:val="00FF6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7D8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BF"/>
    <w:pPr>
      <w:spacing w:line="480" w:lineRule="auto"/>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aliases w:val="q"/>
    <w:basedOn w:val="Normal"/>
    <w:qFormat/>
    <w:rsid w:val="00B50724"/>
    <w:pPr>
      <w:ind w:left="851"/>
    </w:pPr>
    <w:rPr>
      <w:rFonts w:cs="Times New Roman"/>
    </w:rPr>
  </w:style>
  <w:style w:type="paragraph" w:styleId="FootnoteText">
    <w:name w:val="footnote text"/>
    <w:basedOn w:val="Normal"/>
    <w:link w:val="FootnoteTextChar"/>
    <w:uiPriority w:val="99"/>
    <w:unhideWhenUsed/>
    <w:rsid w:val="00212BB2"/>
    <w:pPr>
      <w:spacing w:line="240" w:lineRule="auto"/>
    </w:pPr>
  </w:style>
  <w:style w:type="character" w:customStyle="1" w:styleId="FootnoteTextChar">
    <w:name w:val="Footnote Text Char"/>
    <w:basedOn w:val="DefaultParagraphFont"/>
    <w:link w:val="FootnoteText"/>
    <w:uiPriority w:val="99"/>
    <w:rsid w:val="00212BB2"/>
  </w:style>
  <w:style w:type="character" w:styleId="FootnoteReference">
    <w:name w:val="footnote reference"/>
    <w:basedOn w:val="DefaultParagraphFont"/>
    <w:uiPriority w:val="99"/>
    <w:unhideWhenUsed/>
    <w:rsid w:val="00212BB2"/>
    <w:rPr>
      <w:vertAlign w:val="superscript"/>
    </w:rPr>
  </w:style>
  <w:style w:type="character" w:styleId="Hyperlink">
    <w:name w:val="Hyperlink"/>
    <w:basedOn w:val="DefaultParagraphFont"/>
    <w:uiPriority w:val="99"/>
    <w:unhideWhenUsed/>
    <w:rsid w:val="006F3ACA"/>
    <w:rPr>
      <w:color w:val="0000FF" w:themeColor="hyperlink"/>
      <w:u w:val="single"/>
    </w:rPr>
  </w:style>
  <w:style w:type="character" w:styleId="FollowedHyperlink">
    <w:name w:val="FollowedHyperlink"/>
    <w:basedOn w:val="DefaultParagraphFont"/>
    <w:uiPriority w:val="99"/>
    <w:semiHidden/>
    <w:unhideWhenUsed/>
    <w:rsid w:val="006F3ACA"/>
    <w:rPr>
      <w:color w:val="800080" w:themeColor="followedHyperlink"/>
      <w:u w:val="single"/>
    </w:rPr>
  </w:style>
  <w:style w:type="paragraph" w:styleId="Header">
    <w:name w:val="header"/>
    <w:basedOn w:val="Normal"/>
    <w:link w:val="HeaderChar"/>
    <w:uiPriority w:val="99"/>
    <w:unhideWhenUsed/>
    <w:rsid w:val="00907D60"/>
    <w:pPr>
      <w:tabs>
        <w:tab w:val="center" w:pos="4320"/>
        <w:tab w:val="right" w:pos="8640"/>
      </w:tabs>
      <w:spacing w:line="240" w:lineRule="auto"/>
    </w:pPr>
  </w:style>
  <w:style w:type="character" w:customStyle="1" w:styleId="HeaderChar">
    <w:name w:val="Header Char"/>
    <w:basedOn w:val="DefaultParagraphFont"/>
    <w:link w:val="Header"/>
    <w:uiPriority w:val="99"/>
    <w:rsid w:val="00907D60"/>
  </w:style>
  <w:style w:type="character" w:styleId="PageNumber">
    <w:name w:val="page number"/>
    <w:basedOn w:val="DefaultParagraphFont"/>
    <w:uiPriority w:val="99"/>
    <w:semiHidden/>
    <w:unhideWhenUsed/>
    <w:rsid w:val="00907D60"/>
  </w:style>
  <w:style w:type="paragraph" w:styleId="BalloonText">
    <w:name w:val="Balloon Text"/>
    <w:basedOn w:val="Normal"/>
    <w:link w:val="BalloonTextChar"/>
    <w:uiPriority w:val="99"/>
    <w:semiHidden/>
    <w:unhideWhenUsed/>
    <w:rsid w:val="0004191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19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93506"/>
    <w:rPr>
      <w:sz w:val="18"/>
      <w:szCs w:val="18"/>
    </w:rPr>
  </w:style>
  <w:style w:type="paragraph" w:styleId="CommentText">
    <w:name w:val="annotation text"/>
    <w:basedOn w:val="Normal"/>
    <w:link w:val="CommentTextChar"/>
    <w:uiPriority w:val="99"/>
    <w:semiHidden/>
    <w:unhideWhenUsed/>
    <w:rsid w:val="00F93506"/>
    <w:pPr>
      <w:spacing w:line="240" w:lineRule="auto"/>
    </w:pPr>
  </w:style>
  <w:style w:type="character" w:customStyle="1" w:styleId="CommentTextChar">
    <w:name w:val="Comment Text Char"/>
    <w:basedOn w:val="DefaultParagraphFont"/>
    <w:link w:val="CommentText"/>
    <w:uiPriority w:val="99"/>
    <w:semiHidden/>
    <w:rsid w:val="00F93506"/>
  </w:style>
  <w:style w:type="paragraph" w:styleId="CommentSubject">
    <w:name w:val="annotation subject"/>
    <w:basedOn w:val="CommentText"/>
    <w:next w:val="CommentText"/>
    <w:link w:val="CommentSubjectChar"/>
    <w:uiPriority w:val="99"/>
    <w:semiHidden/>
    <w:unhideWhenUsed/>
    <w:rsid w:val="00F93506"/>
    <w:rPr>
      <w:b/>
      <w:bCs/>
      <w:sz w:val="20"/>
      <w:szCs w:val="20"/>
    </w:rPr>
  </w:style>
  <w:style w:type="character" w:customStyle="1" w:styleId="CommentSubjectChar">
    <w:name w:val="Comment Subject Char"/>
    <w:basedOn w:val="CommentTextChar"/>
    <w:link w:val="CommentSubject"/>
    <w:uiPriority w:val="99"/>
    <w:semiHidden/>
    <w:rsid w:val="00F93506"/>
    <w:rPr>
      <w:b/>
      <w:bCs/>
      <w:sz w:val="20"/>
      <w:szCs w:val="20"/>
    </w:rPr>
  </w:style>
  <w:style w:type="paragraph" w:customStyle="1" w:styleId="n">
    <w:name w:val="n"/>
    <w:basedOn w:val="Quotation"/>
    <w:rsid w:val="003C6511"/>
  </w:style>
  <w:style w:type="paragraph" w:styleId="Footer">
    <w:name w:val="footer"/>
    <w:basedOn w:val="Normal"/>
    <w:link w:val="FooterChar"/>
    <w:uiPriority w:val="99"/>
    <w:unhideWhenUsed/>
    <w:rsid w:val="00A76F71"/>
    <w:pPr>
      <w:tabs>
        <w:tab w:val="center" w:pos="4320"/>
        <w:tab w:val="right" w:pos="8640"/>
      </w:tabs>
      <w:spacing w:line="240" w:lineRule="auto"/>
    </w:pPr>
  </w:style>
  <w:style w:type="character" w:customStyle="1" w:styleId="FooterChar">
    <w:name w:val="Footer Char"/>
    <w:basedOn w:val="DefaultParagraphFont"/>
    <w:link w:val="Footer"/>
    <w:uiPriority w:val="99"/>
    <w:rsid w:val="00A76F71"/>
    <w:rPr>
      <w:rFonts w:ascii="Times New Roman" w:hAnsi="Times New Roman"/>
    </w:rPr>
  </w:style>
  <w:style w:type="paragraph" w:styleId="EndnoteText">
    <w:name w:val="endnote text"/>
    <w:basedOn w:val="Normal"/>
    <w:link w:val="EndnoteTextChar"/>
    <w:uiPriority w:val="99"/>
    <w:unhideWhenUsed/>
    <w:rsid w:val="00377F8B"/>
  </w:style>
  <w:style w:type="character" w:customStyle="1" w:styleId="EndnoteTextChar">
    <w:name w:val="Endnote Text Char"/>
    <w:basedOn w:val="DefaultParagraphFont"/>
    <w:link w:val="EndnoteText"/>
    <w:uiPriority w:val="99"/>
    <w:rsid w:val="00377F8B"/>
    <w:rPr>
      <w:rFonts w:ascii="Times New Roman" w:hAnsi="Times New Roman"/>
    </w:rPr>
  </w:style>
  <w:style w:type="character" w:styleId="EndnoteReference">
    <w:name w:val="endnote reference"/>
    <w:basedOn w:val="DefaultParagraphFont"/>
    <w:uiPriority w:val="99"/>
    <w:unhideWhenUsed/>
    <w:rsid w:val="00B50724"/>
    <w:rPr>
      <w:vertAlign w:val="superscript"/>
    </w:rPr>
  </w:style>
  <w:style w:type="paragraph" w:customStyle="1" w:styleId="Endnote">
    <w:name w:val="Endnote"/>
    <w:basedOn w:val="Normal"/>
    <w:rsid w:val="00377F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BF"/>
    <w:pPr>
      <w:spacing w:line="480" w:lineRule="auto"/>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aliases w:val="q"/>
    <w:basedOn w:val="Normal"/>
    <w:qFormat/>
    <w:rsid w:val="00B50724"/>
    <w:pPr>
      <w:ind w:left="851"/>
    </w:pPr>
    <w:rPr>
      <w:rFonts w:cs="Times New Roman"/>
    </w:rPr>
  </w:style>
  <w:style w:type="paragraph" w:styleId="FootnoteText">
    <w:name w:val="footnote text"/>
    <w:basedOn w:val="Normal"/>
    <w:link w:val="FootnoteTextChar"/>
    <w:uiPriority w:val="99"/>
    <w:unhideWhenUsed/>
    <w:rsid w:val="00212BB2"/>
    <w:pPr>
      <w:spacing w:line="240" w:lineRule="auto"/>
    </w:pPr>
  </w:style>
  <w:style w:type="character" w:customStyle="1" w:styleId="FootnoteTextChar">
    <w:name w:val="Footnote Text Char"/>
    <w:basedOn w:val="DefaultParagraphFont"/>
    <w:link w:val="FootnoteText"/>
    <w:uiPriority w:val="99"/>
    <w:rsid w:val="00212BB2"/>
  </w:style>
  <w:style w:type="character" w:styleId="FootnoteReference">
    <w:name w:val="footnote reference"/>
    <w:basedOn w:val="DefaultParagraphFont"/>
    <w:uiPriority w:val="99"/>
    <w:unhideWhenUsed/>
    <w:rsid w:val="00212BB2"/>
    <w:rPr>
      <w:vertAlign w:val="superscript"/>
    </w:rPr>
  </w:style>
  <w:style w:type="character" w:styleId="Hyperlink">
    <w:name w:val="Hyperlink"/>
    <w:basedOn w:val="DefaultParagraphFont"/>
    <w:uiPriority w:val="99"/>
    <w:unhideWhenUsed/>
    <w:rsid w:val="006F3ACA"/>
    <w:rPr>
      <w:color w:val="0000FF" w:themeColor="hyperlink"/>
      <w:u w:val="single"/>
    </w:rPr>
  </w:style>
  <w:style w:type="character" w:styleId="FollowedHyperlink">
    <w:name w:val="FollowedHyperlink"/>
    <w:basedOn w:val="DefaultParagraphFont"/>
    <w:uiPriority w:val="99"/>
    <w:semiHidden/>
    <w:unhideWhenUsed/>
    <w:rsid w:val="006F3ACA"/>
    <w:rPr>
      <w:color w:val="800080" w:themeColor="followedHyperlink"/>
      <w:u w:val="single"/>
    </w:rPr>
  </w:style>
  <w:style w:type="paragraph" w:styleId="Header">
    <w:name w:val="header"/>
    <w:basedOn w:val="Normal"/>
    <w:link w:val="HeaderChar"/>
    <w:uiPriority w:val="99"/>
    <w:unhideWhenUsed/>
    <w:rsid w:val="00907D60"/>
    <w:pPr>
      <w:tabs>
        <w:tab w:val="center" w:pos="4320"/>
        <w:tab w:val="right" w:pos="8640"/>
      </w:tabs>
      <w:spacing w:line="240" w:lineRule="auto"/>
    </w:pPr>
  </w:style>
  <w:style w:type="character" w:customStyle="1" w:styleId="HeaderChar">
    <w:name w:val="Header Char"/>
    <w:basedOn w:val="DefaultParagraphFont"/>
    <w:link w:val="Header"/>
    <w:uiPriority w:val="99"/>
    <w:rsid w:val="00907D60"/>
  </w:style>
  <w:style w:type="character" w:styleId="PageNumber">
    <w:name w:val="page number"/>
    <w:basedOn w:val="DefaultParagraphFont"/>
    <w:uiPriority w:val="99"/>
    <w:semiHidden/>
    <w:unhideWhenUsed/>
    <w:rsid w:val="00907D60"/>
  </w:style>
  <w:style w:type="paragraph" w:styleId="BalloonText">
    <w:name w:val="Balloon Text"/>
    <w:basedOn w:val="Normal"/>
    <w:link w:val="BalloonTextChar"/>
    <w:uiPriority w:val="99"/>
    <w:semiHidden/>
    <w:unhideWhenUsed/>
    <w:rsid w:val="0004191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19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93506"/>
    <w:rPr>
      <w:sz w:val="18"/>
      <w:szCs w:val="18"/>
    </w:rPr>
  </w:style>
  <w:style w:type="paragraph" w:styleId="CommentText">
    <w:name w:val="annotation text"/>
    <w:basedOn w:val="Normal"/>
    <w:link w:val="CommentTextChar"/>
    <w:uiPriority w:val="99"/>
    <w:semiHidden/>
    <w:unhideWhenUsed/>
    <w:rsid w:val="00F93506"/>
    <w:pPr>
      <w:spacing w:line="240" w:lineRule="auto"/>
    </w:pPr>
  </w:style>
  <w:style w:type="character" w:customStyle="1" w:styleId="CommentTextChar">
    <w:name w:val="Comment Text Char"/>
    <w:basedOn w:val="DefaultParagraphFont"/>
    <w:link w:val="CommentText"/>
    <w:uiPriority w:val="99"/>
    <w:semiHidden/>
    <w:rsid w:val="00F93506"/>
  </w:style>
  <w:style w:type="paragraph" w:styleId="CommentSubject">
    <w:name w:val="annotation subject"/>
    <w:basedOn w:val="CommentText"/>
    <w:next w:val="CommentText"/>
    <w:link w:val="CommentSubjectChar"/>
    <w:uiPriority w:val="99"/>
    <w:semiHidden/>
    <w:unhideWhenUsed/>
    <w:rsid w:val="00F93506"/>
    <w:rPr>
      <w:b/>
      <w:bCs/>
      <w:sz w:val="20"/>
      <w:szCs w:val="20"/>
    </w:rPr>
  </w:style>
  <w:style w:type="character" w:customStyle="1" w:styleId="CommentSubjectChar">
    <w:name w:val="Comment Subject Char"/>
    <w:basedOn w:val="CommentTextChar"/>
    <w:link w:val="CommentSubject"/>
    <w:uiPriority w:val="99"/>
    <w:semiHidden/>
    <w:rsid w:val="00F93506"/>
    <w:rPr>
      <w:b/>
      <w:bCs/>
      <w:sz w:val="20"/>
      <w:szCs w:val="20"/>
    </w:rPr>
  </w:style>
  <w:style w:type="paragraph" w:customStyle="1" w:styleId="n">
    <w:name w:val="n"/>
    <w:basedOn w:val="Quotation"/>
    <w:rsid w:val="003C6511"/>
  </w:style>
  <w:style w:type="paragraph" w:styleId="Footer">
    <w:name w:val="footer"/>
    <w:basedOn w:val="Normal"/>
    <w:link w:val="FooterChar"/>
    <w:uiPriority w:val="99"/>
    <w:unhideWhenUsed/>
    <w:rsid w:val="00A76F71"/>
    <w:pPr>
      <w:tabs>
        <w:tab w:val="center" w:pos="4320"/>
        <w:tab w:val="right" w:pos="8640"/>
      </w:tabs>
      <w:spacing w:line="240" w:lineRule="auto"/>
    </w:pPr>
  </w:style>
  <w:style w:type="character" w:customStyle="1" w:styleId="FooterChar">
    <w:name w:val="Footer Char"/>
    <w:basedOn w:val="DefaultParagraphFont"/>
    <w:link w:val="Footer"/>
    <w:uiPriority w:val="99"/>
    <w:rsid w:val="00A76F71"/>
    <w:rPr>
      <w:rFonts w:ascii="Times New Roman" w:hAnsi="Times New Roman"/>
    </w:rPr>
  </w:style>
  <w:style w:type="paragraph" w:styleId="EndnoteText">
    <w:name w:val="endnote text"/>
    <w:basedOn w:val="Normal"/>
    <w:link w:val="EndnoteTextChar"/>
    <w:uiPriority w:val="99"/>
    <w:unhideWhenUsed/>
    <w:rsid w:val="00377F8B"/>
  </w:style>
  <w:style w:type="character" w:customStyle="1" w:styleId="EndnoteTextChar">
    <w:name w:val="Endnote Text Char"/>
    <w:basedOn w:val="DefaultParagraphFont"/>
    <w:link w:val="EndnoteText"/>
    <w:uiPriority w:val="99"/>
    <w:rsid w:val="00377F8B"/>
    <w:rPr>
      <w:rFonts w:ascii="Times New Roman" w:hAnsi="Times New Roman"/>
    </w:rPr>
  </w:style>
  <w:style w:type="character" w:styleId="EndnoteReference">
    <w:name w:val="endnote reference"/>
    <w:basedOn w:val="DefaultParagraphFont"/>
    <w:uiPriority w:val="99"/>
    <w:unhideWhenUsed/>
    <w:rsid w:val="00B50724"/>
    <w:rPr>
      <w:vertAlign w:val="superscript"/>
    </w:rPr>
  </w:style>
  <w:style w:type="paragraph" w:customStyle="1" w:styleId="Endnote">
    <w:name w:val="Endnote"/>
    <w:basedOn w:val="Normal"/>
    <w:rsid w:val="0037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hyperlink" Target="https://www.supply2health.nhs.uk/eContracts/Documents/cquin-guidance.pdf" TargetMode="External"/><Relationship Id="rId4" Type="http://schemas.openxmlformats.org/officeDocument/2006/relationships/hyperlink" Target="http://www.partnershipsincare.co.uk/what-are-cquins" TargetMode="External"/><Relationship Id="rId5" Type="http://schemas.openxmlformats.org/officeDocument/2006/relationships/hyperlink" Target="http://www.britac.ac.uk/policy/Pol-res-assess-funding.cfm" TargetMode="External"/><Relationship Id="rId6" Type="http://schemas.openxmlformats.org/officeDocument/2006/relationships/hyperlink" Target="http://blogs.lse.ac.uk/impactofsocialsciences/the-handbook/chapter-5-the-origins-and-patterning-of-external-research-impacts/" TargetMode="External"/><Relationship Id="rId7" Type="http://schemas.openxmlformats.org/officeDocument/2006/relationships/hyperlink" Target="http://www.ref.ac.uk/media/ref/content/background/secondconsult/acc_work_discuss.pdf" TargetMode="External"/><Relationship Id="rId8" Type="http://schemas.openxmlformats.org/officeDocument/2006/relationships/hyperlink" Target="http://www.ref.ac.uk/pubs/2012-01/" TargetMode="External"/><Relationship Id="rId9" Type="http://schemas.openxmlformats.org/officeDocument/2006/relationships/hyperlink" Target="http://www.independent.co.uk/news/uk/this-britain/woman-survives-150ft-jump-from-forth-bridge-710828.html" TargetMode="External"/><Relationship Id="rId10" Type="http://schemas.openxmlformats.org/officeDocument/2006/relationships/hyperlink" Target="http://news.bbc.co.uk/1/hi/programmes/world_at_one/programme_highlights/1166580.stm" TargetMode="External"/><Relationship Id="rId1" Type="http://schemas.openxmlformats.org/officeDocument/2006/relationships/hyperlink" Target="http://www.ref.ac.uk/media/ref/content/pub/assessmentframeworkandguidanceonsubmissions/02_11.pdf" TargetMode="External"/><Relationship Id="rId2" Type="http://schemas.openxmlformats.org/officeDocument/2006/relationships/hyperlink" Target="http://www.wmich.edu/evalctr/checklists/evaluation-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10033</TotalTime>
  <Pages>34</Pages>
  <Words>8183</Words>
  <Characters>46647</Characters>
  <Application>Microsoft Macintosh Word</Application>
  <DocSecurity>0</DocSecurity>
  <Lines>388</Lines>
  <Paragraphs>109</Paragraphs>
  <ScaleCrop>false</ScaleCrop>
  <Company>Pembroke College</Company>
  <LinksUpToDate>false</LinksUpToDate>
  <CharactersWithSpaces>54721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Small</dc:creator>
  <cp:keywords/>
  <dc:description/>
  <cp:lastModifiedBy>Helen Small</cp:lastModifiedBy>
  <cp:revision>151</cp:revision>
  <cp:lastPrinted>2013-10-10T13:57:00Z</cp:lastPrinted>
  <dcterms:created xsi:type="dcterms:W3CDTF">2013-07-12T11:34:00Z</dcterms:created>
  <dcterms:modified xsi:type="dcterms:W3CDTF">2013-11-29T10:42:00Z</dcterms:modified>
</cp:coreProperties>
</file>