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3D5AC" w14:textId="77777777" w:rsidR="00FD0FFD" w:rsidRPr="001E228C" w:rsidRDefault="00FD0FFD" w:rsidP="001E228C">
      <w:pPr>
        <w:pStyle w:val="Title"/>
        <w:jc w:val="left"/>
        <w:rPr>
          <w:rFonts w:ascii="Times New Roman" w:hAnsi="Times New Roman" w:cs="Times New Roman"/>
          <w:bCs/>
          <w:szCs w:val="36"/>
          <w:lang w:eastAsia="zh-CN"/>
        </w:rPr>
      </w:pPr>
      <w:r w:rsidRPr="001E228C">
        <w:rPr>
          <w:rFonts w:ascii="Times New Roman" w:hAnsi="Times New Roman" w:cs="Times New Roman"/>
          <w:bCs/>
          <w:szCs w:val="36"/>
          <w:lang w:eastAsia="zh-CN"/>
        </w:rPr>
        <w:t xml:space="preserve">Whole-genome sequencing with deep imputation identifies non-coding variants near </w:t>
      </w:r>
      <w:r w:rsidRPr="001E228C">
        <w:rPr>
          <w:rFonts w:ascii="Times New Roman" w:hAnsi="Times New Roman" w:cs="Times New Roman"/>
          <w:bCs/>
          <w:i/>
          <w:szCs w:val="36"/>
          <w:lang w:eastAsia="zh-CN"/>
        </w:rPr>
        <w:t>Engrailed-1</w:t>
      </w:r>
      <w:r w:rsidRPr="001E228C">
        <w:rPr>
          <w:rFonts w:ascii="Times New Roman" w:hAnsi="Times New Roman" w:cs="Times New Roman"/>
          <w:bCs/>
          <w:szCs w:val="36"/>
          <w:lang w:eastAsia="zh-CN"/>
        </w:rPr>
        <w:t xml:space="preserve"> with large effects on bone mineral density and fracture</w:t>
      </w:r>
    </w:p>
    <w:p w14:paraId="5AD5BC34" w14:textId="3714DDB4" w:rsidR="00CE7032" w:rsidRDefault="0032291F" w:rsidP="00C451B1">
      <w:pPr>
        <w:pStyle w:val="Heading1"/>
      </w:pPr>
      <w:r>
        <w:t>S</w:t>
      </w:r>
      <w:r w:rsidR="0072447E" w:rsidRPr="00C1403A">
        <w:t xml:space="preserve">upplementary </w:t>
      </w:r>
      <w:r w:rsidR="000D1139">
        <w:t>Information</w:t>
      </w:r>
    </w:p>
    <w:p w14:paraId="6D10D933" w14:textId="0FD1C394" w:rsidR="00AB08EC" w:rsidRPr="001A3500" w:rsidRDefault="00F91C95" w:rsidP="006C2F39">
      <w:pPr>
        <w:pStyle w:val="Heading2"/>
      </w:pPr>
      <w:r>
        <w:t xml:space="preserve">BMD </w:t>
      </w:r>
      <w:r w:rsidR="00566249">
        <w:t>C</w:t>
      </w:r>
      <w:r w:rsidR="003A6463">
        <w:t>ohorts</w:t>
      </w:r>
    </w:p>
    <w:p w14:paraId="76180DE0" w14:textId="5201D8F8" w:rsidR="001A3500" w:rsidRPr="00B958BF" w:rsidRDefault="00910E02" w:rsidP="00C32303">
      <w:pPr>
        <w:pStyle w:val="ListParagraph"/>
        <w:ind w:left="0"/>
        <w:rPr>
          <w:rFonts w:cs="Arial"/>
          <w:szCs w:val="20"/>
        </w:rPr>
      </w:pPr>
      <w:r>
        <w:rPr>
          <w:rFonts w:cs="Arial"/>
          <w:szCs w:val="20"/>
        </w:rPr>
        <w:t>C</w:t>
      </w:r>
      <w:r w:rsidR="000A1669">
        <w:rPr>
          <w:rFonts w:cs="Arial"/>
          <w:szCs w:val="20"/>
        </w:rPr>
        <w:t>ohort</w:t>
      </w:r>
      <w:r w:rsidR="00D82C62">
        <w:rPr>
          <w:rFonts w:cs="Arial"/>
          <w:szCs w:val="20"/>
        </w:rPr>
        <w:t>-level</w:t>
      </w:r>
      <w:r>
        <w:rPr>
          <w:rFonts w:cs="Arial"/>
          <w:szCs w:val="20"/>
        </w:rPr>
        <w:t xml:space="preserve"> characteristics</w:t>
      </w:r>
      <w:r w:rsidR="00AB08EC">
        <w:rPr>
          <w:rFonts w:cs="Arial"/>
          <w:szCs w:val="20"/>
        </w:rPr>
        <w:t xml:space="preserve"> </w:t>
      </w:r>
      <w:r w:rsidR="00AB08EC" w:rsidRPr="00B958BF">
        <w:rPr>
          <w:rFonts w:cs="Arial"/>
          <w:szCs w:val="20"/>
        </w:rPr>
        <w:t xml:space="preserve">are described in </w:t>
      </w:r>
      <w:r w:rsidR="00B72C83" w:rsidRPr="00B958BF">
        <w:rPr>
          <w:rFonts w:cs="Arial"/>
          <w:b/>
          <w:szCs w:val="20"/>
        </w:rPr>
        <w:t xml:space="preserve">Supplementary </w:t>
      </w:r>
      <w:r w:rsidR="00AB08EC" w:rsidRPr="00B958BF">
        <w:rPr>
          <w:rFonts w:cs="Arial"/>
          <w:b/>
          <w:szCs w:val="20"/>
        </w:rPr>
        <w:t xml:space="preserve">Table </w:t>
      </w:r>
      <w:r w:rsidR="009178D9">
        <w:rPr>
          <w:rFonts w:cs="Arial"/>
          <w:b/>
          <w:szCs w:val="20"/>
        </w:rPr>
        <w:t>20</w:t>
      </w:r>
      <w:r w:rsidR="003A6463" w:rsidRPr="00B958BF">
        <w:rPr>
          <w:rFonts w:cs="Arial"/>
          <w:szCs w:val="20"/>
        </w:rPr>
        <w:t>.</w:t>
      </w:r>
      <w:r w:rsidR="0084089B" w:rsidRPr="00B958BF">
        <w:rPr>
          <w:rFonts w:cs="Arial"/>
          <w:szCs w:val="20"/>
        </w:rPr>
        <w:t xml:space="preserve"> </w:t>
      </w:r>
      <w:r w:rsidR="00547CB0" w:rsidRPr="00B958BF">
        <w:rPr>
          <w:rFonts w:cs="Arial"/>
          <w:b/>
          <w:szCs w:val="20"/>
        </w:rPr>
        <w:t xml:space="preserve">Supplementary </w:t>
      </w:r>
      <w:r w:rsidR="005A3DB5" w:rsidRPr="00B958BF">
        <w:rPr>
          <w:rFonts w:cs="Arial"/>
          <w:b/>
          <w:szCs w:val="20"/>
        </w:rPr>
        <w:t xml:space="preserve">Table </w:t>
      </w:r>
      <w:r w:rsidR="009178D9">
        <w:rPr>
          <w:rFonts w:cs="Arial"/>
          <w:b/>
          <w:szCs w:val="20"/>
        </w:rPr>
        <w:t>21</w:t>
      </w:r>
      <w:r w:rsidR="00947A73" w:rsidRPr="00B958BF">
        <w:rPr>
          <w:rFonts w:cs="Arial"/>
          <w:b/>
          <w:szCs w:val="20"/>
        </w:rPr>
        <w:t xml:space="preserve"> </w:t>
      </w:r>
      <w:r w:rsidR="003E3A52" w:rsidRPr="00B958BF">
        <w:rPr>
          <w:rFonts w:cs="Arial"/>
          <w:szCs w:val="20"/>
        </w:rPr>
        <w:t xml:space="preserve">describes BMD </w:t>
      </w:r>
      <w:r w:rsidR="00D85BAC" w:rsidRPr="00B958BF">
        <w:rPr>
          <w:rFonts w:cs="Arial"/>
          <w:szCs w:val="20"/>
        </w:rPr>
        <w:t xml:space="preserve">measurements </w:t>
      </w:r>
      <w:r w:rsidR="003E3A52" w:rsidRPr="00B958BF">
        <w:rPr>
          <w:rFonts w:cs="Arial"/>
          <w:szCs w:val="20"/>
        </w:rPr>
        <w:t xml:space="preserve">and covariates used in association testing </w:t>
      </w:r>
      <w:r w:rsidR="00037177" w:rsidRPr="00B958BF">
        <w:rPr>
          <w:rFonts w:cs="Arial"/>
          <w:szCs w:val="20"/>
        </w:rPr>
        <w:t>for</w:t>
      </w:r>
      <w:r w:rsidR="003E3A52" w:rsidRPr="00B958BF">
        <w:rPr>
          <w:rFonts w:cs="Arial"/>
          <w:szCs w:val="20"/>
        </w:rPr>
        <w:t xml:space="preserve"> all cohorts.</w:t>
      </w:r>
    </w:p>
    <w:p w14:paraId="27D1FD75" w14:textId="77777777" w:rsidR="00FC4963" w:rsidRPr="00B958BF" w:rsidRDefault="00FC4963" w:rsidP="00C039D4">
      <w:pPr>
        <w:pStyle w:val="Heading2"/>
      </w:pPr>
      <w:r w:rsidRPr="00B958BF">
        <w:t>Sequencing</w:t>
      </w:r>
    </w:p>
    <w:p w14:paraId="417AF706" w14:textId="2BED9410" w:rsidR="001D68AD" w:rsidRPr="00AE6B06" w:rsidRDefault="00B94596" w:rsidP="001D68AD">
      <w:pPr>
        <w:rPr>
          <w:rFonts w:cs="Arial"/>
          <w:szCs w:val="20"/>
        </w:rPr>
      </w:pPr>
      <w:r w:rsidRPr="00B958BF">
        <w:rPr>
          <w:rFonts w:cs="Arial"/>
          <w:b/>
          <w:szCs w:val="20"/>
        </w:rPr>
        <w:t xml:space="preserve">Supplementary </w:t>
      </w:r>
      <w:r w:rsidR="001D68AD" w:rsidRPr="00B958BF">
        <w:rPr>
          <w:rFonts w:cs="Arial"/>
          <w:b/>
          <w:szCs w:val="20"/>
        </w:rPr>
        <w:t xml:space="preserve">Table </w:t>
      </w:r>
      <w:r w:rsidR="00F26D8E">
        <w:rPr>
          <w:rFonts w:cs="Arial"/>
          <w:b/>
          <w:szCs w:val="20"/>
        </w:rPr>
        <w:t>22</w:t>
      </w:r>
      <w:r w:rsidR="006A3BC8" w:rsidRPr="00B958BF">
        <w:rPr>
          <w:rFonts w:cs="Arial"/>
          <w:szCs w:val="20"/>
        </w:rPr>
        <w:t xml:space="preserve"> </w:t>
      </w:r>
      <w:r w:rsidR="001D68AD" w:rsidRPr="00B958BF">
        <w:rPr>
          <w:rFonts w:cs="Arial"/>
          <w:szCs w:val="20"/>
        </w:rPr>
        <w:t>sum</w:t>
      </w:r>
      <w:r w:rsidR="001D68AD">
        <w:rPr>
          <w:rFonts w:cs="Arial"/>
          <w:szCs w:val="20"/>
        </w:rPr>
        <w:t xml:space="preserve">marizes the data generation method for sequencing-based cohorts. A detailed </w:t>
      </w:r>
      <w:r w:rsidR="003C7BD8">
        <w:rPr>
          <w:rFonts w:cs="Arial"/>
          <w:szCs w:val="20"/>
        </w:rPr>
        <w:t xml:space="preserve">description is provided below for </w:t>
      </w:r>
      <w:r w:rsidR="00241822">
        <w:rPr>
          <w:rFonts w:cs="Arial"/>
          <w:szCs w:val="20"/>
        </w:rPr>
        <w:t xml:space="preserve">the </w:t>
      </w:r>
      <w:r w:rsidR="003C7BD8">
        <w:rPr>
          <w:rFonts w:cs="Arial"/>
          <w:szCs w:val="20"/>
        </w:rPr>
        <w:t>whole g</w:t>
      </w:r>
      <w:r w:rsidR="00241822">
        <w:rPr>
          <w:rFonts w:cs="Arial"/>
          <w:szCs w:val="20"/>
        </w:rPr>
        <w:t>enome and whole exome sequenced cohorts.</w:t>
      </w:r>
    </w:p>
    <w:p w14:paraId="62D99066" w14:textId="3DF533F7" w:rsidR="003110B0" w:rsidRDefault="00A31AE5" w:rsidP="002F2CE3">
      <w:pPr>
        <w:pStyle w:val="Heading3"/>
      </w:pPr>
      <w:r w:rsidRPr="001A3500">
        <w:t>Whole Genome Sequencing</w:t>
      </w:r>
    </w:p>
    <w:p w14:paraId="0330EA11" w14:textId="06905151" w:rsidR="00C30AFD" w:rsidRPr="00C30AFD" w:rsidRDefault="00C30AFD" w:rsidP="00C30AFD">
      <w:pPr>
        <w:pStyle w:val="Heading4"/>
      </w:pPr>
      <w:r>
        <w:t>UK10K</w:t>
      </w:r>
    </w:p>
    <w:p w14:paraId="1A8BDF47" w14:textId="64E3C859" w:rsidR="00DD21CA" w:rsidRDefault="00DD21CA" w:rsidP="00DD21CA">
      <w:pPr>
        <w:pStyle w:val="ListParagraph"/>
        <w:ind w:left="0"/>
        <w:rPr>
          <w:rFonts w:cs="Arial"/>
          <w:szCs w:val="20"/>
        </w:rPr>
      </w:pPr>
      <w:r>
        <w:rPr>
          <w:rFonts w:cs="Arial"/>
          <w:szCs w:val="20"/>
        </w:rPr>
        <w:t>ALSPAC and TwinsUK</w:t>
      </w:r>
      <w:r w:rsidR="00DE0E95">
        <w:rPr>
          <w:rFonts w:cs="Arial"/>
          <w:szCs w:val="20"/>
        </w:rPr>
        <w:t xml:space="preserve"> cohorts were sequenced</w:t>
      </w:r>
      <w:r w:rsidR="00BC1766">
        <w:rPr>
          <w:rFonts w:cs="Arial"/>
          <w:szCs w:val="20"/>
        </w:rPr>
        <w:t xml:space="preserve"> </w:t>
      </w:r>
      <w:r w:rsidR="006D3EFC">
        <w:rPr>
          <w:rFonts w:cs="Arial"/>
          <w:szCs w:val="20"/>
        </w:rPr>
        <w:t xml:space="preserve">to an average read depth of 6.7x </w:t>
      </w:r>
      <w:r w:rsidR="00BC1766">
        <w:rPr>
          <w:rFonts w:cs="Arial"/>
          <w:szCs w:val="20"/>
        </w:rPr>
        <w:t>through the UK10K program (</w:t>
      </w:r>
      <w:hyperlink r:id="rId8" w:history="1">
        <w:r w:rsidR="00BC1766" w:rsidRPr="00285D41">
          <w:rPr>
            <w:rStyle w:val="Hyperlink"/>
            <w:rFonts w:cs="Arial"/>
            <w:szCs w:val="20"/>
          </w:rPr>
          <w:t>www.uk10k.org</w:t>
        </w:r>
      </w:hyperlink>
      <w:r w:rsidR="00BC1766">
        <w:rPr>
          <w:rFonts w:cs="Arial"/>
          <w:szCs w:val="20"/>
        </w:rPr>
        <w:t xml:space="preserve">). Whole genome sequencing was </w:t>
      </w:r>
      <w:r w:rsidR="00555AE2">
        <w:rPr>
          <w:rFonts w:cs="Arial"/>
          <w:szCs w:val="20"/>
        </w:rPr>
        <w:t>completed</w:t>
      </w:r>
      <w:r w:rsidR="00BC1766">
        <w:rPr>
          <w:rFonts w:cs="Arial"/>
          <w:szCs w:val="20"/>
        </w:rPr>
        <w:t xml:space="preserve"> at the Wellcome Trust Sanger Institute and Beijing Genomics Institute. </w:t>
      </w:r>
      <w:r w:rsidR="002B276D">
        <w:rPr>
          <w:rFonts w:cs="Arial"/>
          <w:szCs w:val="20"/>
        </w:rPr>
        <w:t>Briefly</w:t>
      </w:r>
      <w:r w:rsidR="00BC1766">
        <w:rPr>
          <w:rFonts w:cs="Arial"/>
          <w:szCs w:val="20"/>
        </w:rPr>
        <w:t>, DNA was sheared and subjected to Illumina paired-end DNA library preparation and sequenced using the Illumina HiSeq platform. Reads were aligned to the GRCh37 human reference, using BWA (v0.5.9-r16).</w:t>
      </w:r>
      <w:r w:rsidR="00682FF6">
        <w:rPr>
          <w:rFonts w:cs="Arial"/>
          <w:szCs w:val="20"/>
        </w:rPr>
        <w:fldChar w:fldCharType="begin"/>
      </w:r>
      <w:r w:rsidR="00735D55">
        <w:rPr>
          <w:rFonts w:cs="Arial"/>
          <w:szCs w:val="20"/>
        </w:rPr>
        <w:instrText xml:space="preserve"> ADDIN PAPERS2_CITATIONS &lt;citation&gt;&lt;uuid&gt;D14A7A38-73E3-4B5C-8F1B-E20D5334B6B5&lt;/uuid&gt;&lt;priority&gt;0&lt;/priority&gt;&lt;publications&gt;&lt;publication&gt;&lt;uuid&gt;6F080604-26D7-405E-9A28-21525D8AA3AF&lt;/uuid&gt;&lt;volume&gt;25&lt;/volume&gt;&lt;startpage&gt;1754&lt;/startpage&gt;&lt;subtitle&gt;Bioinformatics&lt;/subtitle&gt;&lt;publication_date&gt;99200907151200000000222000&lt;/publication_date&gt;&lt;url&gt;http://www.ncbi.nlm.nih.gov/entrez/query.fcgi?cmd=Retrieve&amp;amp;db=PubMed&amp;amp;dopt=Citation&amp;amp;list_uids=19451168&lt;/url&gt;&lt;citekey&gt;Li:2009uk&lt;/citekey&gt;&lt;type&gt;400&lt;/type&gt;&lt;title&gt;Fast and accurate short read alignment with Burrows-Wheeler transform&lt;/title&gt;&lt;location&gt;200,3,52.0785333,0.1861349&lt;/location&gt;&lt;institution&gt;Wellcome Trust Sanger Institute, Wellcome Trust Genome Campus, Cambridge, CB10 1SA, UK.&lt;/institution&gt;&lt;number&gt;14&lt;/number&gt;&lt;subtype&gt;400&lt;/subtype&gt;&lt;endpage&gt;1760&lt;/endpage&gt;&lt;bundle&gt;&lt;publication&gt;&lt;publisher&gt;Oxford University Press&lt;/publisher&gt;&lt;title&gt;Bioinformatics&lt;/title&gt;&lt;type&gt;-100&lt;/type&gt;&lt;subtype&gt;-100&lt;/subtype&gt;&lt;uuid&gt;5E0617C0-143A-4C27-A688-3E035890BEDE&lt;/uuid&gt;&lt;/publication&gt;&lt;/bundle&gt;&lt;authors&gt;&lt;author&gt;&lt;firstName&gt;H&lt;/firstName&gt;&lt;lastName&gt;Li&lt;/lastName&gt;&lt;/author&gt;&lt;author&gt;&lt;firstName&gt;R&lt;/firstName&gt;&lt;lastName&gt;Durbin&lt;/lastName&gt;&lt;/author&gt;&lt;/authors&gt;&lt;/publication&gt;&lt;/publications&gt;&lt;cites&gt;&lt;/cites&gt;&lt;/citation&gt;</w:instrText>
      </w:r>
      <w:r w:rsidR="00682FF6">
        <w:rPr>
          <w:rFonts w:cs="Arial"/>
          <w:szCs w:val="20"/>
        </w:rPr>
        <w:fldChar w:fldCharType="separate"/>
      </w:r>
      <w:r w:rsidR="003848DF">
        <w:rPr>
          <w:rFonts w:cs="Arial"/>
          <w:szCs w:val="20"/>
          <w:vertAlign w:val="superscript"/>
        </w:rPr>
        <w:t>1</w:t>
      </w:r>
      <w:r w:rsidR="00682FF6">
        <w:rPr>
          <w:rFonts w:cs="Arial"/>
          <w:szCs w:val="20"/>
        </w:rPr>
        <w:fldChar w:fldCharType="end"/>
      </w:r>
      <w:r w:rsidR="00B14108">
        <w:rPr>
          <w:rFonts w:cs="Arial"/>
          <w:szCs w:val="20"/>
        </w:rPr>
        <w:t xml:space="preserve"> </w:t>
      </w:r>
      <w:r w:rsidR="002B276D">
        <w:rPr>
          <w:rFonts w:cs="Arial"/>
          <w:szCs w:val="20"/>
        </w:rPr>
        <w:t xml:space="preserve">BAM files were further processed to realign around known INDELs, base quality score recalibration, addition of BAQ tags using GATK. </w:t>
      </w:r>
    </w:p>
    <w:p w14:paraId="1CDBD4D8" w14:textId="77777777" w:rsidR="002B276D" w:rsidRDefault="002B276D" w:rsidP="002B276D">
      <w:pPr>
        <w:pStyle w:val="ListParagraph"/>
        <w:ind w:left="0"/>
        <w:rPr>
          <w:rFonts w:cs="Arial"/>
          <w:szCs w:val="20"/>
        </w:rPr>
      </w:pPr>
    </w:p>
    <w:p w14:paraId="19F0B035" w14:textId="07A977BD" w:rsidR="002B276D" w:rsidRDefault="002B276D" w:rsidP="007A6453">
      <w:pPr>
        <w:rPr>
          <w:rFonts w:cs="Arial"/>
          <w:szCs w:val="20"/>
        </w:rPr>
      </w:pPr>
      <w:r w:rsidRPr="002B276D">
        <w:rPr>
          <w:rFonts w:cs="Arial"/>
          <w:szCs w:val="20"/>
        </w:rPr>
        <w:t>SNV calls were completed using samtools/bcftools (version 0.1.18-r579)</w:t>
      </w:r>
      <w:r>
        <w:rPr>
          <w:rFonts w:cs="Arial"/>
          <w:szCs w:val="20"/>
        </w:rPr>
        <w:t>,</w:t>
      </w:r>
      <w:r w:rsidR="001007FC">
        <w:rPr>
          <w:rFonts w:cs="Arial"/>
          <w:szCs w:val="20"/>
        </w:rPr>
        <w:fldChar w:fldCharType="begin"/>
      </w:r>
      <w:r w:rsidR="00735D55">
        <w:rPr>
          <w:rFonts w:cs="Arial"/>
          <w:szCs w:val="20"/>
        </w:rPr>
        <w:instrText xml:space="preserve"> ADDIN PAPERS2_CITATIONS &lt;citation&gt;&lt;uuid&gt;D37A1CDB-BB37-48C6-9319-283B9F9B021E&lt;/uuid&gt;&lt;priority&gt;1&lt;/priority&gt;&lt;publications&gt;&lt;publication&gt;&lt;uuid&gt;4E1344B2-36E2-4A71-979F-9A1479B05CAC&lt;/uuid&gt;&lt;volume&gt;27&lt;/volume&gt;&lt;doi&gt;10.1093/bioinformatics/btr509&lt;/doi&gt;&lt;startpage&gt;2987&lt;/startpage&gt;&lt;publication_date&gt;99201110211200000000222000&lt;/publication_date&gt;&lt;url&gt;http://bioinformatics.oxfordjournals.org/cgi/doi/10.1093/bioinformatics/btr509&lt;/url&gt;&lt;citekey&gt;Li:2011cu&lt;/citekey&gt;&lt;type&gt;400&lt;/type&gt;&lt;title&gt;A statistical framework for SNP calling, mutation discovery, association mapping and population genetical parameter estimation from sequencing data&lt;/title&gt;&lt;publisher&gt;Oxford University Press&lt;/publisher&gt;&lt;number&gt;21&lt;/number&gt;&lt;subtype&gt;400&lt;/subtype&gt;&lt;endpage&gt;2993&lt;/endpage&gt;&lt;bundle&gt;&lt;publication&gt;&lt;publisher&gt;Oxford University Press&lt;/publisher&gt;&lt;title&gt;Bioinformatics&lt;/title&gt;&lt;type&gt;-100&lt;/type&gt;&lt;subtype&gt;-100&lt;/subtype&gt;&lt;uuid&gt;5E0617C0-143A-4C27-A688-3E035890BEDE&lt;/uuid&gt;&lt;/publication&gt;&lt;/bundle&gt;&lt;authors&gt;&lt;author&gt;&lt;firstName&gt;H&lt;/firstName&gt;&lt;lastName&gt;Li&lt;/lastName&gt;&lt;/author&gt;&lt;/authors&gt;&lt;/publication&gt;&lt;/publications&gt;&lt;cites&gt;&lt;/cites&gt;&lt;/citation&gt;</w:instrText>
      </w:r>
      <w:r w:rsidR="001007FC">
        <w:rPr>
          <w:rFonts w:cs="Arial"/>
          <w:szCs w:val="20"/>
        </w:rPr>
        <w:fldChar w:fldCharType="separate"/>
      </w:r>
      <w:r w:rsidR="003848DF">
        <w:rPr>
          <w:rFonts w:cs="Arial"/>
          <w:szCs w:val="20"/>
          <w:vertAlign w:val="superscript"/>
        </w:rPr>
        <w:t>2</w:t>
      </w:r>
      <w:r w:rsidR="001007FC">
        <w:rPr>
          <w:rFonts w:cs="Arial"/>
          <w:szCs w:val="20"/>
        </w:rPr>
        <w:fldChar w:fldCharType="end"/>
      </w:r>
      <w:r>
        <w:rPr>
          <w:rFonts w:cs="Arial"/>
          <w:szCs w:val="20"/>
        </w:rPr>
        <w:t xml:space="preserve"> and were then called to produce a VCF file</w:t>
      </w:r>
      <w:r w:rsidR="007A6453">
        <w:rPr>
          <w:rFonts w:cs="Arial"/>
          <w:szCs w:val="20"/>
        </w:rPr>
        <w:t>.</w:t>
      </w:r>
      <w:r w:rsidR="001007FC">
        <w:rPr>
          <w:rFonts w:cs="Arial"/>
          <w:szCs w:val="20"/>
        </w:rPr>
        <w:fldChar w:fldCharType="begin"/>
      </w:r>
      <w:r w:rsidR="00735D55">
        <w:rPr>
          <w:rFonts w:cs="Arial"/>
          <w:szCs w:val="20"/>
        </w:rPr>
        <w:instrText xml:space="preserve"> ADDIN PAPERS2_CITATIONS &lt;citation&gt;&lt;uuid&gt;28830D13-365A-460C-AADE-D643817888BC&lt;/uuid&gt;&lt;priority&gt;2&lt;/priority&gt;&lt;publications&gt;&lt;publication&gt;&lt;uuid&gt;43DB0D19-11E3-4CD5-99E6-835133CB6D1D&lt;/uuid&gt;&lt;volume&gt;27&lt;/volume&gt;&lt;doi&gt;10.1093/bioinformatics/btr330&lt;/doi&gt;&lt;startpage&gt;2156&lt;/startpage&gt;&lt;publication_date&gt;99201107151200000000222000&lt;/publication_date&gt;&lt;url&gt;http://bioinformatics.oxfordjournals.org/cgi/doi/10.1093/bioinformatics/btr330&lt;/url&gt;&lt;citekey&gt;Danecek:2011gz&lt;/citekey&gt;&lt;type&gt;400&lt;/type&gt;&lt;title&gt;The variant call format and VCFtools&lt;/title&gt;&lt;number&gt;15&lt;/number&gt;&lt;subtype&gt;400&lt;/subtype&gt;&lt;endpage&gt;2158&lt;/endpage&gt;&lt;bundle&gt;&lt;publication&gt;&lt;publisher&gt;Oxford University Press&lt;/publisher&gt;&lt;title&gt;Bioinformatics&lt;/title&gt;&lt;type&gt;-100&lt;/type&gt;&lt;subtype&gt;-100&lt;/subtype&gt;&lt;uuid&gt;5E0617C0-143A-4C27-A688-3E035890BEDE&lt;/uuid&gt;&lt;/publication&gt;&lt;/bundle&gt;&lt;authors&gt;&lt;author&gt;&lt;firstName&gt;P&lt;/firstName&gt;&lt;lastName&gt;Danecek&lt;/lastName&gt;&lt;/author&gt;&lt;author&gt;&lt;firstName&gt;A&lt;/firstName&gt;&lt;lastName&gt;Auton&lt;/lastName&gt;&lt;/author&gt;&lt;author&gt;&lt;firstName&gt;G&lt;/firstName&gt;&lt;lastName&gt;Abecasis&lt;/lastName&gt;&lt;/author&gt;&lt;author&gt;&lt;firstName&gt;C&lt;/firstName&gt;&lt;middleNames&gt;A&lt;/middleNames&gt;&lt;lastName&gt;Albers&lt;/lastName&gt;&lt;/author&gt;&lt;author&gt;&lt;firstName&gt;E&lt;/firstName&gt;&lt;lastName&gt;Banks&lt;/lastName&gt;&lt;/author&gt;&lt;author&gt;&lt;firstName&gt;M&lt;/firstName&gt;&lt;middleNames&gt;A&lt;/middleNames&gt;&lt;lastName&gt;DePristo&lt;/lastName&gt;&lt;/author&gt;&lt;author&gt;&lt;firstName&gt;R&lt;/firstName&gt;&lt;middleNames&gt;E&lt;/middleNames&gt;&lt;lastName&gt;Handsaker&lt;/lastName&gt;&lt;/author&gt;&lt;author&gt;&lt;firstName&gt;G&lt;/firstName&gt;&lt;lastName&gt;Lunter&lt;/lastName&gt;&lt;/author&gt;&lt;author&gt;&lt;firstName&gt;G&lt;/firstName&gt;&lt;middleNames&gt;T&lt;/middleNames&gt;&lt;lastName&gt;Marth&lt;/lastName&gt;&lt;/author&gt;&lt;author&gt;&lt;firstName&gt;S&lt;/firstName&gt;&lt;middleNames&gt;T&lt;/middleNames&gt;&lt;lastName&gt;Sherry&lt;/lastName&gt;&lt;/author&gt;&lt;author&gt;&lt;firstName&gt;G&lt;/firstName&gt;&lt;lastName&gt;McVean&lt;/lastName&gt;&lt;/author&gt;&lt;author&gt;&lt;firstName&gt;R&lt;/firstName&gt;&lt;lastName&gt;Durbin&lt;/lastName&gt;&lt;/author&gt;&lt;author&gt;&lt;lastName&gt;1000 Genomes Project Analysis Group&lt;/lastName&gt;&lt;/author&gt;&lt;/authors&gt;&lt;/publication&gt;&lt;/publications&gt;&lt;cites&gt;&lt;/cites&gt;&lt;/citation&gt;</w:instrText>
      </w:r>
      <w:r w:rsidR="001007FC">
        <w:rPr>
          <w:rFonts w:cs="Arial"/>
          <w:szCs w:val="20"/>
        </w:rPr>
        <w:fldChar w:fldCharType="separate"/>
      </w:r>
      <w:r w:rsidR="003848DF">
        <w:rPr>
          <w:rFonts w:cs="Arial"/>
          <w:szCs w:val="20"/>
          <w:vertAlign w:val="superscript"/>
        </w:rPr>
        <w:t>3</w:t>
      </w:r>
      <w:r w:rsidR="001007FC">
        <w:rPr>
          <w:rFonts w:cs="Arial"/>
          <w:szCs w:val="20"/>
        </w:rPr>
        <w:fldChar w:fldCharType="end"/>
      </w:r>
      <w:r w:rsidR="005A16D9">
        <w:rPr>
          <w:rFonts w:cs="Arial"/>
          <w:szCs w:val="20"/>
        </w:rPr>
        <w:t xml:space="preserve"> The pipeline to create these calls is available from</w:t>
      </w:r>
      <w:r w:rsidR="00E90D4F">
        <w:rPr>
          <w:rFonts w:cs="Arial"/>
          <w:szCs w:val="20"/>
        </w:rPr>
        <w:t>:</w:t>
      </w:r>
      <w:r w:rsidR="005A16D9">
        <w:rPr>
          <w:rFonts w:cs="Arial"/>
          <w:szCs w:val="20"/>
        </w:rPr>
        <w:t xml:space="preserve"> </w:t>
      </w:r>
      <w:hyperlink r:id="rId9" w:history="1">
        <w:r w:rsidR="005A16D9" w:rsidRPr="005A16D9">
          <w:rPr>
            <w:rStyle w:val="Hyperlink"/>
            <w:rFonts w:cs="Arial"/>
            <w:szCs w:val="20"/>
          </w:rPr>
          <w:t>https://github.com/VertebrateResequencing/vr-codebase/tree/develop</w:t>
        </w:r>
      </w:hyperlink>
      <w:r w:rsidR="005A16D9" w:rsidRPr="005A16D9">
        <w:rPr>
          <w:rFonts w:cs="Arial"/>
          <w:szCs w:val="20"/>
        </w:rPr>
        <w:t>.</w:t>
      </w:r>
    </w:p>
    <w:p w14:paraId="378A561D" w14:textId="77777777" w:rsidR="005A16D9" w:rsidRDefault="005A16D9" w:rsidP="002B276D">
      <w:pPr>
        <w:pStyle w:val="ListParagraph"/>
        <w:ind w:left="0"/>
        <w:rPr>
          <w:rFonts w:cs="Arial"/>
          <w:szCs w:val="20"/>
        </w:rPr>
      </w:pPr>
    </w:p>
    <w:p w14:paraId="51165C11" w14:textId="23F5437E" w:rsidR="005A16D9" w:rsidRPr="002B276D" w:rsidRDefault="005A16D9" w:rsidP="002B276D">
      <w:pPr>
        <w:pStyle w:val="ListParagraph"/>
        <w:ind w:left="0"/>
        <w:rPr>
          <w:rFonts w:cs="Arial"/>
          <w:szCs w:val="20"/>
        </w:rPr>
      </w:pPr>
      <w:r>
        <w:rPr>
          <w:rFonts w:cs="Arial"/>
          <w:szCs w:val="20"/>
        </w:rPr>
        <w:t>Sites were called using the Variant Quality Score Recalibration (VQSR)</w:t>
      </w:r>
      <w:r w:rsidR="001007FC">
        <w:rPr>
          <w:rFonts w:cs="Arial"/>
          <w:szCs w:val="20"/>
        </w:rPr>
        <w:fldChar w:fldCharType="begin"/>
      </w:r>
      <w:r w:rsidR="00735D55">
        <w:rPr>
          <w:rFonts w:cs="Arial"/>
          <w:szCs w:val="20"/>
        </w:rPr>
        <w:instrText xml:space="preserve"> ADDIN PAPERS2_CITATIONS &lt;citation&gt;&lt;uuid&gt;404F226A-2E9C-46EC-B262-EAD5D71CB937&lt;/uuid&gt;&lt;priority&gt;3&lt;/priority&gt;&lt;publications&gt;&lt;publication&gt;&lt;uuid&gt;4FDAC56E-F4F3-49B2-8A22-E4BC5A4738DF&lt;/uuid&gt;&lt;volume&gt;43&lt;/volume&gt;&lt;doi&gt;10.1038/ng.806&lt;/doi&gt;&lt;startpage&gt;491&lt;/startpage&gt;&lt;publication_date&gt;99201104101200000000222000&lt;/publication_date&gt;&lt;url&gt;http://www.nature.com/doifinder/10.1038/ng.806&lt;/url&gt;&lt;citekey&gt;DePristo:2011fo&lt;/citekey&gt;&lt;type&gt;400&lt;/type&gt;&lt;title&gt;A framework for variation discovery and genotyping using next-generation DNA sequencing data&lt;/title&gt;&lt;publisher&gt;Nature Publishing Group&lt;/publisher&gt;&lt;number&gt;5&lt;/number&gt;&lt;subtype&gt;400&lt;/subtype&gt;&lt;endpage&gt;498&lt;/endpage&gt;&lt;bundle&gt;&lt;publication&gt;&lt;publisher&gt;Nature Publishing Group&lt;/publisher&gt;&lt;url&gt;http://www.nature.com.proxy1.library.mcgill.ca&lt;/url&gt;&lt;title&gt;Nature Publishing Group&lt;/title&gt;&lt;type&gt;-100&lt;/type&gt;&lt;subtype&gt;-100&lt;/subtype&gt;&lt;uuid&gt;300C7CB8-BEB5-4099-929A-BDE617D1A268&lt;/uuid&gt;&lt;/publication&gt;&lt;/bundle&gt;&lt;authors&gt;&lt;author&gt;&lt;firstName&gt;Mark&lt;/firstName&gt;&lt;middleNames&gt;A&lt;/middleNames&gt;&lt;lastName&gt;DePristo&lt;/lastName&gt;&lt;/author&gt;&lt;author&gt;&lt;firstName&gt;Eric&lt;/firstName&gt;&lt;lastName&gt;Banks&lt;/lastName&gt;&lt;/author&gt;&lt;author&gt;&lt;firstName&gt;Ryan&lt;/firstName&gt;&lt;lastName&gt;Poplin&lt;/lastName&gt;&lt;/author&gt;&lt;author&gt;&lt;firstName&gt;Kiran&lt;/firstName&gt;&lt;middleNames&gt;V&lt;/middleNames&gt;&lt;lastName&gt;Garimella&lt;/lastName&gt;&lt;/author&gt;&lt;author&gt;&lt;firstName&gt;Jared&lt;/firstName&gt;&lt;middleNames&gt;R&lt;/middleNames&gt;&lt;lastName&gt;Maguire&lt;/lastName&gt;&lt;/author&gt;&lt;author&gt;&lt;firstName&gt;Christopher&lt;/firstName&gt;&lt;lastName&gt;Hartl&lt;/lastName&gt;&lt;/author&gt;&lt;author&gt;&lt;firstName&gt;Anthony&lt;/firstName&gt;&lt;middleNames&gt;A&lt;/middleNames&gt;&lt;lastName&gt;Philippakis&lt;/lastName&gt;&lt;/author&gt;&lt;author&gt;&lt;nonDroppingParticle&gt;del&lt;/nonDroppingParticle&gt;&lt;firstName&gt;Guillermo&lt;/firstName&gt;&lt;lastName&gt;Angel&lt;/lastName&gt;&lt;/author&gt;&lt;author&gt;&lt;firstName&gt;Manuel&lt;/firstName&gt;&lt;middleNames&gt;A&lt;/middleNames&gt;&lt;lastName&gt;Rivas&lt;/lastName&gt;&lt;/author&gt;&lt;author&gt;&lt;firstName&gt;Matt&lt;/firstName&gt;&lt;lastName&gt;Hanna&lt;/lastName&gt;&lt;/author&gt;&lt;author&gt;&lt;firstName&gt;Aaron&lt;/firstName&gt;&lt;lastName&gt;McKenna&lt;/lastName&gt;&lt;/author&gt;&lt;author&gt;&lt;firstName&gt;Tim&lt;/firstName&gt;&lt;middleNames&gt;J&lt;/middleNames&gt;&lt;lastName&gt;Fennell&lt;/lastName&gt;&lt;/author&gt;&lt;author&gt;&lt;firstName&gt;Andrew&lt;/firstName&gt;&lt;middleNames&gt;M&lt;/middleNames&gt;&lt;lastName&gt;Kernytsky&lt;/lastName&gt;&lt;/author&gt;&lt;author&gt;&lt;firstName&gt;Andrey&lt;/firstName&gt;&lt;middleNames&gt;Y&lt;/middleNames&gt;&lt;lastName&gt;Sivachenko&lt;/lastName&gt;&lt;/author&gt;&lt;author&gt;&lt;firstName&gt;Kristian&lt;/firstName&gt;&lt;lastName&gt;Cibulskis&lt;/lastName&gt;&lt;/author&gt;&lt;author&gt;&lt;firstName&gt;Stacey&lt;/firstName&gt;&lt;middleNames&gt;B&lt;/middleNames&gt;&lt;lastName&gt;Gabriel&lt;/lastName&gt;&lt;/author&gt;&lt;author&gt;&lt;firstName&gt;David&lt;/firstName&gt;&lt;lastName&gt;Altshuler&lt;/lastName&gt;&lt;/author&gt;&lt;author&gt;&lt;firstName&gt;Mark&lt;/firstName&gt;&lt;middleNames&gt;J&lt;/middleNames&gt;&lt;lastName&gt;Daly&lt;/lastName&gt;&lt;/author&gt;&lt;/authors&gt;&lt;/publication&gt;&lt;/publications&gt;&lt;cites&gt;&lt;/cites&gt;&lt;/citation&gt;</w:instrText>
      </w:r>
      <w:r w:rsidR="001007FC">
        <w:rPr>
          <w:rFonts w:cs="Arial"/>
          <w:szCs w:val="20"/>
        </w:rPr>
        <w:fldChar w:fldCharType="separate"/>
      </w:r>
      <w:r w:rsidR="003848DF">
        <w:rPr>
          <w:rFonts w:cs="Arial"/>
          <w:szCs w:val="20"/>
          <w:vertAlign w:val="superscript"/>
        </w:rPr>
        <w:t>4</w:t>
      </w:r>
      <w:r w:rsidR="001007FC">
        <w:rPr>
          <w:rFonts w:cs="Arial"/>
          <w:szCs w:val="20"/>
        </w:rPr>
        <w:fldChar w:fldCharType="end"/>
      </w:r>
      <w:r>
        <w:rPr>
          <w:rFonts w:cs="Arial"/>
          <w:szCs w:val="20"/>
        </w:rPr>
        <w:t xml:space="preserve"> and GATK Unified </w:t>
      </w:r>
      <w:proofErr w:type="spellStart"/>
      <w:r>
        <w:rPr>
          <w:rFonts w:cs="Arial"/>
          <w:szCs w:val="20"/>
        </w:rPr>
        <w:t>Genotyper</w:t>
      </w:r>
      <w:proofErr w:type="spellEnd"/>
      <w:r>
        <w:rPr>
          <w:rFonts w:cs="Arial"/>
          <w:szCs w:val="20"/>
        </w:rPr>
        <w:t xml:space="preserve"> was used to recall the sites and alleles discovered by samtools. The </w:t>
      </w:r>
      <w:proofErr w:type="spellStart"/>
      <w:r>
        <w:rPr>
          <w:rFonts w:cs="Arial"/>
          <w:szCs w:val="20"/>
        </w:rPr>
        <w:t>VariantRecalibrator</w:t>
      </w:r>
      <w:proofErr w:type="spellEnd"/>
      <w:r>
        <w:rPr>
          <w:rFonts w:cs="Arial"/>
          <w:szCs w:val="20"/>
        </w:rPr>
        <w:t xml:space="preserve"> within GATK was used to first model the variants, then GATK </w:t>
      </w:r>
      <w:proofErr w:type="spellStart"/>
      <w:r>
        <w:rPr>
          <w:rFonts w:cs="Arial"/>
          <w:szCs w:val="20"/>
        </w:rPr>
        <w:t>ApplyRecalibration</w:t>
      </w:r>
      <w:proofErr w:type="spellEnd"/>
      <w:r>
        <w:rPr>
          <w:rFonts w:cs="Arial"/>
          <w:szCs w:val="20"/>
        </w:rPr>
        <w:t xml:space="preserve"> was applied to assign VQSLOD scores (see </w:t>
      </w:r>
      <w:hyperlink r:id="rId10" w:history="1">
        <w:r w:rsidRPr="005A16D9">
          <w:rPr>
            <w:rStyle w:val="Hyperlink"/>
            <w:rFonts w:cs="Arial"/>
            <w:szCs w:val="20"/>
          </w:rPr>
          <w:t>http://www.broadinstitute.org/gsa/wiki/index.php/Variant_quality_score_recalibration</w:t>
        </w:r>
      </w:hyperlink>
      <w:r>
        <w:rPr>
          <w:rFonts w:cs="Arial"/>
          <w:szCs w:val="20"/>
        </w:rPr>
        <w:t xml:space="preserve"> for more details).</w:t>
      </w:r>
    </w:p>
    <w:p w14:paraId="388117AB" w14:textId="12138199" w:rsidR="002B276D" w:rsidRDefault="002B276D" w:rsidP="00DD21CA">
      <w:pPr>
        <w:pStyle w:val="ListParagraph"/>
        <w:ind w:left="0"/>
        <w:rPr>
          <w:rFonts w:cs="Arial"/>
          <w:szCs w:val="20"/>
        </w:rPr>
      </w:pPr>
    </w:p>
    <w:p w14:paraId="4B77913E" w14:textId="46C95185" w:rsidR="003B5FDF" w:rsidRDefault="003B5FDF" w:rsidP="00DD21CA">
      <w:pPr>
        <w:pStyle w:val="ListParagraph"/>
        <w:ind w:left="0"/>
        <w:rPr>
          <w:rFonts w:cs="Arial"/>
          <w:szCs w:val="20"/>
        </w:rPr>
      </w:pPr>
      <w:r>
        <w:rPr>
          <w:rFonts w:cs="Arial"/>
          <w:szCs w:val="20"/>
        </w:rPr>
        <w:t>VQSLOD score threshold was set at -0.6804 which improved site concordance with duplicate samples sequenced using high-depth exome sequence methods. Two f</w:t>
      </w:r>
      <w:r w:rsidR="00C32F0B">
        <w:rPr>
          <w:rFonts w:cs="Arial"/>
          <w:szCs w:val="20"/>
        </w:rPr>
        <w:t>urther thresholds were applied: failure of HWE (P&lt;1e-6) and evidence of batch effects between samples genotyped at Sanger and BGI (P&lt;1e-2). In total, 4.2M variants were removed through these QC criteria.</w:t>
      </w:r>
      <w:r w:rsidR="008557D6">
        <w:rPr>
          <w:rFonts w:cs="Arial"/>
          <w:szCs w:val="20"/>
        </w:rPr>
        <w:t xml:space="preserve"> The final set contained over 42M SNVs.</w:t>
      </w:r>
      <w:r w:rsidR="009F2CF4">
        <w:rPr>
          <w:rFonts w:cs="Arial"/>
          <w:szCs w:val="20"/>
        </w:rPr>
        <w:t xml:space="preserve"> </w:t>
      </w:r>
    </w:p>
    <w:p w14:paraId="4DD916EF" w14:textId="77777777" w:rsidR="009A6F29" w:rsidRDefault="009A6F29" w:rsidP="00DD21CA">
      <w:pPr>
        <w:pStyle w:val="ListParagraph"/>
        <w:ind w:left="0"/>
        <w:rPr>
          <w:rFonts w:cs="Arial"/>
          <w:szCs w:val="20"/>
        </w:rPr>
      </w:pPr>
    </w:p>
    <w:p w14:paraId="425CFA32" w14:textId="3A74052B" w:rsidR="00A46134" w:rsidRPr="00922E33" w:rsidRDefault="009A6F29" w:rsidP="00922E33">
      <w:r>
        <w:rPr>
          <w:rFonts w:cs="Arial"/>
          <w:szCs w:val="20"/>
        </w:rPr>
        <w:t>In order to assess the validity of the sequence data, 61 samples were also sequenced using high-depth next generation exome sequencing</w:t>
      </w:r>
      <w:r w:rsidR="009F2CF4">
        <w:rPr>
          <w:rFonts w:cs="Arial"/>
          <w:szCs w:val="20"/>
        </w:rPr>
        <w:t xml:space="preserve"> (depth  = 70x)</w:t>
      </w:r>
      <w:r>
        <w:rPr>
          <w:rFonts w:cs="Arial"/>
          <w:szCs w:val="20"/>
        </w:rPr>
        <w:t>, described previously</w:t>
      </w:r>
      <w:r w:rsidR="007A6453">
        <w:rPr>
          <w:rFonts w:cs="Arial"/>
          <w:szCs w:val="20"/>
        </w:rPr>
        <w:t>.</w:t>
      </w:r>
      <w:r w:rsidR="001007FC">
        <w:rPr>
          <w:rFonts w:cs="Arial"/>
          <w:szCs w:val="20"/>
        </w:rPr>
        <w:fldChar w:fldCharType="begin"/>
      </w:r>
      <w:r w:rsidR="00735D55">
        <w:rPr>
          <w:rFonts w:cs="Arial"/>
          <w:szCs w:val="20"/>
        </w:rPr>
        <w:instrText xml:space="preserve"> ADDIN PAPERS2_CITATIONS &lt;citation&gt;&lt;uuid&gt;B58E9154-34B7-4123-AC62-E23511C00022&lt;/uuid&gt;&lt;priority&gt;4&lt;/priority&gt;&lt;publications&gt;&lt;publication&gt;&lt;uuid&gt;99D9EF57-18AA-4A65-822E-7A6025E980C7&lt;/uuid&gt;&lt;volume&gt;8&lt;/volume&gt;&lt;accepted_date&gt;99201210011200000000222000&lt;/accepted_date&gt;&lt;doi&gt;10.1371/journal.pgen.1003095&lt;/doi&gt;&lt;startpage&gt;e1003095&lt;/startpage&gt;&lt;publication_date&gt;99201200001200000000200000&lt;/publication_date&gt;&lt;url&gt;http://eutils.ncbi.nlm.nih.gov/entrez/eutils/elink.fcgi?dbfrom=pubmed&amp;amp;id=23284290&amp;amp;retmode=ref&amp;amp;cmd=prlinks&lt;/url&gt;&lt;citekey&gt;Williams:2012gk&lt;/citekey&gt;&lt;type&gt;400&lt;/type&gt;&lt;title&gt;Genes contributing to pain sensitivity in the normal population: an exome sequencing study.&lt;/title&gt;&lt;location&gt;&amp;lt;html&amp;gt;&amp;lt;head&amp;gt;&amp;lt;meta http-equiv="content-type" content="text/html; charset=utf-8"/&amp;gt;&amp;lt;title&amp;gt;Sorry...&amp;lt;/title&amp;gt;&amp;lt;style&amp;gt; body { font-family: verdana, arial, sans-serif; background-color: #fff; color: #000; }&amp;lt;/style&amp;gt;&amp;lt;/head&amp;gt;&amp;lt;body&amp;gt;&amp;lt;div&amp;gt;&amp;lt;table&amp;gt;&amp;lt;tr&amp;gt;&amp;lt;td&amp;gt;&amp;lt;b&amp;gt;&amp;lt;font face=times color=#0039b6 size=10&amp;gt;G&amp;lt;/font&amp;gt;&amp;lt;font face=times color=#c41200 size=10&amp;gt;o&amp;lt;/font&amp;gt;&amp;lt;font face=times color=#f3c518 size=10&amp;gt;o&amp;lt;/font&amp;gt;&amp;lt;font face=times color=#0039b6 size=10&amp;gt;g&amp;lt;/font&amp;gt;&amp;lt;font face=times color=#30a72f size=10&amp;gt;l&amp;lt;/font&amp;gt;&amp;lt;font face=times color=#c41200 size=10&amp;gt;e&amp;lt;/font&amp;gt;&amp;lt;/b&amp;gt;&amp;lt;/td&amp;gt;&amp;lt;td style="text-align: left; vertical-align: bottom; padding-bottom: 15px; width: 50%"&amp;gt;&amp;lt;div style="border-bottom: 1px solid #dfdfdf;"&amp;gt;Sorry...&amp;lt;/div&amp;gt;&amp;lt;/td&amp;gt;&amp;lt;/tr&amp;gt;&amp;lt;/table&amp;gt;&amp;lt;/div&amp;gt;&amp;lt;div style="margin-left: 4em;"&amp;gt;&amp;lt;h1&amp;gt;We're sorry...&amp;lt;/h1&amp;gt;&amp;lt;p&amp;gt;... but your computer or network may be sending automated queries. To protect our users, we can't process your request right now.&amp;lt;/p&amp;gt;&amp;lt;/div&amp;gt;&amp;lt;div style="margin-left: 4em;"&amp;gt;See &amp;lt;a href="https://support.google.com/websearch/answer/86640"&amp;gt;Google Help&amp;lt;/a&amp;gt; for more information.&amp;lt;br/&amp;gt;&amp;lt;br/&amp;gt;&amp;lt;/div&amp;gt;&amp;lt;div style="text-align: center; border-top: 1px solid #dfdfdf;"&amp;gt;&amp;amp;copy; 2013 Google - &amp;lt;a href="https://www.google.com"&amp;gt;Google Home&amp;lt;/a&amp;gt;&amp;lt;/div&amp;gt;&amp;lt;/body&amp;gt;&amp;lt;/html&amp;gt;&lt;/location&gt;&lt;submission_date&gt;99201205281200000000222000&lt;/submission_date&gt;&lt;number&gt;12&lt;/number&gt;&lt;institution&gt;Department of Twin Research and Genetic Epidemiology, King's College London, London, United Kingdom.&lt;/institution&gt;&lt;subtype&gt;400&lt;/subtype&gt;&lt;bundle&gt;&lt;publication&gt;&lt;publisher&gt;Public Library of Science&lt;/publisher&gt;&lt;url&gt;http://www.plosgenetics.org&lt;/url&gt;&lt;title&gt;PLoS genetics&lt;/title&gt;&lt;type&gt;-100&lt;/type&gt;&lt;subtype&gt;-100&lt;/subtype&gt;&lt;uuid&gt;DB9B2F2F-E187-46C2-839A-2F5D0B1F6485&lt;/uuid&gt;&lt;/publication&gt;&lt;/bundle&gt;&lt;authors&gt;&lt;author&gt;&lt;firstName&gt;Frances&lt;/firstName&gt;&lt;middleNames&gt;M K&lt;/middleNames&gt;&lt;lastName&gt;Williams&lt;/lastName&gt;&lt;/author&gt;&lt;author&gt;&lt;firstName&gt;Serena&lt;/firstName&gt;&lt;lastName&gt;Scollen&lt;/lastName&gt;&lt;/author&gt;&lt;author&gt;&lt;firstName&gt;Dandan&lt;/firstName&gt;&lt;lastName&gt;Cao&lt;/lastName&gt;&lt;/author&gt;&lt;author&gt;&lt;firstName&gt;Yasin&lt;/firstName&gt;&lt;lastName&gt;Memari&lt;/lastName&gt;&lt;/author&gt;&lt;author&gt;&lt;firstName&gt;Craig&lt;/firstName&gt;&lt;middleNames&gt;L&lt;/middleNames&gt;&lt;lastName&gt;Hyde&lt;/lastName&gt;&lt;/author&gt;&lt;author&gt;&lt;firstName&gt;Baohong&lt;/firstName&gt;&lt;lastName&gt;Zhang&lt;/lastName&gt;&lt;/author&gt;&lt;author&gt;&lt;firstName&gt;Benjamin&lt;/firstName&gt;&lt;lastName&gt;Sidders&lt;/lastName&gt;&lt;/author&gt;&lt;author&gt;&lt;firstName&gt;Daniel&lt;/firstName&gt;&lt;lastName&gt;Ziemek&lt;/lastName&gt;&lt;/author&gt;&lt;author&gt;&lt;firstName&gt;Yujian&lt;/firstName&gt;&lt;lastName&gt;Shi&lt;/lastName&gt;&lt;/author&gt;&lt;author&gt;&lt;firstName&gt;Juliette&lt;/firstName&gt;&lt;lastName&gt;Harris&lt;/lastName&gt;&lt;/author&gt;&lt;author&gt;&lt;firstName&gt;Ian&lt;/firstName&gt;&lt;lastName&gt;Harrow&lt;/lastName&gt;&lt;/author&gt;&lt;author&gt;&lt;firstName&gt;Brian&lt;/firstName&gt;&lt;lastName&gt;Dougherty&lt;/lastName&gt;&lt;/author&gt;&lt;author&gt;&lt;firstName&gt;Anders&lt;/firstName&gt;&lt;lastName&gt;Malarstig&lt;/lastName&gt;&lt;/author&gt;&lt;author&gt;&lt;firstName&gt;Robert&lt;/firstName&gt;&lt;lastName&gt;McEwen&lt;/lastName&gt;&lt;/author&gt;&lt;author&gt;&lt;firstName&gt;Joel&lt;/firstName&gt;&lt;middleNames&gt;C&lt;/middleNames&gt;&lt;lastName&gt;Stephens&lt;/lastName&gt;&lt;/author&gt;&lt;author&gt;&lt;firstName&gt;Ketan&lt;/firstName&gt;&lt;lastName&gt;Patel&lt;/lastName&gt;&lt;/author&gt;&lt;author&gt;&lt;firstName&gt;Cristina&lt;/firstName&gt;&lt;lastName&gt;Menni&lt;/lastName&gt;&lt;/author&gt;&lt;author&gt;&lt;firstName&gt;So-Youn&lt;/firstName&gt;&lt;lastName&gt;Shin&lt;/lastName&gt;&lt;/author&gt;&lt;author&gt;&lt;firstName&gt;Dylan&lt;/firstName&gt;&lt;lastName&gt;Hodgkiss&lt;/lastName&gt;&lt;/author&gt;&lt;author&gt;&lt;firstName&gt;Gabriela&lt;/firstName&gt;&lt;lastName&gt;Surdulescu&lt;/lastName&gt;&lt;/author&gt;&lt;author&gt;&lt;firstName&gt;Wen&lt;/firstName&gt;&lt;lastName&gt;He&lt;/lastName&gt;&lt;/author&gt;&lt;author&gt;&lt;firstName&gt;Xin&lt;/firstName&gt;&lt;lastName&gt;Jin&lt;/lastName&gt;&lt;/author&gt;&lt;author&gt;&lt;firstName&gt;Stephen&lt;/firstName&gt;&lt;middleNames&gt;B&lt;/middleNames&gt;&lt;lastName&gt;McMahon&lt;/lastName&gt;&lt;/author&gt;&lt;author&gt;&lt;firstName&gt;Nicole&lt;/firstName&gt;&lt;lastName&gt;Soranzo&lt;/lastName&gt;&lt;/author&gt;&lt;author&gt;&lt;firstName&gt;Sally&lt;/firstName&gt;&lt;lastName&gt;John&lt;/lastName&gt;&lt;/author&gt;&lt;author&gt;&lt;firstName&gt;Jun&lt;/firstName&gt;&lt;lastName&gt;Wang&lt;/lastName&gt;&lt;/author&gt;&lt;author&gt;&lt;firstName&gt;Tim&lt;/firstName&gt;&lt;middleNames&gt;D&lt;/middleNames&gt;&lt;lastName&gt;Spector&lt;/lastName&gt;&lt;/author&gt;&lt;/authors&gt;&lt;/publication&gt;&lt;/publications&gt;&lt;cites&gt;&lt;/cites&gt;&lt;/citation&gt;</w:instrText>
      </w:r>
      <w:r w:rsidR="001007FC">
        <w:rPr>
          <w:rFonts w:cs="Arial"/>
          <w:szCs w:val="20"/>
        </w:rPr>
        <w:fldChar w:fldCharType="separate"/>
      </w:r>
      <w:r w:rsidR="003848DF">
        <w:rPr>
          <w:rFonts w:cs="Arial"/>
          <w:szCs w:val="20"/>
          <w:vertAlign w:val="superscript"/>
        </w:rPr>
        <w:t>5</w:t>
      </w:r>
      <w:r w:rsidR="001007FC">
        <w:rPr>
          <w:rFonts w:cs="Arial"/>
          <w:szCs w:val="20"/>
        </w:rPr>
        <w:fldChar w:fldCharType="end"/>
      </w:r>
      <w:r>
        <w:rPr>
          <w:rFonts w:cs="Arial"/>
          <w:szCs w:val="20"/>
        </w:rPr>
        <w:t xml:space="preserve"> 74,621 sites were shared out of the 86,322 sites that were called in the exome data, representing a sensitivity of </w:t>
      </w:r>
      <w:r w:rsidR="009F2CF4">
        <w:rPr>
          <w:rFonts w:cs="Arial"/>
          <w:szCs w:val="20"/>
        </w:rPr>
        <w:t>86.4% across the 35Mb bait region. We assessed the non-reference discordance rate and found that 0.2% were discordant, suggesting that the resultant dataset had high concordance with high depth exome sequencing</w:t>
      </w:r>
      <w:r w:rsidR="000B4111">
        <w:rPr>
          <w:rFonts w:cs="Arial"/>
          <w:szCs w:val="20"/>
        </w:rPr>
        <w:t>.</w:t>
      </w:r>
    </w:p>
    <w:p w14:paraId="2856FEC8" w14:textId="635AB50E" w:rsidR="003D5424" w:rsidRPr="00FC4963" w:rsidRDefault="00A31AE5" w:rsidP="00E35BEA">
      <w:pPr>
        <w:pStyle w:val="Heading3"/>
        <w:rPr>
          <w:b w:val="0"/>
          <w:i/>
        </w:rPr>
      </w:pPr>
      <w:r w:rsidRPr="00FC4963">
        <w:t>Whole Exome Sequencing</w:t>
      </w:r>
    </w:p>
    <w:p w14:paraId="3B65E08D" w14:textId="77777777" w:rsidR="003D5424" w:rsidRPr="00E35BEA" w:rsidRDefault="00A31AE5" w:rsidP="00DE4A52">
      <w:pPr>
        <w:pStyle w:val="Heading4"/>
      </w:pPr>
      <w:r w:rsidRPr="00E35BEA">
        <w:t>AOGC</w:t>
      </w:r>
    </w:p>
    <w:p w14:paraId="2AB4FBF3" w14:textId="5A6131A9" w:rsidR="001D68AD" w:rsidRPr="001D68AD" w:rsidRDefault="001D68AD" w:rsidP="001D68AD">
      <w:pPr>
        <w:rPr>
          <w:rFonts w:cs="Arial"/>
          <w:i/>
          <w:szCs w:val="20"/>
          <w:highlight w:val="yellow"/>
        </w:rPr>
      </w:pPr>
      <w:r w:rsidRPr="001D68AD">
        <w:rPr>
          <w:rFonts w:cs="Arial"/>
          <w:szCs w:val="20"/>
        </w:rPr>
        <w:t>993 samples underwent exome capture and massive parallel sequencing.  Sequencing libraries were constructed from 1.6ug genomic DNA using the Illumina TruSeqDNA sample preparation kit. Libraries were combined in pools of six for target capture using the Illumina TruSeq Exome Enrichment Kit. Libraries were assessed pre- and post-capture for both quality and yield using the Agilent High Sensitivity DNA assay and KAPA Library Quantification Kit. Massively parallel sequencing was performed using the Illumina HiSeq2000 to generate 100bp paired-end reads (2x100PE). Either 6 or 12 samples were run per flow cell lane using version 2 or version 3 SBS reagents respective</w:t>
      </w:r>
      <w:r w:rsidR="00614101">
        <w:rPr>
          <w:rFonts w:cs="Arial"/>
          <w:szCs w:val="20"/>
        </w:rPr>
        <w:t>ly</w:t>
      </w:r>
      <w:r w:rsidRPr="001D68AD">
        <w:rPr>
          <w:rFonts w:cs="Arial"/>
          <w:szCs w:val="20"/>
        </w:rPr>
        <w:t xml:space="preserve">. </w:t>
      </w:r>
      <w:r w:rsidRPr="001D68AD">
        <w:rPr>
          <w:rFonts w:cs="Arial"/>
          <w:szCs w:val="20"/>
        </w:rPr>
        <w:br/>
      </w:r>
      <w:r w:rsidRPr="001D68AD">
        <w:rPr>
          <w:rFonts w:cs="Arial"/>
          <w:szCs w:val="20"/>
        </w:rPr>
        <w:lastRenderedPageBreak/>
        <w:t>Illumina Data Analysis Pipeline software (CASAVA 1.8.2) was used for de-multiplexing and initial base calling and sequence data was aligned to the current build of the human genome (hg19, released February 2009) using the Novo</w:t>
      </w:r>
      <w:r w:rsidR="00CA11ED">
        <w:rPr>
          <w:rFonts w:cs="Arial"/>
          <w:szCs w:val="20"/>
        </w:rPr>
        <w:t>align alignment tool (V2.08.02</w:t>
      </w:r>
      <w:r w:rsidRPr="001D68AD">
        <w:rPr>
          <w:rFonts w:cs="Arial"/>
          <w:szCs w:val="20"/>
        </w:rPr>
        <w:t>); sequence alignment files were converted using SAMtools (v0.1.16)</w:t>
      </w:r>
      <w:r w:rsidR="00CA11ED">
        <w:rPr>
          <w:rFonts w:cs="Arial"/>
          <w:szCs w:val="20"/>
        </w:rPr>
        <w:t xml:space="preserve"> </w:t>
      </w:r>
      <w:r w:rsidRPr="001D68AD">
        <w:rPr>
          <w:rFonts w:cs="Arial"/>
          <w:szCs w:val="20"/>
        </w:rPr>
        <w:t>and Picard tools</w:t>
      </w:r>
      <w:r w:rsidR="00CA11ED">
        <w:rPr>
          <w:rFonts w:cs="Arial"/>
          <w:szCs w:val="20"/>
        </w:rPr>
        <w:t xml:space="preserve"> (</w:t>
      </w:r>
      <w:hyperlink r:id="rId11" w:history="1">
        <w:r w:rsidR="00CA11ED" w:rsidRPr="00A83164">
          <w:rPr>
            <w:rStyle w:val="Hyperlink"/>
            <w:rFonts w:cs="Arial"/>
            <w:szCs w:val="20"/>
            <w:lang w:eastAsia="en-US" w:bidi="en-US"/>
          </w:rPr>
          <w:t>http://picard.sourceforge.net</w:t>
        </w:r>
      </w:hyperlink>
      <w:r w:rsidR="00CA11ED">
        <w:rPr>
          <w:rFonts w:cs="Arial"/>
          <w:szCs w:val="20"/>
        </w:rPr>
        <w:t>)</w:t>
      </w:r>
      <w:r w:rsidRPr="001D68AD">
        <w:rPr>
          <w:rFonts w:cs="Arial"/>
          <w:szCs w:val="20"/>
        </w:rPr>
        <w:t>  (v1.42) SNPs and indels were called using the Genome Analysis Toolkit (GATK v2.2-3</w:t>
      </w:r>
      <w:r w:rsidR="00CA11ED">
        <w:rPr>
          <w:rFonts w:cs="Arial"/>
          <w:szCs w:val="20"/>
        </w:rPr>
        <w:t>)</w:t>
      </w:r>
      <w:r w:rsidR="00183CA8">
        <w:rPr>
          <w:rFonts w:cs="Arial"/>
          <w:szCs w:val="20"/>
        </w:rPr>
        <w:fldChar w:fldCharType="begin"/>
      </w:r>
      <w:r w:rsidR="00735D55">
        <w:rPr>
          <w:rFonts w:cs="Arial"/>
          <w:szCs w:val="20"/>
        </w:rPr>
        <w:instrText xml:space="preserve"> ADDIN PAPERS2_CITATIONS &lt;citation&gt;&lt;uuid&gt;E440D949-619F-497E-AD5C-63717E1EA1E3&lt;/uuid&gt;&lt;priority&gt;5&lt;/priority&gt;&lt;publications&gt;&lt;publication&gt;&lt;uuid&gt;87C3E0D3-29C8-4F5A-A4A7-F5F72C97EAAF&lt;/uuid&gt;&lt;volume&gt;20&lt;/volume&gt;&lt;startpage&gt;1297&lt;/startpage&gt;&lt;subtitle&gt;Genome Res&lt;/subtitle&gt;&lt;citekey&gt;McKenna:tf&lt;/citekey&gt;&lt;url&gt;http://www.ncbi.nlm.nih.gov/entrez/query.fcgi?cmd=Retrieve&amp;amp;db=PubMed&amp;amp;dopt=Citation&amp;amp;list_uids=20644199&lt;/url&gt;&lt;type&gt;400&lt;/type&gt;&lt;title&gt;The Genome Analysis Toolkit: a MapReduce framework for analyzing next-generation DNA sequencing data&lt;/title&gt;&lt;location&gt;200,9,42.3584488,-71.0912204&lt;/location&gt;&lt;institution&gt;Program in Medical and Population Genetics, The Broad Institute of Harvard and MIT, Cambridge, Massachusetts 02142, USA.&lt;/institution&gt;&lt;number&gt;9&lt;/number&gt;&lt;subtype&gt;400&lt;/subtype&gt;&lt;endpage&gt;1303&lt;/endpage&gt;&lt;bundle&gt;&lt;publication&gt;&lt;url&gt;http://genome.cshlp.org.proxy1.library.mcgill.ca&lt;/url&gt;&lt;title&gt;Genome Research&lt;/title&gt;&lt;type&gt;-100&lt;/type&gt;&lt;subtype&gt;-100&lt;/subtype&gt;&lt;uuid&gt;49ACC8D5-4401-4433-AE89-5DAA9E7E7DB3&lt;/uuid&gt;&lt;/publication&gt;&lt;/bundle&gt;&lt;authors&gt;&lt;author&gt;&lt;firstName&gt;A&lt;/firstName&gt;&lt;lastName&gt;McKenna&lt;/lastName&gt;&lt;/author&gt;&lt;author&gt;&lt;firstName&gt;M&lt;/firstName&gt;&lt;lastName&gt;Hanna&lt;/lastName&gt;&lt;/author&gt;&lt;author&gt;&lt;firstName&gt;E&lt;/firstName&gt;&lt;lastName&gt;Banks&lt;/lastName&gt;&lt;/author&gt;&lt;author&gt;&lt;firstName&gt;A&lt;/firstName&gt;&lt;lastName&gt;Sivachenko&lt;/lastName&gt;&lt;/author&gt;&lt;author&gt;&lt;firstName&gt;K&lt;/firstName&gt;&lt;lastName&gt;Cibulskis&lt;/lastName&gt;&lt;/author&gt;&lt;author&gt;&lt;firstName&gt;A&lt;/firstName&gt;&lt;lastName&gt;Kernytsky&lt;/lastName&gt;&lt;/author&gt;&lt;author&gt;&lt;firstName&gt;K&lt;/firstName&gt;&lt;lastName&gt;Garimella&lt;/lastName&gt;&lt;/author&gt;&lt;author&gt;&lt;firstName&gt;D&lt;/firstName&gt;&lt;lastName&gt;Altshuler&lt;/lastName&gt;&lt;/author&gt;&lt;author&gt;&lt;firstName&gt;S&lt;/firstName&gt;&lt;lastName&gt;Gabriel&lt;/lastName&gt;&lt;/author&gt;&lt;author&gt;&lt;firstName&gt;M&lt;/firstName&gt;&lt;lastName&gt;Daly&lt;/lastName&gt;&lt;/author&gt;&lt;author&gt;&lt;firstName&gt;M&lt;/firstName&gt;&lt;middleNames&gt;A&lt;/middleNames&gt;&lt;lastName&gt;DePristo&lt;/lastName&gt;&lt;/author&gt;&lt;/authors&gt;&lt;/publication&gt;&lt;/publications&gt;&lt;cites&gt;&lt;/cites&gt;&lt;/citation&gt;</w:instrText>
      </w:r>
      <w:r w:rsidR="00183CA8">
        <w:rPr>
          <w:rFonts w:cs="Arial"/>
          <w:szCs w:val="20"/>
        </w:rPr>
        <w:fldChar w:fldCharType="separate"/>
      </w:r>
      <w:r w:rsidR="003848DF">
        <w:rPr>
          <w:rFonts w:cs="Arial"/>
          <w:szCs w:val="20"/>
          <w:vertAlign w:val="superscript"/>
        </w:rPr>
        <w:t>6</w:t>
      </w:r>
      <w:r w:rsidR="00183CA8">
        <w:rPr>
          <w:rFonts w:cs="Arial"/>
          <w:szCs w:val="20"/>
        </w:rPr>
        <w:fldChar w:fldCharType="end"/>
      </w:r>
      <w:r w:rsidR="00CA11ED">
        <w:rPr>
          <w:rFonts w:cs="Arial"/>
          <w:szCs w:val="20"/>
        </w:rPr>
        <w:t xml:space="preserve"> </w:t>
      </w:r>
      <w:r w:rsidRPr="001D68AD">
        <w:rPr>
          <w:rFonts w:cs="Arial"/>
          <w:szCs w:val="20"/>
        </w:rPr>
        <w:t>including vari</w:t>
      </w:r>
      <w:r w:rsidR="00116A93">
        <w:rPr>
          <w:rFonts w:cs="Arial"/>
          <w:szCs w:val="20"/>
        </w:rPr>
        <w:t>a</w:t>
      </w:r>
      <w:r w:rsidRPr="001D68AD">
        <w:rPr>
          <w:rFonts w:cs="Arial"/>
          <w:szCs w:val="20"/>
        </w:rPr>
        <w:t>nt recalibration. Variants were annotated using ANNOVAR</w:t>
      </w:r>
      <w:r w:rsidR="00CA11ED">
        <w:rPr>
          <w:rFonts w:cs="Arial"/>
          <w:szCs w:val="20"/>
        </w:rPr>
        <w:t xml:space="preserve"> </w:t>
      </w:r>
      <w:r w:rsidRPr="001D68AD">
        <w:rPr>
          <w:rFonts w:cs="Arial"/>
          <w:szCs w:val="20"/>
        </w:rPr>
        <w:t>and Variant Effect Predictor and GERP</w:t>
      </w:r>
      <w:r w:rsidR="00CA11ED">
        <w:rPr>
          <w:rFonts w:cs="Arial"/>
          <w:szCs w:val="20"/>
        </w:rPr>
        <w:t>++</w:t>
      </w:r>
      <w:r w:rsidRPr="001D68AD">
        <w:rPr>
          <w:rFonts w:cs="Arial"/>
          <w:szCs w:val="20"/>
        </w:rPr>
        <w:t xml:space="preserve"> scores.</w:t>
      </w:r>
      <w:r w:rsidR="00183CA8">
        <w:rPr>
          <w:rFonts w:cs="Arial"/>
          <w:szCs w:val="20"/>
        </w:rPr>
        <w:fldChar w:fldCharType="begin"/>
      </w:r>
      <w:r w:rsidR="00735D55">
        <w:rPr>
          <w:rFonts w:cs="Arial"/>
          <w:szCs w:val="20"/>
        </w:rPr>
        <w:instrText xml:space="preserve"> ADDIN PAPERS2_CITATIONS &lt;citation&gt;&lt;uuid&gt;B6B42CF2-D698-4249-A99D-8F47ECF7F322&lt;/uuid&gt;&lt;priority&gt;6&lt;/priority&gt;&lt;publications&gt;&lt;publication&gt;&lt;uuid&gt;10E52D38-E6EC-4E7B-8651-4E49248DD02B&lt;/uuid&gt;&lt;volume&gt;26&lt;/volume&gt;&lt;doi&gt;10.1093/bioinformatics/btq330&lt;/doi&gt;&lt;startpage&gt;2069&lt;/startpage&gt;&lt;publication_date&gt;99201008051200000000222000&lt;/publication_date&gt;&lt;url&gt;http://bioinformatics.oxfordjournals.org/cgi/doi/10.1093/bioinformatics/btq330&lt;/url&gt;&lt;citekey&gt;McLaren:2010dj&lt;/citekey&gt;&lt;type&gt;400&lt;/type&gt;&lt;title&gt;Deriving the consequences of genomic variants with the Ensembl API and SNP Effect Predictor&lt;/title&gt;&lt;publisher&gt;Oxford University Press&lt;/publisher&gt;&lt;number&gt;16&lt;/number&gt;&lt;subtype&gt;400&lt;/subtype&gt;&lt;endpage&gt;2070&lt;/endpage&gt;&lt;bundle&gt;&lt;publication&gt;&lt;publisher&gt;Oxford University Press&lt;/publisher&gt;&lt;title&gt;Bioinformatics&lt;/title&gt;&lt;type&gt;-100&lt;/type&gt;&lt;subtype&gt;-100&lt;/subtype&gt;&lt;uuid&gt;5E0617C0-143A-4C27-A688-3E035890BEDE&lt;/uuid&gt;&lt;/publication&gt;&lt;/bundle&gt;&lt;authors&gt;&lt;author&gt;&lt;firstName&gt;W&lt;/firstName&gt;&lt;lastName&gt;McLaren&lt;/lastName&gt;&lt;/author&gt;&lt;author&gt;&lt;firstName&gt;B&lt;/firstName&gt;&lt;lastName&gt;Pritchard&lt;/lastName&gt;&lt;/author&gt;&lt;author&gt;&lt;firstName&gt;D&lt;/firstName&gt;&lt;lastName&gt;Rios&lt;/lastName&gt;&lt;/author&gt;&lt;author&gt;&lt;firstName&gt;Y&lt;/firstName&gt;&lt;lastName&gt;Chen&lt;/lastName&gt;&lt;/author&gt;&lt;author&gt;&lt;firstName&gt;P&lt;/firstName&gt;&lt;lastName&gt;Flicek&lt;/lastName&gt;&lt;/author&gt;&lt;author&gt;&lt;firstName&gt;F&lt;/firstName&gt;&lt;lastName&gt;Cunningham&lt;/lastName&gt;&lt;/author&gt;&lt;/authors&gt;&lt;/publication&gt;&lt;publication&gt;&lt;uuid&gt;CE85F2C8-5DEE-4116-BFC5-8FB0734770AE&lt;/uuid&gt;&lt;volume&gt;6&lt;/volume&gt;&lt;doi&gt;10.1371/journal.pcbi.1001025&lt;/doi&gt;&lt;version&gt;2010/12/15&lt;/version&gt;&lt;subtitle&gt;PLoS Comput Biol&lt;/subtitle&gt;&lt;startpage&gt;e1001025&lt;/startpage&gt;&lt;publication_date&gt;99201000001200000000200000&lt;/publication_date&gt;&lt;url&gt;http://www.ncbi.nlm.nih.gov/pubmed/21152010&lt;/url&gt;&lt;citekey&gt;Davydov:2010dg&lt;/citekey&gt;&lt;type&gt;400&lt;/type&gt;&lt;title&gt;Identifying a high fraction of the human genome to be under selective constraint using GERP++&lt;/title&gt;&lt;location&gt;200,9,37.4288128,-122.1693550&lt;/location&gt;&lt;institution&gt;Department of Computer Science, Stanford University, Stanford, California, United States of America.&lt;/institution&gt;&lt;number&gt;12&lt;/number&gt;&lt;subtype&gt;400&lt;/subtype&gt;&lt;bundle&gt;&lt;publication&gt;&lt;title&gt;PLoS computational biology&lt;/title&gt;&lt;type&gt;-100&lt;/type&gt;&lt;subtype&gt;-100&lt;/subtype&gt;&lt;uuid&gt;B515C852-FE04-4252-A639-1EF4B24EC833&lt;/uuid&gt;&lt;/publication&gt;&lt;/bundle&gt;&lt;authors&gt;&lt;author&gt;&lt;firstName&gt;E&lt;/firstName&gt;&lt;middleNames&gt;V&lt;/middleNames&gt;&lt;lastName&gt;Davydov&lt;/lastName&gt;&lt;/author&gt;&lt;author&gt;&lt;firstName&gt;D&lt;/firstName&gt;&lt;middleNames&gt;L&lt;/middleNames&gt;&lt;lastName&gt;Goode&lt;/lastName&gt;&lt;/author&gt;&lt;author&gt;&lt;firstName&gt;M&lt;/firstName&gt;&lt;lastName&gt;Sirota&lt;/lastName&gt;&lt;/author&gt;&lt;author&gt;&lt;firstName&gt;G&lt;/firstName&gt;&lt;middleNames&gt;M&lt;/middleNames&gt;&lt;lastName&gt;Cooper&lt;/lastName&gt;&lt;/author&gt;&lt;author&gt;&lt;firstName&gt;A&lt;/firstName&gt;&lt;lastName&gt;Sidow&lt;/lastName&gt;&lt;/author&gt;&lt;author&gt;&lt;firstName&gt;S&lt;/firstName&gt;&lt;lastName&gt;Batzoglou&lt;/lastName&gt;&lt;/author&gt;&lt;/authors&gt;&lt;/publication&gt;&lt;/publications&gt;&lt;cites&gt;&lt;/cites&gt;&lt;/citation&gt;</w:instrText>
      </w:r>
      <w:r w:rsidR="00183CA8">
        <w:rPr>
          <w:rFonts w:cs="Arial"/>
          <w:szCs w:val="20"/>
        </w:rPr>
        <w:fldChar w:fldCharType="separate"/>
      </w:r>
      <w:r w:rsidR="003848DF">
        <w:rPr>
          <w:rFonts w:cs="Arial"/>
          <w:szCs w:val="20"/>
          <w:vertAlign w:val="superscript"/>
        </w:rPr>
        <w:t>7</w:t>
      </w:r>
      <w:proofErr w:type="gramStart"/>
      <w:r w:rsidR="003848DF">
        <w:rPr>
          <w:rFonts w:cs="Arial"/>
          <w:szCs w:val="20"/>
          <w:vertAlign w:val="superscript"/>
        </w:rPr>
        <w:t>,8</w:t>
      </w:r>
      <w:proofErr w:type="gramEnd"/>
      <w:r w:rsidR="00183CA8">
        <w:rPr>
          <w:rFonts w:cs="Arial"/>
          <w:szCs w:val="20"/>
        </w:rPr>
        <w:fldChar w:fldCharType="end"/>
      </w:r>
    </w:p>
    <w:p w14:paraId="7C5F36F6" w14:textId="060A4BB1" w:rsidR="003D5424" w:rsidRPr="00291451" w:rsidRDefault="00A31AE5" w:rsidP="00B544C5">
      <w:pPr>
        <w:pStyle w:val="Heading4"/>
        <w:rPr>
          <w:i w:val="0"/>
        </w:rPr>
      </w:pPr>
      <w:r w:rsidRPr="00291451">
        <w:t>FHS</w:t>
      </w:r>
    </w:p>
    <w:p w14:paraId="6BCC7F50" w14:textId="77777777" w:rsidR="00FE4FBA" w:rsidRPr="00C1403A" w:rsidRDefault="00FE4FBA" w:rsidP="00C32303">
      <w:pPr>
        <w:rPr>
          <w:rFonts w:cs="Arial"/>
          <w:szCs w:val="20"/>
        </w:rPr>
      </w:pPr>
      <w:r w:rsidRPr="00C1403A">
        <w:rPr>
          <w:rFonts w:cs="Arial"/>
          <w:szCs w:val="20"/>
        </w:rPr>
        <w:t xml:space="preserve">DNA samples were constructed into Illumina paired-end pre-capture libraries according to the manufacturer’s protocol (Illumina Multiplexing_SamplePrep_Guide_1005361_D) with modifications as described in the </w:t>
      </w:r>
      <w:r w:rsidRPr="00C1403A">
        <w:rPr>
          <w:rFonts w:cs="Arial"/>
          <w:i/>
          <w:szCs w:val="20"/>
        </w:rPr>
        <w:t xml:space="preserve">BCM-HGSC </w:t>
      </w:r>
      <w:r w:rsidRPr="00C1403A">
        <w:rPr>
          <w:rFonts w:cs="Arial"/>
          <w:bCs/>
          <w:i/>
          <w:szCs w:val="20"/>
        </w:rPr>
        <w:t>Illumina Barcoded Paired-End Capture Library Preparation</w:t>
      </w:r>
      <w:r w:rsidRPr="00C1403A" w:rsidDel="008B79E3">
        <w:rPr>
          <w:rFonts w:cs="Arial"/>
          <w:szCs w:val="20"/>
        </w:rPr>
        <w:t xml:space="preserve"> </w:t>
      </w:r>
      <w:r w:rsidRPr="00C1403A">
        <w:rPr>
          <w:rFonts w:cs="Arial"/>
          <w:szCs w:val="20"/>
        </w:rPr>
        <w:t>protocol. Libraries were prepared using Beckman robotic workstations (</w:t>
      </w:r>
      <w:proofErr w:type="spellStart"/>
      <w:r w:rsidRPr="00C1403A">
        <w:rPr>
          <w:rFonts w:cs="Arial"/>
          <w:szCs w:val="20"/>
        </w:rPr>
        <w:t>Biomek</w:t>
      </w:r>
      <w:proofErr w:type="spellEnd"/>
      <w:r w:rsidRPr="00C1403A">
        <w:rPr>
          <w:rFonts w:cs="Arial"/>
          <w:szCs w:val="20"/>
        </w:rPr>
        <w:t xml:space="preserve"> </w:t>
      </w:r>
      <w:proofErr w:type="spellStart"/>
      <w:r w:rsidRPr="00C1403A">
        <w:rPr>
          <w:rFonts w:cs="Arial"/>
          <w:szCs w:val="20"/>
        </w:rPr>
        <w:t>NXp</w:t>
      </w:r>
      <w:proofErr w:type="spellEnd"/>
      <w:r w:rsidRPr="00C1403A">
        <w:rPr>
          <w:rFonts w:cs="Arial"/>
          <w:szCs w:val="20"/>
        </w:rPr>
        <w:t xml:space="preserve"> and </w:t>
      </w:r>
      <w:proofErr w:type="spellStart"/>
      <w:r w:rsidRPr="00C1403A">
        <w:rPr>
          <w:rFonts w:cs="Arial"/>
          <w:szCs w:val="20"/>
        </w:rPr>
        <w:t>FXp</w:t>
      </w:r>
      <w:proofErr w:type="spellEnd"/>
      <w:r w:rsidRPr="00C1403A">
        <w:rPr>
          <w:rFonts w:cs="Arial"/>
          <w:szCs w:val="20"/>
        </w:rPr>
        <w:t xml:space="preserve"> models).  The complete protocol and oligonucleotide sequences are accessible from the HGSC website (</w:t>
      </w:r>
      <w:hyperlink r:id="rId12" w:history="1">
        <w:r w:rsidRPr="00C1403A">
          <w:rPr>
            <w:rStyle w:val="Hyperlink"/>
            <w:rFonts w:cs="Arial"/>
            <w:szCs w:val="20"/>
          </w:rPr>
          <w:t>https://hgsc.bcm.edu/sites/default/files/documents/Illumina_Barcoded_Paired-End_Capture_Library_Preparation.pdf</w:t>
        </w:r>
      </w:hyperlink>
      <w:r w:rsidRPr="00C1403A">
        <w:rPr>
          <w:rFonts w:cs="Arial"/>
          <w:szCs w:val="20"/>
        </w:rPr>
        <w:t>).</w:t>
      </w:r>
    </w:p>
    <w:p w14:paraId="1F3D1B52" w14:textId="77777777" w:rsidR="00FE4FBA" w:rsidRPr="00C1403A" w:rsidRDefault="00FE4FBA" w:rsidP="00C32303">
      <w:pPr>
        <w:rPr>
          <w:rFonts w:cs="Arial"/>
          <w:szCs w:val="20"/>
        </w:rPr>
      </w:pPr>
    </w:p>
    <w:p w14:paraId="064DEAFD" w14:textId="329F49C9" w:rsidR="00FE4FBA" w:rsidRPr="00C1403A" w:rsidRDefault="001B6F65" w:rsidP="00C32303">
      <w:pPr>
        <w:rPr>
          <w:rFonts w:cs="Arial"/>
          <w:szCs w:val="20"/>
        </w:rPr>
      </w:pPr>
      <w:r>
        <w:rPr>
          <w:rFonts w:cs="Arial"/>
          <w:szCs w:val="20"/>
        </w:rPr>
        <w:t xml:space="preserve">Briefly, 1 </w:t>
      </w:r>
      <w:proofErr w:type="spellStart"/>
      <w:r w:rsidRPr="001B6F65">
        <w:t>μ</w:t>
      </w:r>
      <w:r w:rsidR="00FE4FBA" w:rsidRPr="00C1403A">
        <w:rPr>
          <w:rFonts w:cs="Arial"/>
          <w:szCs w:val="20"/>
        </w:rPr>
        <w:t>g</w:t>
      </w:r>
      <w:proofErr w:type="spellEnd"/>
      <w:r w:rsidR="00FE4FBA" w:rsidRPr="00C1403A">
        <w:rPr>
          <w:rFonts w:cs="Arial"/>
          <w:szCs w:val="20"/>
        </w:rPr>
        <w:t xml:space="preserve"> of DNA in 100ul volume was sheared into fragments of approximately 300-400 base pairs in a </w:t>
      </w:r>
      <w:proofErr w:type="spellStart"/>
      <w:r w:rsidR="00FE4FBA" w:rsidRPr="00C1403A">
        <w:rPr>
          <w:rFonts w:cs="Arial"/>
          <w:szCs w:val="20"/>
        </w:rPr>
        <w:t>Covaris</w:t>
      </w:r>
      <w:proofErr w:type="spellEnd"/>
      <w:r w:rsidR="00FE4FBA" w:rsidRPr="00C1403A">
        <w:rPr>
          <w:rFonts w:cs="Arial"/>
          <w:szCs w:val="20"/>
        </w:rPr>
        <w:t xml:space="preserve"> plate with E210 system (</w:t>
      </w:r>
      <w:proofErr w:type="spellStart"/>
      <w:r w:rsidR="00FE4FBA" w:rsidRPr="00C1403A">
        <w:rPr>
          <w:rFonts w:cs="Arial"/>
          <w:szCs w:val="20"/>
        </w:rPr>
        <w:t>Covaris</w:t>
      </w:r>
      <w:proofErr w:type="spellEnd"/>
      <w:r w:rsidR="00FE4FBA" w:rsidRPr="00C1403A">
        <w:rPr>
          <w:rFonts w:cs="Arial"/>
          <w:szCs w:val="20"/>
        </w:rPr>
        <w:t xml:space="preserve">, Inc. Woburn, MA) followed by end-repair, A-tailing and ligation of the Illumina multiplexing PE adaptors.  Pre-capture Ligation Mediated-PCR (LM-PCR) was performed for 6-8 cycles of amplification using the 2X </w:t>
      </w:r>
      <w:proofErr w:type="spellStart"/>
      <w:r w:rsidR="00FE4FBA" w:rsidRPr="00C1403A">
        <w:rPr>
          <w:rFonts w:cs="Arial"/>
          <w:szCs w:val="20"/>
        </w:rPr>
        <w:t>SOLiD</w:t>
      </w:r>
      <w:proofErr w:type="spellEnd"/>
      <w:r w:rsidR="00FE4FBA" w:rsidRPr="00C1403A">
        <w:rPr>
          <w:rFonts w:cs="Arial"/>
          <w:szCs w:val="20"/>
        </w:rPr>
        <w:t xml:space="preserve"> Library High Fidelity Amplification Mix (a custom product manufactured by Invitrogen).  </w:t>
      </w:r>
      <w:r w:rsidR="00FE4FBA" w:rsidRPr="00C1403A">
        <w:rPr>
          <w:rFonts w:cs="Arial"/>
          <w:bCs/>
          <w:szCs w:val="20"/>
        </w:rPr>
        <w:t>Universal primer IMUX-P1.0</w:t>
      </w:r>
      <w:r w:rsidR="00FE4FBA" w:rsidRPr="00C1403A" w:rsidDel="00310B38">
        <w:rPr>
          <w:rFonts w:cs="Arial"/>
          <w:szCs w:val="20"/>
        </w:rPr>
        <w:t xml:space="preserve"> </w:t>
      </w:r>
      <w:r w:rsidR="00FE4FBA" w:rsidRPr="00C1403A">
        <w:rPr>
          <w:rFonts w:cs="Arial"/>
          <w:szCs w:val="20"/>
        </w:rPr>
        <w:t xml:space="preserve">and a pre-capture </w:t>
      </w:r>
      <w:r w:rsidR="00FE4FBA" w:rsidRPr="00C1403A">
        <w:rPr>
          <w:rFonts w:cs="Arial"/>
          <w:bCs/>
          <w:szCs w:val="20"/>
        </w:rPr>
        <w:t xml:space="preserve">barcoded primer IBC were used in the PCR amplification.  In total, a set of 12 such barcoded primers were used on these samples.  Purification was performed with </w:t>
      </w:r>
      <w:proofErr w:type="spellStart"/>
      <w:r w:rsidR="00FE4FBA" w:rsidRPr="00C1403A">
        <w:rPr>
          <w:rFonts w:cs="Arial"/>
          <w:szCs w:val="20"/>
        </w:rPr>
        <w:t>Agencourt</w:t>
      </w:r>
      <w:proofErr w:type="spellEnd"/>
      <w:r w:rsidR="00FE4FBA" w:rsidRPr="00C1403A">
        <w:rPr>
          <w:rFonts w:cs="Arial"/>
          <w:szCs w:val="20"/>
        </w:rPr>
        <w:t xml:space="preserve"> </w:t>
      </w:r>
      <w:proofErr w:type="spellStart"/>
      <w:r w:rsidR="00FE4FBA" w:rsidRPr="00C1403A">
        <w:rPr>
          <w:rFonts w:cs="Arial"/>
          <w:szCs w:val="20"/>
        </w:rPr>
        <w:t>AMPure</w:t>
      </w:r>
      <w:proofErr w:type="spellEnd"/>
      <w:r w:rsidR="00FE4FBA" w:rsidRPr="00C1403A">
        <w:rPr>
          <w:rFonts w:cs="Arial"/>
          <w:szCs w:val="20"/>
        </w:rPr>
        <w:t xml:space="preserve"> XP</w:t>
      </w:r>
      <w:r w:rsidR="00FE4FBA" w:rsidRPr="00C1403A" w:rsidDel="00C62715">
        <w:rPr>
          <w:rFonts w:cs="Arial"/>
          <w:szCs w:val="20"/>
        </w:rPr>
        <w:t xml:space="preserve"> </w:t>
      </w:r>
      <w:r w:rsidR="00FE4FBA" w:rsidRPr="00C1403A">
        <w:rPr>
          <w:rFonts w:cs="Arial"/>
          <w:szCs w:val="20"/>
        </w:rPr>
        <w:t xml:space="preserve">beads after enzymatic reactions.  Following the final XP beads purification, quantification and size distribution of the pre-capture LM-PCR product was determined using the </w:t>
      </w:r>
      <w:proofErr w:type="spellStart"/>
      <w:r w:rsidR="00FE4FBA" w:rsidRPr="00C1403A">
        <w:rPr>
          <w:rFonts w:cs="Arial"/>
          <w:szCs w:val="20"/>
        </w:rPr>
        <w:t>LabChip</w:t>
      </w:r>
      <w:proofErr w:type="spellEnd"/>
      <w:r w:rsidR="00FE4FBA" w:rsidRPr="00C1403A">
        <w:rPr>
          <w:rFonts w:cs="Arial"/>
          <w:szCs w:val="20"/>
        </w:rPr>
        <w:t xml:space="preserve"> GX electrophoresis system (PerkinElmer).</w:t>
      </w:r>
    </w:p>
    <w:p w14:paraId="763CA959" w14:textId="77777777" w:rsidR="00FE4FBA" w:rsidRPr="00C1403A" w:rsidRDefault="00FE4FBA" w:rsidP="00C32303">
      <w:pPr>
        <w:rPr>
          <w:rFonts w:cs="Arial"/>
          <w:szCs w:val="20"/>
        </w:rPr>
      </w:pPr>
    </w:p>
    <w:p w14:paraId="1039B971" w14:textId="0050900F" w:rsidR="00FE4FBA" w:rsidRPr="00C1403A" w:rsidRDefault="00FE4FBA" w:rsidP="00C32303">
      <w:pPr>
        <w:rPr>
          <w:rFonts w:cs="Arial"/>
          <w:szCs w:val="20"/>
        </w:rPr>
      </w:pPr>
      <w:r w:rsidRPr="00C1403A">
        <w:rPr>
          <w:rFonts w:cs="Arial"/>
          <w:szCs w:val="20"/>
        </w:rPr>
        <w:t>For the hybridization step, four or six pre-capture libraries were pooled together (~250 ng/sample for a 4-plex and ~166 ng/s</w:t>
      </w:r>
      <w:r w:rsidR="008E6422">
        <w:rPr>
          <w:rFonts w:cs="Arial"/>
          <w:szCs w:val="20"/>
        </w:rPr>
        <w:t xml:space="preserve">ample for a 6-plex, totaling 1 </w:t>
      </w:r>
      <w:proofErr w:type="spellStart"/>
      <w:r w:rsidR="008E6422" w:rsidRPr="008E6422">
        <w:t>μ</w:t>
      </w:r>
      <w:r w:rsidRPr="00C1403A">
        <w:rPr>
          <w:rFonts w:cs="Arial"/>
          <w:szCs w:val="20"/>
        </w:rPr>
        <w:t>g</w:t>
      </w:r>
      <w:proofErr w:type="spellEnd"/>
      <w:r w:rsidRPr="00C1403A">
        <w:rPr>
          <w:rFonts w:cs="Arial"/>
          <w:szCs w:val="20"/>
        </w:rPr>
        <w:t xml:space="preserve"> per pool).  These pooled libraries were then hybridized in solution to the HGSC </w:t>
      </w:r>
      <w:proofErr w:type="spellStart"/>
      <w:r w:rsidRPr="00C1403A">
        <w:rPr>
          <w:rFonts w:cs="Arial"/>
          <w:szCs w:val="20"/>
        </w:rPr>
        <w:t>VCRome</w:t>
      </w:r>
      <w:proofErr w:type="spellEnd"/>
      <w:r w:rsidRPr="00C1403A">
        <w:rPr>
          <w:rFonts w:cs="Arial"/>
          <w:szCs w:val="20"/>
        </w:rPr>
        <w:t xml:space="preserve"> 2.1 design (42Mb, </w:t>
      </w:r>
      <w:proofErr w:type="spellStart"/>
      <w:r w:rsidRPr="00C1403A">
        <w:rPr>
          <w:rFonts w:cs="Arial"/>
          <w:szCs w:val="20"/>
        </w:rPr>
        <w:t>NimbleGen</w:t>
      </w:r>
      <w:proofErr w:type="spellEnd"/>
      <w:r w:rsidRPr="00C1403A">
        <w:rPr>
          <w:rFonts w:cs="Arial"/>
          <w:szCs w:val="20"/>
        </w:rPr>
        <w:t xml:space="preserve">) according to the manufacturer’s protocol </w:t>
      </w:r>
      <w:proofErr w:type="spellStart"/>
      <w:r w:rsidRPr="00C1403A">
        <w:rPr>
          <w:rFonts w:cs="Arial"/>
          <w:i/>
          <w:szCs w:val="20"/>
        </w:rPr>
        <w:t>NimbleGen</w:t>
      </w:r>
      <w:proofErr w:type="spellEnd"/>
      <w:r w:rsidRPr="00C1403A">
        <w:rPr>
          <w:rFonts w:cs="Arial"/>
          <w:i/>
          <w:szCs w:val="20"/>
        </w:rPr>
        <w:t xml:space="preserve"> </w:t>
      </w:r>
      <w:proofErr w:type="spellStart"/>
      <w:r w:rsidRPr="00C1403A">
        <w:rPr>
          <w:rFonts w:cs="Arial"/>
          <w:i/>
          <w:szCs w:val="20"/>
        </w:rPr>
        <w:t>SeqCap</w:t>
      </w:r>
      <w:proofErr w:type="spellEnd"/>
      <w:r w:rsidRPr="00C1403A">
        <w:rPr>
          <w:rFonts w:cs="Arial"/>
          <w:i/>
          <w:szCs w:val="20"/>
        </w:rPr>
        <w:t xml:space="preserve"> EZ Exome Library SR User’s Guide (Version 2.2)</w:t>
      </w:r>
      <w:r w:rsidRPr="00C1403A">
        <w:rPr>
          <w:rFonts w:cs="Arial"/>
          <w:szCs w:val="20"/>
        </w:rPr>
        <w:t xml:space="preserve"> with minor revisions.  Human COT1 DNA and full-length Illumina adaptor-specific blocking oligonucleotides were added into the hybridization to block repetitive genomic sequences and the adaptor sequences.  Post-capture LM-PCR amplification was performed using the 2X </w:t>
      </w:r>
      <w:proofErr w:type="spellStart"/>
      <w:r w:rsidRPr="00C1403A">
        <w:rPr>
          <w:rFonts w:cs="Arial"/>
          <w:szCs w:val="20"/>
        </w:rPr>
        <w:t>SOLiD</w:t>
      </w:r>
      <w:proofErr w:type="spellEnd"/>
      <w:r w:rsidRPr="00C1403A">
        <w:rPr>
          <w:rFonts w:cs="Arial"/>
          <w:szCs w:val="20"/>
        </w:rPr>
        <w:t xml:space="preserve"> Library High Fidelity Amplification Mix with 14 cycles of amplification.  After the final </w:t>
      </w:r>
      <w:proofErr w:type="spellStart"/>
      <w:r w:rsidRPr="00C1403A">
        <w:rPr>
          <w:rFonts w:cs="Arial"/>
          <w:szCs w:val="20"/>
        </w:rPr>
        <w:t>AMPure</w:t>
      </w:r>
      <w:proofErr w:type="spellEnd"/>
      <w:r w:rsidRPr="00C1403A">
        <w:rPr>
          <w:rFonts w:cs="Arial"/>
          <w:szCs w:val="20"/>
        </w:rPr>
        <w:t xml:space="preserve"> XP bead purification, quantity and size of the capture library was analyzed using the Agilent </w:t>
      </w:r>
      <w:proofErr w:type="spellStart"/>
      <w:r w:rsidRPr="00C1403A">
        <w:rPr>
          <w:rFonts w:cs="Arial"/>
          <w:szCs w:val="20"/>
        </w:rPr>
        <w:t>Bioanalyzer</w:t>
      </w:r>
      <w:proofErr w:type="spellEnd"/>
      <w:r w:rsidRPr="00C1403A">
        <w:rPr>
          <w:rFonts w:cs="Arial"/>
          <w:szCs w:val="20"/>
        </w:rPr>
        <w:t xml:space="preserve"> 2100 DNA Chip 7500.  The efficiency of the capture was evaluated by performing a </w:t>
      </w:r>
      <w:proofErr w:type="spellStart"/>
      <w:r w:rsidRPr="00C1403A">
        <w:rPr>
          <w:rFonts w:cs="Arial"/>
          <w:szCs w:val="20"/>
        </w:rPr>
        <w:t>qPCR</w:t>
      </w:r>
      <w:proofErr w:type="spellEnd"/>
      <w:r w:rsidRPr="00C1403A">
        <w:rPr>
          <w:rFonts w:cs="Arial"/>
          <w:szCs w:val="20"/>
        </w:rPr>
        <w:t xml:space="preserve">-based quality check on the four standard </w:t>
      </w:r>
      <w:proofErr w:type="spellStart"/>
      <w:r w:rsidRPr="00C1403A">
        <w:rPr>
          <w:rFonts w:cs="Arial"/>
          <w:szCs w:val="20"/>
        </w:rPr>
        <w:t>NimbleGen</w:t>
      </w:r>
      <w:proofErr w:type="spellEnd"/>
      <w:r w:rsidRPr="00C1403A">
        <w:rPr>
          <w:rFonts w:cs="Arial"/>
          <w:szCs w:val="20"/>
        </w:rPr>
        <w:t xml:space="preserve"> internal controls.  Successful enrichment of the capture libraries was estimated to range from a 6 to 9 of </w:t>
      </w:r>
      <w:proofErr w:type="spellStart"/>
      <w:r w:rsidRPr="00C1403A">
        <w:rPr>
          <w:rFonts w:cs="Arial"/>
          <w:szCs w:val="20"/>
        </w:rPr>
        <w:t>ΔCt</w:t>
      </w:r>
      <w:proofErr w:type="spellEnd"/>
      <w:r w:rsidRPr="00C1403A">
        <w:rPr>
          <w:rFonts w:cs="Arial"/>
          <w:szCs w:val="20"/>
        </w:rPr>
        <w:t xml:space="preserve"> value over the non-enriched samples.</w:t>
      </w:r>
    </w:p>
    <w:p w14:paraId="118BCC24" w14:textId="77777777" w:rsidR="00FE4FBA" w:rsidRPr="00C1403A" w:rsidRDefault="00FE4FBA" w:rsidP="00C32303">
      <w:pPr>
        <w:rPr>
          <w:rFonts w:cs="Arial"/>
          <w:szCs w:val="20"/>
        </w:rPr>
      </w:pPr>
    </w:p>
    <w:p w14:paraId="120DC61C" w14:textId="62D0C46B" w:rsidR="00291451" w:rsidRPr="00C1403A" w:rsidRDefault="00FE4FBA" w:rsidP="00C32303">
      <w:pPr>
        <w:rPr>
          <w:rFonts w:cs="Arial"/>
          <w:szCs w:val="20"/>
        </w:rPr>
      </w:pPr>
      <w:r w:rsidRPr="00C1403A">
        <w:rPr>
          <w:rFonts w:cs="Arial"/>
          <w:szCs w:val="20"/>
        </w:rPr>
        <w:t xml:space="preserve">Library templates were prepared for sequencing using Illumina’s </w:t>
      </w:r>
      <w:proofErr w:type="spellStart"/>
      <w:r w:rsidRPr="00C1403A">
        <w:rPr>
          <w:rFonts w:cs="Arial"/>
          <w:szCs w:val="20"/>
        </w:rPr>
        <w:t>cBot</w:t>
      </w:r>
      <w:proofErr w:type="spellEnd"/>
      <w:r w:rsidRPr="00C1403A">
        <w:rPr>
          <w:rFonts w:cs="Arial"/>
          <w:szCs w:val="20"/>
        </w:rPr>
        <w:t xml:space="preserve"> cluster generation system with TruSeq PE Cluster Generation Kits.  Briefly, these libraries were denatured with sodium hydroxide and diluted to 6-9 </w:t>
      </w:r>
      <w:proofErr w:type="spellStart"/>
      <w:r w:rsidRPr="00C1403A">
        <w:rPr>
          <w:rFonts w:cs="Arial"/>
          <w:szCs w:val="20"/>
        </w:rPr>
        <w:t>pM</w:t>
      </w:r>
      <w:proofErr w:type="spellEnd"/>
      <w:r w:rsidRPr="00C1403A">
        <w:rPr>
          <w:rFonts w:cs="Arial"/>
          <w:szCs w:val="20"/>
        </w:rPr>
        <w:t xml:space="preserve"> in hybridization buffer in order to achieve a load density of ~800K clusters/mm</w:t>
      </w:r>
      <w:r w:rsidRPr="00C1403A">
        <w:rPr>
          <w:rFonts w:cs="Arial"/>
          <w:szCs w:val="20"/>
          <w:vertAlign w:val="superscript"/>
        </w:rPr>
        <w:t>2</w:t>
      </w:r>
      <w:r w:rsidRPr="00C1403A">
        <w:rPr>
          <w:rFonts w:cs="Arial"/>
          <w:szCs w:val="20"/>
        </w:rPr>
        <w:t xml:space="preserve">.  Each library pool was loaded in a single lane of a HiSeq flow cell, and each lane was spiked with 1% </w:t>
      </w:r>
      <w:proofErr w:type="spellStart"/>
      <w:r w:rsidRPr="00C1403A">
        <w:rPr>
          <w:rFonts w:cs="Arial"/>
          <w:szCs w:val="20"/>
        </w:rPr>
        <w:t>phiX</w:t>
      </w:r>
      <w:proofErr w:type="spellEnd"/>
      <w:r w:rsidRPr="00C1403A">
        <w:rPr>
          <w:rFonts w:cs="Arial"/>
          <w:szCs w:val="20"/>
        </w:rPr>
        <w:t xml:space="preserve"> control library for run quality control.  The sample libraries then underwent bridge amplification to form clonal clusters, followed by hybridization with the sequencing primer.  Sequencing runs were performed in paired-end mode using the Illumina HiSeq 2000 platform.  Using the TruSeq SBS Kits, sequencing-by-synthesis reactions were extended for 101 cycles from each end, with an additional 7 cycles for the index read.</w:t>
      </w:r>
    </w:p>
    <w:p w14:paraId="713F4A6A" w14:textId="26562FA8" w:rsidR="007F4506" w:rsidRPr="00291451" w:rsidRDefault="00A31AE5" w:rsidP="0026128F">
      <w:pPr>
        <w:pStyle w:val="Heading4"/>
        <w:rPr>
          <w:i w:val="0"/>
        </w:rPr>
      </w:pPr>
      <w:r w:rsidRPr="00291451">
        <w:t>RS</w:t>
      </w:r>
      <w:r w:rsidR="009F4F34" w:rsidRPr="00291451">
        <w:t>-I</w:t>
      </w:r>
    </w:p>
    <w:p w14:paraId="2416B4D4" w14:textId="77777777" w:rsidR="001B6092" w:rsidRPr="00C1403A" w:rsidRDefault="001B6092" w:rsidP="00C32303">
      <w:pPr>
        <w:widowControl w:val="0"/>
        <w:autoSpaceDE w:val="0"/>
        <w:autoSpaceDN w:val="0"/>
        <w:adjustRightInd w:val="0"/>
        <w:rPr>
          <w:rFonts w:cs="Arial"/>
          <w:szCs w:val="20"/>
        </w:rPr>
      </w:pPr>
      <w:r w:rsidRPr="00C1403A">
        <w:rPr>
          <w:rFonts w:cs="Arial"/>
          <w:szCs w:val="20"/>
        </w:rPr>
        <w:t xml:space="preserve">Genomic DNA of RS participants were prepared from blood and fragmented into 200-400 </w:t>
      </w:r>
      <w:proofErr w:type="spellStart"/>
      <w:r w:rsidRPr="00C1403A">
        <w:rPr>
          <w:rFonts w:cs="Arial"/>
          <w:szCs w:val="20"/>
        </w:rPr>
        <w:t>bp</w:t>
      </w:r>
      <w:proofErr w:type="spellEnd"/>
      <w:r w:rsidRPr="00C1403A">
        <w:rPr>
          <w:rFonts w:cs="Arial"/>
          <w:szCs w:val="20"/>
        </w:rPr>
        <w:t xml:space="preserve"> fragments using </w:t>
      </w:r>
      <w:proofErr w:type="spellStart"/>
      <w:r w:rsidRPr="00C1403A">
        <w:rPr>
          <w:rFonts w:cs="Arial"/>
          <w:szCs w:val="20"/>
        </w:rPr>
        <w:t>Covaris</w:t>
      </w:r>
      <w:proofErr w:type="spellEnd"/>
      <w:r w:rsidRPr="00C1403A">
        <w:rPr>
          <w:rFonts w:cs="Arial"/>
          <w:szCs w:val="20"/>
        </w:rPr>
        <w:t xml:space="preserve"> Adaptive Focused Acoustics (AFA) shearing according to the manufacturer¹s instructions (</w:t>
      </w:r>
      <w:proofErr w:type="spellStart"/>
      <w:r w:rsidRPr="00C1403A">
        <w:rPr>
          <w:rFonts w:cs="Arial"/>
          <w:szCs w:val="20"/>
        </w:rPr>
        <w:t>Covaris</w:t>
      </w:r>
      <w:proofErr w:type="spellEnd"/>
      <w:r w:rsidRPr="00C1403A">
        <w:rPr>
          <w:rFonts w:cs="Arial"/>
          <w:szCs w:val="20"/>
        </w:rPr>
        <w:t xml:space="preserve">, Inc., Woburn, MA). Illumina TruSeq DNA Library preparation (Illumina, Inc., San Diego, CA) was performed on a Caliper </w:t>
      </w:r>
      <w:proofErr w:type="spellStart"/>
      <w:r w:rsidRPr="00C1403A">
        <w:rPr>
          <w:rFonts w:cs="Arial"/>
          <w:szCs w:val="20"/>
        </w:rPr>
        <w:t>Sciclone</w:t>
      </w:r>
      <w:proofErr w:type="spellEnd"/>
      <w:r w:rsidRPr="00C1403A">
        <w:rPr>
          <w:rFonts w:cs="Arial"/>
          <w:szCs w:val="20"/>
        </w:rPr>
        <w:t xml:space="preserve"> NGS workstation (Caliper Life Sciences, Hopkinton, MA), followed by exome capture using the </w:t>
      </w:r>
      <w:proofErr w:type="spellStart"/>
      <w:r w:rsidRPr="00C1403A">
        <w:rPr>
          <w:rFonts w:cs="Arial"/>
          <w:szCs w:val="20"/>
        </w:rPr>
        <w:t>Nimblegen</w:t>
      </w:r>
      <w:proofErr w:type="spellEnd"/>
      <w:r w:rsidRPr="00C1403A">
        <w:rPr>
          <w:rFonts w:cs="Arial"/>
          <w:szCs w:val="20"/>
        </w:rPr>
        <w:t xml:space="preserve"> </w:t>
      </w:r>
      <w:proofErr w:type="spellStart"/>
      <w:r w:rsidRPr="00C1403A">
        <w:rPr>
          <w:rFonts w:cs="Arial"/>
          <w:szCs w:val="20"/>
        </w:rPr>
        <w:t>SeqCap</w:t>
      </w:r>
      <w:proofErr w:type="spellEnd"/>
      <w:r w:rsidRPr="00C1403A">
        <w:rPr>
          <w:rFonts w:cs="Arial"/>
          <w:szCs w:val="20"/>
        </w:rPr>
        <w:t xml:space="preserve"> EZ V2 kit (Roche </w:t>
      </w:r>
      <w:proofErr w:type="spellStart"/>
      <w:r w:rsidRPr="00C1403A">
        <w:rPr>
          <w:rFonts w:cs="Arial"/>
          <w:szCs w:val="20"/>
        </w:rPr>
        <w:t>Nimblegen</w:t>
      </w:r>
      <w:proofErr w:type="spellEnd"/>
      <w:r w:rsidRPr="00C1403A">
        <w:rPr>
          <w:rFonts w:cs="Arial"/>
          <w:szCs w:val="20"/>
        </w:rPr>
        <w:t xml:space="preserve">, Inc., Madison, WI). This capture targets 44Mb of </w:t>
      </w:r>
      <w:proofErr w:type="spellStart"/>
      <w:r w:rsidRPr="00C1403A">
        <w:rPr>
          <w:rFonts w:cs="Arial"/>
          <w:szCs w:val="20"/>
        </w:rPr>
        <w:t>exonic</w:t>
      </w:r>
      <w:proofErr w:type="spellEnd"/>
      <w:r w:rsidRPr="00C1403A">
        <w:rPr>
          <w:rFonts w:cs="Arial"/>
          <w:szCs w:val="20"/>
        </w:rPr>
        <w:t xml:space="preserve"> regions covering 30,246 coding genes, 329,028 exons and 710 miRNAs. Paired-end 2 x100 sequencing was performed on Illumina HiSeq2000 sequencer using Illumina TruSeq V3 chemistry.</w:t>
      </w:r>
    </w:p>
    <w:p w14:paraId="1623E749" w14:textId="77777777" w:rsidR="001B6092" w:rsidRPr="00C1403A" w:rsidRDefault="001B6092" w:rsidP="00C32303">
      <w:pPr>
        <w:rPr>
          <w:rFonts w:cs="Arial"/>
          <w:szCs w:val="20"/>
        </w:rPr>
      </w:pPr>
    </w:p>
    <w:p w14:paraId="7A6C8CD2" w14:textId="7C737EFD" w:rsidR="001B6092" w:rsidRPr="00C1403A" w:rsidRDefault="001B6092" w:rsidP="00C32303">
      <w:pPr>
        <w:rPr>
          <w:rFonts w:cs="Arial"/>
          <w:szCs w:val="20"/>
        </w:rPr>
      </w:pPr>
      <w:r w:rsidRPr="00C1403A">
        <w:rPr>
          <w:rFonts w:cs="Arial"/>
          <w:szCs w:val="20"/>
        </w:rPr>
        <w:lastRenderedPageBreak/>
        <w:t>Reads were mapped to the human genome hg19 with the BWA algorithm and processed with the Genome Analysis Toolkit (GATK)</w:t>
      </w:r>
      <w:r w:rsidR="00732F3B">
        <w:rPr>
          <w:rFonts w:cs="Arial"/>
          <w:szCs w:val="20"/>
        </w:rPr>
        <w:t xml:space="preserve"> </w:t>
      </w:r>
      <w:r w:rsidRPr="00C1403A">
        <w:rPr>
          <w:rFonts w:cs="Arial"/>
          <w:szCs w:val="20"/>
        </w:rPr>
        <w:t xml:space="preserve">to recalibrate base quality-scores and perform local realignment around known indels. </w:t>
      </w:r>
    </w:p>
    <w:p w14:paraId="3163420F" w14:textId="77777777" w:rsidR="001B6092" w:rsidRPr="00C1403A" w:rsidRDefault="001B6092" w:rsidP="00C32303">
      <w:pPr>
        <w:rPr>
          <w:rFonts w:cs="Arial"/>
          <w:i/>
          <w:szCs w:val="20"/>
        </w:rPr>
      </w:pPr>
    </w:p>
    <w:p w14:paraId="47EA1756" w14:textId="77777777" w:rsidR="001B6092" w:rsidRPr="00C1403A" w:rsidRDefault="001B6092" w:rsidP="00C32303">
      <w:pPr>
        <w:rPr>
          <w:rFonts w:cs="Arial"/>
          <w:i/>
          <w:szCs w:val="20"/>
        </w:rPr>
      </w:pPr>
      <w:r w:rsidRPr="00C1403A">
        <w:rPr>
          <w:rFonts w:cs="Arial"/>
          <w:i/>
          <w:szCs w:val="20"/>
        </w:rPr>
        <w:t>Variant calling and Quality Control</w:t>
      </w:r>
    </w:p>
    <w:p w14:paraId="4C723CA7" w14:textId="21C862AB" w:rsidR="005D3AD8" w:rsidRPr="00C1403A" w:rsidRDefault="001B6092" w:rsidP="00C32303">
      <w:pPr>
        <w:rPr>
          <w:rFonts w:cs="Arial"/>
          <w:szCs w:val="20"/>
        </w:rPr>
      </w:pPr>
      <w:r w:rsidRPr="00C1403A">
        <w:rPr>
          <w:rFonts w:cs="Arial"/>
          <w:szCs w:val="20"/>
        </w:rPr>
        <w:t xml:space="preserve">Target coverage or each sample was computed with the GATK. Single nucleotide variants (SNVs) and small insertions and deletions (indels) were called with the Uniﬁed </w:t>
      </w:r>
      <w:proofErr w:type="spellStart"/>
      <w:r w:rsidRPr="00C1403A">
        <w:rPr>
          <w:rFonts w:cs="Arial"/>
          <w:szCs w:val="20"/>
        </w:rPr>
        <w:t>Genotyper</w:t>
      </w:r>
      <w:proofErr w:type="spellEnd"/>
      <w:r w:rsidRPr="00C1403A">
        <w:rPr>
          <w:rFonts w:cs="Arial"/>
          <w:szCs w:val="20"/>
        </w:rPr>
        <w:t xml:space="preserve"> module of the GATK and ﬁltered to remove SNVs with annotations indicative of technical artifacts (such as strand-bias, low variant call quality, or </w:t>
      </w:r>
      <w:proofErr w:type="spellStart"/>
      <w:r w:rsidRPr="00C1403A">
        <w:rPr>
          <w:rFonts w:cs="Arial"/>
          <w:szCs w:val="20"/>
        </w:rPr>
        <w:t>homopolymer</w:t>
      </w:r>
      <w:proofErr w:type="spellEnd"/>
      <w:r w:rsidRPr="00C1403A">
        <w:rPr>
          <w:rFonts w:cs="Arial"/>
          <w:szCs w:val="20"/>
        </w:rPr>
        <w:t xml:space="preserve"> runs). Samples with fewer than 76% of targeted bases covered to 20x, with an abnormally high number of non-reference alleles or heterozygosity, or with an abnormally low concordance with prior SNP array genotypes (based on the distribution across all samples) were excluded from analysis. Any sample genotype at a site with a genotype quality (GQ) &lt; 20 in the sample was ignored (e.g. set as missing). Variants were annotated with the Variant Effect Predictor</w:t>
      </w:r>
      <w:r w:rsidR="00614101">
        <w:rPr>
          <w:rFonts w:cs="Arial"/>
          <w:szCs w:val="20"/>
        </w:rPr>
        <w:t>.</w:t>
      </w:r>
      <w:r w:rsidR="00183CA8">
        <w:rPr>
          <w:rFonts w:cs="Arial"/>
          <w:szCs w:val="20"/>
        </w:rPr>
        <w:fldChar w:fldCharType="begin"/>
      </w:r>
      <w:r w:rsidR="00735D55">
        <w:rPr>
          <w:rFonts w:cs="Arial"/>
          <w:szCs w:val="20"/>
        </w:rPr>
        <w:instrText xml:space="preserve"> ADDIN PAPERS2_CITATIONS &lt;citation&gt;&lt;uuid&gt;8DF7D90C-FACC-4311-A004-8E3458D55F78&lt;/uuid&gt;&lt;priority&gt;7&lt;/priority&gt;&lt;publications&gt;&lt;publication&gt;&lt;uuid&gt;10E52D38-E6EC-4E7B-8651-4E49248DD02B&lt;/uuid&gt;&lt;volume&gt;26&lt;/volume&gt;&lt;doi&gt;10.1093/bioinformatics/btq330&lt;/doi&gt;&lt;startpage&gt;2069&lt;/startpage&gt;&lt;publication_date&gt;99201008051200000000222000&lt;/publication_date&gt;&lt;url&gt;http://bioinformatics.oxfordjournals.org/cgi/doi/10.1093/bioinformatics/btq330&lt;/url&gt;&lt;citekey&gt;McLaren:2010dj&lt;/citekey&gt;&lt;type&gt;400&lt;/type&gt;&lt;title&gt;Deriving the consequences of genomic variants with the Ensembl API and SNP Effect Predictor&lt;/title&gt;&lt;publisher&gt;Oxford University Press&lt;/publisher&gt;&lt;number&gt;16&lt;/number&gt;&lt;subtype&gt;400&lt;/subtype&gt;&lt;endpage&gt;2070&lt;/endpage&gt;&lt;bundle&gt;&lt;publication&gt;&lt;publisher&gt;Oxford University Press&lt;/publisher&gt;&lt;title&gt;Bioinformatics&lt;/title&gt;&lt;type&gt;-100&lt;/type&gt;&lt;subtype&gt;-100&lt;/subtype&gt;&lt;uuid&gt;5E0617C0-143A-4C27-A688-3E035890BEDE&lt;/uuid&gt;&lt;/publication&gt;&lt;/bundle&gt;&lt;authors&gt;&lt;author&gt;&lt;firstName&gt;W&lt;/firstName&gt;&lt;lastName&gt;McLaren&lt;/lastName&gt;&lt;/author&gt;&lt;author&gt;&lt;firstName&gt;B&lt;/firstName&gt;&lt;lastName&gt;Pritchard&lt;/lastName&gt;&lt;/author&gt;&lt;author&gt;&lt;firstName&gt;D&lt;/firstName&gt;&lt;lastName&gt;Rios&lt;/lastName&gt;&lt;/author&gt;&lt;author&gt;&lt;firstName&gt;Y&lt;/firstName&gt;&lt;lastName&gt;Chen&lt;/lastName&gt;&lt;/author&gt;&lt;author&gt;&lt;firstName&gt;P&lt;/firstName&gt;&lt;lastName&gt;Flicek&lt;/lastName&gt;&lt;/author&gt;&lt;author&gt;&lt;firstName&gt;F&lt;/firstName&gt;&lt;lastName&gt;Cunningham&lt;/lastName&gt;&lt;/author&gt;&lt;/authors&gt;&lt;/publication&gt;&lt;/publications&gt;&lt;cites&gt;&lt;/cites&gt;&lt;/citation&gt;</w:instrText>
      </w:r>
      <w:r w:rsidR="00183CA8">
        <w:rPr>
          <w:rFonts w:cs="Arial"/>
          <w:szCs w:val="20"/>
        </w:rPr>
        <w:fldChar w:fldCharType="separate"/>
      </w:r>
      <w:r w:rsidR="003848DF">
        <w:rPr>
          <w:rFonts w:cs="Arial"/>
          <w:szCs w:val="20"/>
          <w:vertAlign w:val="superscript"/>
        </w:rPr>
        <w:t>7</w:t>
      </w:r>
      <w:r w:rsidR="00183CA8">
        <w:rPr>
          <w:rFonts w:cs="Arial"/>
          <w:szCs w:val="20"/>
        </w:rPr>
        <w:fldChar w:fldCharType="end"/>
      </w:r>
    </w:p>
    <w:p w14:paraId="4A3A37DE" w14:textId="3595BED4" w:rsidR="00C2791B" w:rsidRDefault="00BE1F2D" w:rsidP="00E03421">
      <w:pPr>
        <w:pStyle w:val="Heading4"/>
        <w:rPr>
          <w:rFonts w:cs="Arial"/>
          <w:i w:val="0"/>
          <w:szCs w:val="20"/>
        </w:rPr>
      </w:pPr>
      <w:r>
        <w:t>ESP</w:t>
      </w:r>
    </w:p>
    <w:p w14:paraId="6FE7CC39" w14:textId="5F3576BA" w:rsidR="00E703BC" w:rsidRDefault="00E703BC" w:rsidP="00E703BC">
      <w:r w:rsidRPr="00A24EFB">
        <w:t>The processes of library construction, exome capture, sequencing, and mapping were performed as previously describe</w:t>
      </w:r>
      <w:r>
        <w:t>d</w:t>
      </w:r>
      <w:r w:rsidRPr="00A24EFB">
        <w:t>.</w:t>
      </w:r>
      <w:r w:rsidR="003804D2" w:rsidRPr="00A24EFB">
        <w:t xml:space="preserve"> </w:t>
      </w:r>
      <w:r w:rsidRPr="00A24EFB">
        <w:t xml:space="preserve">Sequencing was performed at the University </w:t>
      </w:r>
      <w:proofErr w:type="gramStart"/>
      <w:r w:rsidRPr="00A24EFB">
        <w:t>of</w:t>
      </w:r>
      <w:proofErr w:type="gramEnd"/>
      <w:r w:rsidRPr="00A24EFB">
        <w:t xml:space="preserve"> Washington (UW) and the Broad Institute of MIT/Harvard (Broad)</w:t>
      </w:r>
      <w:r>
        <w:t>.</w:t>
      </w:r>
      <w:r w:rsidRPr="00A24EFB">
        <w:t xml:space="preserve"> Single Nucleotide Variants (SNVs) were called using the UMAKE pipeline at University of Michigan, which allowed all samples to be analyzed simultaneously, both for variant calling and </w:t>
      </w:r>
      <w:r>
        <w:t xml:space="preserve">filtering. Briefly, we used BAM </w:t>
      </w:r>
      <w:r w:rsidRPr="00A24EFB">
        <w:t xml:space="preserve">files summarizing </w:t>
      </w:r>
      <w:r>
        <w:t>Burrows-Wheeler Alignment (</w:t>
      </w:r>
      <w:r w:rsidRPr="00A24EFB">
        <w:t>BWA</w:t>
      </w:r>
      <w:r>
        <w:t>)</w:t>
      </w:r>
      <w:r w:rsidR="00614101">
        <w:t xml:space="preserve"> </w:t>
      </w:r>
      <w:r w:rsidRPr="00A24EFB">
        <w:t>alignments generated at the UW and the Broad as input.</w:t>
      </w:r>
      <w:r w:rsidR="00183CA8">
        <w:fldChar w:fldCharType="begin"/>
      </w:r>
      <w:r w:rsidR="00735D55">
        <w:instrText xml:space="preserve"> ADDIN PAPERS2_CITATIONS &lt;citation&gt;&lt;uuid&gt;8B7546FF-EE59-46C4-9D13-DD0B482A2A25&lt;/uuid&gt;&lt;priority&gt;8&lt;/priority&gt;&lt;publications&gt;&lt;publication&gt;&lt;uuid&gt;F2D5D31E-BB7A-44E9-9C6A-25A71D3DAC7E&lt;/uuid&gt;&lt;volume&gt;25&lt;/volume&gt;&lt;doi&gt;10.1093/bioinformatics/btp352&lt;/doi&gt;&lt;version&gt;2009/06/10&lt;/version&gt;&lt;subtitle&gt;Bioinformatics&lt;/subtitle&gt;&lt;startpage&gt;2078&lt;/startpage&gt;&lt;publication_date&gt;99200908151200000000222000&lt;/publication_date&gt;&lt;url&gt;http://www.ncbi.nlm.nih.gov/entrez/query.fcgi?cmd=Retrieve&amp;amp;db=PubMed&amp;amp;dopt=Citation&amp;amp;list_uids=19505943&lt;/url&gt;&lt;citekey&gt;Li:2009ka&lt;/citekey&gt;&lt;type&gt;400&lt;/type&gt;&lt;title&gt;The Sequence Alignment/Map format and SAMtools&lt;/title&gt;&lt;location&gt;200,5,42.3716445,-71.0809757&lt;/location&gt;&lt;institution&gt;Wellcome Trust Sanger Institute, Wellcome Trust Genome Campus, Cambridge, CB10 1SA, UK, Broad Institute of MIT and Harvard, Cambridge, MA 02141, USA.&lt;/institution&gt;&lt;number&gt;16&lt;/number&gt;&lt;subtype&gt;400&lt;/subtype&gt;&lt;endpage&gt;2079&lt;/endpage&gt;&lt;bundle&gt;&lt;publication&gt;&lt;publisher&gt;Oxford University Press&lt;/publisher&gt;&lt;title&gt;Bioinformatics&lt;/title&gt;&lt;type&gt;-100&lt;/type&gt;&lt;subtype&gt;-100&lt;/subtype&gt;&lt;uuid&gt;5E0617C0-143A-4C27-A688-3E035890BEDE&lt;/uuid&gt;&lt;/publication&gt;&lt;/bundle&gt;&lt;authors&gt;&lt;author&gt;&lt;firstName&gt;H&lt;/firstName&gt;&lt;lastName&gt;Li&lt;/lastName&gt;&lt;/author&gt;&lt;author&gt;&lt;firstName&gt;B&lt;/firstName&gt;&lt;lastName&gt;Handsaker&lt;/lastName&gt;&lt;/author&gt;&lt;author&gt;&lt;firstName&gt;A&lt;/firstName&gt;&lt;lastName&gt;Wysoker&lt;/lastName&gt;&lt;/author&gt;&lt;author&gt;&lt;firstName&gt;T&lt;/firstName&gt;&lt;lastName&gt;Fennell&lt;/lastName&gt;&lt;/author&gt;&lt;author&gt;&lt;firstName&gt;J&lt;/firstName&gt;&lt;lastName&gt;Ruan&lt;/lastName&gt;&lt;/author&gt;&lt;author&gt;&lt;firstName&gt;N&lt;/firstName&gt;&lt;lastName&gt;Homer&lt;/lastName&gt;&lt;/author&gt;&lt;author&gt;&lt;firstName&gt;G&lt;/firstName&gt;&lt;lastName&gt;Marth&lt;/lastName&gt;&lt;/author&gt;&lt;author&gt;&lt;firstName&gt;G&lt;/firstName&gt;&lt;lastName&gt;Abecasis&lt;/lastName&gt;&lt;/author&gt;&lt;author&gt;&lt;firstName&gt;R&lt;/firstName&gt;&lt;lastName&gt;Durbin&lt;/lastName&gt;&lt;/author&gt;&lt;/authors&gt;&lt;/publication&gt;&lt;/publications&gt;&lt;cites&gt;&lt;/cites&gt;&lt;/citation&gt;</w:instrText>
      </w:r>
      <w:r w:rsidR="00183CA8">
        <w:fldChar w:fldCharType="separate"/>
      </w:r>
      <w:r w:rsidR="003848DF">
        <w:rPr>
          <w:rFonts w:cs="Arial"/>
          <w:szCs w:val="20"/>
          <w:vertAlign w:val="superscript"/>
        </w:rPr>
        <w:t>9</w:t>
      </w:r>
      <w:r w:rsidR="00183CA8">
        <w:fldChar w:fldCharType="end"/>
      </w:r>
      <w:r w:rsidRPr="00A24EFB">
        <w:t xml:space="preserve"> These BAM files summarized alignments generated by BW</w:t>
      </w:r>
      <w:r>
        <w:t>A</w:t>
      </w:r>
      <w:r w:rsidRPr="00A24EFB">
        <w:t xml:space="preserve">, refined by duplicate removal, recalibration, and </w:t>
      </w:r>
      <w:proofErr w:type="spellStart"/>
      <w:r w:rsidRPr="00A24EFB">
        <w:t>indel</w:t>
      </w:r>
      <w:proofErr w:type="spellEnd"/>
      <w:r w:rsidRPr="00A24EFB">
        <w:t xml:space="preserve"> re-alignment. We excluded all reads that were not confidently mapped (</w:t>
      </w:r>
      <w:proofErr w:type="spellStart"/>
      <w:r w:rsidRPr="00A24EFB">
        <w:t>Phred</w:t>
      </w:r>
      <w:proofErr w:type="spellEnd"/>
      <w:r w:rsidRPr="00A24EFB">
        <w:t>-scaled mapping quality &lt; 20) from further analysis. To avoid PCR artifacts, we clipped overlapping ends in paired reads. We then computed genotype likelihoods for exome targeted regions and 50 flanking bases, accounting for per base alignment quality (BAQ) using SAMtools.</w:t>
      </w:r>
      <w:r w:rsidR="00183CA8">
        <w:fldChar w:fldCharType="begin"/>
      </w:r>
      <w:r w:rsidR="00735D55">
        <w:instrText xml:space="preserve"> ADDIN PAPERS2_CITATIONS &lt;citation&gt;&lt;uuid&gt;E9A81260-8D2F-4736-A663-1D15B0CDD9F5&lt;/uuid&gt;&lt;priority&gt;9&lt;/priority&gt;&lt;publications&gt;&lt;publication&gt;&lt;uuid&gt;F2D5D31E-BB7A-44E9-9C6A-25A71D3DAC7E&lt;/uuid&gt;&lt;volume&gt;25&lt;/volume&gt;&lt;doi&gt;10.1093/bioinformatics/btp352&lt;/doi&gt;&lt;version&gt;2009/06/10&lt;/version&gt;&lt;subtitle&gt;Bioinformatics&lt;/subtitle&gt;&lt;startpage&gt;2078&lt;/startpage&gt;&lt;publication_date&gt;99200908151200000000222000&lt;/publication_date&gt;&lt;url&gt;http://www.ncbi.nlm.nih.gov/entrez/query.fcgi?cmd=Retrieve&amp;amp;db=PubMed&amp;amp;dopt=Citation&amp;amp;list_uids=19505943&lt;/url&gt;&lt;citekey&gt;Li:2009ka&lt;/citekey&gt;&lt;type&gt;400&lt;/type&gt;&lt;title&gt;The Sequence Alignment/Map format and SAMtools&lt;/title&gt;&lt;location&gt;200,5,42.3716445,-71.0809757&lt;/location&gt;&lt;institution&gt;Wellcome Trust Sanger Institute, Wellcome Trust Genome Campus, Cambridge, CB10 1SA, UK, Broad Institute of MIT and Harvard, Cambridge, MA 02141, USA.&lt;/institution&gt;&lt;number&gt;16&lt;/number&gt;&lt;subtype&gt;400&lt;/subtype&gt;&lt;endpage&gt;2079&lt;/endpage&gt;&lt;bundle&gt;&lt;publication&gt;&lt;publisher&gt;Oxford University Press&lt;/publisher&gt;&lt;title&gt;Bioinformatics&lt;/title&gt;&lt;type&gt;-100&lt;/type&gt;&lt;subtype&gt;-100&lt;/subtype&gt;&lt;uuid&gt;5E0617C0-143A-4C27-A688-3E035890BEDE&lt;/uuid&gt;&lt;/publication&gt;&lt;/bundle&gt;&lt;authors&gt;&lt;author&gt;&lt;firstName&gt;H&lt;/firstName&gt;&lt;lastName&gt;Li&lt;/lastName&gt;&lt;/author&gt;&lt;author&gt;&lt;firstName&gt;B&lt;/firstName&gt;&lt;lastName&gt;Handsaker&lt;/lastName&gt;&lt;/author&gt;&lt;author&gt;&lt;firstName&gt;A&lt;/firstName&gt;&lt;lastName&gt;Wysoker&lt;/lastName&gt;&lt;/author&gt;&lt;author&gt;&lt;firstName&gt;T&lt;/firstName&gt;&lt;lastName&gt;Fennell&lt;/lastName&gt;&lt;/author&gt;&lt;author&gt;&lt;firstName&gt;J&lt;/firstName&gt;&lt;lastName&gt;Ruan&lt;/lastName&gt;&lt;/author&gt;&lt;author&gt;&lt;firstName&gt;N&lt;/firstName&gt;&lt;lastName&gt;Homer&lt;/lastName&gt;&lt;/author&gt;&lt;author&gt;&lt;firstName&gt;G&lt;/firstName&gt;&lt;lastName&gt;Marth&lt;/lastName&gt;&lt;/author&gt;&lt;author&gt;&lt;firstName&gt;G&lt;/firstName&gt;&lt;lastName&gt;Abecasis&lt;/lastName&gt;&lt;/author&gt;&lt;author&gt;&lt;firstName&gt;R&lt;/firstName&gt;&lt;lastName&gt;Durbin&lt;/lastName&gt;&lt;/author&gt;&lt;/authors&gt;&lt;/publication&gt;&lt;/publications&gt;&lt;cites&gt;&lt;/cites&gt;&lt;/citation&gt;</w:instrText>
      </w:r>
      <w:r w:rsidR="00183CA8">
        <w:fldChar w:fldCharType="separate"/>
      </w:r>
      <w:r w:rsidR="003848DF">
        <w:rPr>
          <w:rFonts w:cs="Arial"/>
          <w:szCs w:val="20"/>
          <w:vertAlign w:val="superscript"/>
        </w:rPr>
        <w:t>9</w:t>
      </w:r>
      <w:r w:rsidR="00183CA8">
        <w:fldChar w:fldCharType="end"/>
      </w:r>
      <w:r w:rsidRPr="00A24EFB">
        <w:t xml:space="preserve"> Variable sites and their allele frequencies were identified using a maximum-likelihood model, implemented in glfMultiples.</w:t>
      </w:r>
      <w:r w:rsidR="00183CA8">
        <w:fldChar w:fldCharType="begin"/>
      </w:r>
      <w:r w:rsidR="00735D55">
        <w:instrText xml:space="preserve"> ADDIN PAPERS2_CITATIONS &lt;citation&gt;&lt;uuid&gt;89F5D93E-0DC1-4811-A508-C0933813C851&lt;/uuid&gt;&lt;priority&gt;10&lt;/priority&gt;&lt;publications&gt;&lt;publication&gt;&lt;uuid&gt;A08DFF0F-C0E2-4B9D-9ECC-BA6AB7A8F425&lt;/uuid&gt;&lt;volume&gt;18&lt;/volume&gt;&lt;doi&gt;10.1101/gr.078212.108&lt;/doi&gt;&lt;startpage&gt;1851&lt;/startpage&gt;&lt;publication_date&gt;99200811011200000000222000&lt;/publication_date&gt;&lt;url&gt;http://genome.cshlp.org/cgi/doi/10.1101/gr.078212.108&lt;/url&gt;&lt;citekey&gt;Li:2008ip&lt;/citekey&gt;&lt;type&gt;400&lt;/type&gt;&lt;title&gt;Mapping short DNA sequencing reads and calling variants using mapping quality scores&lt;/title&gt;&lt;number&gt;11&lt;/number&gt;&lt;subtype&gt;400&lt;/subtype&gt;&lt;endpage&gt;1858&lt;/endpage&gt;&lt;bundle&gt;&lt;publication&gt;&lt;url&gt;http://genome.cshlp.org.proxy1.library.mcgill.ca&lt;/url&gt;&lt;title&gt;Genome Research&lt;/title&gt;&lt;type&gt;-100&lt;/type&gt;&lt;subtype&gt;-100&lt;/subtype&gt;&lt;uuid&gt;49ACC8D5-4401-4433-AE89-5DAA9E7E7DB3&lt;/uuid&gt;&lt;/publication&gt;&lt;/bundle&gt;&lt;authors&gt;&lt;author&gt;&lt;firstName&gt;H&lt;/firstName&gt;&lt;lastName&gt;Li&lt;/lastName&gt;&lt;/author&gt;&lt;author&gt;&lt;firstName&gt;J&lt;/firstName&gt;&lt;lastName&gt;Ruan&lt;/lastName&gt;&lt;/author&gt;&lt;author&gt;&lt;firstName&gt;R&lt;/firstName&gt;&lt;lastName&gt;Durbin&lt;/lastName&gt;&lt;/author&gt;&lt;/authors&gt;&lt;/publication&gt;&lt;/publications&gt;&lt;cites&gt;&lt;/cites&gt;&lt;/citation&gt;</w:instrText>
      </w:r>
      <w:r w:rsidR="00183CA8">
        <w:fldChar w:fldCharType="separate"/>
      </w:r>
      <w:r w:rsidR="003848DF">
        <w:rPr>
          <w:rFonts w:cs="Arial"/>
          <w:szCs w:val="20"/>
          <w:vertAlign w:val="superscript"/>
        </w:rPr>
        <w:t>10</w:t>
      </w:r>
      <w:r w:rsidR="00183CA8">
        <w:fldChar w:fldCharType="end"/>
      </w:r>
      <w:r w:rsidRPr="00A24EFB">
        <w:t xml:space="preserve"> These analyses assumed a uniform prior probability of polymorphism at each site. The final call-set was </w:t>
      </w:r>
      <w:r>
        <w:t>performed on 6,823 samples.</w:t>
      </w:r>
    </w:p>
    <w:p w14:paraId="2A929CF2" w14:textId="77777777" w:rsidR="00E703BC" w:rsidRDefault="00E703BC" w:rsidP="00E703BC"/>
    <w:p w14:paraId="559BBBAA" w14:textId="77777777" w:rsidR="00E703BC" w:rsidRDefault="00E703BC" w:rsidP="00E703BC">
      <w:pPr>
        <w:spacing w:after="100" w:afterAutospacing="1"/>
      </w:pPr>
      <w:r w:rsidRPr="00A24EFB">
        <w:t xml:space="preserve">We used a support vector machine (SVM) classifier to separate likely true positive and false-positive variant sites, applying SNP quality metrics including allelic balance (the proportional representation of each allele in likely heterozygotes), base </w:t>
      </w:r>
      <w:r w:rsidRPr="00BD5157">
        <w:t>quality</w:t>
      </w:r>
      <w:r w:rsidRPr="00A24EFB">
        <w:t xml:space="preserve"> distribution for sites supporting the reference and alternate alleles, and the distribution of supporting evidence between strands and sequencing cycle, amongst others.  We used as the positive training set variants identified by </w:t>
      </w:r>
      <w:proofErr w:type="spellStart"/>
      <w:r w:rsidRPr="00A24EFB">
        <w:t>dbSNP</w:t>
      </w:r>
      <w:proofErr w:type="spellEnd"/>
      <w:r w:rsidRPr="00A24EFB">
        <w:t xml:space="preserve"> or 1000 Genomes and we used variants that failed multiple filters as the negative training set.  We found this method to be effective at removing sequencing artifacts while preserving good-quality data, as indicated by the transition-</w:t>
      </w:r>
      <w:proofErr w:type="spellStart"/>
      <w:r w:rsidRPr="00A24EFB">
        <w:t>transversion</w:t>
      </w:r>
      <w:proofErr w:type="spellEnd"/>
      <w:r w:rsidRPr="00A24EFB">
        <w:t xml:space="preserve"> (</w:t>
      </w:r>
      <w:proofErr w:type="spellStart"/>
      <w:r w:rsidRPr="00A24EFB">
        <w:t>ti-tv</w:t>
      </w:r>
      <w:proofErr w:type="spellEnd"/>
      <w:r w:rsidRPr="00A24EFB">
        <w:t xml:space="preserve">) ratio for previously known and newly identified variant sites, the proportion of high frequency variants overlapping with </w:t>
      </w:r>
      <w:proofErr w:type="spellStart"/>
      <w:r w:rsidRPr="00A24EFB">
        <w:t>dbSNP</w:t>
      </w:r>
      <w:proofErr w:type="spellEnd"/>
      <w:r w:rsidRPr="00A24EFB">
        <w:t xml:space="preserve">, and the ratio of synonymous to non-synonymous variants, as well as attempts at validation of a subset of sites. A total of 1,908,614 SNVs passed the SVM filter. Among these, genotypes with a corresponding read depth less than 10 </w:t>
      </w:r>
      <w:r>
        <w:t xml:space="preserve">were set to missing. </w:t>
      </w:r>
    </w:p>
    <w:p w14:paraId="0C6A6516" w14:textId="2CA1D55C" w:rsidR="00976097" w:rsidRDefault="00976097" w:rsidP="00976097">
      <w:pPr>
        <w:pStyle w:val="Heading4"/>
      </w:pPr>
      <w:r>
        <w:t>ERF</w:t>
      </w:r>
    </w:p>
    <w:p w14:paraId="22FB0F86" w14:textId="3F941C31" w:rsidR="00976097" w:rsidRDefault="00976097" w:rsidP="00976097">
      <w:r>
        <w:t xml:space="preserve">The </w:t>
      </w:r>
      <w:proofErr w:type="spellStart"/>
      <w:r>
        <w:t>exomes</w:t>
      </w:r>
      <w:proofErr w:type="spellEnd"/>
      <w:r>
        <w:t xml:space="preserve"> of 1,336 individual from the ERF population were sequenced at the Center for </w:t>
      </w:r>
      <w:proofErr w:type="spellStart"/>
      <w:r>
        <w:t>Biomics</w:t>
      </w:r>
      <w:proofErr w:type="spellEnd"/>
      <w:r>
        <w:t xml:space="preserve"> of the Cell Biology department of the Erasmus MC, The Netherlands. The individuals were selected random with the regards to ADHD scores. The sequencing was performed using the Agilent version V4 capture kit on an Illumina Hiseq2000 sequencer using the TruSeq Version 3 protocol. The sequence reads were aligned to the human genome build 19 (hg19) usin</w:t>
      </w:r>
      <w:r w:rsidR="00F9268C">
        <w:t>g BWA and the NARWHAL pipeline</w:t>
      </w:r>
      <w:r w:rsidR="00BD503B">
        <w:t>.</w:t>
      </w:r>
      <w:r w:rsidR="00BD503B">
        <w:fldChar w:fldCharType="begin"/>
      </w:r>
      <w:r w:rsidR="00735D55">
        <w:instrText xml:space="preserve"> ADDIN PAPERS2_CITATIONS &lt;citation&gt;&lt;uuid&gt;7BFE17BF-AA92-4C4E-A554-14110B3DCD1D&lt;/uuid&gt;&lt;priority&gt;0&lt;/priority&gt;&lt;publications&gt;&lt;publication&gt;&lt;uuid&gt;2E8C3F15-B8BA-4657-886B-FDE95B45DB14&lt;/uuid&gt;&lt;volume&gt;28&lt;/volume&gt;&lt;doi&gt;10.1093/bioinformatics/btr613&lt;/doi&gt;&lt;startpage&gt;284&lt;/startpage&gt;&lt;publication_date&gt;99201201151200000000222000&lt;/publication_date&gt;&lt;url&gt;http://bioinformatics.oxfordjournals.org/cgi/doi/10.1093/bioinformatics/btr613&lt;/url&gt;&lt;type&gt;400&lt;/type&gt;&lt;title&gt;NARWHAL, a primary analysis pipeline for NGS data.&lt;/title&gt;&lt;institution&gt;Center for Biomics, Department of Cell Biology, Erasmus Medical Center, Rotterdam, The Netherlands.&lt;/institution&gt;&lt;number&gt;2&lt;/number&gt;&lt;subtype&gt;400&lt;/subtype&gt;&lt;endpage&gt;285&lt;/endpage&gt;&lt;bundle&gt;&lt;title&gt;Bioinformatics&lt;/title&gt;&lt;uuid&gt;temp--B10E4FE9-C18E-403D-A530-FAEF74F1B567&lt;/uuid&gt;&lt;subtype&gt;-100&lt;/subtype&gt;&lt;publisher&gt;Oxford University Press&lt;/publisher&gt;&lt;type&gt;-100&lt;/type&gt;&lt;/bundle&gt;&lt;authors&gt;&lt;author&gt;&lt;firstName&gt;R&lt;/firstName&gt;&lt;middleNames&gt;W W&lt;/middleNames&gt;&lt;lastName&gt;Brouwer&lt;/lastName&gt;&lt;/author&gt;&lt;author&gt;&lt;nonDroppingParticle&gt;van den&lt;/nonDroppingParticle&gt;&lt;firstName&gt;M&lt;/firstName&gt;&lt;middleNames&gt;C G N&lt;/middleNames&gt;&lt;lastName&gt;Hout&lt;/lastName&gt;&lt;/author&gt;&lt;author&gt;&lt;firstName&gt;F&lt;/firstName&gt;&lt;middleNames&gt;G&lt;/middleNames&gt;&lt;lastName&gt;Grosveld&lt;/lastName&gt;&lt;/author&gt;&lt;author&gt;&lt;nonDroppingParticle&gt;van&lt;/nonDroppingParticle&gt;&lt;firstName&gt;W&lt;/firstName&gt;&lt;middleNames&gt;F J&lt;/middleNames&gt;&lt;lastName&gt;IJcken&lt;/lastName&gt;&lt;/author&gt;&lt;/authors&gt;&lt;/publication&gt;&lt;publication&gt;&lt;uuid&gt;6B3B3E2B-111C-4E31-813B-0A1C21476872&lt;/uuid&gt;&lt;volume&gt;28&lt;/volume&gt;&lt;doi&gt;10.1093/bioinformatics/bts479&lt;/doi&gt;&lt;startpage&gt;2543&lt;/startpage&gt;&lt;publication_date&gt;99201210011200000000222000&lt;/publication_date&gt;&lt;url&gt;http://bioinformatics.oxfordjournals.org/content/28/19/2543.full&lt;/url&gt;&lt;type&gt;400&lt;/type&gt;&lt;title&gt;zCall: a rare variant caller for array-based genotyping: genetics and population analysis.&lt;/title&gt;&lt;publisher&gt;Oxford University Press&lt;/publisher&gt;&lt;institution&gt;Analytical and Translational Genetics Unit, Department of Medicine, Massachusetts General Hospital and Harvard Medical School, Boston, MA 02114, USA.&lt;/institution&gt;&lt;number&gt;19&lt;/number&gt;&lt;subtype&gt;400&lt;/subtype&gt;&lt;endpage&gt;2545&lt;/endpage&gt;&lt;authors&gt;&lt;author&gt;&lt;firstName&gt;Jacqueline&lt;/firstName&gt;&lt;middleNames&gt;I&lt;/middleNames&gt;&lt;lastName&gt;Goldstein&lt;/lastName&gt;&lt;/author&gt;&lt;author&gt;&lt;firstName&gt;Andrew&lt;/firstName&gt;&lt;lastName&gt;Crenshaw&lt;/lastName&gt;&lt;/author&gt;&lt;author&gt;&lt;firstName&gt;Jason&lt;/firstName&gt;&lt;lastName&gt;Carey&lt;/lastName&gt;&lt;/author&gt;&lt;author&gt;&lt;firstName&gt;George&lt;/firstName&gt;&lt;middleNames&gt;B&lt;/middleNames&gt;&lt;lastName&gt;Grant&lt;/lastName&gt;&lt;/author&gt;&lt;author&gt;&lt;firstName&gt;Jared&lt;/firstName&gt;&lt;lastName&gt;Maguire&lt;/lastName&gt;&lt;/author&gt;&lt;author&gt;&lt;firstName&gt;Menachem&lt;/firstName&gt;&lt;lastName&gt;Fromer&lt;/lastName&gt;&lt;/author&gt;&lt;author&gt;&lt;firstName&gt;Colm&lt;/firstName&gt;&lt;lastName&gt;O’Dushlaine&lt;/lastName&gt;&lt;/author&gt;&lt;author&gt;&lt;firstName&gt;Jennifer&lt;/firstName&gt;&lt;middleNames&gt;L&lt;/middleNames&gt;&lt;lastName&gt;Moran&lt;/lastName&gt;&lt;/author&gt;&lt;author&gt;&lt;firstName&gt;Kimberly&lt;/firstName&gt;&lt;lastName&gt;Chambert&lt;/lastName&gt;&lt;/author&gt;&lt;author&gt;&lt;firstName&gt;Christine&lt;/firstName&gt;&lt;lastName&gt;Stevens&lt;/lastName&gt;&lt;/author&gt;&lt;author&gt;&lt;firstName&gt;Swedish&lt;/firstName&gt;&lt;middleNames&gt;Schizophrenia&lt;/middleNames&gt;&lt;lastName&gt;Consortium&lt;/lastName&gt;&lt;/author&gt;&lt;author&gt;&lt;firstName&gt;ARRA&lt;/firstName&gt;&lt;middleNames&gt;Autism Sequencing&lt;/middleNames&gt;&lt;lastName&gt;Consortium&lt;/lastName&gt;&lt;/author&gt;&lt;author&gt;&lt;firstName&gt;Pamela&lt;/firstName&gt;&lt;lastName&gt;Sklar&lt;/lastName&gt;&lt;/author&gt;&lt;author&gt;&lt;firstName&gt;Christina&lt;/firstName&gt;&lt;middleNames&gt;M&lt;/middleNames&gt;&lt;lastName&gt;Hultman&lt;/lastName&gt;&lt;/author&gt;&lt;author&gt;&lt;firstName&gt;Shaun&lt;/firstName&gt;&lt;lastName&gt;Purcell&lt;/lastName&gt;&lt;/author&gt;&lt;author&gt;&lt;firstName&gt;Steven&lt;/firstName&gt;&lt;middleNames&gt;A&lt;/middleNames&gt;&lt;lastName&gt;McCarroll&lt;/lastName&gt;&lt;/author&gt;&lt;author&gt;&lt;firstName&gt;Patrick&lt;/firstName&gt;&lt;middleNames&gt;F&lt;/middleNames&gt;&lt;lastName&gt;Sullivan&lt;/lastName&gt;&lt;/author&gt;&lt;author&gt;&lt;firstName&gt;Mark&lt;/firstName&gt;&lt;middleNames&gt;J&lt;/middleNames&gt;&lt;lastName&gt;Daly&lt;/lastName&gt;&lt;/author&gt;&lt;author&gt;&lt;firstName&gt;Benjamin&lt;/firstName&gt;&lt;middleNames&gt;M&lt;/middleNames&gt;&lt;lastName&gt;Neale&lt;/lastName&gt;&lt;/author&gt;&lt;/authors&gt;&lt;/publication&gt;&lt;/publications&gt;&lt;cites&gt;&lt;/cites&gt;&lt;/citation&gt;</w:instrText>
      </w:r>
      <w:r w:rsidR="00BD503B">
        <w:fldChar w:fldCharType="separate"/>
      </w:r>
      <w:r w:rsidR="002D628F">
        <w:rPr>
          <w:rFonts w:cs="Times New Roman"/>
          <w:szCs w:val="20"/>
          <w:vertAlign w:val="superscript"/>
        </w:rPr>
        <w:t>11</w:t>
      </w:r>
      <w:proofErr w:type="gramStart"/>
      <w:r w:rsidR="002D628F">
        <w:rPr>
          <w:rFonts w:cs="Times New Roman"/>
          <w:szCs w:val="20"/>
          <w:vertAlign w:val="superscript"/>
        </w:rPr>
        <w:t>,12</w:t>
      </w:r>
      <w:proofErr w:type="gramEnd"/>
      <w:r w:rsidR="00BD503B">
        <w:fldChar w:fldCharType="end"/>
      </w:r>
      <w:r w:rsidR="00F9268C">
        <w:t xml:space="preserve"> </w:t>
      </w:r>
      <w:r>
        <w:t xml:space="preserve">The aligned reads were processed further using the </w:t>
      </w:r>
      <w:proofErr w:type="spellStart"/>
      <w:r>
        <w:t>IndelRealigner</w:t>
      </w:r>
      <w:proofErr w:type="spellEnd"/>
      <w:r>
        <w:t xml:space="preserve">, </w:t>
      </w:r>
      <w:proofErr w:type="spellStart"/>
      <w:r>
        <w:t>MarkDuplicates</w:t>
      </w:r>
      <w:proofErr w:type="spellEnd"/>
      <w:r>
        <w:t xml:space="preserve"> and </w:t>
      </w:r>
      <w:proofErr w:type="spellStart"/>
      <w:r>
        <w:t>TableRecalibration</w:t>
      </w:r>
      <w:proofErr w:type="spellEnd"/>
      <w:r>
        <w:t xml:space="preserve"> tools from the Genome Analysis Toolkit (GATK) and Picard (</w:t>
      </w:r>
      <w:hyperlink r:id="rId13" w:history="1">
        <w:r>
          <w:rPr>
            <w:rStyle w:val="Hyperlink"/>
            <w:sz w:val="24"/>
          </w:rPr>
          <w:t>http://picard.sourceforge.net</w:t>
        </w:r>
      </w:hyperlink>
      <w:r>
        <w:t xml:space="preserve">). Genetic variants were called using the Unified </w:t>
      </w:r>
      <w:proofErr w:type="spellStart"/>
      <w:r>
        <w:t>Genotyper</w:t>
      </w:r>
      <w:proofErr w:type="spellEnd"/>
      <w:r>
        <w:t xml:space="preserve"> tool of the GATK. About 1.4 million Single Nucleotide Variants (SNVs) were called. After removing the low quality variants (QUAL &lt; 150), variants with a call rate of &lt; 95% and variants that were out of Hardy Weinberg Equilibrium (HWE; p-value &lt; 10</w:t>
      </w:r>
      <w:r>
        <w:rPr>
          <w:vertAlign w:val="superscript"/>
        </w:rPr>
        <w:t>-6</w:t>
      </w:r>
      <w:r>
        <w:t>) and monomorphic variants, and removing individuals with a low call rate (&lt; 90%) we retrieved 540,633 SNVs and 1,301 individuals.</w:t>
      </w:r>
    </w:p>
    <w:p w14:paraId="7D1F7255" w14:textId="77777777" w:rsidR="00282DC5" w:rsidRDefault="00282DC5" w:rsidP="00976097"/>
    <w:p w14:paraId="715EAF59" w14:textId="4145A95D" w:rsidR="00277910" w:rsidRPr="005D3AD8" w:rsidRDefault="00B97C46" w:rsidP="00EF187A">
      <w:pPr>
        <w:pStyle w:val="Heading2"/>
      </w:pPr>
      <w:r>
        <w:lastRenderedPageBreak/>
        <w:t>W</w:t>
      </w:r>
      <w:r w:rsidR="00C830A2" w:rsidRPr="005D3AD8">
        <w:t xml:space="preserve">hole </w:t>
      </w:r>
      <w:r w:rsidR="00B200B2" w:rsidRPr="005D3AD8">
        <w:t>G</w:t>
      </w:r>
      <w:r w:rsidR="00C830A2" w:rsidRPr="005D3AD8">
        <w:t xml:space="preserve">enome </w:t>
      </w:r>
      <w:r w:rsidR="00B200B2" w:rsidRPr="005D3AD8">
        <w:t>G</w:t>
      </w:r>
      <w:r w:rsidR="00C830A2" w:rsidRPr="005D3AD8">
        <w:t>enotyping</w:t>
      </w:r>
    </w:p>
    <w:p w14:paraId="62C78EFE" w14:textId="77777777" w:rsidR="00735D55" w:rsidRDefault="00A73E0F" w:rsidP="006B244E">
      <w:pPr>
        <w:rPr>
          <w:rFonts w:cs="Arial"/>
          <w:szCs w:val="20"/>
        </w:rPr>
      </w:pPr>
      <w:r>
        <w:rPr>
          <w:rFonts w:cs="Arial"/>
          <w:szCs w:val="20"/>
        </w:rPr>
        <w:t>All genome-wide genotyping has been previously reported,</w:t>
      </w:r>
      <w:r w:rsidR="00BD0BFA">
        <w:rPr>
          <w:rFonts w:cs="Arial"/>
          <w:szCs w:val="20"/>
        </w:rPr>
        <w:fldChar w:fldCharType="begin"/>
      </w:r>
      <w:r w:rsidR="00735D55">
        <w:rPr>
          <w:rFonts w:cs="Arial"/>
          <w:szCs w:val="20"/>
        </w:rPr>
        <w:instrText xml:space="preserve"> ADDIN PAPERS2_CITATIONS &lt;citation&gt;&lt;uuid&gt;07222D95-B227-44B8-A77E-BB24805D1CB2&lt;/uuid&gt;&lt;priority&gt;11&lt;/priority&gt;&lt;publications&gt;&lt;publication&gt;&lt;publication_date&gt;99201204151200000000222000&lt;/publication_date&gt;&lt;startpage&gt;1&lt;/startpage&gt;&lt;doi&gt;10.1038/ng.2249&lt;/doi&gt;&lt;title&gt;Genome-wide meta-analysis identifies 56 bone mineral density loci and reveals 14 loci associated with risk of fracture&lt;/title&gt;&lt;uuid&gt;EFE3D4EA-8336-4840-9B1B-3658454698FA&lt;/uuid&gt;&lt;subtype&gt;400&lt;/subtype&gt;&lt;publisher&gt;Nature Publishing Group&lt;/publisher&gt;&lt;type&gt;400&lt;/type&gt;&lt;citekey&gt;Estrada:2012gz&lt;/citekey&gt;&lt;endpage&gt;13&lt;/endpage&gt;&lt;url&gt;</w:instrText>
      </w:r>
    </w:p>
    <w:p w14:paraId="26BBF5A1" w14:textId="5B44F49A" w:rsidR="006B244E" w:rsidRPr="006B244E" w:rsidRDefault="00735D55" w:rsidP="006B244E">
      <w:pPr>
        <w:rPr>
          <w:rFonts w:cs="Arial"/>
          <w:szCs w:val="20"/>
          <w:highlight w:val="yellow"/>
        </w:rPr>
      </w:pPr>
      <w:r>
        <w:rPr>
          <w:rFonts w:cs="Arial"/>
          <w:szCs w:val="20"/>
        </w:rPr>
        <w:instrText xml:space="preserve"> http://dx.doi.org/10.1038/ng.2249&lt;/url&gt;&lt;bundle&gt;&lt;publication&gt;&lt;publisher&gt;Nature Publishing Group&lt;/publisher&gt;&lt;url&gt;http://www.nature.com.proxy1.library.mcgill.ca&lt;/url&gt;&lt;title&gt;Nature Publishing Group&lt;/title&gt;&lt;type&gt;-100&lt;/type&gt;&lt;subtype&gt;-100&lt;/subtype&gt;&lt;uuid&gt;300C7CB8-BEB5-4099-929A-BDE617D1A268&lt;/uuid&gt;&lt;/publication&gt;&lt;/bundle&gt;&lt;authors&gt;&lt;author&gt;&lt;firstName&gt;Karol&lt;/firstName&gt;&lt;lastName&gt;Estrada&lt;/lastName&gt;&lt;/author&gt;&lt;author&gt;&lt;firstName&gt;Unnur&lt;/firstName&gt;&lt;lastName&gt;Styrkarsdottir&lt;/lastName&gt;&lt;/author&gt;&lt;author&gt;&lt;firstName&gt;Evangelos&lt;/firstName&gt;&lt;lastName&gt;Evangelou&lt;/lastName&gt;&lt;/author&gt;&lt;author&gt;&lt;firstName&gt;Yi-Hsiang&lt;/firstName&gt;&lt;lastName&gt;Hsu&lt;/lastName&gt;&lt;/author&gt;&lt;author&gt;&lt;firstName&gt;Emma&lt;/firstName&gt;&lt;middleNames&gt;L&lt;/middleNames&gt;&lt;lastName&gt;Duncan&lt;/lastName&gt;&lt;/author&gt;&lt;author&gt;&lt;firstName&gt;Evangelia&lt;/firstName&gt;&lt;middleNames&gt;E&lt;/middleNames&gt;&lt;lastName&gt;Ntzani&lt;/lastName&gt;&lt;/author&gt;&lt;author&gt;&lt;firstName&gt;Ling&lt;/firstName&gt;&lt;lastName&gt;Oei&lt;/lastName&gt;&lt;/author&gt;&lt;author&gt;&lt;firstName&gt;Omar&lt;/firstName&gt;&lt;middleNames&gt;M E&lt;/middleNames&gt;&lt;lastName&gt;Albagha&lt;/lastName&gt;&lt;/author&gt;&lt;author&gt;&lt;firstName&gt;Najaf&lt;/firstName&gt;&lt;lastName&gt;Amin&lt;/lastName&gt;&lt;/author&gt;&lt;author&gt;&lt;firstName&gt;John&lt;/firstName&gt;&lt;middleNames&gt;P&lt;/middleNames&gt;&lt;lastName&gt;Kemp&lt;/lastName&gt;&lt;/author&gt;&lt;author&gt;&lt;firstName&gt;Daniel&lt;/firstName&gt;&lt;middleNames&gt;L&lt;/middleNames&gt;&lt;lastName&gt;Koller&lt;/lastName&gt;&lt;/author&gt;&lt;author&gt;&lt;firstName&gt;Guo&lt;/firstName&gt;&lt;lastName&gt;Li&lt;/lastName&gt;&lt;/author&gt;&lt;author&gt;&lt;firstName&gt;Ching-Ti&lt;/firstName&gt;&lt;lastName&gt;Liu&lt;/lastName&gt;&lt;/author&gt;&lt;author&gt;&lt;firstName&gt;Ryan&lt;/firstName&gt;&lt;middleNames&gt;L&lt;/middleNames&gt;&lt;lastName&gt;Minster&lt;/lastName&gt;&lt;/author&gt;&lt;author&gt;&lt;firstName&gt;Alireza&lt;/firstName&gt;&lt;lastName&gt;Moayyeri&lt;/lastName&gt;&lt;/author&gt;&lt;author&gt;&lt;firstName&gt;Liesbeth&lt;/firstName&gt;&lt;lastName&gt;Vandenput&lt;/lastName&gt;&lt;/author&gt;&lt;author&gt;&lt;firstName&gt;Dana&lt;/firstName&gt;&lt;lastName&gt;Willner&lt;/lastName&gt;&lt;/author&gt;&lt;author&gt;&lt;firstName&gt;Su-Mei&lt;/firstName&gt;&lt;lastName&gt;Xiao&lt;/lastName&gt;&lt;/author&gt;&lt;author&gt;&lt;firstName&gt;Laura&lt;/firstName&gt;&lt;middleNames&gt;M&lt;/middleNames&gt;&lt;lastName&gt;Yerges-Armstrong&lt;/lastName&gt;&lt;/author&gt;&lt;author&gt;&lt;firstName&gt;Hou-Feng&lt;/firstName&gt;&lt;lastName&gt;Zheng&lt;/lastName&gt;&lt;/author&gt;&lt;author&gt;&lt;firstName&gt;Nerea&lt;/firstName&gt;&lt;lastName&gt;Alonso&lt;/lastName&gt;&lt;/author&gt;&lt;author&gt;&lt;firstName&gt;Joel&lt;/firstName&gt;&lt;lastName&gt;Eriksson&lt;/lastName&gt;&lt;/author&gt;&lt;author&gt;&lt;firstName&gt;Candace&lt;/firstName&gt;&lt;middleNames&gt;M&lt;/middleNames&gt;&lt;lastName&gt;Kammerer&lt;/lastName&gt;&lt;/author&gt;&lt;author&gt;&lt;firstName&gt;Stephen&lt;/firstName&gt;&lt;middleNames&gt;K&lt;/middleNames&gt;&lt;lastName&gt;Kaptoge&lt;/lastName&gt;&lt;/author&gt;&lt;author&gt;&lt;firstName&gt;Paul&lt;/firstName&gt;&lt;middleNames&gt;J&lt;/middleNames&gt;&lt;lastName&gt;Leo&lt;/lastName&gt;&lt;/author&gt;&lt;author&gt;&lt;firstName&gt;Gudmar&lt;/firstName&gt;&lt;lastName&gt;Thorleifsson&lt;/lastName&gt;&lt;/author&gt;&lt;author&gt;&lt;firstName&gt;Scott&lt;/firstName&gt;&lt;middleNames&gt;G&lt;/middleNames&gt;&lt;lastName&gt;Wilson&lt;/lastName&gt;&lt;/author&gt;&lt;author&gt;&lt;firstName&gt;James&lt;/firstName&gt;&lt;middleNames&gt;F&lt;/middleNames&gt;&lt;lastName&gt;Wilson&lt;/lastName&gt;&lt;/author&gt;&lt;author&gt;&lt;firstName&gt;Ville&lt;/firstName&gt;&lt;lastName&gt;Aalto&lt;/lastName&gt;&lt;/author&gt;&lt;author&gt;&lt;firstName&gt;Markku&lt;/firstName&gt;&lt;lastName&gt;Alen&lt;/lastName&gt;&lt;/author&gt;&lt;author&gt;&lt;firstName&gt;Aaron&lt;/firstName&gt;&lt;middleNames&gt;K&lt;/middleNames&gt;&lt;lastName&gt;Aragaki&lt;/lastName&gt;&lt;/author&gt;&lt;author&gt;&lt;firstName&gt;Thor&lt;/firstName&gt;&lt;lastName&gt;Aspelund&lt;/lastName&gt;&lt;/author&gt;&lt;author&gt;&lt;lastName&gt;Jacqueline R Center&lt;/lastName&gt;&lt;/author&gt;&lt;author&gt;&lt;firstName&gt;Zoe&lt;/firstName&gt;&lt;lastName&gt;Dailiana&lt;/lastName&gt;&lt;/author&gt;&lt;author&gt;&lt;firstName&gt;David&lt;/firstName&gt;&lt;middleNames&gt;J&lt;/middleNames&gt;&lt;lastName&gt;Duggan&lt;/lastName&gt;&lt;/author&gt;&lt;author&gt;&lt;firstName&gt;Melissa&lt;/firstName&gt;&lt;lastName&gt;Garcia&lt;/lastName&gt;&lt;/author&gt;&lt;author&gt;&lt;firstName&gt;Nat&lt;/firstName&gt;&lt;middleNames&gt;agrave lia&lt;/middleNames&gt;&lt;lastName&gt;Garcia-Giralt&lt;/lastName&gt;&lt;/author&gt;&lt;author&gt;&lt;firstName&gt;Sylvie&lt;/firstName&gt;&lt;lastName&gt;Giroux&lt;/lastName&gt;&lt;/author&gt;&lt;author&gt;&lt;firstName&gt;G&lt;/firstName&gt;&lt;middleNames&gt;ouml ran&lt;/middleNames&gt;&lt;lastName&gt;Hallmans&lt;/lastName&gt;&lt;/author&gt;&lt;author&gt;&lt;firstName&gt;Lynne&lt;/firstName&gt;&lt;middleNames&gt;J&lt;/middleNames&gt;&lt;lastName&gt;Hocking&lt;/lastName&gt;&lt;/author&gt;&lt;author&gt;&lt;firstName&gt;Lise&lt;/firstName&gt;&lt;middleNames&gt;Bjerre&lt;/middleNames&gt;&lt;lastName&gt;Husted&lt;/lastName&gt;&lt;/author&gt;&lt;author&gt;&lt;firstName&gt;Karen&lt;/firstName&gt;&lt;middleNames&gt;A&lt;/middleNames&gt;&lt;lastName&gt;Jameson&lt;/lastName&gt;&lt;/author&gt;&lt;author&gt;&lt;firstName&gt;Rita&lt;/firstName&gt;&lt;lastName&gt;Khusainova&lt;/lastName&gt;&lt;/author&gt;&lt;author&gt;&lt;firstName&gt;Ghi&lt;/firstName&gt;&lt;middleNames&gt;Su&lt;/middleNames&gt;&lt;lastName&gt;Kim&lt;/lastName&gt;&lt;/author&gt;&lt;author&gt;&lt;firstName&gt;Charles&lt;/firstName&gt;&lt;lastName&gt;Kooperberg&lt;/lastName&gt;&lt;/author&gt;&lt;author&gt;&lt;firstName&gt;Theodora&lt;/firstName&gt;&lt;lastName&gt;Koromila&lt;/lastName&gt;&lt;/author&gt;&lt;author&gt;&lt;firstName&gt;Marcin&lt;/firstName&gt;&lt;lastName&gt;Kruk&lt;/lastName&gt;&lt;/author&gt;&lt;author&gt;&lt;firstName&gt;Marika&lt;/firstName&gt;&lt;lastName&gt;Laaksonen&lt;/lastName&gt;&lt;/author&gt;&lt;author&gt;&lt;firstName&gt;Andrea&lt;/firstName&gt;&lt;middleNames&gt;Z&lt;/middleNames&gt;&lt;lastName&gt;Lacroix&lt;/lastName&gt;&lt;/author&gt;&lt;author&gt;&lt;firstName&gt;Seung&lt;/firstName&gt;&lt;middleNames&gt;Hun&lt;/middleNames&gt;&lt;lastName&gt;Lee&lt;/lastName&gt;&lt;/author&gt;&lt;author&gt;&lt;firstName&gt;Ping&lt;/firstName&gt;&lt;middleNames&gt;C&lt;/middleNames&gt;&lt;lastName&gt;Leung&lt;/lastName&gt;&lt;/author&gt;&lt;author&gt;&lt;firstName&gt;Joshua&lt;/firstName&gt;&lt;middleNames&gt;R&lt;/middleNames&gt;&lt;lastName&gt;Lewis&lt;/lastName&gt;&lt;/author&gt;&lt;author&gt;&lt;firstName&gt;Laura&lt;/firstName&gt;&lt;lastName&gt;Masi&lt;/lastName&gt;&lt;/author&gt;&lt;author&gt;&lt;firstName&gt;Simona&lt;/firstName&gt;&lt;lastName&gt;Mencej-Bedrac&lt;/lastName&gt;&lt;/author&gt;&lt;author&gt;&lt;firstName&gt;Tuan&lt;/firstName&gt;&lt;middleNames&gt;V&lt;/middleNames&gt;&lt;lastName&gt;Nguyen&lt;/lastName&gt;&lt;/author&gt;&lt;author&gt;&lt;firstName&gt;Xavier&lt;/firstName&gt;&lt;lastName&gt;Nogues&lt;/lastName&gt;&lt;/author&gt;&lt;author&gt;&lt;firstName&gt;Millan&lt;/firstName&gt;&lt;middleNames&gt;S&lt;/middleNames&gt;&lt;lastName&gt;Patel&lt;/lastName&gt;&lt;/author&gt;&lt;author&gt;&lt;firstName&gt;Janez&lt;/firstName&gt;&lt;lastName&gt;Preželj&lt;/lastName&gt;&lt;/author&gt;&lt;author&gt;&lt;firstName&gt;Lynda&lt;/firstName&gt;&lt;middleNames&gt;M&lt;/middleNames&gt;&lt;lastName&gt;Rose&lt;/lastName&gt;&lt;/author&gt;&lt;author&gt;&lt;firstName&gt;Serena&lt;/firstName&gt;&lt;lastName&gt;Scollen&lt;/lastName&gt;&lt;/author&gt;&lt;author&gt;&lt;firstName&gt;Kristin&lt;/firstName&gt;&lt;lastName&gt;Siggeirsdottir&lt;/lastName&gt;&lt;/author&gt;&lt;author&gt;&lt;firstName&gt;Albert&lt;/firstName&gt;&lt;middleNames&gt;V&lt;/middleNames&gt;&lt;lastName&gt;Smith&lt;/lastName&gt;&lt;/author&gt;&lt;author&gt;&lt;firstName&gt;Olle&lt;/firstName&gt;&lt;lastName&gt;Svensson&lt;/lastName&gt;&lt;/author&gt;&lt;author&gt;&lt;firstName&gt;Stella&lt;/firstName&gt;&lt;lastName&gt;Trompet&lt;/lastName&gt;&lt;/author&gt;&lt;author&gt;&lt;firstName&gt;Olivia&lt;/firstName&gt;&lt;lastName&gt;Trummer&lt;/lastName&gt;&lt;/author&gt;&lt;author&gt;&lt;lastName&gt;Schoor&lt;/lastName&gt;&lt;nonDroppingParticle&gt;van&lt;/nonDroppingParticle&gt;&lt;firstName&gt;Natasja&lt;/firstName&gt;&lt;middleNames&gt;M&lt;/middleNames&gt;&lt;/author&gt;&lt;author&gt;&lt;firstName&gt;Jean&lt;/firstName&gt;&lt;lastName&gt;Woo&lt;/lastName&gt;&lt;/author&gt;&lt;author&gt;&lt;firstName&gt;Kun&lt;/firstName&gt;&lt;lastName&gt;Zhu&lt;/lastName&gt;&lt;/author&gt;&lt;author&gt;&lt;firstName&gt;Susana&lt;/firstName&gt;&lt;lastName&gt;Balcells&lt;/lastName&gt;&lt;/author&gt;&lt;author&gt;&lt;firstName&gt;Maria&lt;/firstName&gt;&lt;middleNames&gt;Luisa&lt;/middleNames&gt;&lt;lastName&gt;Brandi&lt;/lastName&gt;&lt;/author&gt;&lt;author&gt;&lt;firstName&gt;Brendan&lt;/firstName&gt;&lt;middleNames&gt;M&lt;/middleNames&gt;&lt;lastName&gt;Buckley&lt;/lastName&gt;&lt;/author&gt;&lt;author&gt;&lt;firstName&gt;Sulin&lt;/firstName&gt;&lt;lastName&gt;Cheng&lt;/lastName&gt;&lt;/author&gt;&lt;author&gt;&lt;firstName&gt;Claus&lt;/firstName&gt;&lt;lastName&gt;Christiansen&lt;/lastName&gt;&lt;/author&gt;&lt;author&gt;&lt;firstName&gt;Cyrus&lt;/firstName&gt;&lt;lastName&gt;Cooper&lt;/lastName&gt;&lt;/author&gt;&lt;author&gt;&lt;firstName&gt;George&lt;/firstName&gt;&lt;lastName&gt;Dedoussis&lt;/lastName&gt;&lt;/author&gt;&lt;author&gt;&lt;firstName&gt;Ian&lt;/firstName&gt;&lt;lastName&gt;Ford&lt;/lastName&gt;&lt;/author&gt;&lt;author&gt;&lt;firstName&gt;Morten&lt;/firstName&gt;&lt;lastName&gt;Frost&lt;/lastName&gt;&lt;/author&gt;&lt;author&gt;&lt;firstName&gt;David&lt;/firstName&gt;&lt;lastName&gt;Goltzman&lt;/lastName&gt;&lt;/author&gt;&lt;author&gt;&lt;firstName&gt;Jes&lt;/firstName&gt;&lt;middleNames&gt;uacute s Gonz aacute lez-Mac iacute&lt;/middleNames&gt;&lt;lastName&gt;as&lt;/lastName&gt;&lt;/author&gt;&lt;author&gt;&lt;firstName&gt;Mika&lt;/firstName&gt;&lt;middleNames&gt;K auml h ouml&lt;/middleNames&gt;&lt;lastName&gt;nen&lt;/lastName&gt;&lt;/author&gt;&lt;author&gt;&lt;firstName&gt;Magnus&lt;/firstName&gt;&lt;lastName&gt;Karlsson&lt;/lastName&gt;&lt;/author&gt;&lt;author&gt;&lt;firstName&gt;Elza&lt;/firstName&gt;&lt;lastName&gt;Khusnutdinova&lt;/lastName&gt;&lt;/author&gt;&lt;author&gt;&lt;firstName&gt;Jung-Min&lt;/firstName&gt;&lt;lastName&gt;Koh&lt;/lastName&gt;&lt;/author&gt;&lt;author&gt;&lt;firstName&gt;Panagoula&lt;/firstName&gt;&lt;lastName&gt;Kollia&lt;/lastName&gt;&lt;/author&gt;&lt;author&gt;&lt;firstName&gt;Bente&lt;/firstName&gt;&lt;middleNames&gt;Lomholt&lt;/middleNames&gt;&lt;lastName&gt;Langdahl&lt;/lastName&gt;&lt;/author&gt;&lt;author&gt;&lt;firstName&gt;William&lt;/firstName&gt;&lt;middleNames&gt;D&lt;/middleNames&gt;&lt;lastName&gt;Leslie&lt;/lastName&gt;&lt;/author&gt;&lt;author&gt;&lt;firstName&gt;Paul&lt;/firstName&gt;&lt;lastName&gt;Lips&lt;/lastName&gt;&lt;/author&gt;&lt;author&gt;&lt;firstName&gt;Ouml&lt;/firstName&gt;&lt;middleNames&gt;sten&lt;/middleNames&gt;&lt;lastName&gt;Ljunggren&lt;/lastName&gt;&lt;/author&gt;&lt;author&gt;&lt;firstName&gt;Roman&lt;/firstName&gt;&lt;middleNames&gt;S&lt;/middleNames&gt;&lt;lastName&gt;Lorenc&lt;/lastName&gt;&lt;/author&gt;&lt;author&gt;&lt;firstName&gt;Janja&lt;/firstName&gt;&lt;lastName&gt;Marc&lt;/lastName&gt;&lt;/author&gt;&lt;author&gt;&lt;firstName&gt;Dan&lt;/firstName&gt;&lt;middleNames&gt;Mellstr ouml&lt;/middleNames&gt;&lt;lastName&gt;m&lt;/lastName&gt;&lt;/author&gt;&lt;author&gt;&lt;firstName&gt;Barbara&lt;/firstName&gt;&lt;lastName&gt;Obermayer-Pietsch&lt;/lastName&gt;&lt;/author&gt;&lt;author&gt;&lt;firstName&gt;Jos&lt;/firstName&gt;&lt;middleNames&gt;eacute M&lt;/middleNames&gt;&lt;lastName&gt;Olmos&lt;/lastName&gt;&lt;/author&gt;&lt;author&gt;&lt;firstName&gt;Ulrika&lt;/firstName&gt;&lt;lastName&gt;Pettersson-Kymmer&lt;/lastName&gt;&lt;/author&gt;&lt;author&gt;&lt;firstName&gt;David&lt;/firstName&gt;&lt;middleNames&gt;M&lt;/middleNames&gt;&lt;lastName&gt;Reid&lt;/lastName&gt;&lt;/author&gt;&lt;author&gt;&lt;firstName&gt;Jos&lt;/firstName&gt;&lt;middleNames&gt;eacute A&lt;/middleNames&gt;&lt;lastName&gt;Riancho&lt;/lastName&gt;&lt;/author&gt;&lt;author&gt;&lt;firstName&gt;Paul&lt;/firstName&gt;&lt;middleNames&gt;M&lt;/middleNames&gt;&lt;lastName&gt;Ridker&lt;/lastName&gt;&lt;/author&gt;&lt;author&gt;&lt;firstName&gt;Fran&lt;/firstName&gt;&lt;middleNames&gt;ccedil ois&lt;/middleNames&gt;&lt;lastName&gt;Rousseau&lt;/lastName&gt;&lt;/author&gt;&lt;author&gt;&lt;firstName&gt;P&lt;/firstName&gt;&lt;middleNames&gt;Eline S&lt;/middleNames&gt;&lt;lastName&gt;lagboom&lt;/lastName&gt;&lt;/author&gt;&lt;author&gt;&lt;firstName&gt;Nelson&lt;/firstName&gt;&lt;middleNames&gt;L S&lt;/middleNames&gt;&lt;lastName&gt;Tang&lt;/lastName&gt;&lt;/author&gt;&lt;author&gt;&lt;firstName&gt;Roser&lt;/firstName&gt;&lt;lastName&gt;Urreizti&lt;/lastName&gt;&lt;/author&gt;&lt;author&gt;&lt;nonDroppingParticle&gt;Van&lt;/nonDroppingParticle&gt;&lt;firstName&gt;Wim&lt;/firstName&gt;&lt;lastName&gt;Hul&lt;/lastName&gt;&lt;/author&gt;&lt;author&gt;&lt;firstName&gt;Jorma&lt;/firstName&gt;&lt;lastName&gt;Viikari&lt;/lastName&gt;&lt;/author&gt;&lt;author&gt;&lt;firstName&gt;Mar&lt;/firstName&gt;&lt;middleNames&gt;iacute a T&lt;/middleNames&gt;&lt;lastName&gt;Zarrabeitia&lt;/lastName&gt;&lt;/author&gt;&lt;author&gt;&lt;firstName&gt;Yurii&lt;/firstName&gt;&lt;middleNames&gt;S&lt;/middleNames&gt;&lt;lastName&gt;Aulchenko&lt;/lastName&gt;&lt;/author&gt;&lt;author&gt;&lt;firstName&gt;Martha&lt;/firstName&gt;&lt;lastName&gt;Castano-Betancourt&lt;/lastName&gt;&lt;/author&gt;&lt;author&gt;&lt;firstName&gt;Elin&lt;/firstName&gt;&lt;lastName&gt;Grundberg&lt;/lastName&gt;&lt;/author&gt;&lt;author&gt;&lt;firstName&gt;Lizbeth&lt;/firstName&gt;&lt;lastName&gt;Herrera&lt;/lastName&gt;&lt;/author&gt;&lt;author&gt;&lt;firstName&gt;Thorvaldur&lt;/firstName&gt;&lt;lastName&gt;Ingvarsson&lt;/lastName&gt;&lt;/author&gt;&lt;author&gt;&lt;firstName&gt;Hrefna&lt;/firstName&gt;&lt;lastName&gt;Johannsdottir&lt;/lastName&gt;&lt;/author&gt;&lt;author&gt;&lt;firstName&gt;Tony&lt;/firstName&gt;&lt;lastName&gt;Kwan&lt;/lastName&gt;&lt;/author&gt;&lt;author&gt;&lt;firstName&gt;Rui&lt;/firstName&gt;&lt;lastName&gt;Li&lt;/lastName&gt;&lt;/author&gt;&lt;author&gt;&lt;firstName&gt;Robert&lt;/firstName&gt;&lt;lastName&gt;Luben&lt;/lastName&gt;&lt;/author&gt;&lt;author&gt;&lt;firstName&gt;Carolina&lt;/firstName&gt;&lt;middleNames&gt;Medina-G oacute&lt;/middleNames&gt;&lt;lastName&gt;mez&lt;/lastName&gt;&lt;/author&gt;&lt;author&gt;&lt;firstName&gt;Stefan&lt;/firstName&gt;&lt;middleNames&gt;Th&lt;/middleNames&gt;&lt;lastName&gt;Palsson&lt;/lastName&gt;&lt;/author&gt;&lt;author&gt;&lt;firstName&gt;Sjur&lt;/firstName&gt;&lt;lastName&gt;Reppe&lt;/lastName&gt;&lt;/author&gt;&lt;author&gt;&lt;firstName&gt;Jerome&lt;/firstName&gt;&lt;middleNames&gt;I&lt;/middleNames&gt;&lt;lastName&gt;Rotter&lt;/lastName&gt;&lt;/author&gt;&lt;author&gt;&lt;firstName&gt;Gunnar&lt;/firstName&gt;&lt;lastName&gt;Sigurdsson&lt;/lastName&gt;&lt;/author&gt;&lt;author&gt;&lt;lastName&gt;Meurs&lt;/lastName&gt;&lt;nonDroppingParticle&gt;van&lt;/nonDroppingParticle&gt;&lt;firstName&gt;Joyce&lt;/firstName&gt;&lt;middleNames&gt;B J&lt;/middleNames&gt;&lt;/author&gt;&lt;author&gt;&lt;firstName&gt;Dominique&lt;/firstName&gt;&lt;lastName&gt;Verlaan&lt;/lastName&gt;&lt;/author&gt;&lt;author&gt;&lt;firstName&gt;Frances&lt;/firstName&gt;&lt;middleNames&gt;M K&lt;/middleNames&gt;&lt;lastName&gt;Williams&lt;/lastName&gt;&lt;/author&gt;&lt;author&gt;&lt;firstName&gt;Andrew&lt;/firstName&gt;&lt;middleNames&gt;R&lt;/middleNames&gt;&lt;lastName&gt;Wood&lt;/lastName&gt;&lt;/author&gt;&lt;author&gt;&lt;firstName&gt;Yanhua&lt;/firstName&gt;&lt;lastName&gt;Zhou&lt;/lastName&gt;&lt;/author&gt;&lt;author&gt;&lt;firstName&gt;Kaare&lt;/firstName&gt;&lt;middleNames&gt;M&lt;/middleNames&gt;&lt;lastName&gt;Gautvik&lt;/lastName&gt;&lt;/author&gt;&lt;author&gt;&lt;firstName&gt;Tomi&lt;/firstName&gt;&lt;lastName&gt;Pastinen&lt;/lastName&gt;&lt;/author&gt;&lt;author&gt;&lt;firstName&gt;Soumya&lt;/firstName&gt;&lt;lastName&gt;Raychaudhuri&lt;/lastName&gt;&lt;/author&gt;&lt;author&gt;&lt;firstName&gt;Jane&lt;/firstName&gt;&lt;middleNames&gt;A&lt;/middleNames&gt;&lt;lastName&gt;Cauley&lt;/lastName&gt;&lt;/author&gt;&lt;author&gt;&lt;firstName&gt;Daniel&lt;/firstName&gt;&lt;middleNames&gt;I&lt;/middleNames&gt;&lt;lastName&gt;Chasman&lt;/lastName&gt;&lt;/author&gt;&lt;author&gt;&lt;firstName&gt;Graeme&lt;/firstName&gt;&lt;middleNames&gt;R&lt;/middleNames&gt;&lt;lastName&gt;Clark&lt;/lastName&gt;&lt;/author&gt;&lt;author&gt;&lt;firstName&gt;Steven&lt;/firstName&gt;&lt;middleNames&gt;R&lt;/middleNames&gt;&lt;lastName&gt;Cummings&lt;/lastName&gt;&lt;/author&gt;&lt;author&gt;&lt;firstName&gt;Patrick&lt;/firstName&gt;&lt;lastName&gt;Danoy&lt;/lastName&gt;&lt;/author&gt;&lt;author&gt;&lt;firstName&gt;Elaine&lt;/firstName&gt;&lt;middleNames&gt;M&lt;/middleNames&gt;&lt;lastName&gt;Dennison&lt;/lastName&gt;&lt;/author&gt;&lt;author&gt;&lt;firstName&gt;Richard&lt;/firstName&gt;&lt;lastName&gt;Eastell&lt;/lastName&gt;&lt;/author&gt;&lt;author&gt;&lt;firstName&gt;John&lt;/firstName&gt;&lt;middleNames&gt;A&lt;/middleNames&gt;&lt;lastName&gt;Eisman&lt;/lastName&gt;&lt;/author&gt;&lt;author&gt;&lt;firstName&gt;Vilmundur&lt;/firstName&gt;&lt;lastName&gt;Gudnason&lt;/lastName&gt;&lt;/author&gt;&lt;author&gt;&lt;firstName&gt;Albert&lt;/firstName&gt;&lt;lastName&gt;Hofman&lt;/lastName&gt;&lt;/author&gt;&lt;author&gt;&lt;firstName&gt;Rebecca&lt;/firstName&gt;&lt;middleNames&gt;D&lt;/middleNames&gt;&lt;lastName&gt;Jackson&lt;/lastName&gt;&lt;/author&gt;&lt;author&gt;&lt;firstName&gt;Graeme&lt;/firstName&gt;&lt;lastName&gt;Jones&lt;/lastName&gt;&lt;/author&gt;&lt;author&gt;&lt;firstName&gt;J&lt;/firstName&gt;&lt;middleNames&gt;Wouter&lt;/middleNames&gt;&lt;lastName&gt;Jukema&lt;/lastName&gt;&lt;/author&gt;&lt;author&gt;&lt;firstName&gt;Kay-Tee&lt;/firstName&gt;&lt;lastName&gt;Khaw&lt;/lastName&gt;&lt;/author&gt;&lt;author&gt;&lt;firstName&gt;Terho&lt;/firstName&gt;&lt;middleNames&gt;Lehtim auml&lt;/middleNames&gt;&lt;lastName&gt;ki&lt;/lastName&gt;&lt;/author&gt;&lt;author&gt;&lt;firstName&gt;Yongmei&lt;/firstName&gt;&lt;lastName&gt;Liu&lt;/lastName&gt;&lt;/author&gt;&lt;author&gt;&lt;firstName&gt;Mattias&lt;/firstName&gt;&lt;lastName&gt;Lorentzon&lt;/lastName&gt;&lt;/author&gt;&lt;author&gt;&lt;firstName&gt;Eugene&lt;/firstName&gt;&lt;lastName&gt;McCloskey&lt;/lastName&gt;&lt;/author&gt;&lt;author&gt;&lt;firstName&gt;Braxton&lt;/firstName&gt;&lt;middleNames&gt;D&lt;/middleNames&gt;&lt;lastName&gt;Mitchell&lt;/lastName&gt;&lt;/author&gt;&lt;author&gt;&lt;firstName&gt;Kannabiran&lt;/firstName&gt;&lt;lastName&gt;Nandakumar&lt;/lastName&gt;&lt;/author&gt;&lt;author&gt;&lt;firstName&gt;Geoffrey&lt;/firstName&gt;&lt;middleNames&gt;C&lt;/middleNames&gt;&lt;lastName&gt;Nicholson&lt;/lastName&gt;&lt;/author&gt;&lt;author&gt;&lt;nonDroppingParticle&gt;Ben&lt;/nonDroppingParticle&gt;&lt;lastName&gt;A Oostra&lt;/lastName&gt;&lt;/author&gt;&lt;author&gt;&lt;firstName&gt;Munro&lt;/firstName&gt;&lt;lastName&gt;Peacock&lt;/lastName&gt;&lt;/author&gt;&lt;author&gt;&lt;firstName&gt;Huibert&lt;/firstName&gt;&lt;middleNames&gt;A P&lt;/middleNames&gt;&lt;lastName&gt;Pols&lt;/lastName&gt;&lt;/author&gt;&lt;author&gt;&lt;firstName&gt;Richard&lt;/firstName&gt;&lt;middleNames&gt;L&lt;/middleNames&gt;&lt;lastName&gt;Prince&lt;/lastName&gt;&lt;/author&gt;&lt;author&gt;&lt;firstName&gt;Olli&lt;/firstName&gt;&lt;lastName&gt;Raitakari&lt;/lastName&gt;&lt;/author&gt;&lt;author&gt;&lt;firstName&gt;Ian&lt;/firstName&gt;&lt;middleNames&gt;R&lt;/middleNames&gt;&lt;lastName&gt;Reid&lt;/lastName&gt;&lt;/author&gt;&lt;author&gt;&lt;firstName&gt;John&lt;/firstName&gt;&lt;lastName&gt;Robbins&lt;/lastName&gt;&lt;/author&gt;&lt;author&gt;&lt;firstName&gt;Philip&lt;/firstName&gt;&lt;middleNames&gt;N&lt;/middleNames&gt;&lt;lastName&gt;Sambrook&lt;/lastName&gt;&lt;/author&gt;&lt;author&gt;&lt;firstName&gt;Pak&lt;/firstName&gt;&lt;middleNames&gt;Chung&lt;/middleNames&gt;&lt;lastName&gt;Sham&lt;/lastName&gt;&lt;/author&gt;&lt;author&gt;&lt;firstName&gt;Alan&lt;/firstName&gt;&lt;middleNames&gt;R&lt;/middleNames&gt;&lt;lastName&gt;Shuldiner&lt;/lastName&gt;&lt;/author&gt;&lt;author&gt;&lt;firstName&gt;Frances&lt;/firstName&gt;&lt;middleNames&gt;A&lt;/middleNames&gt;&lt;lastName&gt;Tylavsky&lt;/lastName&gt;&lt;/author&gt;&lt;author&gt;&lt;lastName&gt;Duijn&lt;/lastName&gt;&lt;nonDroppingParticle&gt;van&lt;/nonDroppingParticle&gt;&lt;firstName&gt;Cornelia&lt;/firstName&gt;&lt;middleNames&gt;M&lt;/middleNames&gt;&lt;/author&gt;&lt;author&gt;&lt;firstName&gt;Nick&lt;/firstName&gt;&lt;middleNames&gt;J&lt;/middleNames&gt;&lt;lastName&gt;Wareham&lt;/lastName&gt;&lt;/author&gt;&lt;author&gt;&lt;firstName&gt;L&lt;/firstName&gt;&lt;middleNames&gt;Adrienne&lt;/middleNames&gt;&lt;lastName&gt;Cupples&lt;/lastName&gt;&lt;/author&gt;&lt;author&gt;&lt;firstName&gt;Michael&lt;/firstName&gt;&lt;middleNames&gt;J&lt;/middleNames&gt;&lt;lastName&gt;Econs&lt;/lastName&gt;&lt;/author&gt;&lt;author&gt;&lt;firstName&gt;David&lt;/firstName&gt;&lt;middleNames&gt;M&lt;/middleNames&gt;&lt;lastName&gt;Evans&lt;/lastName&gt;&lt;/author&gt;&lt;author&gt;&lt;firstName&gt;Tamara&lt;/firstName&gt;&lt;middleNames&gt;B&lt;/middleNames&gt;&lt;lastName&gt;Harris&lt;/lastName&gt;&lt;/author&gt;&lt;author&gt;&lt;firstName&gt;Annie&lt;/firstName&gt;&lt;middleNames&gt;Wai Chee&lt;/middleNames&gt;&lt;lastName&gt;Kung&lt;/lastName&gt;&lt;/author&gt;&lt;author&gt;&lt;firstName&gt;Bruce&lt;/firstName&gt;&lt;middleNames&gt;M&lt;/middleNames&gt;&lt;lastName&gt;Psaty&lt;/lastName&gt;&lt;/author&gt;&lt;author&gt;&lt;firstName&gt;Jonathan&lt;/firstName&gt;&lt;lastName&gt;Reeve&lt;/lastName&gt;&lt;/author&gt;&lt;author&gt;&lt;firstName&gt;Timothy&lt;/firstName&gt;&lt;middleNames&gt;D&lt;/middleNames&gt;&lt;lastName&gt;Spector&lt;/lastName&gt;&lt;/author&gt;&lt;author&gt;&lt;firstName&gt;Elizabeth&lt;/firstName&gt;&lt;middleNames&gt;A&lt;/middleNames&gt;&lt;lastName&gt;Streeten&lt;/lastName&gt;&lt;/author&gt;&lt;author&gt;&lt;firstName&gt;M&lt;/firstName&gt;&lt;middleNames&gt;Carola&lt;/middleNames&gt;&lt;lastName&gt;Zillikens&lt;/lastName&gt;&lt;/author&gt;&lt;author&gt;&lt;firstName&gt;Unnur&lt;/firstName&gt;&lt;lastName&gt;Thorsteinsdottir&lt;/lastName&gt;&lt;/author&gt;&lt;author&gt;&lt;firstName&gt;Claes&lt;/firstName&gt;&lt;lastName&gt;Ohlsson&lt;/lastName&gt;&lt;/author&gt;&lt;author&gt;&lt;firstName&gt;David&lt;/firstName&gt;&lt;lastName&gt;Karasik&lt;/lastName&gt;&lt;/author&gt;&lt;author&gt;&lt;firstName&gt;J&lt;/firstName&gt;&lt;middleNames&gt;Brent&lt;/middleNames&gt;&lt;lastName&gt;Richards&lt;/lastName&gt;&lt;/author&gt;&lt;author&gt;&lt;firstName&gt;Matthew&lt;/firstName&gt;&lt;middleNames&gt;A&lt;/middleNames&gt;&lt;lastName&gt;Brown&lt;/lastName&gt;&lt;/author&gt;&lt;author&gt;&lt;firstName&gt;Kari&lt;/firstName&gt;&lt;lastName&gt;Stefansson&lt;/lastName&gt;&lt;/author&gt;&lt;author&gt;&lt;firstName&gt;Andr&lt;/firstName&gt;&lt;middleNames&gt;eacute G&lt;/middleNames&gt;&lt;lastName&gt;Uitterlinden&lt;/lastName&gt;&lt;/author&gt;&lt;author&gt;&lt;firstName&gt;Stuart&lt;/firstName&gt;&lt;middleNames&gt;H&lt;/middleNames&gt;&lt;lastName&gt;Ralston&lt;/lastName&gt;&lt;/author&gt;&lt;author&gt;&lt;firstName&gt;John&lt;/firstName&gt;&lt;middleNames&gt;P A&lt;/middleNames&gt;&lt;lastName&gt;Ioannidis&lt;/lastName&gt;&lt;/author&gt;&lt;author&gt;&lt;firstName&gt;Douglas&lt;/firstName&gt;&lt;middleNames&gt;P&lt;/middleNames&gt;&lt;lastName&gt;Kiel&lt;/lastName&gt;&lt;/author&gt;&lt;author&gt;&lt;firstName&gt;Fernando&lt;/firstName&gt;&lt;lastName&gt;Rivadeneira&lt;/lastName&gt;&lt;/author&gt;&lt;/authors&gt;&lt;/publication&gt;&lt;/publications&gt;&lt;cites&gt;&lt;/cites&gt;&lt;/citation&gt;</w:instrText>
      </w:r>
      <w:r w:rsidR="00BD0BFA">
        <w:rPr>
          <w:rFonts w:cs="Arial"/>
          <w:szCs w:val="20"/>
        </w:rPr>
        <w:fldChar w:fldCharType="separate"/>
      </w:r>
      <w:r w:rsidR="002D628F">
        <w:rPr>
          <w:rFonts w:cs="Times New Roman"/>
          <w:szCs w:val="20"/>
          <w:vertAlign w:val="superscript"/>
        </w:rPr>
        <w:t>13</w:t>
      </w:r>
      <w:r w:rsidR="00BD0BFA">
        <w:rPr>
          <w:rFonts w:cs="Arial"/>
          <w:szCs w:val="20"/>
        </w:rPr>
        <w:fldChar w:fldCharType="end"/>
      </w:r>
      <w:r w:rsidR="00A73E0F">
        <w:rPr>
          <w:rFonts w:cs="Arial"/>
          <w:szCs w:val="20"/>
        </w:rPr>
        <w:t xml:space="preserve"> except for </w:t>
      </w:r>
      <w:proofErr w:type="spellStart"/>
      <w:r w:rsidR="00A73E0F">
        <w:rPr>
          <w:rFonts w:cs="Arial"/>
          <w:szCs w:val="20"/>
        </w:rPr>
        <w:t>MrOs</w:t>
      </w:r>
      <w:proofErr w:type="spellEnd"/>
      <w:r w:rsidR="00A73E0F">
        <w:rPr>
          <w:rFonts w:cs="Arial"/>
          <w:szCs w:val="20"/>
        </w:rPr>
        <w:t xml:space="preserve"> and SOF. </w:t>
      </w:r>
      <w:r w:rsidR="005D4871" w:rsidRPr="005D3AD8">
        <w:rPr>
          <w:rFonts w:eastAsia="Times New Roman" w:cs="Arial"/>
          <w:color w:val="000000"/>
          <w:szCs w:val="20"/>
        </w:rPr>
        <w:t xml:space="preserve">Genotyping of </w:t>
      </w:r>
      <w:proofErr w:type="spellStart"/>
      <w:r w:rsidR="005D4871" w:rsidRPr="005D3AD8">
        <w:rPr>
          <w:rFonts w:eastAsia="Times New Roman" w:cs="Arial"/>
          <w:color w:val="000000"/>
          <w:szCs w:val="20"/>
        </w:rPr>
        <w:t>MrOS</w:t>
      </w:r>
      <w:proofErr w:type="spellEnd"/>
      <w:r w:rsidR="005D4871" w:rsidRPr="005D3AD8">
        <w:rPr>
          <w:rFonts w:eastAsia="Times New Roman" w:cs="Arial"/>
          <w:color w:val="000000"/>
          <w:szCs w:val="20"/>
        </w:rPr>
        <w:t xml:space="preserve"> and SOF was performed using the Illumina HumanOmni1_Quad_v1-0 B array at the Broad Institute, Cambridge, MA. Genotypes were called using the Illumina’s </w:t>
      </w:r>
      <w:proofErr w:type="spellStart"/>
      <w:r w:rsidR="005D4871" w:rsidRPr="005D3AD8">
        <w:rPr>
          <w:rFonts w:eastAsia="Times New Roman" w:cs="Arial"/>
          <w:color w:val="000000"/>
          <w:szCs w:val="20"/>
        </w:rPr>
        <w:t>BeadStudio</w:t>
      </w:r>
      <w:proofErr w:type="spellEnd"/>
      <w:r w:rsidR="005D4871" w:rsidRPr="005D3AD8">
        <w:rPr>
          <w:rFonts w:eastAsia="Times New Roman" w:cs="Arial"/>
          <w:color w:val="000000"/>
          <w:szCs w:val="20"/>
        </w:rPr>
        <w:t xml:space="preserve"> calling algorithm. The sample quality control exclusion criteria were sample call rate &lt; 97%, excessive autosomal heterozygo</w:t>
      </w:r>
      <w:r w:rsidR="00061115">
        <w:rPr>
          <w:rFonts w:eastAsia="Times New Roman" w:cs="Arial"/>
          <w:color w:val="000000"/>
          <w:szCs w:val="20"/>
        </w:rPr>
        <w:t>s</w:t>
      </w:r>
      <w:r w:rsidR="005D4871" w:rsidRPr="005D3AD8">
        <w:rPr>
          <w:rFonts w:eastAsia="Times New Roman" w:cs="Arial"/>
          <w:color w:val="000000"/>
          <w:szCs w:val="20"/>
        </w:rPr>
        <w:t>ity, first and second degree relatives, genotypic sex mismatch using X and Y chromosome probe intensities and gross chromosome abnormalities.</w:t>
      </w:r>
    </w:p>
    <w:p w14:paraId="180AC3BB" w14:textId="67284DF1" w:rsidR="00604DDC" w:rsidRPr="00C1403A" w:rsidRDefault="006560F6" w:rsidP="00BB50A1">
      <w:pPr>
        <w:pStyle w:val="Heading3"/>
        <w:rPr>
          <w:rFonts w:cs="Arial"/>
          <w:szCs w:val="20"/>
        </w:rPr>
      </w:pPr>
      <w:r w:rsidRPr="000A1EBB">
        <w:t xml:space="preserve">Imputation of Whole </w:t>
      </w:r>
      <w:r w:rsidR="008172C7" w:rsidRPr="000A1EBB">
        <w:t>Genome Genotyped Cohorts</w:t>
      </w:r>
    </w:p>
    <w:p w14:paraId="70038D1C" w14:textId="2DF7B471" w:rsidR="00915436" w:rsidRPr="000A1EBB" w:rsidRDefault="00C2791B" w:rsidP="000A1EBB">
      <w:pPr>
        <w:rPr>
          <w:rFonts w:cs="Arial"/>
          <w:szCs w:val="20"/>
        </w:rPr>
      </w:pPr>
      <w:r>
        <w:rPr>
          <w:rFonts w:cs="Arial"/>
          <w:szCs w:val="20"/>
        </w:rPr>
        <w:t xml:space="preserve">All samples were imputed using the same reference panel and pipeline. </w:t>
      </w:r>
      <w:r w:rsidR="00915436" w:rsidRPr="000A1EBB">
        <w:rPr>
          <w:rFonts w:cs="Arial"/>
          <w:szCs w:val="20"/>
        </w:rPr>
        <w:t>Before imputation, the phased UK10K haplotypes (3,781 samples) were merged with 1000 Genome haplotypes (1,092 samples) using IMPUTE2</w:t>
      </w:r>
      <w:r w:rsidR="00BD0BFA">
        <w:rPr>
          <w:rFonts w:cs="Arial"/>
          <w:szCs w:val="20"/>
        </w:rPr>
        <w:fldChar w:fldCharType="begin"/>
      </w:r>
      <w:r w:rsidR="00735D55">
        <w:rPr>
          <w:rFonts w:cs="Arial"/>
          <w:szCs w:val="20"/>
        </w:rPr>
        <w:instrText xml:space="preserve"> ADDIN PAPERS2_CITATIONS &lt;citation&gt;&lt;uuid&gt;5166D74D-36DE-4E36-B91F-50759E475E7E&lt;/uuid&gt;&lt;priority&gt;12&lt;/priority&gt;&lt;publications&gt;&lt;publication&gt;&lt;uuid&gt;AAA95BE4-3CE1-4109-B77E-586E4EC3AA30&lt;/uuid&gt;&lt;volume&gt;5&lt;/volume&gt;&lt;accepted_date&gt;99200905201200000000222000&lt;/accepted_date&gt;&lt;doi&gt;10.1371/journal.pgen.1000529&lt;/doi&gt;&lt;startpage&gt;e1000529&lt;/startpage&gt;&lt;publication_date&gt;99200906001200000000220000&lt;/publication_date&gt;&lt;url&gt;http://eutils.ncbi.nlm.nih.gov/entrez/eutils/elink.fcgi?dbfrom=pubmed&amp;amp;id=19543373&amp;amp;retmode=ref&amp;amp;cmd=prlinks&lt;/url&gt;&lt;citekey&gt;Howie:2009ip&lt;/citekey&gt;&lt;type&gt;400&lt;/type&gt;&lt;title&gt;A flexible and accurate genotype imputation method for the next generation of genome-wide association studies.&lt;/title&gt;&lt;location&gt;&amp;lt;html&amp;gt;&amp;lt;head&amp;gt;&amp;lt;meta http-equiv="content-type" content="text/html; charset=utf-8"/&amp;gt;&amp;lt;title&amp;gt;Sorry...&amp;lt;/title&amp;gt;&amp;lt;style&amp;gt; body { font-family: verdana, arial, sans-serif; background-color: #fff; color: #000; }&amp;lt;/style&amp;gt;&amp;lt;/head&amp;gt;&amp;lt;body&amp;gt;&amp;lt;div&amp;gt;&amp;lt;table&amp;gt;&amp;lt;tr&amp;gt;&amp;lt;td&amp;gt;&amp;lt;b&amp;gt;&amp;lt;font face=times color=#0039b6 size=10&amp;gt;G&amp;lt;/font&amp;gt;&amp;lt;font face=times color=#c41200 size=10&amp;gt;o&amp;lt;/font&amp;gt;&amp;lt;font face=times color=#f3c518 size=10&amp;gt;o&amp;lt;/font&amp;gt;&amp;lt;font face=times color=#0039b6 size=10&amp;gt;g&amp;lt;/font&amp;gt;&amp;lt;font face=times color=#30a72f size=10&amp;gt;l&amp;lt;/font&amp;gt;&amp;lt;font face=times color=#c41200 size=10&amp;gt;e&amp;lt;/font&amp;gt;&amp;lt;/b&amp;gt;&amp;lt;/td&amp;gt;&amp;lt;td style="text-align: left; vertical-align: bottom; padding-bottom: 15px; width: 50%"&amp;gt;&amp;lt;div style="border-bottom: 1px solid #dfdfdf;"&amp;gt;Sorry...&amp;lt;/div&amp;gt;&amp;lt;/td&amp;gt;&amp;lt;/tr&amp;gt;&amp;lt;/table&amp;gt;&amp;lt;/div&amp;gt;&amp;lt;div style="margin-left: 4em;"&amp;gt;&amp;lt;h1&amp;gt;We're sorry...&amp;lt;/h1&amp;gt;&amp;lt;p&amp;gt;... but your computer or network may be sending automated queries. To protect our users, we can't process your request right now.&amp;lt;/p&amp;gt;&amp;lt;/div&amp;gt;&amp;lt;div style="margin-left: 4em;"&amp;gt;See &amp;lt;a href="https://support.google.com/websearch/answer/86640"&amp;gt;Google Help&amp;lt;/a&amp;gt; for more information.&amp;lt;br/&amp;gt;&amp;lt;br/&amp;gt;&amp;lt;/div&amp;gt;&amp;lt;div style="text-align: center; border-top: 1px solid #dfdfdf;"&amp;gt;&amp;amp;copy; 2013 Google - &amp;lt;a href="https://www.google.com"&amp;gt;Google Home&amp;lt;/a&amp;gt;&amp;lt;/div&amp;gt;&amp;lt;/body&amp;gt;&amp;lt;/html&amp;gt;&lt;/location&gt;&lt;submission_date&gt;99200812151200000000222000&lt;/submission_date&gt;&lt;number&gt;6&lt;/number&gt;&lt;institution&gt;Department of Statistics, University of Oxford, Oxford, UK.&lt;/institution&gt;&lt;subtype&gt;400&lt;/subtype&gt;&lt;bundle&gt;&lt;publication&gt;&lt;publisher&gt;Public Library of Science&lt;/publisher&gt;&lt;url&gt;http://www.plosgenetics.org&lt;/url&gt;&lt;title&gt;PLoS genetics&lt;/title&gt;&lt;type&gt;-100&lt;/type&gt;&lt;subtype&gt;-100&lt;/subtype&gt;&lt;uuid&gt;DB9B2F2F-E187-46C2-839A-2F5D0B1F6485&lt;/uuid&gt;&lt;/publication&gt;&lt;/bundle&gt;&lt;authors&gt;&lt;author&gt;&lt;firstName&gt;Bryan&lt;/firstName&gt;&lt;middleNames&gt;N&lt;/middleNames&gt;&lt;lastName&gt;Howie&lt;/lastName&gt;&lt;/author&gt;&lt;author&gt;&lt;firstName&gt;Peter&lt;/firstName&gt;&lt;lastName&gt;Donnelly&lt;/lastName&gt;&lt;/author&gt;&lt;author&gt;&lt;firstName&gt;Jonathan&lt;/firstName&gt;&lt;lastName&gt;Marchini&lt;/lastName&gt;&lt;/author&gt;&lt;/authors&gt;&lt;/publication&gt;&lt;/publications&gt;&lt;cites&gt;&lt;/cites&gt;&lt;/citation&gt;</w:instrText>
      </w:r>
      <w:r w:rsidR="00BD0BFA">
        <w:rPr>
          <w:rFonts w:cs="Arial"/>
          <w:szCs w:val="20"/>
        </w:rPr>
        <w:fldChar w:fldCharType="separate"/>
      </w:r>
      <w:r w:rsidR="002D628F">
        <w:rPr>
          <w:rFonts w:cs="Times New Roman"/>
          <w:szCs w:val="20"/>
          <w:vertAlign w:val="superscript"/>
        </w:rPr>
        <w:t>14</w:t>
      </w:r>
      <w:r w:rsidR="00BD0BFA">
        <w:rPr>
          <w:rFonts w:cs="Arial"/>
          <w:szCs w:val="20"/>
        </w:rPr>
        <w:fldChar w:fldCharType="end"/>
      </w:r>
      <w:r w:rsidR="00CE0246">
        <w:rPr>
          <w:rFonts w:cs="Arial"/>
          <w:szCs w:val="20"/>
        </w:rPr>
        <w:t>.</w:t>
      </w:r>
      <w:r w:rsidR="003A40F0">
        <w:rPr>
          <w:rFonts w:cs="Arial"/>
          <w:szCs w:val="20"/>
        </w:rPr>
        <w:t xml:space="preserve"> </w:t>
      </w:r>
      <w:r w:rsidR="00932915">
        <w:rPr>
          <w:rFonts w:cs="Arial"/>
          <w:szCs w:val="20"/>
        </w:rPr>
        <w:t>W</w:t>
      </w:r>
      <w:r w:rsidR="00915436" w:rsidRPr="000A1EBB">
        <w:rPr>
          <w:rFonts w:cs="Arial"/>
          <w:szCs w:val="20"/>
        </w:rPr>
        <w:t>e exclude</w:t>
      </w:r>
      <w:r w:rsidR="00555AE2">
        <w:rPr>
          <w:rFonts w:cs="Arial"/>
          <w:szCs w:val="20"/>
        </w:rPr>
        <w:t>d</w:t>
      </w:r>
      <w:r w:rsidR="00915436" w:rsidRPr="000A1EBB">
        <w:rPr>
          <w:rFonts w:cs="Arial"/>
          <w:szCs w:val="20"/>
        </w:rPr>
        <w:t xml:space="preserve"> singletons in both reference panels before merging. To account for the fact that each panel might contain sites that are not present in the other panel, we imputed the missing variants </w:t>
      </w:r>
      <w:r w:rsidR="00555AE2">
        <w:rPr>
          <w:rFonts w:cs="Arial"/>
          <w:szCs w:val="20"/>
        </w:rPr>
        <w:t xml:space="preserve">from each study into the other study </w:t>
      </w:r>
      <w:r w:rsidR="00915436" w:rsidRPr="000A1EBB">
        <w:rPr>
          <w:rFonts w:cs="Arial"/>
          <w:szCs w:val="20"/>
        </w:rPr>
        <w:t>and then combine</w:t>
      </w:r>
      <w:r w:rsidR="00555AE2">
        <w:rPr>
          <w:rFonts w:cs="Arial"/>
          <w:szCs w:val="20"/>
        </w:rPr>
        <w:t>d</w:t>
      </w:r>
      <w:r w:rsidR="00915436" w:rsidRPr="000A1EBB">
        <w:rPr>
          <w:rFonts w:cs="Arial"/>
          <w:szCs w:val="20"/>
        </w:rPr>
        <w:t xml:space="preserve"> the two reference panels </w:t>
      </w:r>
      <w:r w:rsidR="00555AE2">
        <w:rPr>
          <w:rFonts w:cs="Arial"/>
          <w:szCs w:val="20"/>
        </w:rPr>
        <w:t>as</w:t>
      </w:r>
      <w:r w:rsidR="00555AE2" w:rsidRPr="000A1EBB">
        <w:rPr>
          <w:rFonts w:cs="Arial"/>
          <w:szCs w:val="20"/>
        </w:rPr>
        <w:t xml:space="preserve"> </w:t>
      </w:r>
      <w:r w:rsidR="00915436" w:rsidRPr="000A1EBB">
        <w:rPr>
          <w:rFonts w:cs="Arial"/>
          <w:szCs w:val="20"/>
        </w:rPr>
        <w:t>the unio</w:t>
      </w:r>
      <w:r w:rsidR="00F44582">
        <w:rPr>
          <w:rFonts w:cs="Arial"/>
          <w:szCs w:val="20"/>
        </w:rPr>
        <w:t>n set of sites</w:t>
      </w:r>
      <w:r w:rsidR="00915436" w:rsidRPr="000A1EBB">
        <w:rPr>
          <w:rFonts w:cs="Arial"/>
          <w:szCs w:val="20"/>
        </w:rPr>
        <w:t>.</w:t>
      </w:r>
      <w:r w:rsidR="00BD0BFA">
        <w:rPr>
          <w:rFonts w:cs="Arial"/>
          <w:szCs w:val="20"/>
        </w:rPr>
        <w:fldChar w:fldCharType="begin"/>
      </w:r>
      <w:r w:rsidR="00735D55">
        <w:rPr>
          <w:rFonts w:cs="Arial"/>
          <w:szCs w:val="20"/>
        </w:rPr>
        <w:instrText xml:space="preserve"> ADDIN PAPERS2_CITATIONS &lt;citation&gt;&lt;uuid&gt;4FF7A0E6-27AE-43C9-AEF4-E0858A041413&lt;/uuid&gt;&lt;priority&gt;13&lt;/priority&gt;&lt;publications&gt;&lt;publication&gt;&lt;publication_date&gt;99201310241200000000222000&lt;/publication_date&gt;&lt;title&gt;Imputation Performance of ~4,000 genomes from the UK10K Project.&lt;/title&gt;&lt;citekey&gt;Huang:2013tm&lt;/citekey&gt;&lt;type&gt;400&lt;/type&gt;&lt;subtype&gt;420&lt;/subtype&gt;&lt;uuid&gt;D13AFAE8-FE82-489C-B093-CD80222C306E&lt;/uuid&gt;&lt;bundle&gt;&lt;publication&gt;&lt;title&gt;American Society of Human Genetics Annual Meeting&lt;/title&gt;&lt;type&gt;-200&lt;/type&gt;&lt;subtype&gt;-200&lt;/subtype&gt;&lt;uuid&gt;7DB61E48-70A4-4785-85CF-A9953DD4B9B1&lt;/uuid&gt;&lt;/publication&gt;&lt;/bundle&gt;&lt;authors&gt;&lt;author&gt;&lt;firstName&gt;J&lt;/firstName&gt;&lt;lastName&gt;Huang&lt;/lastName&gt;&lt;/author&gt;&lt;author&gt;&lt;firstName&gt;B&lt;/firstName&gt;&lt;lastName&gt;Howie&lt;/lastName&gt;&lt;/author&gt;&lt;author&gt;&lt;firstName&gt;J&lt;/firstName&gt;&lt;lastName&gt;Marchini&lt;/lastName&gt;&lt;/author&gt;&lt;/authors&gt;&lt;/publication&gt;&lt;/publications&gt;&lt;cites&gt;&lt;/cites&gt;&lt;/citation&gt;</w:instrText>
      </w:r>
      <w:r w:rsidR="00BD0BFA">
        <w:rPr>
          <w:rFonts w:cs="Arial"/>
          <w:szCs w:val="20"/>
        </w:rPr>
        <w:fldChar w:fldCharType="separate"/>
      </w:r>
      <w:r w:rsidR="002D628F">
        <w:rPr>
          <w:rFonts w:cs="Times New Roman"/>
          <w:szCs w:val="20"/>
          <w:vertAlign w:val="superscript"/>
        </w:rPr>
        <w:t>15</w:t>
      </w:r>
      <w:r w:rsidR="00BD0BFA">
        <w:rPr>
          <w:rFonts w:cs="Arial"/>
          <w:szCs w:val="20"/>
        </w:rPr>
        <w:fldChar w:fldCharType="end"/>
      </w:r>
      <w:r w:rsidR="00915436" w:rsidRPr="000A1EBB">
        <w:rPr>
          <w:rFonts w:cs="Arial"/>
          <w:szCs w:val="20"/>
        </w:rPr>
        <w:t xml:space="preserve"> A total of 41,992,162 variants were finally presented in the combined 9,746 haplotypes.</w:t>
      </w:r>
    </w:p>
    <w:p w14:paraId="53496382" w14:textId="77777777" w:rsidR="00915436" w:rsidRPr="00C1403A" w:rsidRDefault="00915436" w:rsidP="00C32303">
      <w:pPr>
        <w:rPr>
          <w:rFonts w:eastAsia="Times New Roman" w:cs="Arial"/>
          <w:szCs w:val="20"/>
        </w:rPr>
      </w:pPr>
    </w:p>
    <w:p w14:paraId="53663A37" w14:textId="4928437B" w:rsidR="00915436" w:rsidRDefault="00915436" w:rsidP="00BB50A1">
      <w:pPr>
        <w:rPr>
          <w:rFonts w:eastAsia="Times New Roman" w:cs="Arial"/>
          <w:szCs w:val="20"/>
        </w:rPr>
      </w:pPr>
      <w:r w:rsidRPr="000A1EBB">
        <w:rPr>
          <w:rFonts w:eastAsia="Times New Roman" w:cs="Arial"/>
          <w:szCs w:val="20"/>
        </w:rPr>
        <w:t>The GWAS data were pre-pha</w:t>
      </w:r>
      <w:r w:rsidR="00935B2A">
        <w:rPr>
          <w:rFonts w:eastAsia="Times New Roman" w:cs="Arial"/>
          <w:szCs w:val="20"/>
        </w:rPr>
        <w:t>sed first without a reference pane</w:t>
      </w:r>
      <w:r w:rsidRPr="000A1EBB">
        <w:rPr>
          <w:rFonts w:eastAsia="Times New Roman" w:cs="Arial"/>
          <w:szCs w:val="20"/>
        </w:rPr>
        <w:t>l, using best-guess haplotypes.</w:t>
      </w:r>
      <w:r w:rsidR="00BD0BFA">
        <w:rPr>
          <w:rFonts w:eastAsia="Times New Roman" w:cs="Arial"/>
          <w:szCs w:val="20"/>
        </w:rPr>
        <w:fldChar w:fldCharType="begin"/>
      </w:r>
      <w:r w:rsidR="00735D55">
        <w:rPr>
          <w:rFonts w:eastAsia="Times New Roman" w:cs="Arial"/>
          <w:szCs w:val="20"/>
        </w:rPr>
        <w:instrText xml:space="preserve"> ADDIN PAPERS2_CITATIONS &lt;citation&gt;&lt;uuid&gt;9D893D57-5416-4FED-9CAB-DB4C3A38CC85&lt;/uuid&gt;&lt;priority&gt;14&lt;/priority&gt;&lt;publications&gt;&lt;publication&gt;&lt;uuid&gt;0C99092F-771D-41A4-B2EC-C971C49343CF&lt;/uuid&gt;&lt;volume&gt;44&lt;/volume&gt;&lt;doi&gt;10.1038/ng.2354&lt;/doi&gt;&lt;startpage&gt;955&lt;/startpage&gt;&lt;publication_date&gt;99201207221200000000222000&lt;/publication_date&gt;&lt;url&gt;http://www.nature.com/doifinder/10.1038/ng.2354&lt;/url&gt;&lt;citekey&gt;Howie:2012ks&lt;/citekey&gt;&lt;type&gt;400&lt;/type&gt;&lt;title&gt;Fast and accurate genotype imputation in genome-wide association studies through pre-phasing&lt;/title&gt;&lt;number&gt;8&lt;/number&gt;&lt;subtype&gt;400&lt;/subtype&gt;&lt;endpage&gt;959&lt;/endpage&gt;&lt;bundle&gt;&lt;publication&gt;&lt;publisher&gt;Nature Publishing Group&lt;/publisher&gt;&lt;url&gt;http://www.nature.com.proxy1.library.mcgill.ca&lt;/url&gt;&lt;title&gt;Nature Publishing Group&lt;/title&gt;&lt;type&gt;-100&lt;/type&gt;&lt;subtype&gt;-100&lt;/subtype&gt;&lt;uuid&gt;300C7CB8-BEB5-4099-929A-BDE617D1A268&lt;/uuid&gt;&lt;/publication&gt;&lt;/bundle&gt;&lt;authors&gt;&lt;author&gt;&lt;firstName&gt;Bryan&lt;/firstName&gt;&lt;lastName&gt;Howie&lt;/lastName&gt;&lt;/author&gt;&lt;author&gt;&lt;firstName&gt;Christian&lt;/firstName&gt;&lt;lastName&gt;Fuchsberger&lt;/lastName&gt;&lt;/author&gt;&lt;author&gt;&lt;firstName&gt;Matthew&lt;/firstName&gt;&lt;lastName&gt;Stephens&lt;/lastName&gt;&lt;/author&gt;&lt;author&gt;&lt;firstName&gt;Jonathan&lt;/firstName&gt;&lt;lastName&gt;Marchini&lt;/lastName&gt;&lt;/author&gt;&lt;author&gt;&lt;firstName&gt;Gonçalo&lt;/firstName&gt;&lt;middleNames&gt;R&lt;/middleNames&gt;&lt;lastName&gt;Abecasis&lt;/lastName&gt;&lt;/author&gt;&lt;/authors&gt;&lt;/publication&gt;&lt;/publications&gt;&lt;cites&gt;&lt;/cites&gt;&lt;/citation&gt;</w:instrText>
      </w:r>
      <w:r w:rsidR="00BD0BFA">
        <w:rPr>
          <w:rFonts w:eastAsia="Times New Roman" w:cs="Arial"/>
          <w:szCs w:val="20"/>
        </w:rPr>
        <w:fldChar w:fldCharType="separate"/>
      </w:r>
      <w:r w:rsidR="002D628F">
        <w:rPr>
          <w:rFonts w:cs="Times New Roman"/>
          <w:szCs w:val="20"/>
          <w:vertAlign w:val="superscript"/>
        </w:rPr>
        <w:t>16</w:t>
      </w:r>
      <w:r w:rsidR="00BD0BFA">
        <w:rPr>
          <w:rFonts w:eastAsia="Times New Roman" w:cs="Arial"/>
          <w:szCs w:val="20"/>
        </w:rPr>
        <w:fldChar w:fldCharType="end"/>
      </w:r>
      <w:r w:rsidRPr="000A1EBB">
        <w:rPr>
          <w:rFonts w:eastAsia="Times New Roman" w:cs="Arial"/>
          <w:szCs w:val="20"/>
        </w:rPr>
        <w:t xml:space="preserve"> Then variants </w:t>
      </w:r>
      <w:r w:rsidR="00D655A3">
        <w:rPr>
          <w:rFonts w:eastAsia="Times New Roman" w:cs="Arial"/>
          <w:szCs w:val="20"/>
        </w:rPr>
        <w:t xml:space="preserve">from the combined UK10K/1000Genomes reference panel </w:t>
      </w:r>
      <w:r w:rsidRPr="000A1EBB">
        <w:rPr>
          <w:rFonts w:eastAsia="Times New Roman" w:cs="Arial"/>
          <w:szCs w:val="20"/>
        </w:rPr>
        <w:t>were imputed into the best-guess haplotypes of genome wide genotyped cohorts</w:t>
      </w:r>
      <w:r w:rsidR="00153B71">
        <w:rPr>
          <w:rFonts w:eastAsia="Times New Roman" w:cs="Arial"/>
          <w:szCs w:val="20"/>
        </w:rPr>
        <w:t xml:space="preserve">. </w:t>
      </w:r>
      <w:r w:rsidRPr="000A1EBB">
        <w:rPr>
          <w:rFonts w:eastAsia="Times New Roman" w:cs="Arial"/>
          <w:szCs w:val="20"/>
        </w:rPr>
        <w:t xml:space="preserve">IMPUTE2 reports an information (info) metric as a measurement of post-imputation quality. The info metric typically takes values between 0 and 1. A value near 1 indicates a </w:t>
      </w:r>
      <w:r w:rsidR="00F26D05">
        <w:rPr>
          <w:rFonts w:eastAsia="Times New Roman" w:cs="Arial"/>
          <w:szCs w:val="20"/>
        </w:rPr>
        <w:t>SNV</w:t>
      </w:r>
      <w:r w:rsidRPr="000A1EBB">
        <w:rPr>
          <w:rFonts w:eastAsia="Times New Roman" w:cs="Arial"/>
          <w:szCs w:val="20"/>
        </w:rPr>
        <w:t xml:space="preserve"> has been imputed with high certainty, whereas a value of 0 means that there is complete uncertainty about the genotypes. The info metric is used to filter poorly imputed </w:t>
      </w:r>
      <w:r w:rsidR="00F26D05">
        <w:rPr>
          <w:rFonts w:eastAsia="Times New Roman" w:cs="Arial"/>
          <w:szCs w:val="20"/>
        </w:rPr>
        <w:t>SNV</w:t>
      </w:r>
      <w:r w:rsidRPr="000A1EBB">
        <w:rPr>
          <w:rFonts w:eastAsia="Times New Roman" w:cs="Arial"/>
          <w:szCs w:val="20"/>
        </w:rPr>
        <w:t xml:space="preserve">s. We applied a cutoff of </w:t>
      </w:r>
      <w:r w:rsidR="00153B71">
        <w:rPr>
          <w:rFonts w:eastAsia="Times New Roman" w:cs="Arial"/>
          <w:szCs w:val="20"/>
        </w:rPr>
        <w:t xml:space="preserve">an info score of </w:t>
      </w:r>
      <w:r w:rsidRPr="000A1EBB">
        <w:rPr>
          <w:rFonts w:eastAsia="Times New Roman" w:cs="Arial"/>
          <w:szCs w:val="20"/>
        </w:rPr>
        <w:t xml:space="preserve">0.4 to </w:t>
      </w:r>
      <w:r w:rsidR="00153B71">
        <w:rPr>
          <w:rFonts w:eastAsia="Times New Roman" w:cs="Arial"/>
          <w:szCs w:val="20"/>
        </w:rPr>
        <w:t xml:space="preserve">all included </w:t>
      </w:r>
      <w:r w:rsidR="00F26D05">
        <w:rPr>
          <w:rFonts w:eastAsia="Times New Roman" w:cs="Arial"/>
          <w:szCs w:val="20"/>
        </w:rPr>
        <w:t>SNV</w:t>
      </w:r>
      <w:r w:rsidR="00153B71">
        <w:rPr>
          <w:rFonts w:eastAsia="Times New Roman" w:cs="Arial"/>
          <w:szCs w:val="20"/>
        </w:rPr>
        <w:t xml:space="preserve">s in the </w:t>
      </w:r>
      <w:r w:rsidR="00153B71" w:rsidRPr="00AB6796">
        <w:rPr>
          <w:rFonts w:eastAsia="Times New Roman" w:cs="Arial"/>
          <w:szCs w:val="20"/>
        </w:rPr>
        <w:t>association analysis</w:t>
      </w:r>
      <w:r w:rsidRPr="00AB6796">
        <w:rPr>
          <w:rFonts w:eastAsia="Times New Roman" w:cs="Arial"/>
          <w:szCs w:val="20"/>
        </w:rPr>
        <w:t xml:space="preserve">. </w:t>
      </w:r>
      <w:r w:rsidR="00654137" w:rsidRPr="00AB6796">
        <w:rPr>
          <w:rFonts w:cs="Arial"/>
          <w:b/>
          <w:szCs w:val="20"/>
        </w:rPr>
        <w:t xml:space="preserve">Supplementary </w:t>
      </w:r>
      <w:r w:rsidR="00AC2260" w:rsidRPr="00AB6796">
        <w:rPr>
          <w:rFonts w:eastAsia="Times New Roman" w:cs="Arial"/>
          <w:b/>
          <w:szCs w:val="20"/>
        </w:rPr>
        <w:t xml:space="preserve">Table </w:t>
      </w:r>
      <w:r w:rsidR="00393FA8" w:rsidRPr="00AB6796">
        <w:rPr>
          <w:rFonts w:eastAsia="Times New Roman" w:cs="Arial"/>
          <w:b/>
          <w:szCs w:val="20"/>
        </w:rPr>
        <w:t>2</w:t>
      </w:r>
      <w:r w:rsidR="008972DC">
        <w:rPr>
          <w:rFonts w:eastAsia="Times New Roman" w:cs="Arial"/>
          <w:b/>
          <w:szCs w:val="20"/>
        </w:rPr>
        <w:t>3</w:t>
      </w:r>
      <w:r w:rsidR="0064393A" w:rsidRPr="00AB6796">
        <w:rPr>
          <w:rFonts w:eastAsia="Times New Roman" w:cs="Arial"/>
          <w:szCs w:val="20"/>
        </w:rPr>
        <w:t xml:space="preserve"> </w:t>
      </w:r>
      <w:r w:rsidR="00AC2260" w:rsidRPr="00AB6796">
        <w:rPr>
          <w:rFonts w:eastAsia="Times New Roman" w:cs="Arial"/>
          <w:szCs w:val="20"/>
        </w:rPr>
        <w:t>denotes cohort-level imputation statistics.</w:t>
      </w:r>
      <w:r w:rsidR="00614101" w:rsidRPr="00AB6796">
        <w:rPr>
          <w:rFonts w:eastAsia="Times New Roman" w:cs="Arial"/>
          <w:szCs w:val="20"/>
        </w:rPr>
        <w:t xml:space="preserve"> Separating the phasing and</w:t>
      </w:r>
      <w:r w:rsidR="00614101" w:rsidRPr="000A1EBB">
        <w:rPr>
          <w:rFonts w:eastAsia="Times New Roman" w:cs="Arial"/>
          <w:szCs w:val="20"/>
        </w:rPr>
        <w:t xml:space="preserve"> imputation steps in this way is beneficial because most of the </w:t>
      </w:r>
      <w:r w:rsidR="00614101">
        <w:rPr>
          <w:rFonts w:eastAsia="Times New Roman" w:cs="Arial"/>
          <w:szCs w:val="20"/>
        </w:rPr>
        <w:t>computational</w:t>
      </w:r>
      <w:r w:rsidR="00614101" w:rsidRPr="000A1EBB">
        <w:rPr>
          <w:rFonts w:eastAsia="Times New Roman" w:cs="Arial"/>
          <w:szCs w:val="20"/>
        </w:rPr>
        <w:t xml:space="preserve"> burden of imputation comes from accounting for the unknown phase of the GWAS </w:t>
      </w:r>
      <w:r w:rsidR="00614101">
        <w:rPr>
          <w:rFonts w:eastAsia="Times New Roman" w:cs="Arial"/>
          <w:szCs w:val="20"/>
        </w:rPr>
        <w:t>samples</w:t>
      </w:r>
      <w:r w:rsidR="00614101" w:rsidRPr="000A1EBB">
        <w:rPr>
          <w:rFonts w:eastAsia="Times New Roman" w:cs="Arial"/>
          <w:szCs w:val="20"/>
        </w:rPr>
        <w:t>.</w:t>
      </w:r>
    </w:p>
    <w:p w14:paraId="3ED6431C" w14:textId="3A391EA5" w:rsidR="005E1461" w:rsidRPr="007B6A7D" w:rsidRDefault="005B3277" w:rsidP="00EF187A">
      <w:pPr>
        <w:pStyle w:val="Heading2"/>
      </w:pPr>
      <w:r>
        <w:t>Genome-wide Association of</w:t>
      </w:r>
      <w:r w:rsidR="00C9643B">
        <w:t xml:space="preserve"> BMD</w:t>
      </w:r>
    </w:p>
    <w:p w14:paraId="3CD966C2" w14:textId="7F491038" w:rsidR="005E1461" w:rsidRPr="00B14108" w:rsidRDefault="00DC6833" w:rsidP="00EF187A">
      <w:pPr>
        <w:pStyle w:val="Heading3"/>
      </w:pPr>
      <w:r w:rsidRPr="00B14108">
        <w:t xml:space="preserve">Single Variant </w:t>
      </w:r>
      <w:r w:rsidR="001A4D88" w:rsidRPr="00B14108">
        <w:t>Method</w:t>
      </w:r>
      <w:r w:rsidR="00B14108">
        <w:t>s</w:t>
      </w:r>
    </w:p>
    <w:p w14:paraId="1A7A64DC" w14:textId="72B8E65E" w:rsidR="009828BF" w:rsidRDefault="009828BF" w:rsidP="009828BF">
      <w:pPr>
        <w:rPr>
          <w:rFonts w:cs="Arial"/>
          <w:szCs w:val="20"/>
        </w:rPr>
      </w:pPr>
      <w:r>
        <w:rPr>
          <w:rFonts w:cs="Arial"/>
          <w:szCs w:val="20"/>
        </w:rPr>
        <w:t>Single variant association testing was undertaken using an additive model separately for each BMD site. BMD was defined a forearm (distal 1/3 of radius), lumbar spine</w:t>
      </w:r>
      <w:r w:rsidR="00B12E6E">
        <w:rPr>
          <w:rFonts w:cs="Arial"/>
          <w:szCs w:val="20"/>
        </w:rPr>
        <w:t xml:space="preserve"> (L1-4)</w:t>
      </w:r>
      <w:r>
        <w:rPr>
          <w:rFonts w:cs="Arial"/>
          <w:szCs w:val="20"/>
        </w:rPr>
        <w:t xml:space="preserve"> and femoral neck, as measured by DXA. Since different DXA machines have known systematic differences in BMD measurements, BMD was standardized within each cohort to have a mean of zero and a standard deviation of one. This also assists in interpretation of data since the effect size of each allele can therefore be measured in standard deviations. BMD was adjusted for age, age-squared, sex and weight. In sex-specific analyses, the sex term was removed.</w:t>
      </w:r>
    </w:p>
    <w:p w14:paraId="29E93AD1" w14:textId="77777777" w:rsidR="009828BF" w:rsidRDefault="009828BF" w:rsidP="009828BF">
      <w:pPr>
        <w:rPr>
          <w:rFonts w:cs="Arial"/>
          <w:szCs w:val="20"/>
        </w:rPr>
      </w:pPr>
    </w:p>
    <w:p w14:paraId="7E5085A3" w14:textId="1A72062B" w:rsidR="003855DB" w:rsidRDefault="009828BF" w:rsidP="009828BF">
      <w:pPr>
        <w:rPr>
          <w:rFonts w:cs="Arial"/>
          <w:szCs w:val="20"/>
        </w:rPr>
      </w:pPr>
      <w:r>
        <w:rPr>
          <w:rFonts w:cs="Arial"/>
          <w:szCs w:val="20"/>
        </w:rPr>
        <w:t xml:space="preserve">The type of software employed for single variant testing for each cohort </w:t>
      </w:r>
      <w:r w:rsidRPr="00AB6796">
        <w:rPr>
          <w:rFonts w:cs="Arial"/>
          <w:szCs w:val="20"/>
        </w:rPr>
        <w:t xml:space="preserve">is shown in </w:t>
      </w:r>
      <w:r w:rsidR="00F620DB" w:rsidRPr="00AB6796">
        <w:rPr>
          <w:rFonts w:cs="Arial"/>
          <w:b/>
          <w:szCs w:val="20"/>
        </w:rPr>
        <w:t xml:space="preserve">Supplementary </w:t>
      </w:r>
      <w:r w:rsidRPr="00AB6796">
        <w:rPr>
          <w:rFonts w:cs="Arial"/>
          <w:b/>
          <w:szCs w:val="20"/>
        </w:rPr>
        <w:t xml:space="preserve">Table </w:t>
      </w:r>
      <w:r w:rsidR="00124912" w:rsidRPr="00AB6796">
        <w:rPr>
          <w:rFonts w:cs="Arial"/>
          <w:b/>
          <w:szCs w:val="20"/>
        </w:rPr>
        <w:t>2</w:t>
      </w:r>
      <w:r w:rsidRPr="00AB6796">
        <w:rPr>
          <w:rFonts w:cs="Arial"/>
          <w:szCs w:val="20"/>
        </w:rPr>
        <w:t xml:space="preserve">. Cohort-specific genomic inflation factors (lambdas) are also shown in </w:t>
      </w:r>
      <w:r w:rsidR="00F620DB" w:rsidRPr="00AB6796">
        <w:rPr>
          <w:rFonts w:cs="Arial"/>
          <w:b/>
          <w:szCs w:val="20"/>
        </w:rPr>
        <w:t xml:space="preserve">Supplementary </w:t>
      </w:r>
      <w:r w:rsidRPr="00AB6796">
        <w:rPr>
          <w:rFonts w:cs="Arial"/>
          <w:b/>
          <w:szCs w:val="20"/>
        </w:rPr>
        <w:t xml:space="preserve">Table </w:t>
      </w:r>
      <w:r w:rsidR="00124912" w:rsidRPr="00AB6796">
        <w:rPr>
          <w:rFonts w:cs="Arial"/>
          <w:b/>
          <w:szCs w:val="20"/>
        </w:rPr>
        <w:t>2</w:t>
      </w:r>
      <w:r w:rsidR="00B12E6E">
        <w:rPr>
          <w:rFonts w:cs="Arial"/>
          <w:b/>
          <w:szCs w:val="20"/>
        </w:rPr>
        <w:t xml:space="preserve"> </w:t>
      </w:r>
      <w:r w:rsidR="00B12E6E" w:rsidRPr="00B12E6E">
        <w:rPr>
          <w:rFonts w:cs="Arial"/>
          <w:szCs w:val="20"/>
        </w:rPr>
        <w:t>(the mean lambda was 1.044)</w:t>
      </w:r>
      <w:r w:rsidRPr="00AB6796">
        <w:rPr>
          <w:rFonts w:cs="Arial"/>
          <w:szCs w:val="20"/>
        </w:rPr>
        <w:t>.</w:t>
      </w:r>
    </w:p>
    <w:p w14:paraId="5D6380EF" w14:textId="77777777" w:rsidR="00CA7B54" w:rsidRDefault="00CA7B54" w:rsidP="009828BF">
      <w:pPr>
        <w:rPr>
          <w:rFonts w:cs="Arial"/>
          <w:szCs w:val="20"/>
        </w:rPr>
      </w:pPr>
    </w:p>
    <w:p w14:paraId="5583B714" w14:textId="6A0172E6" w:rsidR="00CA7B54" w:rsidRPr="00CA7B54" w:rsidRDefault="00CA7B54" w:rsidP="00F47307">
      <w:pPr>
        <w:tabs>
          <w:tab w:val="left" w:pos="1985"/>
        </w:tabs>
        <w:rPr>
          <w:rFonts w:cs="Arial"/>
          <w:szCs w:val="20"/>
        </w:rPr>
      </w:pPr>
      <w:r w:rsidRPr="00CA7B54">
        <w:rPr>
          <w:rFonts w:cs="Arial"/>
          <w:szCs w:val="20"/>
        </w:rPr>
        <w:t xml:space="preserve">Single variant tests were undertaken for variants with a MAF ≥0.5%, using an additive effect of the minor allele at each variant in each cohort. For single-variant tests, statistical significance was declared after taking into account all of the independent tests </w:t>
      </w:r>
      <w:r w:rsidR="00DE3151">
        <w:rPr>
          <w:rFonts w:cs="Arial"/>
          <w:szCs w:val="20"/>
        </w:rPr>
        <w:t>among variants with MAF ≥0.05%, as we have described recently.</w:t>
      </w:r>
      <w:r w:rsidR="00404F65">
        <w:rPr>
          <w:rFonts w:cs="Arial"/>
          <w:szCs w:val="20"/>
        </w:rPr>
        <w:fldChar w:fldCharType="begin"/>
      </w:r>
      <w:r w:rsidR="00735D55">
        <w:rPr>
          <w:rFonts w:cs="Arial"/>
          <w:szCs w:val="20"/>
        </w:rPr>
        <w:instrText xml:space="preserve"> ADDIN PAPERS2_CITATIONS &lt;citation&gt;&lt;uuid&gt;763D0BBE-3E26-41B1-84D0-B167A53FC8FE&lt;/uuid&gt;&lt;priority&gt;15&lt;/priority&gt;&lt;publications&gt;&lt;publication&gt;&lt;uuid&gt;F1FF6356-4D9A-4A28-A560-C874C8188245&lt;/uuid&gt;&lt;volume&gt;38&lt;/volume&gt;&lt;accepted_date&gt;99201401071200000000222000&lt;/accepted_date&gt;&lt;doi&gt;10.1002/gepi.21797&lt;/doi&gt;&lt;startpage&gt;281&lt;/startpage&gt;&lt;revision_date&gt;99201311201200000000222000&lt;/revision_date&gt;&lt;publication_date&gt;99201404001200000000220000&lt;/publication_date&gt;&lt;url&gt;http://eutils.ncbi.nlm.nih.gov/entrez/eutils/elink.fcgi?dbfrom=pubmed&amp;amp;id=24676807&amp;amp;retmode=ref&amp;amp;cmd=prlinks&lt;/url&gt;&lt;citekey&gt;Xu:2014kt&lt;/citekey&gt;&lt;type&gt;400&lt;/type&gt;&lt;title&gt;Estimating genome-wide significance for whole-genome sequencing studies.&lt;/title&gt;&lt;location&gt;&amp;lt;html&amp;gt;&amp;lt;head&amp;gt;&amp;lt;meta http-equiv="content-type" content="text/html; charset=utf-8"/&amp;gt;&amp;lt;title&amp;gt;Sorry...&amp;lt;/title&amp;gt;&amp;lt;style&amp;gt; body { font-family: verdana, arial, sans-serif; background-color: #fff; color: #000; }&amp;lt;/style&amp;gt;&amp;lt;/head&amp;gt;&amp;lt;body&amp;gt;&amp;lt;div&amp;gt;&amp;lt;table&amp;gt;&amp;lt;tr&amp;gt;&amp;lt;td&amp;gt;&amp;lt;b&amp;gt;&amp;lt;font face=times color=#0039b6 size=10&amp;gt;G&amp;lt;/font&amp;gt;&amp;lt;font face=times color=#c41200 size=10&amp;gt;o&amp;lt;/font&amp;gt;&amp;lt;font face=times color=#f3c518 size=10&amp;gt;o&amp;lt;/font&amp;gt;&amp;lt;font face=times color=#0039b6 size=10&amp;gt;g&amp;lt;/font&amp;gt;&amp;lt;font face=times color=#30a72f size=10&amp;gt;l&amp;lt;/font&amp;gt;&amp;lt;font face=times color=#c41200 size=10&amp;gt;e&amp;lt;/font&amp;gt;&amp;lt;/b&amp;gt;&amp;lt;/td&amp;gt;&amp;lt;td style="text-align: left; vertical-align: bottom; padding-bottom: 15px; width: 50%"&amp;gt;&amp;lt;div style="border-bottom: 1px solid #dfdfdf;"&amp;gt;Sorry...&amp;lt;/div&amp;gt;&amp;lt;/td&amp;gt;&amp;lt;/tr&amp;gt;&amp;lt;/table&amp;gt;&amp;lt;/div&amp;gt;&amp;lt;div style="margin-left: 4em;"&amp;gt;&amp;lt;h1&amp;gt;We're sorry...&amp;lt;/h1&amp;gt;&amp;lt;p&amp;gt;... but your computer or network may be sending automated queries. To protect our users, we can't process your request right now.&amp;lt;/p&amp;gt;&amp;lt;/div&amp;gt;&amp;lt;div style="margin-left: 4em;"&amp;gt;See &amp;lt;a href="https://support.google.com/websearch/answer/86640"&amp;gt;Google Help&amp;lt;/a&amp;gt; for more information.&amp;lt;br/&amp;gt;&amp;lt;br/&amp;gt;&amp;lt;/div&amp;gt;&amp;lt;div style="text-align: center; border-top: 1px solid #dfdfdf;"&amp;gt;&amp;amp;copy; 2013 Google - &amp;lt;a href="https://www.google.com"&amp;gt;Google Home&amp;lt;/a&amp;gt;&amp;lt;/div&amp;gt;&amp;lt;/body&amp;gt;&amp;lt;/html&amp;gt;&lt;/location&gt;&lt;submission_date&gt;99201308141200000000222000&lt;/submission_date&gt;&lt;number&gt;4&lt;/number&gt;&lt;institution&gt;Department of Epidemiology, Biostatistics and Occupational Health, McGill University, Montreal, Canada; Lady Davis Institute for Medical Research, Jewish General Hospital, Montreal, Canada.&lt;/institution&gt;&lt;subtype&gt;400&lt;/subtype&gt;&lt;endpage&gt;290&lt;/endpage&gt;&lt;bundle&gt;&lt;publication&gt;&lt;title&gt;Genetic Epidemiology&lt;/title&gt;&lt;type&gt;-100&lt;/type&gt;&lt;subtype&gt;-100&lt;/subtype&gt;&lt;uuid&gt;643AFACF-0346-43C6-9F82-2DF8EC9C6F14&lt;/uuid&gt;&lt;/publication&gt;&lt;/bundle&gt;&lt;authors&gt;&lt;author&gt;&lt;firstName&gt;ChangJiang&lt;/firstName&gt;&lt;lastName&gt;Xu&lt;/lastName&gt;&lt;/author&gt;&lt;author&gt;&lt;firstName&gt;Ioanna&lt;/firstName&gt;&lt;lastName&gt;Tachmazidou&lt;/lastName&gt;&lt;/author&gt;&lt;author&gt;&lt;firstName&gt;Klaudia&lt;/firstName&gt;&lt;lastName&gt;Walter&lt;/lastName&gt;&lt;/author&gt;&lt;author&gt;&lt;firstName&gt;Antonio&lt;/firstName&gt;&lt;lastName&gt;Ciampi&lt;/lastName&gt;&lt;/author&gt;&lt;author&gt;&lt;firstName&gt;Eleftheria&lt;/firstName&gt;&lt;lastName&gt;Zeggini&lt;/lastName&gt;&lt;/author&gt;&lt;author&gt;&lt;firstName&gt;Celia&lt;/firstName&gt;&lt;middleNames&gt;M T&lt;/middleNames&gt;&lt;lastName&gt;Greenwood&lt;/lastName&gt;&lt;/author&gt;&lt;/authors&gt;&lt;/publication&gt;&lt;/publications&gt;&lt;cites&gt;&lt;/cites&gt;&lt;/citation&gt;</w:instrText>
      </w:r>
      <w:r w:rsidR="00404F65">
        <w:rPr>
          <w:rFonts w:cs="Arial"/>
          <w:szCs w:val="20"/>
        </w:rPr>
        <w:fldChar w:fldCharType="separate"/>
      </w:r>
      <w:r w:rsidR="002D628F">
        <w:rPr>
          <w:rFonts w:cs="Times New Roman"/>
          <w:szCs w:val="20"/>
          <w:vertAlign w:val="superscript"/>
        </w:rPr>
        <w:t>17</w:t>
      </w:r>
      <w:r w:rsidR="00404F65">
        <w:rPr>
          <w:rFonts w:cs="Arial"/>
          <w:szCs w:val="20"/>
        </w:rPr>
        <w:fldChar w:fldCharType="end"/>
      </w:r>
      <w:r w:rsidRPr="00CA7B54">
        <w:rPr>
          <w:rFonts w:cs="Arial"/>
          <w:szCs w:val="20"/>
        </w:rPr>
        <w:t xml:space="preserve"> </w:t>
      </w:r>
      <w:r w:rsidR="005D030E">
        <w:rPr>
          <w:rFonts w:cs="Arial"/>
          <w:szCs w:val="20"/>
        </w:rPr>
        <w:t>Briefly, t</w:t>
      </w:r>
      <w:r w:rsidRPr="00CA7B54">
        <w:rPr>
          <w:rFonts w:cs="Arial"/>
          <w:szCs w:val="20"/>
        </w:rPr>
        <w:t xml:space="preserve">o estimate the number of independent </w:t>
      </w:r>
      <w:r w:rsidR="00F26D05">
        <w:rPr>
          <w:rFonts w:cs="Arial"/>
          <w:szCs w:val="20"/>
        </w:rPr>
        <w:t>SNV</w:t>
      </w:r>
      <w:r w:rsidRPr="00CA7B54">
        <w:rPr>
          <w:rFonts w:cs="Arial"/>
          <w:szCs w:val="20"/>
        </w:rPr>
        <w:t xml:space="preserve">s in the UK10K reference panel, we obtained sequence data from chromosome 3 on 2,577,674 genetic variants in 2,432 individuals from the UK10K program. This comprised of 798,175 </w:t>
      </w:r>
      <w:r w:rsidR="00F26D05">
        <w:rPr>
          <w:rFonts w:cs="Arial"/>
          <w:szCs w:val="20"/>
        </w:rPr>
        <w:t>SNV</w:t>
      </w:r>
      <w:r w:rsidRPr="00CA7B54">
        <w:rPr>
          <w:rFonts w:cs="Arial"/>
          <w:szCs w:val="20"/>
        </w:rPr>
        <w:t xml:space="preserve">s with MAF ≥0.005 and the estimated number of </w:t>
      </w:r>
      <w:r w:rsidR="00F26D05">
        <w:rPr>
          <w:rFonts w:cs="Arial"/>
          <w:szCs w:val="20"/>
        </w:rPr>
        <w:t>SNV</w:t>
      </w:r>
      <w:r w:rsidRPr="00CA7B54">
        <w:rPr>
          <w:rFonts w:cs="Arial"/>
          <w:szCs w:val="20"/>
        </w:rPr>
        <w:t xml:space="preserve">s at this threshold, genome-wide was 12,451,530. We resolved these </w:t>
      </w:r>
      <w:r w:rsidR="00F26D05">
        <w:rPr>
          <w:rFonts w:cs="Arial"/>
          <w:szCs w:val="20"/>
        </w:rPr>
        <w:t>SNV</w:t>
      </w:r>
      <w:r w:rsidRPr="00CA7B54">
        <w:rPr>
          <w:rFonts w:cs="Arial"/>
          <w:szCs w:val="20"/>
        </w:rPr>
        <w:t>s to 4,268,1</w:t>
      </w:r>
      <w:r w:rsidRPr="005D030E">
        <w:rPr>
          <w:rFonts w:cs="Arial"/>
          <w:szCs w:val="20"/>
        </w:rPr>
        <w:t xml:space="preserve">11 </w:t>
      </w:r>
      <w:r w:rsidR="005D030E" w:rsidRPr="005D030E">
        <w:rPr>
          <w:rFonts w:cs="Arial"/>
          <w:szCs w:val="20"/>
        </w:rPr>
        <w:t xml:space="preserve">independent tests by calculating the predicted effective number of independent tests </w:t>
      </w:r>
      <w:r w:rsidRPr="00CA7B54">
        <w:rPr>
          <w:rFonts w:cs="Arial"/>
          <w:szCs w:val="20"/>
        </w:rPr>
        <w:t xml:space="preserve">and corrected </w:t>
      </w:r>
      <w:r w:rsidRPr="00CA7B54">
        <w:rPr>
          <w:rFonts w:cs="Arial"/>
          <w:bCs/>
          <w:szCs w:val="20"/>
        </w:rPr>
        <w:t>α = 0.05 by 4,268,111 to yield a Bonferroni corrected genome-wide significant threshold of 1.2x 10</w:t>
      </w:r>
      <w:r w:rsidRPr="00CA7B54">
        <w:rPr>
          <w:rFonts w:cs="Arial"/>
          <w:bCs/>
          <w:szCs w:val="20"/>
          <w:vertAlign w:val="superscript"/>
        </w:rPr>
        <w:t>-8</w:t>
      </w:r>
      <w:r w:rsidRPr="00CA7B54">
        <w:rPr>
          <w:rFonts w:cs="Arial"/>
          <w:bCs/>
          <w:szCs w:val="20"/>
        </w:rPr>
        <w:t xml:space="preserve"> for single-variant tests at MAF ≥0.5%.  </w:t>
      </w:r>
    </w:p>
    <w:p w14:paraId="31002C88" w14:textId="4117B0F0" w:rsidR="00B14108" w:rsidRDefault="00696CD8" w:rsidP="00EF187A">
      <w:pPr>
        <w:pStyle w:val="Heading3"/>
      </w:pPr>
      <w:r>
        <w:t>Single Variant Meta-a</w:t>
      </w:r>
      <w:r w:rsidR="00B14108">
        <w:t>nalysis</w:t>
      </w:r>
    </w:p>
    <w:p w14:paraId="6EB91E5E" w14:textId="7017101F" w:rsidR="00B14108" w:rsidRPr="00B14108" w:rsidRDefault="00B14108" w:rsidP="00B14108">
      <w:pPr>
        <w:rPr>
          <w:rFonts w:cs="Arial"/>
          <w:szCs w:val="20"/>
        </w:rPr>
      </w:pPr>
      <w:r>
        <w:rPr>
          <w:rFonts w:cs="Arial"/>
          <w:szCs w:val="20"/>
        </w:rPr>
        <w:t>Meta-analysis of cohort-level SNV association statistics was undertaken using fixed-effects meta-analysis in GWAMA.</w:t>
      </w:r>
      <w:r w:rsidR="00404F65">
        <w:rPr>
          <w:rFonts w:cs="Arial"/>
          <w:szCs w:val="20"/>
        </w:rPr>
        <w:fldChar w:fldCharType="begin"/>
      </w:r>
      <w:r w:rsidR="00735D55">
        <w:rPr>
          <w:rFonts w:cs="Arial"/>
          <w:szCs w:val="20"/>
        </w:rPr>
        <w:instrText xml:space="preserve"> ADDIN PAPERS2_CITATIONS &lt;citation&gt;&lt;uuid&gt;9085E38C-8EDD-44AF-9B54-0E7041D9B4E7&lt;/uuid&gt;&lt;priority&gt;16&lt;/priority&gt;&lt;publications&gt;&lt;publication&gt;&lt;uuid&gt;94E26F9C-BB42-4188-A955-D0F6472975A0&lt;/uuid&gt;&lt;volume&gt;11&lt;/volume&gt;&lt;doi&gt;10.1186/1471-2105-11-288&lt;/doi&gt;&lt;version&gt;2010/06/01&lt;/version&gt;&lt;subtitle&gt;BMC bioinformatics&lt;/subtitle&gt;&lt;startpage&gt;288&lt;/startpage&gt;&lt;publication_date&gt;99201000001200000000200000&lt;/publication_date&gt;&lt;url&gt;http://www.ncbi.nlm.nih.gov/pubmed/20509871&lt;/url&gt;&lt;citekey&gt;Magi:2010ke&lt;/citekey&gt;&lt;type&gt;400&lt;/type&gt;&lt;title&gt;GWAMA: software for genome-wide association meta-analysis&lt;/title&gt;&lt;location&gt;200,9,51.7571373,-1.2569052&lt;/location&gt;&lt;institution&gt;Genetic and Genomic Epidemiology Unit, Wellcome Trust Centre for Human Genetics, University of Oxford, Oxford, UK. reedik@well.ox.ac.uk&lt;/institution&gt;&lt;subtype&gt;400&lt;/subtype&gt;&lt;bundle&gt;&lt;publication&gt;&lt;publisher&gt;BioMed Central&lt;/publisher&gt;&lt;title&gt;BMC bioinformatics&lt;/title&gt;&lt;type&gt;-100&lt;/type&gt;&lt;subtype&gt;-100&lt;/subtype&gt;&lt;uuid&gt;3DAB5F79-1C04-47A9-9090-27C30D8443BF&lt;/uuid&gt;&lt;/publication&gt;&lt;/bundle&gt;&lt;authors&gt;&lt;author&gt;&lt;firstName&gt;R.&lt;/firstName&gt;&lt;lastName&gt;Magi&lt;/lastName&gt;&lt;/author&gt;&lt;author&gt;&lt;firstName&gt;A&lt;/firstName&gt;&lt;middleNames&gt;P&lt;/middleNames&gt;&lt;lastName&gt;Morris&lt;/lastName&gt;&lt;/author&gt;&lt;/authors&gt;&lt;/publication&gt;&lt;/publications&gt;&lt;cites&gt;&lt;/cites&gt;&lt;/citation&gt;</w:instrText>
      </w:r>
      <w:r w:rsidR="00404F65">
        <w:rPr>
          <w:rFonts w:cs="Arial"/>
          <w:szCs w:val="20"/>
        </w:rPr>
        <w:fldChar w:fldCharType="separate"/>
      </w:r>
      <w:r w:rsidR="002D628F">
        <w:rPr>
          <w:rFonts w:cs="Times New Roman"/>
          <w:szCs w:val="20"/>
          <w:vertAlign w:val="superscript"/>
        </w:rPr>
        <w:t>18</w:t>
      </w:r>
      <w:r w:rsidR="00404F65">
        <w:rPr>
          <w:rFonts w:cs="Arial"/>
          <w:szCs w:val="20"/>
        </w:rPr>
        <w:fldChar w:fldCharType="end"/>
      </w:r>
      <w:r w:rsidR="005D25CF">
        <w:rPr>
          <w:rFonts w:cs="Arial"/>
          <w:szCs w:val="20"/>
        </w:rPr>
        <w:t xml:space="preserve"> Single v</w:t>
      </w:r>
      <w:r w:rsidR="009930D6">
        <w:rPr>
          <w:rFonts w:cs="Arial"/>
          <w:szCs w:val="20"/>
        </w:rPr>
        <w:t xml:space="preserve">ariant </w:t>
      </w:r>
      <w:r w:rsidR="009930D6" w:rsidRPr="00B06576">
        <w:rPr>
          <w:rFonts w:cs="Arial"/>
          <w:szCs w:val="20"/>
        </w:rPr>
        <w:t xml:space="preserve">Forest </w:t>
      </w:r>
      <w:r w:rsidR="00B3244F" w:rsidRPr="00B06576">
        <w:rPr>
          <w:rFonts w:cs="Arial"/>
          <w:szCs w:val="20"/>
        </w:rPr>
        <w:t xml:space="preserve">and </w:t>
      </w:r>
      <w:proofErr w:type="spellStart"/>
      <w:r w:rsidR="00B3244F" w:rsidRPr="00B06576">
        <w:rPr>
          <w:rFonts w:cs="Arial"/>
          <w:szCs w:val="20"/>
        </w:rPr>
        <w:t>Locuszoom</w:t>
      </w:r>
      <w:proofErr w:type="spellEnd"/>
      <w:r w:rsidR="00B3244F" w:rsidRPr="00B06576">
        <w:rPr>
          <w:rFonts w:cs="Arial"/>
          <w:szCs w:val="20"/>
        </w:rPr>
        <w:t xml:space="preserve"> </w:t>
      </w:r>
      <w:r w:rsidR="00B54AE3" w:rsidRPr="00B06576">
        <w:rPr>
          <w:rFonts w:cs="Arial"/>
          <w:szCs w:val="20"/>
        </w:rPr>
        <w:t xml:space="preserve">plots </w:t>
      </w:r>
      <w:r w:rsidR="009930D6" w:rsidRPr="00B06576">
        <w:rPr>
          <w:rFonts w:cs="Arial"/>
          <w:szCs w:val="20"/>
        </w:rPr>
        <w:t xml:space="preserve">are shown in </w:t>
      </w:r>
      <w:r w:rsidR="00567579" w:rsidRPr="00B06576">
        <w:rPr>
          <w:rFonts w:cs="Arial"/>
          <w:b/>
          <w:szCs w:val="20"/>
        </w:rPr>
        <w:t xml:space="preserve">Extended Data </w:t>
      </w:r>
      <w:r w:rsidR="000B4111" w:rsidRPr="00B06576">
        <w:rPr>
          <w:rFonts w:cs="Arial"/>
          <w:b/>
          <w:szCs w:val="20"/>
        </w:rPr>
        <w:t>Fig</w:t>
      </w:r>
      <w:r w:rsidR="00567579" w:rsidRPr="00B06576">
        <w:rPr>
          <w:rFonts w:cs="Arial"/>
          <w:b/>
          <w:szCs w:val="20"/>
        </w:rPr>
        <w:t>.</w:t>
      </w:r>
      <w:r w:rsidR="005801D1" w:rsidRPr="00B06576">
        <w:rPr>
          <w:rFonts w:cs="Arial"/>
          <w:b/>
          <w:szCs w:val="20"/>
        </w:rPr>
        <w:t xml:space="preserve"> </w:t>
      </w:r>
      <w:r w:rsidR="003029CA">
        <w:rPr>
          <w:rFonts w:cs="Arial"/>
          <w:b/>
          <w:szCs w:val="20"/>
        </w:rPr>
        <w:t>2</w:t>
      </w:r>
      <w:r w:rsidR="0054633D">
        <w:rPr>
          <w:rFonts w:cs="Arial"/>
          <w:b/>
          <w:szCs w:val="20"/>
        </w:rPr>
        <w:t>,</w:t>
      </w:r>
      <w:r w:rsidR="00B3244F" w:rsidRPr="00B06576">
        <w:rPr>
          <w:rFonts w:cs="Arial"/>
          <w:b/>
          <w:szCs w:val="20"/>
        </w:rPr>
        <w:t xml:space="preserve"> </w:t>
      </w:r>
      <w:r w:rsidR="006B0EDA">
        <w:rPr>
          <w:rFonts w:cs="Arial"/>
          <w:b/>
          <w:szCs w:val="20"/>
        </w:rPr>
        <w:t>9,</w:t>
      </w:r>
      <w:r w:rsidR="0054633D">
        <w:rPr>
          <w:rFonts w:cs="Arial"/>
          <w:b/>
          <w:szCs w:val="20"/>
        </w:rPr>
        <w:t xml:space="preserve"> </w:t>
      </w:r>
      <w:r w:rsidR="00B3244F" w:rsidRPr="00B06576">
        <w:rPr>
          <w:rFonts w:cs="Arial"/>
          <w:b/>
          <w:szCs w:val="20"/>
        </w:rPr>
        <w:t>and</w:t>
      </w:r>
      <w:r w:rsidR="00D1430A" w:rsidRPr="00B06576">
        <w:rPr>
          <w:rFonts w:cs="Arial"/>
          <w:b/>
          <w:szCs w:val="20"/>
        </w:rPr>
        <w:t xml:space="preserve"> </w:t>
      </w:r>
      <w:r w:rsidR="00567579" w:rsidRPr="00B06576">
        <w:rPr>
          <w:rFonts w:cs="Arial"/>
          <w:b/>
          <w:szCs w:val="20"/>
        </w:rPr>
        <w:t>10</w:t>
      </w:r>
      <w:r w:rsidR="009930D6" w:rsidRPr="00B06576">
        <w:rPr>
          <w:rFonts w:cs="Arial"/>
          <w:szCs w:val="20"/>
        </w:rPr>
        <w:t xml:space="preserve">. </w:t>
      </w:r>
      <w:r w:rsidR="00107808" w:rsidRPr="00B06576">
        <w:rPr>
          <w:rFonts w:cs="Arial"/>
          <w:szCs w:val="20"/>
        </w:rPr>
        <w:t>QQ</w:t>
      </w:r>
      <w:r w:rsidR="0004167D" w:rsidRPr="00B06576">
        <w:rPr>
          <w:rFonts w:cs="Arial"/>
          <w:szCs w:val="20"/>
        </w:rPr>
        <w:t xml:space="preserve"> and Manhattan </w:t>
      </w:r>
      <w:r w:rsidR="009930D6" w:rsidRPr="00B06576">
        <w:rPr>
          <w:rFonts w:cs="Arial"/>
          <w:szCs w:val="20"/>
        </w:rPr>
        <w:t xml:space="preserve">plots for single variant associations are shown in </w:t>
      </w:r>
      <w:r w:rsidR="00361765" w:rsidRPr="00B06576">
        <w:rPr>
          <w:rFonts w:cs="Arial"/>
          <w:b/>
          <w:szCs w:val="20"/>
        </w:rPr>
        <w:t xml:space="preserve">Extended Data </w:t>
      </w:r>
      <w:r w:rsidR="00A3442F" w:rsidRPr="00B06576">
        <w:rPr>
          <w:rFonts w:cs="Arial"/>
          <w:b/>
          <w:szCs w:val="20"/>
        </w:rPr>
        <w:t xml:space="preserve">Figure </w:t>
      </w:r>
      <w:r w:rsidR="00361765" w:rsidRPr="00B06576">
        <w:rPr>
          <w:rFonts w:cs="Arial"/>
          <w:b/>
          <w:szCs w:val="20"/>
        </w:rPr>
        <w:t>1</w:t>
      </w:r>
      <w:r w:rsidR="00107808" w:rsidRPr="00B06576">
        <w:rPr>
          <w:rFonts w:cs="Arial"/>
          <w:b/>
          <w:szCs w:val="20"/>
        </w:rPr>
        <w:t>b and 1c</w:t>
      </w:r>
      <w:r w:rsidR="00107808" w:rsidRPr="00B06576">
        <w:rPr>
          <w:rFonts w:cs="Arial"/>
          <w:szCs w:val="20"/>
        </w:rPr>
        <w:t>, respectively</w:t>
      </w:r>
      <w:r w:rsidR="009930D6" w:rsidRPr="00B06576">
        <w:rPr>
          <w:rFonts w:cs="Arial"/>
          <w:szCs w:val="20"/>
        </w:rPr>
        <w:t>.</w:t>
      </w:r>
      <w:r w:rsidR="003243FB" w:rsidRPr="00B06576">
        <w:rPr>
          <w:rFonts w:cs="Arial"/>
          <w:szCs w:val="20"/>
        </w:rPr>
        <w:t xml:space="preserve"> </w:t>
      </w:r>
      <w:r w:rsidR="00921121" w:rsidRPr="00B06576">
        <w:rPr>
          <w:rFonts w:cs="Arial"/>
          <w:szCs w:val="20"/>
        </w:rPr>
        <w:t xml:space="preserve">QQ and Manhattan plots for variants present in both exome-based and </w:t>
      </w:r>
      <w:r w:rsidR="00921121" w:rsidRPr="00B06576">
        <w:rPr>
          <w:rFonts w:cs="Arial"/>
          <w:szCs w:val="20"/>
        </w:rPr>
        <w:lastRenderedPageBreak/>
        <w:t xml:space="preserve">genome-based cohorts are presented in </w:t>
      </w:r>
      <w:r w:rsidR="00921064" w:rsidRPr="00B06576">
        <w:rPr>
          <w:rFonts w:cs="Arial"/>
          <w:b/>
          <w:szCs w:val="20"/>
        </w:rPr>
        <w:t>Extended Data Figure 11</w:t>
      </w:r>
      <w:r w:rsidR="00E3234C" w:rsidRPr="00B06576">
        <w:rPr>
          <w:rFonts w:cs="Arial"/>
          <w:b/>
          <w:szCs w:val="20"/>
        </w:rPr>
        <w:t>a and b</w:t>
      </w:r>
      <w:r w:rsidR="00E3234C" w:rsidRPr="00B06576">
        <w:rPr>
          <w:rFonts w:cs="Arial"/>
          <w:szCs w:val="20"/>
        </w:rPr>
        <w:t>, respectively</w:t>
      </w:r>
      <w:r w:rsidR="00921121" w:rsidRPr="00B06576">
        <w:rPr>
          <w:rFonts w:cs="Arial"/>
          <w:szCs w:val="20"/>
        </w:rPr>
        <w:t>.</w:t>
      </w:r>
      <w:r w:rsidR="00EB311C" w:rsidRPr="00B06576">
        <w:rPr>
          <w:rFonts w:cs="Arial"/>
          <w:szCs w:val="20"/>
        </w:rPr>
        <w:t xml:space="preserve">  Sex-stratified results for novel genome-wide significant variants is provided in </w:t>
      </w:r>
      <w:r w:rsidR="00EB311C" w:rsidRPr="00261815">
        <w:rPr>
          <w:rFonts w:cs="Arial"/>
          <w:b/>
          <w:szCs w:val="20"/>
        </w:rPr>
        <w:t xml:space="preserve">Supplementary Table </w:t>
      </w:r>
      <w:r w:rsidR="00826418" w:rsidRPr="00B06576">
        <w:rPr>
          <w:rFonts w:cs="Arial"/>
          <w:b/>
          <w:szCs w:val="20"/>
        </w:rPr>
        <w:t>2</w:t>
      </w:r>
      <w:r w:rsidR="00244A2E">
        <w:rPr>
          <w:rFonts w:cs="Arial"/>
          <w:b/>
          <w:szCs w:val="20"/>
        </w:rPr>
        <w:t>4</w:t>
      </w:r>
      <w:r w:rsidR="00EB311C">
        <w:rPr>
          <w:rFonts w:cs="Arial"/>
          <w:szCs w:val="20"/>
        </w:rPr>
        <w:t>.</w:t>
      </w:r>
    </w:p>
    <w:p w14:paraId="6824A5A4" w14:textId="40FFDB01" w:rsidR="00F3322D" w:rsidRDefault="00F3322D" w:rsidP="00EF187A">
      <w:pPr>
        <w:pStyle w:val="Heading3"/>
      </w:pPr>
      <w:r>
        <w:t xml:space="preserve">Rare Variant </w:t>
      </w:r>
      <w:r w:rsidR="00F32997">
        <w:t xml:space="preserve">Analysis and </w:t>
      </w:r>
      <w:r w:rsidRPr="00795D93">
        <w:t>Meta-analysis</w:t>
      </w:r>
    </w:p>
    <w:p w14:paraId="56F8B6A9" w14:textId="6FBF3ED5" w:rsidR="00177238" w:rsidRDefault="00BE75B0" w:rsidP="00177238">
      <w:pPr>
        <w:rPr>
          <w:rFonts w:cs="Arial"/>
          <w:szCs w:val="20"/>
        </w:rPr>
      </w:pPr>
      <w:r>
        <w:rPr>
          <w:rFonts w:cs="Arial"/>
          <w:szCs w:val="20"/>
        </w:rPr>
        <w:t xml:space="preserve">To test whether variants with </w:t>
      </w:r>
      <w:r w:rsidR="006835D8">
        <w:rPr>
          <w:rFonts w:cs="Arial"/>
          <w:szCs w:val="20"/>
        </w:rPr>
        <w:t xml:space="preserve">low </w:t>
      </w:r>
      <w:r>
        <w:rPr>
          <w:rFonts w:cs="Arial"/>
          <w:szCs w:val="20"/>
        </w:rPr>
        <w:t xml:space="preserve">MAF influenced BMD we undertook </w:t>
      </w:r>
      <w:r w:rsidR="003D3568">
        <w:rPr>
          <w:rFonts w:cs="Arial"/>
          <w:szCs w:val="20"/>
        </w:rPr>
        <w:t xml:space="preserve">a region-based </w:t>
      </w:r>
      <w:r>
        <w:rPr>
          <w:rFonts w:cs="Arial"/>
          <w:szCs w:val="20"/>
        </w:rPr>
        <w:t>collapsing method</w:t>
      </w:r>
      <w:r w:rsidR="001F4FBF">
        <w:rPr>
          <w:rFonts w:cs="Arial"/>
          <w:szCs w:val="20"/>
        </w:rPr>
        <w:t>,</w:t>
      </w:r>
      <w:r w:rsidR="00045DF5">
        <w:rPr>
          <w:rFonts w:cs="Arial"/>
          <w:szCs w:val="20"/>
        </w:rPr>
        <w:t xml:space="preserve"> </w:t>
      </w:r>
      <w:r w:rsidR="001F4FBF">
        <w:rPr>
          <w:rFonts w:cs="Arial"/>
          <w:szCs w:val="20"/>
        </w:rPr>
        <w:t>the sequence kernel association test (SKAT),</w:t>
      </w:r>
      <w:r>
        <w:rPr>
          <w:rFonts w:cs="Arial"/>
          <w:szCs w:val="20"/>
        </w:rPr>
        <w:t xml:space="preserve"> to combine information across low-frequency (MAF ≤5%) and rare (MAF ≤1%) or rare </w:t>
      </w:r>
      <w:r w:rsidR="00177238">
        <w:rPr>
          <w:rFonts w:cs="Arial"/>
          <w:szCs w:val="20"/>
        </w:rPr>
        <w:t>variants alone</w:t>
      </w:r>
      <w:r w:rsidR="00E71A74">
        <w:rPr>
          <w:rFonts w:cs="Arial"/>
          <w:szCs w:val="20"/>
        </w:rPr>
        <w:t xml:space="preserve">. </w:t>
      </w:r>
      <w:r w:rsidR="00177238" w:rsidRPr="00797581">
        <w:rPr>
          <w:rFonts w:cs="Arial"/>
          <w:szCs w:val="20"/>
        </w:rPr>
        <w:t>Meta-analysis was conducted using skatMeta,</w:t>
      </w:r>
      <w:r w:rsidR="00404F65">
        <w:rPr>
          <w:rFonts w:cs="Arial"/>
          <w:szCs w:val="20"/>
        </w:rPr>
        <w:fldChar w:fldCharType="begin"/>
      </w:r>
      <w:r w:rsidR="00735D55">
        <w:rPr>
          <w:rFonts w:cs="Arial"/>
          <w:szCs w:val="20"/>
        </w:rPr>
        <w:instrText xml:space="preserve"> ADDIN PAPERS2_CITATIONS &lt;citation&gt;&lt;uuid&gt;32569D17-B4EE-4028-A604-93D3A6A4EFAB&lt;/uuid&gt;&lt;priority&gt;17&lt;/priority&gt;&lt;publications&gt;&lt;publication&gt;&lt;type&gt;400&lt;/type&gt;&lt;title&gt;R Package ‘skatMeta’&lt;/title&gt;&lt;citekey&gt;Voorman:tx&lt;/citekey&gt;&lt;url&gt;http://cran.cc.uoc.gr/web/packages/skatMeta/skatMeta.pdf&lt;/url&gt;&lt;subtype&gt;403&lt;/subtype&gt;&lt;uuid&gt;2F9436DA-F150-41C4-B190-6666984AEDE7&lt;/uuid&gt;&lt;authors&gt;&lt;author&gt;&lt;firstName&gt;Arend&lt;/firstName&gt;&lt;lastName&gt;Voorman&lt;/lastName&gt;&lt;/author&gt;&lt;author&gt;&lt;firstName&gt;Jennifer&lt;/firstName&gt;&lt;lastName&gt;Brody&lt;/lastName&gt;&lt;/author&gt;&lt;author&gt;&lt;firstName&gt;Thomas&lt;/firstName&gt;&lt;lastName&gt;Lumley&lt;/lastName&gt;&lt;/author&gt;&lt;author&gt;&lt;firstName&gt;Maintainer&lt;/firstName&gt;&lt;middleNames&gt;Arend&lt;/middleNames&gt;&lt;lastName&gt;Voorman&lt;/lastName&gt;&lt;/author&gt;&lt;/authors&gt;&lt;/publication&gt;&lt;/publications&gt;&lt;cites&gt;&lt;/cites&gt;&lt;/citation&gt;</w:instrText>
      </w:r>
      <w:r w:rsidR="00404F65">
        <w:rPr>
          <w:rFonts w:cs="Arial"/>
          <w:szCs w:val="20"/>
        </w:rPr>
        <w:fldChar w:fldCharType="separate"/>
      </w:r>
      <w:r w:rsidR="002D628F">
        <w:rPr>
          <w:rFonts w:cs="Times New Roman"/>
          <w:szCs w:val="20"/>
          <w:vertAlign w:val="superscript"/>
        </w:rPr>
        <w:t>19</w:t>
      </w:r>
      <w:r w:rsidR="00404F65">
        <w:rPr>
          <w:rFonts w:cs="Arial"/>
          <w:szCs w:val="20"/>
        </w:rPr>
        <w:fldChar w:fldCharType="end"/>
      </w:r>
      <w:r w:rsidR="00177238" w:rsidRPr="00797581">
        <w:rPr>
          <w:rFonts w:cs="Arial"/>
          <w:szCs w:val="20"/>
        </w:rPr>
        <w:t xml:space="preserve"> where each cohort provided the necessary intermediate files (</w:t>
      </w:r>
      <w:proofErr w:type="spellStart"/>
      <w:r w:rsidR="00177238" w:rsidRPr="00797581">
        <w:rPr>
          <w:rFonts w:cs="Arial"/>
          <w:szCs w:val="20"/>
        </w:rPr>
        <w:t>skatCohort</w:t>
      </w:r>
      <w:proofErr w:type="spellEnd"/>
      <w:r w:rsidR="00177238" w:rsidRPr="00797581">
        <w:rPr>
          <w:rFonts w:cs="Arial"/>
          <w:szCs w:val="20"/>
        </w:rPr>
        <w:t xml:space="preserve"> objects and </w:t>
      </w:r>
      <w:proofErr w:type="spellStart"/>
      <w:r w:rsidR="00177238" w:rsidRPr="00797581">
        <w:rPr>
          <w:rFonts w:cs="Arial"/>
          <w:szCs w:val="20"/>
        </w:rPr>
        <w:t>snpInfo</w:t>
      </w:r>
      <w:proofErr w:type="spellEnd"/>
      <w:r w:rsidR="00177238" w:rsidRPr="00797581">
        <w:rPr>
          <w:rFonts w:cs="Arial"/>
          <w:szCs w:val="20"/>
        </w:rPr>
        <w:t xml:space="preserve"> files).  </w:t>
      </w:r>
      <w:r w:rsidR="00177238">
        <w:rPr>
          <w:rFonts w:cs="Arial"/>
          <w:szCs w:val="20"/>
        </w:rPr>
        <w:t xml:space="preserve">Analysis with </w:t>
      </w:r>
      <w:proofErr w:type="spellStart"/>
      <w:r w:rsidR="00177238">
        <w:rPr>
          <w:rFonts w:cs="Arial"/>
          <w:szCs w:val="20"/>
        </w:rPr>
        <w:t>skatMeta</w:t>
      </w:r>
      <w:proofErr w:type="spellEnd"/>
      <w:r w:rsidR="00177238">
        <w:rPr>
          <w:rFonts w:cs="Arial"/>
          <w:szCs w:val="20"/>
        </w:rPr>
        <w:t xml:space="preserve"> requires providing beforehand </w:t>
      </w:r>
      <w:r w:rsidR="006B2684">
        <w:rPr>
          <w:rFonts w:cs="Arial"/>
          <w:szCs w:val="20"/>
        </w:rPr>
        <w:t xml:space="preserve">the </w:t>
      </w:r>
      <w:r w:rsidR="00177238">
        <w:rPr>
          <w:rFonts w:cs="Arial"/>
          <w:szCs w:val="20"/>
        </w:rPr>
        <w:t>genotype</w:t>
      </w:r>
      <w:r w:rsidR="006B2684">
        <w:rPr>
          <w:rFonts w:cs="Arial"/>
          <w:szCs w:val="20"/>
        </w:rPr>
        <w:t>s</w:t>
      </w:r>
      <w:r w:rsidR="00177238">
        <w:rPr>
          <w:rFonts w:cs="Arial"/>
          <w:szCs w:val="20"/>
        </w:rPr>
        <w:t xml:space="preserve"> as input to the </w:t>
      </w:r>
      <w:proofErr w:type="spellStart"/>
      <w:r w:rsidR="00177238">
        <w:rPr>
          <w:rFonts w:cs="Arial"/>
          <w:szCs w:val="20"/>
        </w:rPr>
        <w:t>skatCohort</w:t>
      </w:r>
      <w:proofErr w:type="spellEnd"/>
      <w:r w:rsidR="00177238">
        <w:rPr>
          <w:rFonts w:cs="Arial"/>
          <w:szCs w:val="20"/>
        </w:rPr>
        <w:t xml:space="preserve"> function.  For exome-</w:t>
      </w:r>
      <w:proofErr w:type="spellStart"/>
      <w:r w:rsidR="00177238">
        <w:rPr>
          <w:rFonts w:cs="Arial"/>
          <w:szCs w:val="20"/>
        </w:rPr>
        <w:t>seq</w:t>
      </w:r>
      <w:proofErr w:type="spellEnd"/>
      <w:r w:rsidR="00177238">
        <w:rPr>
          <w:rFonts w:cs="Arial"/>
          <w:szCs w:val="20"/>
        </w:rPr>
        <w:t xml:space="preserve"> data, the analysis can accommodate genotype data from an entire chromosome; however, for </w:t>
      </w:r>
      <w:r w:rsidR="00B54AE3">
        <w:rPr>
          <w:rFonts w:cs="Arial"/>
          <w:szCs w:val="20"/>
        </w:rPr>
        <w:t xml:space="preserve">whole </w:t>
      </w:r>
      <w:r w:rsidR="00177238">
        <w:rPr>
          <w:rFonts w:cs="Arial"/>
          <w:szCs w:val="20"/>
        </w:rPr>
        <w:t xml:space="preserve">genome sequence or imputed data the analysis was not possible due to memory constraints.  As a result, genotype data was divided into gene regions, defined as the maximal extent of all isoforms of a gene, with an additional 5kb on either end.  This approach provided the flexibility to </w:t>
      </w:r>
      <w:proofErr w:type="spellStart"/>
      <w:r w:rsidR="00177238">
        <w:rPr>
          <w:rFonts w:cs="Arial"/>
          <w:szCs w:val="20"/>
        </w:rPr>
        <w:t>metaanalyze</w:t>
      </w:r>
      <w:proofErr w:type="spellEnd"/>
      <w:r w:rsidR="00177238">
        <w:rPr>
          <w:rFonts w:cs="Arial"/>
          <w:szCs w:val="20"/>
        </w:rPr>
        <w:t xml:space="preserve"> various subgroups of </w:t>
      </w:r>
      <w:r w:rsidR="00F26D05">
        <w:rPr>
          <w:rFonts w:cs="Arial"/>
          <w:szCs w:val="20"/>
        </w:rPr>
        <w:t>SNV</w:t>
      </w:r>
      <w:r w:rsidR="00177238">
        <w:rPr>
          <w:rFonts w:cs="Arial"/>
          <w:szCs w:val="20"/>
        </w:rPr>
        <w:t>s across an entire gene, such as coding variants or variants under varying evolutionary constraint.</w:t>
      </w:r>
    </w:p>
    <w:p w14:paraId="1E844A7D" w14:textId="77777777" w:rsidR="00177238" w:rsidRDefault="00177238" w:rsidP="00177238">
      <w:pPr>
        <w:rPr>
          <w:rFonts w:cs="Arial"/>
          <w:szCs w:val="20"/>
        </w:rPr>
      </w:pPr>
    </w:p>
    <w:p w14:paraId="542A4FC3" w14:textId="69FB82A7" w:rsidR="00177238" w:rsidRPr="00797581" w:rsidRDefault="00177238" w:rsidP="00177238">
      <w:pPr>
        <w:rPr>
          <w:szCs w:val="22"/>
        </w:rPr>
      </w:pPr>
      <w:r w:rsidRPr="00797581">
        <w:rPr>
          <w:rFonts w:cs="Arial"/>
          <w:szCs w:val="20"/>
        </w:rPr>
        <w:t>Each cohort performed the following:</w:t>
      </w:r>
      <w:r w:rsidRPr="00797581">
        <w:rPr>
          <w:szCs w:val="22"/>
        </w:rPr>
        <w:t xml:space="preserve"> </w:t>
      </w:r>
    </w:p>
    <w:p w14:paraId="7642C813" w14:textId="2E7B95BD" w:rsidR="00177238" w:rsidRPr="00797581" w:rsidRDefault="00177238" w:rsidP="00177238">
      <w:pPr>
        <w:pStyle w:val="ListParagraph"/>
        <w:ind w:left="360"/>
        <w:rPr>
          <w:szCs w:val="22"/>
        </w:rPr>
      </w:pPr>
      <w:r w:rsidRPr="00797581">
        <w:rPr>
          <w:szCs w:val="22"/>
        </w:rPr>
        <w:t>1. Converted genotype data to binary IMPUTE2 format using QCTOOL.</w:t>
      </w:r>
    </w:p>
    <w:p w14:paraId="7B0271BE" w14:textId="77777777" w:rsidR="00177238" w:rsidRPr="00797581" w:rsidRDefault="00177238" w:rsidP="00177238">
      <w:pPr>
        <w:pStyle w:val="ListParagraph"/>
        <w:ind w:left="360"/>
        <w:rPr>
          <w:szCs w:val="22"/>
        </w:rPr>
      </w:pPr>
      <w:r w:rsidRPr="00797581">
        <w:rPr>
          <w:szCs w:val="22"/>
        </w:rPr>
        <w:t xml:space="preserve">2. Using custom scripts, prepared input files for analysis with </w:t>
      </w:r>
      <w:proofErr w:type="spellStart"/>
      <w:r w:rsidRPr="00797581">
        <w:rPr>
          <w:szCs w:val="22"/>
        </w:rPr>
        <w:t>skatCohort</w:t>
      </w:r>
      <w:proofErr w:type="spellEnd"/>
      <w:r w:rsidRPr="00797581">
        <w:rPr>
          <w:szCs w:val="22"/>
        </w:rPr>
        <w:t xml:space="preserve"> or </w:t>
      </w:r>
      <w:proofErr w:type="spellStart"/>
      <w:r w:rsidRPr="00797581">
        <w:rPr>
          <w:szCs w:val="22"/>
        </w:rPr>
        <w:t>skatFamCohort</w:t>
      </w:r>
      <w:proofErr w:type="spellEnd"/>
      <w:r w:rsidRPr="00797581">
        <w:rPr>
          <w:szCs w:val="22"/>
        </w:rPr>
        <w:t xml:space="preserve"> (for family-based cohorts):</w:t>
      </w:r>
    </w:p>
    <w:p w14:paraId="27D27525" w14:textId="1847E185" w:rsidR="00177238" w:rsidRDefault="00177238" w:rsidP="00177238">
      <w:pPr>
        <w:pStyle w:val="ListParagraph"/>
        <w:rPr>
          <w:szCs w:val="22"/>
        </w:rPr>
      </w:pPr>
      <w:r w:rsidRPr="00797581">
        <w:rPr>
          <w:szCs w:val="22"/>
        </w:rPr>
        <w:t xml:space="preserve">a. Fetch all </w:t>
      </w:r>
      <w:r w:rsidR="00F26D05">
        <w:rPr>
          <w:szCs w:val="22"/>
        </w:rPr>
        <w:t>SNV</w:t>
      </w:r>
      <w:r w:rsidRPr="00797581">
        <w:rPr>
          <w:szCs w:val="22"/>
        </w:rPr>
        <w:t>s per gene region, where a region is defined as the maximal extent of all gene isoforms plus a predefined flanking region (i.e. 5kb).  Due to computational constraints, gene regions greater than 150kb, are broken into multiple non-overlapping smaller regions of at most 100kb and at least 50kb.</w:t>
      </w:r>
    </w:p>
    <w:p w14:paraId="4FE4CE4D" w14:textId="51414358" w:rsidR="00177238" w:rsidRPr="00391B6A" w:rsidRDefault="00177238" w:rsidP="00177238">
      <w:pPr>
        <w:pStyle w:val="ListParagraph"/>
      </w:pPr>
      <w:r>
        <w:rPr>
          <w:szCs w:val="22"/>
        </w:rPr>
        <w:t>b</w:t>
      </w:r>
      <w:r w:rsidRPr="00797581">
        <w:rPr>
          <w:szCs w:val="22"/>
        </w:rPr>
        <w:t xml:space="preserve">. For each gene region, prepare files to support analysis with </w:t>
      </w:r>
      <w:proofErr w:type="spellStart"/>
      <w:r w:rsidRPr="00797581">
        <w:rPr>
          <w:szCs w:val="22"/>
        </w:rPr>
        <w:t>skatCohort</w:t>
      </w:r>
      <w:proofErr w:type="spellEnd"/>
      <w:r w:rsidRPr="00797581">
        <w:rPr>
          <w:szCs w:val="22"/>
        </w:rPr>
        <w:t xml:space="preserve"> and downstream meta-analysis (</w:t>
      </w:r>
      <w:proofErr w:type="spellStart"/>
      <w:r w:rsidR="00F26D05">
        <w:rPr>
          <w:szCs w:val="22"/>
        </w:rPr>
        <w:t>SNP</w:t>
      </w:r>
      <w:r w:rsidRPr="00797581">
        <w:rPr>
          <w:szCs w:val="22"/>
        </w:rPr>
        <w:t>Info</w:t>
      </w:r>
      <w:proofErr w:type="spellEnd"/>
      <w:r w:rsidRPr="00797581">
        <w:rPr>
          <w:szCs w:val="22"/>
        </w:rPr>
        <w:t xml:space="preserve"> files, and </w:t>
      </w:r>
      <w:r w:rsidR="00F26D05">
        <w:rPr>
          <w:szCs w:val="22"/>
        </w:rPr>
        <w:t xml:space="preserve">SNP </w:t>
      </w:r>
      <w:r w:rsidRPr="00797581">
        <w:rPr>
          <w:szCs w:val="22"/>
        </w:rPr>
        <w:t>statistics).</w:t>
      </w:r>
    </w:p>
    <w:p w14:paraId="17CB5337" w14:textId="77777777" w:rsidR="00177238" w:rsidRPr="00797581" w:rsidRDefault="00177238" w:rsidP="00177238">
      <w:pPr>
        <w:pStyle w:val="ListParagraph"/>
        <w:ind w:left="360"/>
        <w:rPr>
          <w:szCs w:val="22"/>
        </w:rPr>
      </w:pPr>
      <w:r w:rsidRPr="00797581">
        <w:rPr>
          <w:szCs w:val="22"/>
        </w:rPr>
        <w:t xml:space="preserve">3. Using custom scripts, execute </w:t>
      </w:r>
      <w:proofErr w:type="spellStart"/>
      <w:r w:rsidRPr="00797581">
        <w:rPr>
          <w:szCs w:val="22"/>
        </w:rPr>
        <w:t>skatCohort</w:t>
      </w:r>
      <w:proofErr w:type="spellEnd"/>
      <w:r w:rsidRPr="00797581">
        <w:rPr>
          <w:szCs w:val="22"/>
        </w:rPr>
        <w:t xml:space="preserve"> or </w:t>
      </w:r>
      <w:proofErr w:type="spellStart"/>
      <w:r w:rsidRPr="00797581">
        <w:rPr>
          <w:szCs w:val="22"/>
        </w:rPr>
        <w:t>skatFamCohort</w:t>
      </w:r>
      <w:proofErr w:type="spellEnd"/>
      <w:r w:rsidRPr="00797581">
        <w:rPr>
          <w:szCs w:val="22"/>
        </w:rPr>
        <w:t xml:space="preserve"> per gene-region.</w:t>
      </w:r>
    </w:p>
    <w:p w14:paraId="6E442664" w14:textId="77777777" w:rsidR="00177238" w:rsidRPr="00797581" w:rsidRDefault="00177238" w:rsidP="00177238">
      <w:pPr>
        <w:pStyle w:val="ListParagraph"/>
        <w:ind w:left="360"/>
        <w:rPr>
          <w:rFonts w:cs="Arial"/>
          <w:szCs w:val="20"/>
        </w:rPr>
      </w:pPr>
    </w:p>
    <w:p w14:paraId="74220ACA" w14:textId="35CEEE92" w:rsidR="00797581" w:rsidRDefault="00797581" w:rsidP="00797581">
      <w:pPr>
        <w:rPr>
          <w:rFonts w:cs="Arial"/>
          <w:szCs w:val="20"/>
        </w:rPr>
      </w:pPr>
      <w:r w:rsidRPr="00797581">
        <w:rPr>
          <w:rFonts w:cs="Arial"/>
          <w:szCs w:val="20"/>
        </w:rPr>
        <w:t xml:space="preserve">Cohort-level </w:t>
      </w:r>
      <w:proofErr w:type="spellStart"/>
      <w:r w:rsidRPr="00797581">
        <w:rPr>
          <w:rFonts w:cs="Arial"/>
          <w:szCs w:val="20"/>
        </w:rPr>
        <w:t>skatCohort</w:t>
      </w:r>
      <w:proofErr w:type="spellEnd"/>
      <w:r w:rsidRPr="00797581">
        <w:rPr>
          <w:rFonts w:cs="Arial"/>
          <w:szCs w:val="20"/>
        </w:rPr>
        <w:t xml:space="preserve"> objects were meta-analyzed using </w:t>
      </w:r>
      <w:proofErr w:type="spellStart"/>
      <w:r w:rsidRPr="00797581">
        <w:rPr>
          <w:rFonts w:cs="Arial"/>
          <w:szCs w:val="20"/>
        </w:rPr>
        <w:t>skatMeta</w:t>
      </w:r>
      <w:proofErr w:type="spellEnd"/>
      <w:r w:rsidRPr="00797581">
        <w:rPr>
          <w:rFonts w:cs="Arial"/>
          <w:szCs w:val="20"/>
        </w:rPr>
        <w:t xml:space="preserve"> by use of a custom R script. </w:t>
      </w:r>
      <w:r w:rsidR="005B6FD0">
        <w:rPr>
          <w:rFonts w:cs="Arial"/>
          <w:szCs w:val="20"/>
        </w:rPr>
        <w:t>Source code can be obtained by contacting Vince Forgetta (</w:t>
      </w:r>
      <w:hyperlink r:id="rId14" w:history="1">
        <w:r w:rsidR="000F7469" w:rsidRPr="000F7469">
          <w:rPr>
            <w:rStyle w:val="Hyperlink"/>
            <w:rFonts w:cs="Arial"/>
            <w:szCs w:val="20"/>
          </w:rPr>
          <w:t>v</w:t>
        </w:r>
        <w:r w:rsidR="000F7469" w:rsidRPr="00C863EB">
          <w:rPr>
            <w:rStyle w:val="Hyperlink"/>
            <w:rFonts w:cs="Arial"/>
            <w:szCs w:val="20"/>
          </w:rPr>
          <w:t>incenzo.</w:t>
        </w:r>
        <w:r w:rsidR="000F7469" w:rsidRPr="0056099C">
          <w:rPr>
            <w:rStyle w:val="Hyperlink"/>
            <w:rFonts w:cs="Arial"/>
            <w:szCs w:val="20"/>
          </w:rPr>
          <w:t>forgetta@mail.mcgill.ca</w:t>
        </w:r>
      </w:hyperlink>
      <w:r w:rsidR="005B6FD0">
        <w:rPr>
          <w:rFonts w:cs="Arial"/>
          <w:szCs w:val="20"/>
        </w:rPr>
        <w:t>)</w:t>
      </w:r>
      <w:r w:rsidR="0056099C">
        <w:rPr>
          <w:rFonts w:cs="Arial"/>
          <w:szCs w:val="20"/>
        </w:rPr>
        <w:t xml:space="preserve"> or Brent Richards (brent.richards@mcgill.ca)</w:t>
      </w:r>
      <w:r w:rsidR="005B6FD0">
        <w:rPr>
          <w:rFonts w:cs="Arial"/>
          <w:szCs w:val="20"/>
        </w:rPr>
        <w:t xml:space="preserve">. </w:t>
      </w:r>
      <w:r w:rsidRPr="00797581">
        <w:rPr>
          <w:rFonts w:cs="Arial"/>
          <w:szCs w:val="20"/>
        </w:rPr>
        <w:t xml:space="preserve">Within each gene region, windows of 30 </w:t>
      </w:r>
      <w:r w:rsidR="00F26D05">
        <w:rPr>
          <w:rFonts w:cs="Arial"/>
          <w:szCs w:val="20"/>
        </w:rPr>
        <w:t>SNV</w:t>
      </w:r>
      <w:r w:rsidRPr="00797581">
        <w:rPr>
          <w:rFonts w:cs="Arial"/>
          <w:szCs w:val="20"/>
        </w:rPr>
        <w:t xml:space="preserve">s (overlapping by 10 </w:t>
      </w:r>
      <w:r w:rsidR="00F26D05">
        <w:rPr>
          <w:rFonts w:cs="Arial"/>
          <w:szCs w:val="20"/>
        </w:rPr>
        <w:t>SNV</w:t>
      </w:r>
      <w:r w:rsidRPr="00797581">
        <w:rPr>
          <w:rFonts w:cs="Arial"/>
          <w:szCs w:val="20"/>
        </w:rPr>
        <w:t xml:space="preserve">s) were </w:t>
      </w:r>
      <w:r w:rsidR="00621323" w:rsidRPr="00797581">
        <w:rPr>
          <w:rFonts w:cs="Arial"/>
          <w:szCs w:val="20"/>
        </w:rPr>
        <w:t>analyze</w:t>
      </w:r>
      <w:r w:rsidR="00621323">
        <w:rPr>
          <w:rFonts w:cs="Arial"/>
          <w:szCs w:val="20"/>
        </w:rPr>
        <w:t>d</w:t>
      </w:r>
      <w:r w:rsidRPr="00797581">
        <w:rPr>
          <w:rFonts w:cs="Arial"/>
          <w:szCs w:val="20"/>
        </w:rPr>
        <w:t xml:space="preserve"> using </w:t>
      </w:r>
      <w:proofErr w:type="spellStart"/>
      <w:r w:rsidRPr="00797581">
        <w:rPr>
          <w:rFonts w:cs="Arial"/>
          <w:szCs w:val="20"/>
        </w:rPr>
        <w:t>skatMeta</w:t>
      </w:r>
      <w:proofErr w:type="spellEnd"/>
      <w:r w:rsidRPr="00797581">
        <w:rPr>
          <w:rFonts w:cs="Arial"/>
          <w:szCs w:val="20"/>
        </w:rPr>
        <w:t xml:space="preserve"> with default parameters</w:t>
      </w:r>
      <w:r w:rsidR="006B2684">
        <w:rPr>
          <w:rFonts w:cs="Arial"/>
          <w:szCs w:val="20"/>
        </w:rPr>
        <w:t>,</w:t>
      </w:r>
      <w:r w:rsidRPr="00797581">
        <w:rPr>
          <w:rFonts w:cs="Arial"/>
          <w:szCs w:val="20"/>
        </w:rPr>
        <w:t xml:space="preserve"> except </w:t>
      </w:r>
      <w:r w:rsidR="006B2684">
        <w:rPr>
          <w:rFonts w:cs="Arial"/>
          <w:szCs w:val="20"/>
        </w:rPr>
        <w:t xml:space="preserve">for </w:t>
      </w:r>
      <w:r w:rsidRPr="00797581">
        <w:rPr>
          <w:rFonts w:cs="Arial"/>
          <w:szCs w:val="20"/>
        </w:rPr>
        <w:t xml:space="preserve">the use of the </w:t>
      </w:r>
      <w:proofErr w:type="spellStart"/>
      <w:r w:rsidRPr="00797581">
        <w:rPr>
          <w:rFonts w:cs="Arial"/>
          <w:szCs w:val="20"/>
        </w:rPr>
        <w:t>skatOMeta</w:t>
      </w:r>
      <w:proofErr w:type="spellEnd"/>
      <w:r w:rsidRPr="00797581">
        <w:rPr>
          <w:rFonts w:cs="Arial"/>
          <w:szCs w:val="20"/>
        </w:rPr>
        <w:t xml:space="preserve"> method and the “</w:t>
      </w:r>
      <w:proofErr w:type="spellStart"/>
      <w:r w:rsidRPr="00797581">
        <w:rPr>
          <w:rFonts w:cs="Arial"/>
          <w:szCs w:val="20"/>
        </w:rPr>
        <w:t>liu</w:t>
      </w:r>
      <w:proofErr w:type="spellEnd"/>
      <w:r w:rsidRPr="00797581">
        <w:rPr>
          <w:rFonts w:cs="Arial"/>
          <w:szCs w:val="20"/>
        </w:rPr>
        <w:t xml:space="preserve">” p-value method. QQ </w:t>
      </w:r>
      <w:r w:rsidR="00A66837">
        <w:rPr>
          <w:rFonts w:cs="Arial"/>
          <w:szCs w:val="20"/>
        </w:rPr>
        <w:t xml:space="preserve">and Manhattan </w:t>
      </w:r>
      <w:r w:rsidRPr="00797581">
        <w:rPr>
          <w:rFonts w:cs="Arial"/>
          <w:szCs w:val="20"/>
        </w:rPr>
        <w:t xml:space="preserve">plots of all </w:t>
      </w:r>
      <w:proofErr w:type="spellStart"/>
      <w:r w:rsidRPr="00797581">
        <w:rPr>
          <w:rFonts w:cs="Arial"/>
          <w:szCs w:val="20"/>
        </w:rPr>
        <w:t>skatMeta</w:t>
      </w:r>
      <w:proofErr w:type="spellEnd"/>
      <w:r w:rsidRPr="00797581">
        <w:rPr>
          <w:rFonts w:cs="Arial"/>
          <w:szCs w:val="20"/>
        </w:rPr>
        <w:t xml:space="preserve"> results are </w:t>
      </w:r>
      <w:r w:rsidRPr="0024084D">
        <w:rPr>
          <w:rFonts w:cs="Arial"/>
          <w:szCs w:val="20"/>
        </w:rPr>
        <w:t xml:space="preserve">shown in </w:t>
      </w:r>
      <w:r w:rsidR="00120AE6" w:rsidRPr="0024084D">
        <w:rPr>
          <w:rFonts w:cs="Arial"/>
          <w:b/>
          <w:szCs w:val="20"/>
        </w:rPr>
        <w:t>Extended Data Fig. 7</w:t>
      </w:r>
      <w:r w:rsidR="00B54DEF" w:rsidRPr="0024084D">
        <w:rPr>
          <w:rFonts w:cs="Arial"/>
          <w:b/>
          <w:szCs w:val="20"/>
        </w:rPr>
        <w:t>a and 7b</w:t>
      </w:r>
      <w:r w:rsidR="00B54DEF" w:rsidRPr="0024084D">
        <w:rPr>
          <w:rFonts w:cs="Arial"/>
          <w:szCs w:val="20"/>
        </w:rPr>
        <w:t>, respectively</w:t>
      </w:r>
      <w:r w:rsidRPr="0024084D">
        <w:rPr>
          <w:rFonts w:cs="Arial"/>
          <w:szCs w:val="20"/>
        </w:rPr>
        <w:t>. These results demonstrate that there were few signals that departed from the line of expectation</w:t>
      </w:r>
      <w:r w:rsidRPr="00797581">
        <w:rPr>
          <w:rFonts w:cs="Arial"/>
          <w:szCs w:val="20"/>
        </w:rPr>
        <w:t xml:space="preserve"> under the null. All sign</w:t>
      </w:r>
      <w:r w:rsidR="005E0C3B">
        <w:rPr>
          <w:rFonts w:cs="Arial"/>
          <w:szCs w:val="20"/>
        </w:rPr>
        <w:t xml:space="preserve">ificant findings from </w:t>
      </w:r>
      <w:proofErr w:type="spellStart"/>
      <w:r w:rsidR="005E0C3B">
        <w:rPr>
          <w:rFonts w:cs="Arial"/>
          <w:szCs w:val="20"/>
        </w:rPr>
        <w:t>skatMeta</w:t>
      </w:r>
      <w:proofErr w:type="spellEnd"/>
      <w:r w:rsidR="005E0C3B">
        <w:rPr>
          <w:rFonts w:cs="Arial"/>
          <w:szCs w:val="20"/>
        </w:rPr>
        <w:t xml:space="preserve"> </w:t>
      </w:r>
      <w:r w:rsidRPr="00797581">
        <w:rPr>
          <w:rFonts w:cs="Arial"/>
          <w:szCs w:val="20"/>
        </w:rPr>
        <w:t xml:space="preserve">were driven by single variants whose significance was also seen from single variant testing. For </w:t>
      </w:r>
      <w:r w:rsidRPr="00E14881">
        <w:rPr>
          <w:rFonts w:cs="Arial"/>
          <w:szCs w:val="20"/>
        </w:rPr>
        <w:t xml:space="preserve">example, </w:t>
      </w:r>
      <w:r w:rsidR="003C08E3" w:rsidRPr="00E14881">
        <w:rPr>
          <w:rFonts w:cs="Arial"/>
          <w:b/>
          <w:szCs w:val="20"/>
        </w:rPr>
        <w:t>Extended Data Fig. 8</w:t>
      </w:r>
      <w:r w:rsidR="000A2E90" w:rsidRPr="00E14881">
        <w:rPr>
          <w:rFonts w:cs="Arial"/>
          <w:b/>
          <w:szCs w:val="20"/>
        </w:rPr>
        <w:t xml:space="preserve">a and </w:t>
      </w:r>
      <w:r w:rsidR="00A172DF" w:rsidRPr="00E14881">
        <w:rPr>
          <w:rFonts w:cs="Arial"/>
          <w:b/>
          <w:szCs w:val="20"/>
        </w:rPr>
        <w:t>8</w:t>
      </w:r>
      <w:r w:rsidR="000A2E90" w:rsidRPr="00E14881">
        <w:rPr>
          <w:rFonts w:cs="Arial"/>
          <w:b/>
          <w:szCs w:val="20"/>
        </w:rPr>
        <w:t>c</w:t>
      </w:r>
      <w:r w:rsidR="003C08E3" w:rsidRPr="00E14881">
        <w:rPr>
          <w:rFonts w:cs="Arial"/>
          <w:b/>
          <w:szCs w:val="20"/>
        </w:rPr>
        <w:t xml:space="preserve"> </w:t>
      </w:r>
      <w:r w:rsidRPr="00E14881">
        <w:rPr>
          <w:rFonts w:cs="Arial"/>
          <w:szCs w:val="20"/>
        </w:rPr>
        <w:t xml:space="preserve">shows that the </w:t>
      </w:r>
      <w:proofErr w:type="spellStart"/>
      <w:r w:rsidRPr="00E14881">
        <w:rPr>
          <w:rFonts w:cs="Arial"/>
          <w:szCs w:val="20"/>
        </w:rPr>
        <w:t>skatMeta</w:t>
      </w:r>
      <w:proofErr w:type="spellEnd"/>
      <w:r w:rsidRPr="00E14881">
        <w:rPr>
          <w:rFonts w:cs="Arial"/>
          <w:szCs w:val="20"/>
        </w:rPr>
        <w:t xml:space="preserve"> genome-wide significant signal</w:t>
      </w:r>
      <w:r w:rsidR="00BB6BE1" w:rsidRPr="00E14881">
        <w:rPr>
          <w:rFonts w:cs="Arial"/>
          <w:szCs w:val="20"/>
        </w:rPr>
        <w:t xml:space="preserve">s at </w:t>
      </w:r>
      <w:r w:rsidR="00BB6BE1" w:rsidRPr="00E14881">
        <w:rPr>
          <w:rFonts w:cs="Arial"/>
          <w:i/>
          <w:szCs w:val="20"/>
        </w:rPr>
        <w:t>CPED1</w:t>
      </w:r>
      <w:r w:rsidR="00BB6BE1" w:rsidRPr="00E14881">
        <w:rPr>
          <w:rFonts w:cs="Arial"/>
          <w:szCs w:val="20"/>
        </w:rPr>
        <w:t xml:space="preserve"> were driven by single</w:t>
      </w:r>
      <w:r w:rsidRPr="00E14881">
        <w:rPr>
          <w:rFonts w:cs="Arial"/>
          <w:szCs w:val="20"/>
        </w:rPr>
        <w:t xml:space="preserve"> SNV</w:t>
      </w:r>
      <w:r w:rsidR="00154FAE" w:rsidRPr="00E14881">
        <w:rPr>
          <w:rFonts w:cs="Arial"/>
          <w:szCs w:val="20"/>
        </w:rPr>
        <w:t>s, which were</w:t>
      </w:r>
      <w:r w:rsidRPr="00E14881">
        <w:rPr>
          <w:rFonts w:cs="Arial"/>
          <w:szCs w:val="20"/>
        </w:rPr>
        <w:t xml:space="preserve"> present in s</w:t>
      </w:r>
      <w:r w:rsidR="00B55F6F" w:rsidRPr="00E14881">
        <w:rPr>
          <w:rFonts w:cs="Arial"/>
          <w:szCs w:val="20"/>
        </w:rPr>
        <w:t>everal cohorts. These</w:t>
      </w:r>
      <w:r w:rsidRPr="00E14881">
        <w:rPr>
          <w:rFonts w:cs="Arial"/>
          <w:szCs w:val="20"/>
        </w:rPr>
        <w:t xml:space="preserve"> SNV</w:t>
      </w:r>
      <w:r w:rsidR="00A37257">
        <w:rPr>
          <w:rFonts w:cs="Arial"/>
          <w:szCs w:val="20"/>
        </w:rPr>
        <w:t>s</w:t>
      </w:r>
      <w:r w:rsidRPr="00E14881">
        <w:rPr>
          <w:rFonts w:cs="Arial"/>
          <w:szCs w:val="20"/>
        </w:rPr>
        <w:t xml:space="preserve"> also achieved genome-wide significance in single variant testing.</w:t>
      </w:r>
      <w:r w:rsidR="00EF1864" w:rsidRPr="00E14881">
        <w:rPr>
          <w:rFonts w:cs="Arial"/>
          <w:szCs w:val="20"/>
        </w:rPr>
        <w:t xml:space="preserve"> We </w:t>
      </w:r>
      <w:r w:rsidR="00B93F4C" w:rsidRPr="00E14881">
        <w:rPr>
          <w:rFonts w:cs="Arial"/>
          <w:szCs w:val="20"/>
        </w:rPr>
        <w:t xml:space="preserve">also </w:t>
      </w:r>
      <w:r w:rsidR="00EF1864" w:rsidRPr="00E14881">
        <w:rPr>
          <w:rFonts w:cs="Arial"/>
          <w:szCs w:val="20"/>
        </w:rPr>
        <w:t xml:space="preserve">identified a region in </w:t>
      </w:r>
      <w:r w:rsidR="00EF1864" w:rsidRPr="00E14881">
        <w:rPr>
          <w:rFonts w:cs="Arial"/>
          <w:i/>
          <w:szCs w:val="20"/>
        </w:rPr>
        <w:t>DOCK8</w:t>
      </w:r>
      <w:r w:rsidR="00F20368" w:rsidRPr="00E14881">
        <w:rPr>
          <w:rFonts w:cs="Arial"/>
          <w:i/>
          <w:szCs w:val="20"/>
        </w:rPr>
        <w:t xml:space="preserve"> </w:t>
      </w:r>
      <w:r w:rsidR="00F20368" w:rsidRPr="00E14881">
        <w:rPr>
          <w:rFonts w:cs="Arial"/>
          <w:szCs w:val="20"/>
        </w:rPr>
        <w:t>and</w:t>
      </w:r>
      <w:r w:rsidR="00F20368" w:rsidRPr="00E14881">
        <w:rPr>
          <w:rFonts w:cs="Arial"/>
          <w:i/>
          <w:szCs w:val="20"/>
        </w:rPr>
        <w:t xml:space="preserve"> HEXB</w:t>
      </w:r>
      <w:r w:rsidR="009F4514" w:rsidRPr="00E14881">
        <w:rPr>
          <w:rFonts w:cs="Arial"/>
          <w:i/>
          <w:szCs w:val="20"/>
        </w:rPr>
        <w:t xml:space="preserve"> </w:t>
      </w:r>
      <w:r w:rsidR="00EF1864" w:rsidRPr="00E14881">
        <w:rPr>
          <w:rFonts w:cs="Arial"/>
          <w:szCs w:val="20"/>
        </w:rPr>
        <w:t>that achieved genome-wide significance, but arose in only one cohort and we feel requires further replication (</w:t>
      </w:r>
      <w:r w:rsidR="00A43499" w:rsidRPr="00E14881">
        <w:rPr>
          <w:rFonts w:cs="Arial"/>
          <w:b/>
          <w:szCs w:val="20"/>
        </w:rPr>
        <w:t xml:space="preserve">Supplementary </w:t>
      </w:r>
      <w:r w:rsidR="00EF1864" w:rsidRPr="00E14881">
        <w:rPr>
          <w:rFonts w:cs="Arial"/>
          <w:b/>
          <w:szCs w:val="20"/>
        </w:rPr>
        <w:t>Table 1</w:t>
      </w:r>
      <w:r w:rsidR="005418F0">
        <w:rPr>
          <w:rFonts w:cs="Arial"/>
          <w:b/>
          <w:szCs w:val="20"/>
        </w:rPr>
        <w:t>9</w:t>
      </w:r>
      <w:r w:rsidR="00EF1864" w:rsidRPr="00E14881">
        <w:rPr>
          <w:rFonts w:cs="Arial"/>
          <w:szCs w:val="20"/>
        </w:rPr>
        <w:t xml:space="preserve"> &amp; </w:t>
      </w:r>
      <w:r w:rsidR="00276DBC" w:rsidRPr="00E14881">
        <w:rPr>
          <w:rFonts w:cs="Arial"/>
          <w:b/>
          <w:szCs w:val="20"/>
        </w:rPr>
        <w:t>Extended Data Fig. 8</w:t>
      </w:r>
      <w:r w:rsidR="00B001D9" w:rsidRPr="00E14881">
        <w:rPr>
          <w:rFonts w:cs="Arial"/>
          <w:b/>
          <w:szCs w:val="20"/>
        </w:rPr>
        <w:t>b</w:t>
      </w:r>
      <w:r w:rsidR="00EF1864" w:rsidRPr="00AB6796">
        <w:rPr>
          <w:rFonts w:cs="Arial"/>
          <w:szCs w:val="20"/>
        </w:rPr>
        <w:t>).</w:t>
      </w:r>
    </w:p>
    <w:p w14:paraId="25F65650" w14:textId="77777777" w:rsidR="00A27F25" w:rsidRDefault="00A27F25" w:rsidP="00797581">
      <w:pPr>
        <w:rPr>
          <w:rFonts w:cs="Arial"/>
          <w:szCs w:val="20"/>
        </w:rPr>
      </w:pPr>
    </w:p>
    <w:p w14:paraId="3642DB39" w14:textId="58D291D1" w:rsidR="00A27F25" w:rsidRDefault="00A27F25" w:rsidP="00A27F25">
      <w:pPr>
        <w:rPr>
          <w:rFonts w:cs="Arial"/>
          <w:szCs w:val="20"/>
        </w:rPr>
      </w:pPr>
      <w:r w:rsidRPr="00A327AD">
        <w:rPr>
          <w:rFonts w:cs="Arial"/>
          <w:b/>
          <w:szCs w:val="20"/>
        </w:rPr>
        <w:t>Supplementary Table 1</w:t>
      </w:r>
      <w:r w:rsidR="007601D9">
        <w:rPr>
          <w:rFonts w:cs="Arial"/>
          <w:b/>
          <w:szCs w:val="20"/>
        </w:rPr>
        <w:t>9</w:t>
      </w:r>
      <w:r w:rsidRPr="00A327AD">
        <w:rPr>
          <w:rFonts w:cs="Arial"/>
          <w:szCs w:val="20"/>
        </w:rPr>
        <w:t xml:space="preserve"> demonstrates that two regions (DOCK8.1.2761-2790 and DOCK8.1.2421-2450) spanning </w:t>
      </w:r>
      <w:r w:rsidRPr="00A327AD">
        <w:rPr>
          <w:rFonts w:cs="Arial"/>
          <w:i/>
          <w:szCs w:val="20"/>
        </w:rPr>
        <w:t>DOCK8</w:t>
      </w:r>
      <w:r w:rsidRPr="00A327AD">
        <w:rPr>
          <w:rFonts w:cs="Arial"/>
          <w:szCs w:val="20"/>
        </w:rPr>
        <w:t xml:space="preserve"> on chromosome</w:t>
      </w:r>
      <w:r>
        <w:rPr>
          <w:rFonts w:cs="Arial"/>
          <w:szCs w:val="20"/>
        </w:rPr>
        <w:t xml:space="preserve"> 9 were genome-wide significant in their association with femoral neck BMD (P = 1.9x10</w:t>
      </w:r>
      <w:r w:rsidRPr="00834654">
        <w:rPr>
          <w:rFonts w:cs="Arial"/>
          <w:szCs w:val="20"/>
          <w:vertAlign w:val="superscript"/>
        </w:rPr>
        <w:t>-9</w:t>
      </w:r>
      <w:r>
        <w:rPr>
          <w:rFonts w:cs="Arial"/>
          <w:szCs w:val="20"/>
          <w:vertAlign w:val="superscript"/>
        </w:rPr>
        <w:t xml:space="preserve"> </w:t>
      </w:r>
      <w:r w:rsidRPr="00834654">
        <w:rPr>
          <w:rFonts w:cs="Arial"/>
          <w:szCs w:val="20"/>
        </w:rPr>
        <w:t>and 2.</w:t>
      </w:r>
      <w:r>
        <w:rPr>
          <w:rFonts w:cs="Arial"/>
          <w:szCs w:val="20"/>
        </w:rPr>
        <w:t>8</w:t>
      </w:r>
      <w:r w:rsidRPr="00834654">
        <w:rPr>
          <w:rFonts w:cs="Arial"/>
          <w:szCs w:val="20"/>
        </w:rPr>
        <w:t>x10</w:t>
      </w:r>
      <w:r>
        <w:rPr>
          <w:rFonts w:cs="Arial"/>
          <w:szCs w:val="20"/>
          <w:vertAlign w:val="superscript"/>
        </w:rPr>
        <w:t>-9</w:t>
      </w:r>
      <w:r>
        <w:rPr>
          <w:rFonts w:cs="Arial"/>
          <w:szCs w:val="20"/>
        </w:rPr>
        <w:t xml:space="preserve">).  This arose from the analysis of all SNVs with MAF ≤1%. These regions have low cumulative MAF (summed across the region) of 0.0055 and 0.006, respectively. To assess whether these regions-based signals were driven by multiple rare variants, or just one single variant, we undertook drop-one analysis, which recomputed the test statistic after sequentially removing one SNV from the collapsed </w:t>
      </w:r>
      <w:r w:rsidRPr="00C6595D">
        <w:rPr>
          <w:rFonts w:cs="Arial"/>
          <w:szCs w:val="20"/>
        </w:rPr>
        <w:t>region (</w:t>
      </w:r>
      <w:r w:rsidRPr="00C6595D">
        <w:rPr>
          <w:rFonts w:cs="Arial"/>
          <w:b/>
          <w:szCs w:val="20"/>
        </w:rPr>
        <w:t>Extended Data Fig. 8b</w:t>
      </w:r>
      <w:r w:rsidRPr="00C6595D">
        <w:rPr>
          <w:rFonts w:cs="Arial"/>
          <w:szCs w:val="20"/>
        </w:rPr>
        <w:t>). These</w:t>
      </w:r>
      <w:r>
        <w:rPr>
          <w:rFonts w:cs="Arial"/>
          <w:szCs w:val="20"/>
        </w:rPr>
        <w:t xml:space="preserve"> analyses showed that signal at region DOCK8.1.2421-2450 was driven by two variants, while </w:t>
      </w:r>
      <w:r w:rsidRPr="0033550E">
        <w:rPr>
          <w:rFonts w:cs="Arial"/>
          <w:szCs w:val="20"/>
        </w:rPr>
        <w:t>DOCK8.1.2761-2790</w:t>
      </w:r>
      <w:r>
        <w:rPr>
          <w:rFonts w:cs="Arial"/>
          <w:szCs w:val="20"/>
        </w:rPr>
        <w:t xml:space="preserve"> was driven by one variant. Neither of these regions contained single SNVs </w:t>
      </w:r>
      <w:r w:rsidR="00CF22FA">
        <w:rPr>
          <w:rFonts w:cs="Arial"/>
          <w:szCs w:val="20"/>
        </w:rPr>
        <w:t xml:space="preserve">with MAF ≥0.5% </w:t>
      </w:r>
      <w:r>
        <w:rPr>
          <w:rFonts w:cs="Arial"/>
          <w:szCs w:val="20"/>
        </w:rPr>
        <w:t>that achieved genome-wide significance on their own.</w:t>
      </w:r>
    </w:p>
    <w:p w14:paraId="3DE0F8F1" w14:textId="77777777" w:rsidR="00A27F25" w:rsidRDefault="00A27F25" w:rsidP="00A27F25">
      <w:pPr>
        <w:rPr>
          <w:rFonts w:cs="Arial"/>
          <w:szCs w:val="20"/>
        </w:rPr>
      </w:pPr>
    </w:p>
    <w:p w14:paraId="7ABB0A37" w14:textId="77777777" w:rsidR="00A27F25" w:rsidRDefault="00A27F25" w:rsidP="00A27F25">
      <w:pPr>
        <w:rPr>
          <w:rFonts w:cs="Arial"/>
          <w:szCs w:val="20"/>
        </w:rPr>
      </w:pPr>
      <w:r>
        <w:rPr>
          <w:rFonts w:cs="Arial"/>
          <w:szCs w:val="20"/>
        </w:rPr>
        <w:t>Next, we tested which cohorts provided this association signal, by sequentially removing one cohort at a time from the test statistic and found that both regions were driven only by signal from the Framingham cohort. While promising, we feel these signals need further follow-up and replication in other cohorts.</w:t>
      </w:r>
    </w:p>
    <w:p w14:paraId="7483E9EC" w14:textId="77777777" w:rsidR="00A27F25" w:rsidRDefault="00A27F25" w:rsidP="00A27F25">
      <w:pPr>
        <w:rPr>
          <w:rFonts w:cs="Arial"/>
          <w:szCs w:val="20"/>
        </w:rPr>
      </w:pPr>
    </w:p>
    <w:p w14:paraId="789C4DFE" w14:textId="0463DBEF" w:rsidR="002B7E28" w:rsidRDefault="00A27F25" w:rsidP="00766870">
      <w:pPr>
        <w:rPr>
          <w:rFonts w:cs="Arial"/>
          <w:szCs w:val="20"/>
        </w:rPr>
      </w:pPr>
      <w:r>
        <w:rPr>
          <w:rFonts w:cs="Arial"/>
          <w:szCs w:val="20"/>
        </w:rPr>
        <w:t xml:space="preserve">Lastly, we tested whether DOCK8 was expressed in mouse </w:t>
      </w:r>
      <w:proofErr w:type="spellStart"/>
      <w:r>
        <w:rPr>
          <w:rFonts w:cs="Arial"/>
          <w:szCs w:val="20"/>
        </w:rPr>
        <w:t>calvarial</w:t>
      </w:r>
      <w:proofErr w:type="spellEnd"/>
      <w:r>
        <w:rPr>
          <w:rFonts w:cs="Arial"/>
          <w:szCs w:val="20"/>
        </w:rPr>
        <w:t xml:space="preserve"> osteoblasts and found that its expression increased importantly over </w:t>
      </w:r>
      <w:r w:rsidRPr="00B416D9">
        <w:rPr>
          <w:rFonts w:cs="Arial"/>
          <w:szCs w:val="20"/>
        </w:rPr>
        <w:t>development (</w:t>
      </w:r>
      <w:r w:rsidRPr="00B416D9">
        <w:rPr>
          <w:rFonts w:cs="Arial"/>
          <w:b/>
          <w:szCs w:val="20"/>
        </w:rPr>
        <w:t xml:space="preserve">Extended Data Fig. </w:t>
      </w:r>
      <w:r w:rsidR="00981046">
        <w:rPr>
          <w:rFonts w:cs="Arial"/>
          <w:b/>
          <w:szCs w:val="20"/>
        </w:rPr>
        <w:t>3</w:t>
      </w:r>
      <w:r>
        <w:rPr>
          <w:rFonts w:cs="Arial"/>
          <w:b/>
          <w:szCs w:val="20"/>
        </w:rPr>
        <w:t>a</w:t>
      </w:r>
      <w:r>
        <w:rPr>
          <w:rFonts w:cs="Arial"/>
          <w:szCs w:val="20"/>
        </w:rPr>
        <w:t>).</w:t>
      </w:r>
    </w:p>
    <w:p w14:paraId="6B93A0AB" w14:textId="77777777" w:rsidR="00B2691F" w:rsidRPr="005C5C16" w:rsidRDefault="00B2691F" w:rsidP="00766870">
      <w:pPr>
        <w:rPr>
          <w:rFonts w:cs="Arial"/>
          <w:szCs w:val="20"/>
        </w:rPr>
      </w:pPr>
    </w:p>
    <w:p w14:paraId="33DBBE24" w14:textId="59F671D6" w:rsidR="00DB0830" w:rsidRPr="00DB0830" w:rsidRDefault="00A43499" w:rsidP="00DB0830">
      <w:pPr>
        <w:rPr>
          <w:rFonts w:cs="Arial"/>
          <w:szCs w:val="20"/>
        </w:rPr>
      </w:pPr>
      <w:r w:rsidRPr="00AB6796">
        <w:rPr>
          <w:rFonts w:cs="Arial"/>
          <w:b/>
          <w:szCs w:val="20"/>
        </w:rPr>
        <w:t xml:space="preserve">Supplementary </w:t>
      </w:r>
      <w:r w:rsidR="00DB0830" w:rsidRPr="00AB6796">
        <w:rPr>
          <w:rFonts w:cs="Arial"/>
          <w:b/>
          <w:szCs w:val="20"/>
        </w:rPr>
        <w:t xml:space="preserve">Table </w:t>
      </w:r>
      <w:r w:rsidR="00D334A1" w:rsidRPr="00AB6796">
        <w:rPr>
          <w:rFonts w:cs="Arial"/>
          <w:b/>
          <w:szCs w:val="20"/>
        </w:rPr>
        <w:t>1</w:t>
      </w:r>
      <w:r w:rsidR="00C24E3F">
        <w:rPr>
          <w:rFonts w:cs="Arial"/>
          <w:b/>
          <w:szCs w:val="20"/>
        </w:rPr>
        <w:t>9</w:t>
      </w:r>
      <w:r w:rsidR="00D334A1" w:rsidRPr="00AB6796">
        <w:rPr>
          <w:rFonts w:cs="Arial"/>
          <w:b/>
          <w:szCs w:val="20"/>
        </w:rPr>
        <w:t xml:space="preserve"> </w:t>
      </w:r>
      <w:r w:rsidR="00DB0830" w:rsidRPr="00AB6796">
        <w:rPr>
          <w:rFonts w:cs="Arial"/>
          <w:szCs w:val="20"/>
        </w:rPr>
        <w:t>lists all genome</w:t>
      </w:r>
      <w:r w:rsidR="00DB0830" w:rsidRPr="00DB0830">
        <w:rPr>
          <w:rFonts w:cs="Arial"/>
          <w:szCs w:val="20"/>
        </w:rPr>
        <w:t xml:space="preserve">-wide significant </w:t>
      </w:r>
      <w:r w:rsidR="000B36E0">
        <w:rPr>
          <w:rFonts w:cs="Arial"/>
          <w:szCs w:val="20"/>
        </w:rPr>
        <w:t xml:space="preserve">(P &lt; 1.2 </w:t>
      </w:r>
      <w:r w:rsidR="000B36E0">
        <w:rPr>
          <w:rFonts w:cs="Arial"/>
          <w:color w:val="141413"/>
          <w:szCs w:val="20"/>
        </w:rPr>
        <w:t xml:space="preserve">× </w:t>
      </w:r>
      <w:r w:rsidR="00BE4B74">
        <w:rPr>
          <w:rFonts w:cs="Arial"/>
          <w:szCs w:val="20"/>
        </w:rPr>
        <w:t>10</w:t>
      </w:r>
      <w:r w:rsidR="00BE4B74" w:rsidRPr="00BE4B74">
        <w:rPr>
          <w:rFonts w:cs="Arial"/>
          <w:szCs w:val="20"/>
          <w:vertAlign w:val="superscript"/>
        </w:rPr>
        <w:t>-8</w:t>
      </w:r>
      <w:r w:rsidR="00BE4B74">
        <w:rPr>
          <w:rFonts w:cs="Arial"/>
          <w:szCs w:val="20"/>
        </w:rPr>
        <w:t>)</w:t>
      </w:r>
      <w:r w:rsidR="001267AD">
        <w:rPr>
          <w:rFonts w:cs="Arial"/>
          <w:szCs w:val="20"/>
        </w:rPr>
        <w:t xml:space="preserve"> </w:t>
      </w:r>
      <w:r w:rsidR="00DB0830" w:rsidRPr="00DB0830">
        <w:rPr>
          <w:rFonts w:cs="Arial"/>
          <w:szCs w:val="20"/>
        </w:rPr>
        <w:t>and suggestive loci (P &lt; 1.2</w:t>
      </w:r>
      <w:r w:rsidR="000B36E0">
        <w:rPr>
          <w:rFonts w:cs="Arial"/>
          <w:szCs w:val="20"/>
        </w:rPr>
        <w:t xml:space="preserve"> </w:t>
      </w:r>
      <w:r w:rsidR="000B36E0">
        <w:rPr>
          <w:rFonts w:cs="Arial"/>
          <w:color w:val="141413"/>
          <w:szCs w:val="20"/>
        </w:rPr>
        <w:t xml:space="preserve">× </w:t>
      </w:r>
      <w:r w:rsidR="00DB0830" w:rsidRPr="00DB0830">
        <w:rPr>
          <w:rFonts w:cs="Arial"/>
          <w:szCs w:val="20"/>
        </w:rPr>
        <w:t>10</w:t>
      </w:r>
      <w:r w:rsidR="00DB0830" w:rsidRPr="00DB0830">
        <w:rPr>
          <w:rFonts w:cs="Arial"/>
          <w:szCs w:val="20"/>
          <w:vertAlign w:val="superscript"/>
        </w:rPr>
        <w:t>-6</w:t>
      </w:r>
      <w:r w:rsidR="00DB0830" w:rsidRPr="00DB0830">
        <w:rPr>
          <w:rFonts w:cs="Arial"/>
          <w:szCs w:val="20"/>
        </w:rPr>
        <w:t>) for region-based association tests.</w:t>
      </w:r>
      <w:r w:rsidR="00B2691F">
        <w:rPr>
          <w:rFonts w:cs="Arial"/>
          <w:szCs w:val="20"/>
        </w:rPr>
        <w:t xml:space="preserve"> All summary-level meta-analytic results are available for download at www.gefos.org</w:t>
      </w:r>
      <w:r w:rsidR="00BD6714">
        <w:rPr>
          <w:rFonts w:cs="Arial"/>
          <w:szCs w:val="20"/>
        </w:rPr>
        <w:t>.</w:t>
      </w:r>
    </w:p>
    <w:p w14:paraId="71E2B61B" w14:textId="1F638CB9" w:rsidR="00A00A31" w:rsidRPr="003C3D01" w:rsidRDefault="00605F10" w:rsidP="00EF187A">
      <w:pPr>
        <w:pStyle w:val="Heading3"/>
        <w:rPr>
          <w:b w:val="0"/>
        </w:rPr>
      </w:pPr>
      <w:r w:rsidRPr="003C3D01">
        <w:t>Conditional Analyse</w:t>
      </w:r>
      <w:r w:rsidR="00D953C3" w:rsidRPr="003C3D01">
        <w:t>s</w:t>
      </w:r>
      <w:r w:rsidR="001278FD">
        <w:t xml:space="preserve"> for Single Variant Associations</w:t>
      </w:r>
    </w:p>
    <w:p w14:paraId="0251C4DE" w14:textId="4B20120F" w:rsidR="00880AF1" w:rsidRPr="00880AF1" w:rsidRDefault="000E3C05" w:rsidP="009828BF">
      <w:pPr>
        <w:shd w:val="clear" w:color="auto" w:fill="FFFFFF"/>
        <w:rPr>
          <w:rFonts w:cs="Arial"/>
          <w:color w:val="141413"/>
          <w:szCs w:val="20"/>
        </w:rPr>
      </w:pPr>
      <w:r w:rsidRPr="009828BF">
        <w:rPr>
          <w:rFonts w:cs="Arial"/>
          <w:color w:val="141413"/>
          <w:szCs w:val="20"/>
        </w:rPr>
        <w:t>Conditional analysis was conducted using GCTAV.0.93.9.</w:t>
      </w:r>
      <w:r w:rsidR="006E0774">
        <w:rPr>
          <w:rFonts w:cs="Arial"/>
          <w:color w:val="141413"/>
          <w:szCs w:val="20"/>
        </w:rPr>
        <w:fldChar w:fldCharType="begin"/>
      </w:r>
      <w:r w:rsidR="00735D55">
        <w:rPr>
          <w:rFonts w:cs="Arial"/>
          <w:color w:val="141413"/>
          <w:szCs w:val="20"/>
        </w:rPr>
        <w:instrText xml:space="preserve"> ADDIN PAPERS2_CITATIONS &lt;citation&gt;&lt;uuid&gt;2ECB7E2C-C01C-44E7-8659-B6EF3084714D&lt;/uuid&gt;&lt;priority&gt;18&lt;/priority&gt;&lt;publications&gt;&lt;publication&gt;&lt;uuid&gt;C2CCF3A6-D14C-4F36-9498-8471B5F8C67E&lt;/uuid&gt;&lt;volume&gt;44&lt;/volume&gt;&lt;doi&gt;10.1038/ng.2213&lt;/doi&gt;&lt;startpage&gt;369&lt;/startpage&gt;&lt;publication_date&gt;99201203181200000000222000&lt;/publication_date&gt;&lt;url&gt;http://www.nature.com/doifinder/10.1038/ng.2213&lt;/url&gt;&lt;citekey&gt;Yang:2012kw&lt;/citekey&gt;&lt;type&gt;400&lt;/type&gt;&lt;title&gt;Conditional and joint multiple-SNP analysis of GWAS summary statistics identifies additional variants influencing complex traits&lt;/title&gt;&lt;number&gt;4&lt;/number&gt;&lt;subtype&gt;400&lt;/subtype&gt;&lt;endpage&gt;375&lt;/endpage&gt;&lt;bundle&gt;&lt;publication&gt;&lt;publisher&gt;Nature Publishing Group&lt;/publisher&gt;&lt;url&gt;http://www.nature.com.proxy1.library.mcgill.ca&lt;/url&gt;&lt;title&gt;Nature Publishing Group&lt;/title&gt;&lt;type&gt;-100&lt;/type&gt;&lt;subtype&gt;-100&lt;/subtype&gt;&lt;uuid&gt;300C7CB8-BEB5-4099-929A-BDE617D1A268&lt;/uuid&gt;&lt;/publication&gt;&lt;/bundle&gt;&lt;authors&gt;&lt;author&gt;&lt;firstName&gt;Jian&lt;/firstName&gt;&lt;lastName&gt;Yang&lt;/lastName&gt;&lt;/author&gt;&lt;author&gt;&lt;firstName&gt;Teresa&lt;/firstName&gt;&lt;lastName&gt;Ferreira&lt;/lastName&gt;&lt;/author&gt;&lt;author&gt;&lt;firstName&gt;Andrew&lt;/firstName&gt;&lt;middleNames&gt;P&lt;/middleNames&gt;&lt;lastName&gt;Morris&lt;/lastName&gt;&lt;/author&gt;&lt;author&gt;&lt;firstName&gt;Sarah&lt;/firstName&gt;&lt;middleNames&gt;E&lt;/middleNames&gt;&lt;lastName&gt;Medland&lt;/lastName&gt;&lt;/author&gt;&lt;author&gt;&lt;firstName&gt;Pamela&lt;/firstName&gt;&lt;middleNames&gt;A F&lt;/middleNames&gt;&lt;lastName&gt;Madden&lt;/lastName&gt;&lt;/author&gt;&lt;author&gt;&lt;firstName&gt;Andrew&lt;/firstName&gt;&lt;middleNames&gt;C&lt;/middleNames&gt;&lt;lastName&gt;Heath&lt;/lastName&gt;&lt;/author&gt;&lt;author&gt;&lt;firstName&gt;Nicholas&lt;/firstName&gt;&lt;middleNames&gt;G&lt;/middleNames&gt;&lt;lastName&gt;Martin&lt;/lastName&gt;&lt;/author&gt;&lt;author&gt;&lt;firstName&gt;Grant&lt;/firstName&gt;&lt;middleNames&gt;W&lt;/middleNames&gt;&lt;lastName&gt;Montgomery&lt;/lastName&gt;&lt;/author&gt;&lt;author&gt;&lt;firstName&gt;Michael&lt;/firstName&gt;&lt;middleNames&gt;N&lt;/middleNames&gt;&lt;lastName&gt;Weedon&lt;/lastName&gt;&lt;/author&gt;&lt;author&gt;&lt;firstName&gt;Ruth&lt;/firstName&gt;&lt;middleNames&gt;J&lt;/middleNames&gt;&lt;lastName&gt;Loos&lt;/lastName&gt;&lt;/author&gt;&lt;author&gt;&lt;firstName&gt;Timothy&lt;/firstName&gt;&lt;middleNames&gt;M&lt;/middleNames&gt;&lt;lastName&gt;Frayling&lt;/lastName&gt;&lt;/author&gt;&lt;author&gt;&lt;firstName&gt;Mark&lt;/firstName&gt;&lt;middleNames&gt;I&lt;/middleNames&gt;&lt;lastName&gt;McCarthy&lt;/lastName&gt;&lt;/author&gt;&lt;author&gt;&lt;firstName&gt;Joel&lt;/firstName&gt;&lt;middleNames&gt;N&lt;/middleNames&gt;&lt;lastName&gt;Hirschhorn&lt;/lastName&gt;&lt;/author&gt;&lt;author&gt;&lt;firstName&gt;Michael&lt;/firstName&gt;&lt;middleNames&gt;E&lt;/middleNames&gt;&lt;lastName&gt;Goddard&lt;/lastName&gt;&lt;/author&gt;&lt;author&gt;&lt;firstName&gt;Peter&lt;/firstName&gt;&lt;middleNames&gt;M&lt;/middleNames&gt;&lt;lastName&gt;Visscher&lt;/lastName&gt;&lt;/author&gt;&lt;/authors&gt;&lt;/publication&gt;&lt;/publications&gt;&lt;cites&gt;&lt;/cites&gt;&lt;/citation&gt;</w:instrText>
      </w:r>
      <w:r w:rsidR="006E0774">
        <w:rPr>
          <w:rFonts w:cs="Arial"/>
          <w:color w:val="141413"/>
          <w:szCs w:val="20"/>
        </w:rPr>
        <w:fldChar w:fldCharType="separate"/>
      </w:r>
      <w:r w:rsidR="002D628F">
        <w:rPr>
          <w:rFonts w:cs="Times New Roman"/>
          <w:szCs w:val="20"/>
          <w:vertAlign w:val="superscript"/>
        </w:rPr>
        <w:t>20</w:t>
      </w:r>
      <w:r w:rsidR="006E0774">
        <w:rPr>
          <w:rFonts w:cs="Arial"/>
          <w:color w:val="141413"/>
          <w:szCs w:val="20"/>
        </w:rPr>
        <w:fldChar w:fldCharType="end"/>
      </w:r>
      <w:r w:rsidRPr="009828BF">
        <w:rPr>
          <w:rFonts w:cs="Arial"/>
          <w:color w:val="141413"/>
          <w:szCs w:val="20"/>
        </w:rPr>
        <w:t xml:space="preserve"> This </w:t>
      </w:r>
      <w:r w:rsidR="00B54AE3">
        <w:rPr>
          <w:rFonts w:cs="Arial"/>
          <w:color w:val="141413"/>
          <w:szCs w:val="20"/>
        </w:rPr>
        <w:t>method uses an</w:t>
      </w:r>
      <w:r w:rsidRPr="009828BF">
        <w:rPr>
          <w:rFonts w:cs="Arial"/>
          <w:color w:val="141413"/>
          <w:szCs w:val="20"/>
        </w:rPr>
        <w:t xml:space="preserve"> approximate conditional analysis approach </w:t>
      </w:r>
      <w:r w:rsidR="00B54AE3">
        <w:rPr>
          <w:rFonts w:cs="Arial"/>
          <w:color w:val="141413"/>
          <w:szCs w:val="20"/>
        </w:rPr>
        <w:t>from</w:t>
      </w:r>
      <w:r w:rsidR="00B54AE3" w:rsidRPr="009828BF">
        <w:rPr>
          <w:rFonts w:cs="Arial"/>
          <w:color w:val="141413"/>
          <w:szCs w:val="20"/>
        </w:rPr>
        <w:t xml:space="preserve"> </w:t>
      </w:r>
      <w:r w:rsidRPr="009828BF">
        <w:rPr>
          <w:rFonts w:cs="Arial"/>
          <w:color w:val="141413"/>
          <w:szCs w:val="20"/>
        </w:rPr>
        <w:t xml:space="preserve">summary-level statistics from the meta-analysis and LD corrections between </w:t>
      </w:r>
      <w:r w:rsidR="00F26D05">
        <w:rPr>
          <w:rFonts w:cs="Arial"/>
          <w:color w:val="141413"/>
          <w:szCs w:val="20"/>
        </w:rPr>
        <w:t>SNV</w:t>
      </w:r>
      <w:r w:rsidRPr="009828BF">
        <w:rPr>
          <w:rFonts w:cs="Arial"/>
          <w:color w:val="141413"/>
          <w:szCs w:val="20"/>
        </w:rPr>
        <w:t xml:space="preserve">s estimated from a reference sample. We used UK10K individuals as the reference sample to calculate the LD information of </w:t>
      </w:r>
      <w:r w:rsidR="00F26D05">
        <w:rPr>
          <w:rFonts w:cs="Arial"/>
          <w:color w:val="141413"/>
          <w:szCs w:val="20"/>
        </w:rPr>
        <w:t>SNV</w:t>
      </w:r>
      <w:r w:rsidRPr="009828BF">
        <w:rPr>
          <w:rFonts w:cs="Arial"/>
          <w:color w:val="141413"/>
          <w:szCs w:val="20"/>
        </w:rPr>
        <w:t xml:space="preserve">s. The associated regions flanking </w:t>
      </w:r>
      <w:r w:rsidR="00B54AE3">
        <w:rPr>
          <w:rFonts w:cs="Arial"/>
          <w:color w:val="141413"/>
          <w:szCs w:val="20"/>
        </w:rPr>
        <w:t xml:space="preserve">within </w:t>
      </w:r>
      <w:r w:rsidRPr="009828BF">
        <w:rPr>
          <w:rFonts w:cs="Arial"/>
          <w:color w:val="141413"/>
          <w:szCs w:val="20"/>
        </w:rPr>
        <w:t xml:space="preserve">400kb of the top </w:t>
      </w:r>
      <w:r w:rsidR="00F26D05">
        <w:rPr>
          <w:rFonts w:cs="Arial"/>
          <w:color w:val="141413"/>
          <w:szCs w:val="20"/>
        </w:rPr>
        <w:t>SNV</w:t>
      </w:r>
      <w:r w:rsidRPr="009828BF">
        <w:rPr>
          <w:rFonts w:cs="Arial"/>
          <w:color w:val="141413"/>
          <w:szCs w:val="20"/>
        </w:rPr>
        <w:t>s were extracted and the conditional analys</w:t>
      </w:r>
      <w:r w:rsidR="00B54AE3">
        <w:rPr>
          <w:rFonts w:cs="Arial"/>
          <w:color w:val="141413"/>
          <w:szCs w:val="20"/>
        </w:rPr>
        <w:t>e</w:t>
      </w:r>
      <w:r w:rsidRPr="009828BF">
        <w:rPr>
          <w:rFonts w:cs="Arial"/>
          <w:color w:val="141413"/>
          <w:szCs w:val="20"/>
        </w:rPr>
        <w:t xml:space="preserve">s were conducted within these regions. A stepwise model selection procedure was performed to select independently associated </w:t>
      </w:r>
      <w:r w:rsidR="00F26D05">
        <w:rPr>
          <w:rFonts w:cs="Arial"/>
          <w:color w:val="141413"/>
          <w:szCs w:val="20"/>
        </w:rPr>
        <w:t>SNV</w:t>
      </w:r>
      <w:r w:rsidRPr="009828BF">
        <w:rPr>
          <w:rFonts w:cs="Arial"/>
          <w:color w:val="141413"/>
          <w:szCs w:val="20"/>
        </w:rPr>
        <w:t xml:space="preserve">s with a threshold of </w:t>
      </w:r>
      <w:r w:rsidR="002C4E28">
        <w:rPr>
          <w:rFonts w:cs="Arial"/>
          <w:color w:val="141413"/>
          <w:szCs w:val="20"/>
        </w:rPr>
        <w:t xml:space="preserve">P ≤ </w:t>
      </w:r>
      <w:r w:rsidRPr="009828BF">
        <w:rPr>
          <w:rFonts w:cs="Arial"/>
          <w:color w:val="141413"/>
          <w:szCs w:val="20"/>
        </w:rPr>
        <w:t>5</w:t>
      </w:r>
      <w:r w:rsidR="00236934">
        <w:rPr>
          <w:rFonts w:cs="Arial"/>
          <w:color w:val="141413"/>
          <w:szCs w:val="20"/>
        </w:rPr>
        <w:t xml:space="preserve"> × 10</w:t>
      </w:r>
      <w:r w:rsidRPr="00236934">
        <w:rPr>
          <w:rFonts w:cs="Arial"/>
          <w:color w:val="141413"/>
          <w:szCs w:val="20"/>
          <w:vertAlign w:val="superscript"/>
        </w:rPr>
        <w:t>-6</w:t>
      </w:r>
      <w:r w:rsidRPr="009828BF">
        <w:rPr>
          <w:rFonts w:cs="Arial"/>
          <w:color w:val="141413"/>
          <w:szCs w:val="20"/>
        </w:rPr>
        <w:t>. Then we condition</w:t>
      </w:r>
      <w:r w:rsidR="00B54AE3">
        <w:rPr>
          <w:rFonts w:cs="Arial"/>
          <w:color w:val="141413"/>
          <w:szCs w:val="20"/>
        </w:rPr>
        <w:t>ed</w:t>
      </w:r>
      <w:r w:rsidRPr="009828BF">
        <w:rPr>
          <w:rFonts w:cs="Arial"/>
          <w:color w:val="141413"/>
          <w:szCs w:val="20"/>
        </w:rPr>
        <w:t xml:space="preserve"> on </w:t>
      </w:r>
      <w:r w:rsidRPr="007D228B">
        <w:rPr>
          <w:rFonts w:cs="Arial"/>
          <w:color w:val="141413"/>
          <w:szCs w:val="20"/>
        </w:rPr>
        <w:t xml:space="preserve">these independently associated </w:t>
      </w:r>
      <w:r w:rsidR="00F26D05">
        <w:rPr>
          <w:rFonts w:cs="Arial"/>
          <w:color w:val="141413"/>
          <w:szCs w:val="20"/>
        </w:rPr>
        <w:t>SNV</w:t>
      </w:r>
      <w:r w:rsidRPr="007D228B">
        <w:rPr>
          <w:rFonts w:cs="Arial"/>
          <w:color w:val="141413"/>
          <w:szCs w:val="20"/>
        </w:rPr>
        <w:t>s to seek secondary signal</w:t>
      </w:r>
      <w:r w:rsidR="00AE4D68" w:rsidRPr="007D228B">
        <w:rPr>
          <w:rFonts w:cs="Arial"/>
          <w:color w:val="141413"/>
          <w:szCs w:val="20"/>
        </w:rPr>
        <w:t>s</w:t>
      </w:r>
      <w:r w:rsidRPr="007D228B">
        <w:rPr>
          <w:rFonts w:cs="Arial"/>
          <w:color w:val="141413"/>
          <w:szCs w:val="20"/>
        </w:rPr>
        <w:t>.</w:t>
      </w:r>
      <w:r w:rsidR="00F27078">
        <w:rPr>
          <w:rFonts w:cs="Arial"/>
          <w:color w:val="141413"/>
          <w:szCs w:val="20"/>
        </w:rPr>
        <w:t xml:space="preserve"> </w:t>
      </w:r>
      <w:proofErr w:type="spellStart"/>
      <w:r w:rsidR="00F27078">
        <w:rPr>
          <w:rFonts w:cs="Arial"/>
          <w:color w:val="141413"/>
          <w:szCs w:val="20"/>
        </w:rPr>
        <w:t>Qualtile</w:t>
      </w:r>
      <w:proofErr w:type="spellEnd"/>
      <w:r w:rsidR="00F27078">
        <w:rPr>
          <w:rFonts w:cs="Arial"/>
          <w:color w:val="141413"/>
          <w:szCs w:val="20"/>
        </w:rPr>
        <w:t xml:space="preserve">-quantile plots for these results are presented in </w:t>
      </w:r>
      <w:r w:rsidR="00F27078" w:rsidRPr="00EC48DA">
        <w:rPr>
          <w:rFonts w:cs="Arial"/>
          <w:b/>
          <w:color w:val="141413"/>
          <w:szCs w:val="20"/>
        </w:rPr>
        <w:t>Extended Data Figure 1</w:t>
      </w:r>
      <w:r w:rsidR="00F27078">
        <w:rPr>
          <w:rFonts w:cs="Arial"/>
          <w:color w:val="141413"/>
          <w:szCs w:val="20"/>
        </w:rPr>
        <w:t>.</w:t>
      </w:r>
      <w:r w:rsidR="00880AF1">
        <w:rPr>
          <w:rFonts w:cs="Arial"/>
          <w:color w:val="141413"/>
          <w:szCs w:val="20"/>
        </w:rPr>
        <w:t xml:space="preserve">  Conditional analyses of individuals variants presented in </w:t>
      </w:r>
      <w:r w:rsidR="00880AF1" w:rsidRPr="00EC48DA">
        <w:rPr>
          <w:rFonts w:cs="Arial"/>
          <w:b/>
          <w:color w:val="141413"/>
          <w:szCs w:val="20"/>
        </w:rPr>
        <w:t xml:space="preserve">Supplementary Table </w:t>
      </w:r>
      <w:r w:rsidR="00623D22">
        <w:rPr>
          <w:rFonts w:cs="Arial"/>
          <w:b/>
          <w:color w:val="141413"/>
          <w:szCs w:val="20"/>
        </w:rPr>
        <w:t>7</w:t>
      </w:r>
      <w:r w:rsidR="00880AF1">
        <w:rPr>
          <w:rFonts w:cs="Arial"/>
          <w:b/>
          <w:color w:val="141413"/>
          <w:szCs w:val="20"/>
        </w:rPr>
        <w:t xml:space="preserve"> </w:t>
      </w:r>
      <w:r w:rsidR="00880AF1">
        <w:rPr>
          <w:rFonts w:cs="Arial"/>
          <w:color w:val="141413"/>
          <w:szCs w:val="20"/>
        </w:rPr>
        <w:t>was conducted using GCTA v 0.93.9 using default parameters.</w:t>
      </w:r>
    </w:p>
    <w:p w14:paraId="53EECD24" w14:textId="661FDC6A" w:rsidR="009A3C53" w:rsidRDefault="00C5318D" w:rsidP="00EF187A">
      <w:pPr>
        <w:pStyle w:val="Heading3"/>
        <w:rPr>
          <w:b w:val="0"/>
        </w:rPr>
      </w:pPr>
      <w:r>
        <w:t xml:space="preserve">Relationship </w:t>
      </w:r>
      <w:r w:rsidR="00E70932">
        <w:t>between</w:t>
      </w:r>
      <w:r w:rsidR="009A3C53">
        <w:t xml:space="preserve"> MAF and Effect Size</w:t>
      </w:r>
    </w:p>
    <w:p w14:paraId="6DC5553D" w14:textId="48E03C4D" w:rsidR="005D4E49" w:rsidRDefault="00E82F9D" w:rsidP="00140020">
      <w:pPr>
        <w:rPr>
          <w:lang w:eastAsia="zh-CN"/>
        </w:rPr>
      </w:pPr>
      <w:r>
        <w:rPr>
          <w:rFonts w:cs="Arial"/>
          <w:szCs w:val="20"/>
        </w:rPr>
        <w:t>For each BMD phenotype, g</w:t>
      </w:r>
      <w:r w:rsidRPr="00E82F9D">
        <w:rPr>
          <w:rFonts w:cs="Arial"/>
          <w:szCs w:val="20"/>
        </w:rPr>
        <w:t>enome</w:t>
      </w:r>
      <w:r>
        <w:rPr>
          <w:rFonts w:cs="Arial"/>
          <w:szCs w:val="20"/>
        </w:rPr>
        <w:t xml:space="preserve">-wide significant SNVs (P </w:t>
      </w:r>
      <w:r w:rsidR="002D69CB">
        <w:rPr>
          <w:rFonts w:cs="Arial"/>
          <w:szCs w:val="20"/>
        </w:rPr>
        <w:t>≤</w:t>
      </w:r>
      <w:r>
        <w:rPr>
          <w:rFonts w:cs="Arial"/>
          <w:szCs w:val="20"/>
        </w:rPr>
        <w:t xml:space="preserve"> 1.2</w:t>
      </w:r>
      <w:r w:rsidR="002D69CB">
        <w:rPr>
          <w:rFonts w:cs="Arial"/>
          <w:szCs w:val="20"/>
        </w:rPr>
        <w:t xml:space="preserve"> x 10</w:t>
      </w:r>
      <w:r w:rsidRPr="006E0774">
        <w:rPr>
          <w:rFonts w:cs="Arial"/>
          <w:szCs w:val="20"/>
          <w:vertAlign w:val="superscript"/>
        </w:rPr>
        <w:t>-8</w:t>
      </w:r>
      <w:r>
        <w:rPr>
          <w:rFonts w:cs="Arial"/>
          <w:szCs w:val="20"/>
        </w:rPr>
        <w:t xml:space="preserve">) were collected and pruned for linkage disequilibrium by first placing variants into 4 discrete MAF bins: </w:t>
      </w:r>
      <w:r w:rsidR="00C60C44">
        <w:t>[0.005 - 0.01], [0.01 - 0.05], [</w:t>
      </w:r>
      <w:r>
        <w:t xml:space="preserve">0.05 </w:t>
      </w:r>
      <w:r w:rsidR="00C60C44">
        <w:t>- 0.1], and [</w:t>
      </w:r>
      <w:r>
        <w:t>0.1 - 0.5]. For each MAF bin, we used the SNP Annotation and Proxy Search (SNAP)</w:t>
      </w:r>
      <w:r w:rsidR="006E0774">
        <w:fldChar w:fldCharType="begin"/>
      </w:r>
      <w:r w:rsidR="00735D55">
        <w:instrText xml:space="preserve"> ADDIN PAPERS2_CITATIONS &lt;citation&gt;&lt;uuid&gt;80F5B781-33F6-4711-8C3A-A0F49F9AB5F7&lt;/uuid&gt;&lt;priority&gt;19&lt;/priority&gt;&lt;publications&gt;&lt;publication&gt;&lt;uuid&gt;B9BD55C9-3B89-449C-9676-DB8411C2910E&lt;/uuid&gt;&lt;volume&gt;24&lt;/volume&gt;&lt;doi&gt;10.1093/bioinformatics/btn564&lt;/doi&gt;&lt;startpage&gt;2938&lt;/startpage&gt;&lt;publication_date&gt;99200812151200000000222000&lt;/publication_date&gt;&lt;url&gt;http://eutils.ncbi.nlm.nih.gov/entrez/eutils/elink.fcgi?dbfrom=pubmed&amp;amp;id=18974171&amp;amp;retmode=ref&amp;amp;cmd=prlinks&lt;/url&gt;&lt;citekey&gt;Johnson:2008bc&lt;/citekey&gt;&lt;type&gt;400&lt;/type&gt;&lt;title&gt;SNAP: a web-based tool for identification and annotation of proxy SNPs using HapMap.&lt;/title&gt;&lt;location&gt;&amp;lt;html&amp;gt;&amp;lt;head&amp;gt;&amp;lt;meta http-equiv="content-type" content="text/html; charset=utf-8"/&amp;gt;&amp;lt;title&amp;gt;Sorry...&amp;lt;/title&amp;gt;&amp;lt;style&amp;gt; body { font-family: verdana, arial, sans-serif; background-color: #fff; color: #000; }&amp;lt;/style&amp;gt;&amp;lt;/head&amp;gt;&amp;lt;body&amp;gt;&amp;lt;div&amp;gt;&amp;lt;table&amp;gt;&amp;lt;tr&amp;gt;&amp;lt;td&amp;gt;&amp;lt;b&amp;gt;&amp;lt;font face=times color=#0039b6 size=10&amp;gt;G&amp;lt;/font&amp;gt;&amp;lt;font face=times color=#c41200 size=10&amp;gt;o&amp;lt;/font&amp;gt;&amp;lt;font face=times color=#f3c518 size=10&amp;gt;o&amp;lt;/font&amp;gt;&amp;lt;font face=times color=#0039b6 size=10&amp;gt;g&amp;lt;/font&amp;gt;&amp;lt;font face=times color=#30a72f size=10&amp;gt;l&amp;lt;/font&amp;gt;&amp;lt;font face=times color=#c41200 size=10&amp;gt;e&amp;lt;/font&amp;gt;&amp;lt;/b&amp;gt;&amp;lt;/td&amp;gt;&amp;lt;td style="text-align: left; vertical-align: bottom; padding-bottom: 15px; width: 50%"&amp;gt;&amp;lt;div style="border-bottom: 1px solid #dfdfdf;"&amp;gt;Sorry...&amp;lt;/div&amp;gt;&amp;lt;/td&amp;gt;&amp;lt;/tr&amp;gt;&amp;lt;/table&amp;gt;&amp;lt;/div&amp;gt;&amp;lt;div style="margin-left: 4em;"&amp;gt;&amp;lt;h1&amp;gt;We're sorry...&amp;lt;/h1&amp;gt;&amp;lt;p&amp;gt;... but your computer or network may be sending automated queries. To protect our users, we can't process your request right now.&amp;lt;/p&amp;gt;&amp;lt;/div&amp;gt;&amp;lt;div style="margin-left: 4em;"&amp;gt;See &amp;lt;a href="https://support.google.com/websearch/answer/86640"&amp;gt;Google Help&amp;lt;/a&amp;gt; for more information.&amp;lt;br/&amp;gt;&amp;lt;br/&amp;gt;&amp;lt;/div&amp;gt;&amp;lt;div style="text-align: center; border-top: 1px solid #dfdfdf;"&amp;gt;&amp;amp;copy; 2013 Google - &amp;lt;a href="https://www.google.com"&amp;gt;Google Home&amp;lt;/a&amp;gt;&amp;lt;/div&amp;gt;&amp;lt;/body&amp;gt;&amp;lt;/html&amp;gt;&lt;/location&gt;&lt;institution&gt;The Framingham Heart Study of the National Heart, Lung, and Blood Institute of the National Institutes of Health, USA.&lt;/institution&gt;&lt;number&gt;24&lt;/number&gt;&lt;subtype&gt;400&lt;/subtype&gt;&lt;endpage&gt;2939&lt;/endpage&gt;&lt;bundle&gt;&lt;publication&gt;&lt;publisher&gt;Oxford University Press&lt;/publisher&gt;&lt;title&gt;Bioinformatics&lt;/title&gt;&lt;type&gt;-100&lt;/type&gt;&lt;subtype&gt;-100&lt;/subtype&gt;&lt;uuid&gt;5E0617C0-143A-4C27-A688-3E035890BEDE&lt;/uuid&gt;&lt;/publication&gt;&lt;/bundle&gt;&lt;authors&gt;&lt;author&gt;&lt;firstName&gt;Andrew&lt;/firstName&gt;&lt;middleNames&gt;D&lt;/middleNames&gt;&lt;lastName&gt;Johnson&lt;/lastName&gt;&lt;/author&gt;&lt;author&gt;&lt;firstName&gt;Robert&lt;/firstName&gt;&lt;middleNames&gt;E&lt;/middleNames&gt;&lt;lastName&gt;Handsaker&lt;/lastName&gt;&lt;/author&gt;&lt;author&gt;&lt;firstName&gt;Sara&lt;/firstName&gt;&lt;middleNames&gt;L&lt;/middleNames&gt;&lt;lastName&gt;Pulit&lt;/lastName&gt;&lt;/author&gt;&lt;author&gt;&lt;firstName&gt;Marcia&lt;/firstName&gt;&lt;middleNames&gt;M&lt;/middleNames&gt;&lt;lastName&gt;Nizzari&lt;/lastName&gt;&lt;/author&gt;&lt;author&gt;&lt;firstName&gt;Christopher&lt;/firstName&gt;&lt;middleNames&gt;J&lt;/middleNames&gt;&lt;lastName&gt;O'Donnell&lt;/lastName&gt;&lt;/author&gt;&lt;author&gt;&lt;lastName&gt;Bakker&lt;/lastName&gt;&lt;nonDroppingParticle&gt;de&lt;/nonDroppingParticle&gt;&lt;firstName&gt;Paul&lt;/firstName&gt;&lt;middleNames&gt;I W&lt;/middleNames&gt;&lt;/author&gt;&lt;/authors&gt;&lt;/publication&gt;&lt;/publications&gt;&lt;cites&gt;&lt;/cites&gt;&lt;/citation&gt;</w:instrText>
      </w:r>
      <w:r w:rsidR="006E0774">
        <w:fldChar w:fldCharType="separate"/>
      </w:r>
      <w:r w:rsidR="002D628F">
        <w:rPr>
          <w:rFonts w:cs="Times New Roman"/>
          <w:szCs w:val="20"/>
          <w:vertAlign w:val="superscript"/>
        </w:rPr>
        <w:t>21</w:t>
      </w:r>
      <w:r w:rsidR="006E0774">
        <w:fldChar w:fldCharType="end"/>
      </w:r>
      <w:r>
        <w:t xml:space="preserve"> to calculate the pair-wise correlation (</w:t>
      </w:r>
      <w:r w:rsidR="00261815">
        <w:rPr>
          <w:i/>
        </w:rPr>
        <w:t>r</w:t>
      </w:r>
      <w:r w:rsidRPr="00E82F9D">
        <w:rPr>
          <w:i/>
          <w:vertAlign w:val="superscript"/>
        </w:rPr>
        <w:t>2</w:t>
      </w:r>
      <w:r>
        <w:t xml:space="preserve">). </w:t>
      </w:r>
      <w:r w:rsidR="005B3A9D">
        <w:t>We retained</w:t>
      </w:r>
      <w:r>
        <w:t xml:space="preserve"> independent </w:t>
      </w:r>
      <w:r w:rsidR="00F26D05">
        <w:t>SNV</w:t>
      </w:r>
      <w:r w:rsidR="007B0AD5">
        <w:t>s</w:t>
      </w:r>
      <w:r>
        <w:t xml:space="preserve"> with</w:t>
      </w:r>
      <w:r w:rsidR="00B54AE3">
        <w:t xml:space="preserve"> the</w:t>
      </w:r>
      <w:r>
        <w:t xml:space="preserve"> largest effect size</w:t>
      </w:r>
      <w:r w:rsidR="005B3A9D">
        <w:t xml:space="preserve"> by removing</w:t>
      </w:r>
      <w:r>
        <w:t xml:space="preserve"> all the other </w:t>
      </w:r>
      <w:r w:rsidR="00F26D05">
        <w:t>SNV</w:t>
      </w:r>
      <w:r>
        <w:t>s in LD (</w:t>
      </w:r>
      <w:r w:rsidR="00261815">
        <w:rPr>
          <w:i/>
        </w:rPr>
        <w:t>r</w:t>
      </w:r>
      <w:r w:rsidR="00261815" w:rsidRPr="005B3A9D">
        <w:rPr>
          <w:i/>
          <w:vertAlign w:val="superscript"/>
        </w:rPr>
        <w:t>2</w:t>
      </w:r>
      <w:r w:rsidR="00261815">
        <w:t xml:space="preserve"> </w:t>
      </w:r>
      <w:r>
        <w:t>&gt; 0.2).</w:t>
      </w:r>
      <w:r>
        <w:rPr>
          <w:lang w:eastAsia="zh-CN"/>
        </w:rPr>
        <w:t xml:space="preserve"> </w:t>
      </w:r>
    </w:p>
    <w:p w14:paraId="447A3D82" w14:textId="77777777" w:rsidR="00140020" w:rsidRDefault="00140020" w:rsidP="00140020">
      <w:pPr>
        <w:rPr>
          <w:rFonts w:cs="Arial"/>
          <w:szCs w:val="20"/>
          <w:lang w:val="en-CA"/>
        </w:rPr>
      </w:pPr>
    </w:p>
    <w:p w14:paraId="45A99214" w14:textId="5BE17CEB" w:rsidR="009A3C53" w:rsidRDefault="009A3C53" w:rsidP="009A3C53">
      <w:pPr>
        <w:jc w:val="both"/>
        <w:rPr>
          <w:rFonts w:cs="Arial"/>
          <w:szCs w:val="20"/>
          <w:lang w:val="en-CA"/>
        </w:rPr>
      </w:pPr>
      <w:r w:rsidRPr="00007D9E">
        <w:rPr>
          <w:rFonts w:cs="Arial"/>
          <w:szCs w:val="20"/>
          <w:lang w:val="en-CA"/>
        </w:rPr>
        <w:t xml:space="preserve">Power for single point tests was calculated using standard approaches.  Let </w:t>
      </w:r>
      <m:oMath>
        <m:r>
          <w:rPr>
            <w:rFonts w:ascii="Cambria Math" w:hAnsi="Cambria Math" w:cs="Arial"/>
            <w:szCs w:val="20"/>
            <w:lang w:val="en-CA"/>
          </w:rPr>
          <m:t>N</m:t>
        </m:r>
      </m:oMath>
      <w:r w:rsidRPr="00007D9E">
        <w:rPr>
          <w:rFonts w:cs="Arial"/>
          <w:szCs w:val="20"/>
          <w:lang w:val="en-CA"/>
        </w:rPr>
        <w:t xml:space="preserve"> be the sample size, </w:t>
      </w:r>
      <m:oMath>
        <m:r>
          <w:rPr>
            <w:rFonts w:ascii="Cambria Math" w:hAnsi="Cambria Math" w:cs="Arial"/>
            <w:szCs w:val="20"/>
            <w:lang w:val="en-CA"/>
          </w:rPr>
          <m:t>p</m:t>
        </m:r>
      </m:oMath>
      <w:r w:rsidRPr="00007D9E">
        <w:rPr>
          <w:rFonts w:cs="Arial"/>
          <w:szCs w:val="20"/>
          <w:lang w:val="en-CA"/>
        </w:rPr>
        <w:t xml:space="preserve"> be the minor allele frequency, </w:t>
      </w:r>
      <m:oMath>
        <m:r>
          <w:rPr>
            <w:rFonts w:ascii="Cambria Math" w:hAnsi="Cambria Math" w:cs="Arial"/>
            <w:szCs w:val="20"/>
            <w:lang w:val="en-CA"/>
          </w:rPr>
          <m:t>β</m:t>
        </m:r>
      </m:oMath>
      <w:r w:rsidRPr="00007D9E">
        <w:rPr>
          <w:rFonts w:cs="Arial"/>
          <w:szCs w:val="20"/>
          <w:lang w:val="en-CA"/>
        </w:rPr>
        <w:t xml:space="preserve"> represent the standardized effect of a </w:t>
      </w:r>
      <w:r w:rsidR="00F26D05">
        <w:rPr>
          <w:rFonts w:cs="Arial"/>
          <w:szCs w:val="20"/>
          <w:lang w:val="en-CA"/>
        </w:rPr>
        <w:t>SNV</w:t>
      </w:r>
      <w:r w:rsidRPr="00007D9E">
        <w:rPr>
          <w:rFonts w:cs="Arial"/>
          <w:szCs w:val="20"/>
          <w:lang w:val="en-CA"/>
        </w:rPr>
        <w:t xml:space="preserve"> on a continuous phenotype (standardized so that </w:t>
      </w:r>
      <m:oMath>
        <m:r>
          <w:rPr>
            <w:rFonts w:ascii="Cambria Math" w:hAnsi="Cambria Math" w:cs="Arial"/>
            <w:szCs w:val="20"/>
            <w:lang w:val="en-CA"/>
          </w:rPr>
          <m:t>β</m:t>
        </m:r>
      </m:oMath>
      <w:r w:rsidRPr="00007D9E">
        <w:rPr>
          <w:rFonts w:cs="Arial"/>
          <w:szCs w:val="20"/>
          <w:lang w:val="en-CA"/>
        </w:rPr>
        <w:t xml:space="preserve"> is the effect per standard deviation of the phenotype), and let </w:t>
      </w:r>
      <m:oMath>
        <m:sSup>
          <m:sSupPr>
            <m:ctrlPr>
              <w:rPr>
                <w:rFonts w:ascii="Cambria Math" w:hAnsi="Cambria Math" w:cs="Arial"/>
                <w:i/>
                <w:iCs/>
                <w:lang w:val="en-CA"/>
              </w:rPr>
            </m:ctrlPr>
          </m:sSupPr>
          <m:e>
            <m:r>
              <w:rPr>
                <w:rFonts w:ascii="Cambria Math" w:hAnsi="Cambria Math" w:cs="Arial"/>
                <w:szCs w:val="20"/>
                <w:lang w:val="en-CA"/>
              </w:rPr>
              <m:t>R</m:t>
            </m:r>
          </m:e>
          <m:sup>
            <m:r>
              <w:rPr>
                <w:rFonts w:ascii="Cambria Math" w:hAnsi="Cambria Math" w:cs="Arial"/>
                <w:szCs w:val="20"/>
                <w:lang w:val="en-CA"/>
              </w:rPr>
              <m:t>2</m:t>
            </m:r>
          </m:sup>
        </m:sSup>
      </m:oMath>
      <w:r w:rsidRPr="00007D9E">
        <w:rPr>
          <w:rFonts w:cs="Arial"/>
          <w:szCs w:val="20"/>
          <w:lang w:val="en-CA"/>
        </w:rPr>
        <w:t xml:space="preserve"> represent the square of the correlation between a true genotype and a genotype measured with error.  The non-centrality parameter of the chi-squared distribution for a single </w:t>
      </w:r>
      <w:r w:rsidR="00F26D05">
        <w:rPr>
          <w:rFonts w:cs="Arial"/>
          <w:szCs w:val="20"/>
          <w:lang w:val="en-CA"/>
        </w:rPr>
        <w:t>SNV</w:t>
      </w:r>
      <w:r w:rsidRPr="00007D9E">
        <w:rPr>
          <w:rFonts w:cs="Arial"/>
          <w:szCs w:val="20"/>
          <w:lang w:val="en-CA"/>
        </w:rPr>
        <w:t xml:space="preserve"> has been shown to be</w:t>
      </w:r>
      <w:r>
        <w:rPr>
          <w:rFonts w:cs="Arial"/>
          <w:iCs/>
          <w:szCs w:val="20"/>
          <w:lang w:val="en-CA"/>
        </w:rPr>
        <w:t xml:space="preserve"> </w:t>
      </w:r>
      <m:oMath>
        <m:r>
          <w:rPr>
            <w:rFonts w:ascii="Cambria Math" w:hAnsi="Cambria Math" w:cs="Arial"/>
            <w:szCs w:val="20"/>
            <w:lang w:val="en-CA"/>
          </w:rPr>
          <m:t>NCP=2</m:t>
        </m:r>
        <m:d>
          <m:dPr>
            <m:ctrlPr>
              <w:rPr>
                <w:rFonts w:ascii="Cambria Math" w:hAnsi="Cambria Math" w:cs="Arial"/>
                <w:i/>
                <w:iCs/>
                <w:lang w:val="en-CA"/>
              </w:rPr>
            </m:ctrlPr>
          </m:dPr>
          <m:e>
            <m:r>
              <w:rPr>
                <w:rFonts w:ascii="Cambria Math" w:hAnsi="Cambria Math" w:cs="Arial"/>
                <w:szCs w:val="20"/>
                <w:lang w:val="en-CA"/>
              </w:rPr>
              <m:t>N-1</m:t>
            </m:r>
          </m:e>
        </m:d>
        <m:r>
          <w:rPr>
            <w:rFonts w:ascii="Cambria Math" w:hAnsi="Cambria Math" w:cs="Arial"/>
            <w:szCs w:val="20"/>
            <w:lang w:val="en-CA"/>
          </w:rPr>
          <m:t>p</m:t>
        </m:r>
        <m:d>
          <m:dPr>
            <m:ctrlPr>
              <w:rPr>
                <w:rFonts w:ascii="Cambria Math" w:hAnsi="Cambria Math" w:cs="Arial"/>
                <w:i/>
                <w:iCs/>
                <w:lang w:val="en-CA"/>
              </w:rPr>
            </m:ctrlPr>
          </m:dPr>
          <m:e>
            <m:r>
              <w:rPr>
                <w:rFonts w:ascii="Cambria Math" w:hAnsi="Cambria Math" w:cs="Arial"/>
                <w:szCs w:val="20"/>
                <w:lang w:val="en-CA"/>
              </w:rPr>
              <m:t>1-p</m:t>
            </m:r>
          </m:e>
        </m:d>
        <m:sSup>
          <m:sSupPr>
            <m:ctrlPr>
              <w:rPr>
                <w:rFonts w:ascii="Cambria Math" w:hAnsi="Cambria Math" w:cs="Arial"/>
                <w:i/>
                <w:iCs/>
                <w:lang w:val="en-CA"/>
              </w:rPr>
            </m:ctrlPr>
          </m:sSupPr>
          <m:e>
            <m:r>
              <w:rPr>
                <w:rFonts w:ascii="Cambria Math" w:hAnsi="Cambria Math" w:cs="Arial"/>
                <w:szCs w:val="20"/>
                <w:lang w:val="en-CA"/>
              </w:rPr>
              <m:t>β</m:t>
            </m:r>
          </m:e>
          <m:sup>
            <m:r>
              <w:rPr>
                <w:rFonts w:ascii="Cambria Math" w:hAnsi="Cambria Math" w:cs="Arial"/>
                <w:szCs w:val="20"/>
                <w:lang w:val="en-CA"/>
              </w:rPr>
              <m:t>2</m:t>
            </m:r>
          </m:sup>
        </m:sSup>
        <m:sSup>
          <m:sSupPr>
            <m:ctrlPr>
              <w:rPr>
                <w:rFonts w:ascii="Cambria Math" w:hAnsi="Cambria Math" w:cs="Arial"/>
                <w:i/>
                <w:iCs/>
                <w:lang w:val="en-CA"/>
              </w:rPr>
            </m:ctrlPr>
          </m:sSupPr>
          <m:e>
            <m:r>
              <w:rPr>
                <w:rFonts w:ascii="Cambria Math" w:hAnsi="Cambria Math" w:cs="Arial"/>
                <w:szCs w:val="20"/>
                <w:lang w:val="en-CA"/>
              </w:rPr>
              <m:t>R</m:t>
            </m:r>
          </m:e>
          <m:sup>
            <m:r>
              <w:rPr>
                <w:rFonts w:ascii="Cambria Math" w:hAnsi="Cambria Math" w:cs="Arial"/>
                <w:szCs w:val="20"/>
                <w:lang w:val="en-CA"/>
              </w:rPr>
              <m:t>2</m:t>
            </m:r>
          </m:sup>
        </m:sSup>
      </m:oMath>
      <w:r w:rsidRPr="00007D9E">
        <w:rPr>
          <w:rFonts w:cs="Arial"/>
          <w:szCs w:val="20"/>
          <w:lang w:val="en-CA"/>
        </w:rPr>
        <w:t>.</w:t>
      </w:r>
      <w:r w:rsidR="00E219CA">
        <w:rPr>
          <w:rFonts w:cs="Arial"/>
          <w:szCs w:val="20"/>
          <w:lang w:val="en-CA"/>
        </w:rPr>
        <w:fldChar w:fldCharType="begin"/>
      </w:r>
      <w:r w:rsidR="00735D55">
        <w:rPr>
          <w:rFonts w:cs="Arial"/>
          <w:szCs w:val="20"/>
          <w:lang w:val="en-CA"/>
        </w:rPr>
        <w:instrText xml:space="preserve"> ADDIN PAPERS2_CITATIONS &lt;citation&gt;&lt;uuid&gt;F67EAFC6-AE8F-46B7-9D98-74F82B133A2C&lt;/uuid&gt;&lt;priority&gt;20&lt;/priority&gt;&lt;publications&gt;&lt;publication&gt;&lt;volume&gt;56&lt;/volume&gt;&lt;publication_date&gt;99200300001200000000200000&lt;/publication_date&gt;&lt;number&gt;1-3&lt;/number&gt;&lt;startpage&gt;18&lt;/startpage&gt;&lt;title&gt;Detecting disease associations due to linkage disequilibrium using haplotype tags: a class of tests and the determinants of statistical power&lt;/title&gt;&lt;uuid&gt;EF3FB54E-EC36-4F8E-963F-DB09C99A2CF4&lt;/uuid&gt;&lt;subtype&gt;400&lt;/subtype&gt;&lt;publisher&gt;Karger Publishers&lt;/publisher&gt;&lt;type&gt;400&lt;/type&gt;&lt;endpage&gt;31&lt;/endpage&gt;&lt;url&gt;http://www.karger.com/Article/Abstract/73729&lt;/url&gt;&lt;bundle&gt;&lt;publication&gt;&lt;title&gt;Human Heredity&lt;/title&gt;&lt;type&gt;-100&lt;/type&gt;&lt;subtype&gt;-100&lt;/subtype&gt;&lt;uuid&gt;E9205EBC-5D17-4B88-8DEC-C7313F8E5A58&lt;/uuid&gt;&lt;/publication&gt;&lt;/bundle&gt;&lt;authors&gt;&lt;author&gt;&lt;firstName&gt;Juliet&lt;/firstName&gt;&lt;middleNames&gt;M&lt;/middleNames&gt;&lt;lastName&gt;Chapman&lt;/lastName&gt;&lt;/author&gt;&lt;author&gt;&lt;firstName&gt;Jason&lt;/firstName&gt;&lt;middleNames&gt;D&lt;/middleNames&gt;&lt;lastName&gt;Cooper&lt;/lastName&gt;&lt;/author&gt;&lt;author&gt;&lt;firstName&gt;John&lt;/firstName&gt;&lt;middleNames&gt;A&lt;/middleNames&gt;&lt;lastName&gt;Todd&lt;/lastName&gt;&lt;/author&gt;&lt;author&gt;&lt;firstName&gt;David&lt;/firstName&gt;&lt;middleNames&gt;G&lt;/middleNames&gt;&lt;lastName&gt;Clayton&lt;/lastName&gt;&lt;/author&gt;&lt;/authors&gt;&lt;/publication&gt;&lt;/publications&gt;&lt;cites&gt;&lt;/cites&gt;&lt;/citation&gt;</w:instrText>
      </w:r>
      <w:r w:rsidR="00E219CA">
        <w:rPr>
          <w:rFonts w:cs="Arial"/>
          <w:szCs w:val="20"/>
          <w:lang w:val="en-CA"/>
        </w:rPr>
        <w:fldChar w:fldCharType="separate"/>
      </w:r>
      <w:r w:rsidR="002D628F">
        <w:rPr>
          <w:rFonts w:cs="Times New Roman"/>
          <w:szCs w:val="20"/>
          <w:vertAlign w:val="superscript"/>
        </w:rPr>
        <w:t>22</w:t>
      </w:r>
      <w:r w:rsidR="00E219CA">
        <w:rPr>
          <w:rFonts w:cs="Arial"/>
          <w:szCs w:val="20"/>
          <w:lang w:val="en-CA"/>
        </w:rPr>
        <w:fldChar w:fldCharType="end"/>
      </w:r>
      <w:r w:rsidRPr="00007D9E">
        <w:rPr>
          <w:rFonts w:cs="Arial"/>
          <w:szCs w:val="20"/>
          <w:lang w:val="en-CA"/>
        </w:rPr>
        <w:t xml:space="preserve">   We calculated power from a non-central </w:t>
      </w:r>
      <w:r>
        <w:rPr>
          <w:rFonts w:cs="Arial"/>
          <w:szCs w:val="20"/>
          <w:lang w:val="en-CA"/>
        </w:rPr>
        <w:t xml:space="preserve">chi-squared distribution for the </w:t>
      </w:r>
      <w:r w:rsidRPr="00007D9E">
        <w:rPr>
          <w:rFonts w:cs="Arial"/>
          <w:szCs w:val="20"/>
          <w:lang w:val="en-CA"/>
        </w:rPr>
        <w:t>genome-</w:t>
      </w:r>
      <w:r>
        <w:rPr>
          <w:rFonts w:cs="Arial"/>
          <w:szCs w:val="20"/>
          <w:lang w:val="en-CA"/>
        </w:rPr>
        <w:t>wide significance threshold of 1.2x10</w:t>
      </w:r>
      <w:r w:rsidRPr="003E0DD0">
        <w:rPr>
          <w:rFonts w:cs="Arial"/>
          <w:szCs w:val="20"/>
          <w:vertAlign w:val="superscript"/>
          <w:lang w:val="en-CA"/>
        </w:rPr>
        <w:t>-8</w:t>
      </w:r>
      <w:r w:rsidR="00E219CA">
        <w:rPr>
          <w:rFonts w:cs="Arial"/>
          <w:szCs w:val="20"/>
          <w:vertAlign w:val="superscript"/>
          <w:lang w:val="en-CA"/>
        </w:rPr>
        <w:t xml:space="preserve"> </w:t>
      </w:r>
      <w:r>
        <w:rPr>
          <w:rFonts w:cs="Arial"/>
          <w:szCs w:val="20"/>
          <w:lang w:val="en-CA"/>
        </w:rPr>
        <w:t>and</w:t>
      </w:r>
      <m:oMath>
        <m:r>
          <w:rPr>
            <w:rFonts w:ascii="Cambria Math" w:hAnsi="Cambria Math" w:cs="Arial"/>
            <w:szCs w:val="20"/>
            <w:lang w:val="en-CA"/>
          </w:rPr>
          <m:t xml:space="preserve"> </m:t>
        </m:r>
        <m:sSup>
          <m:sSupPr>
            <m:ctrlPr>
              <w:rPr>
                <w:rFonts w:ascii="Cambria Math" w:hAnsi="Cambria Math" w:cs="Arial"/>
                <w:i/>
                <w:iCs/>
                <w:lang w:val="en-CA"/>
              </w:rPr>
            </m:ctrlPr>
          </m:sSupPr>
          <m:e>
            <m:r>
              <w:rPr>
                <w:rFonts w:ascii="Cambria Math" w:hAnsi="Cambria Math" w:cs="Arial"/>
                <w:szCs w:val="20"/>
                <w:lang w:val="en-CA"/>
              </w:rPr>
              <m:t>r</m:t>
            </m:r>
          </m:e>
          <m:sup>
            <m:r>
              <w:rPr>
                <w:rFonts w:ascii="Cambria Math" w:hAnsi="Cambria Math" w:cs="Arial"/>
                <w:szCs w:val="20"/>
                <w:lang w:val="en-CA"/>
              </w:rPr>
              <m:t>2</m:t>
            </m:r>
          </m:sup>
        </m:sSup>
        <m:r>
          <w:rPr>
            <w:rFonts w:ascii="Cambria Math" w:hAnsi="Cambria Math" w:cs="Arial"/>
            <w:lang w:val="en-GB"/>
          </w:rPr>
          <m:t>=1</m:t>
        </m:r>
      </m:oMath>
      <w:r>
        <w:rPr>
          <w:rFonts w:cs="Arial"/>
          <w:szCs w:val="20"/>
          <w:lang w:val="en-CA"/>
        </w:rPr>
        <w:t>.</w:t>
      </w:r>
      <w:r w:rsidR="0038013D">
        <w:rPr>
          <w:rFonts w:cs="Arial"/>
          <w:szCs w:val="20"/>
          <w:vertAlign w:val="superscript"/>
          <w:lang w:val="en-CA"/>
        </w:rPr>
        <w:fldChar w:fldCharType="begin"/>
      </w:r>
      <w:r w:rsidR="00735D55">
        <w:rPr>
          <w:rFonts w:cs="Arial"/>
          <w:szCs w:val="20"/>
          <w:vertAlign w:val="superscript"/>
          <w:lang w:val="en-CA"/>
        </w:rPr>
        <w:instrText xml:space="preserve"> ADDIN PAPERS2_CITATIONS &lt;citation&gt;&lt;uuid&gt;CA3CBA50-03FE-42B1-9184-250FC5E57FD5&lt;/uuid&gt;&lt;priority&gt;21&lt;/priority&gt;&lt;publications&gt;&lt;publication&gt;&lt;uuid&gt;F1FF6356-4D9A-4A28-A560-C874C8188245&lt;/uuid&gt;&lt;volume&gt;38&lt;/volume&gt;&lt;accepted_date&gt;99201401071200000000222000&lt;/accepted_date&gt;&lt;doi&gt;10.1002/gepi.21797&lt;/doi&gt;&lt;startpage&gt;281&lt;/startpage&gt;&lt;revision_date&gt;99201311201200000000222000&lt;/revision_date&gt;&lt;publication_date&gt;99201404001200000000220000&lt;/publication_date&gt;&lt;url&gt;http://eutils.ncbi.nlm.nih.gov/entrez/eutils/elink.fcgi?dbfrom=pubmed&amp;amp;id=24676807&amp;amp;retmode=ref&amp;amp;cmd=prlinks&lt;/url&gt;&lt;citekey&gt;Xu:2014kt&lt;/citekey&gt;&lt;type&gt;400&lt;/type&gt;&lt;title&gt;Estimating genome-wide significance for whole-genome sequencing studies.&lt;/title&gt;&lt;location&gt;&amp;lt;html&amp;gt;&amp;lt;head&amp;gt;&amp;lt;meta http-equiv="content-type" content="text/html; charset=utf-8"/&amp;gt;&amp;lt;title&amp;gt;Sorry...&amp;lt;/title&amp;gt;&amp;lt;style&amp;gt; body { font-family: verdana, arial, sans-serif; background-color: #fff; color: #000; }&amp;lt;/style&amp;gt;&amp;lt;/head&amp;gt;&amp;lt;body&amp;gt;&amp;lt;div&amp;gt;&amp;lt;table&amp;gt;&amp;lt;tr&amp;gt;&amp;lt;td&amp;gt;&amp;lt;b&amp;gt;&amp;lt;font face=times color=#0039b6 size=10&amp;gt;G&amp;lt;/font&amp;gt;&amp;lt;font face=times color=#c41200 size=10&amp;gt;o&amp;lt;/font&amp;gt;&amp;lt;font face=times color=#f3c518 size=10&amp;gt;o&amp;lt;/font&amp;gt;&amp;lt;font face=times color=#0039b6 size=10&amp;gt;g&amp;lt;/font&amp;gt;&amp;lt;font face=times color=#30a72f size=10&amp;gt;l&amp;lt;/font&amp;gt;&amp;lt;font face=times color=#c41200 size=10&amp;gt;e&amp;lt;/font&amp;gt;&amp;lt;/b&amp;gt;&amp;lt;/td&amp;gt;&amp;lt;td style="text-align: left; vertical-align: bottom; padding-bottom: 15px; width: 50%"&amp;gt;&amp;lt;div style="border-bottom: 1px solid #dfdfdf;"&amp;gt;Sorry...&amp;lt;/div&amp;gt;&amp;lt;/td&amp;gt;&amp;lt;/tr&amp;gt;&amp;lt;/table&amp;gt;&amp;lt;/div&amp;gt;&amp;lt;div style="margin-left: 4em;"&amp;gt;&amp;lt;h1&amp;gt;We're sorry...&amp;lt;/h1&amp;gt;&amp;lt;p&amp;gt;... but your computer or network may be sending automated queries. To protect our users, we can't process your request right now.&amp;lt;/p&amp;gt;&amp;lt;/div&amp;gt;&amp;lt;div style="margin-left: 4em;"&amp;gt;See &amp;lt;a href="https://support.google.com/websearch/answer/86640"&amp;gt;Google Help&amp;lt;/a&amp;gt; for more information.&amp;lt;br/&amp;gt;&amp;lt;br/&amp;gt;&amp;lt;/div&amp;gt;&amp;lt;div style="text-align: center; border-top: 1px solid #dfdfdf;"&amp;gt;&amp;amp;copy; 2013 Google - &amp;lt;a href="https://www.google.com"&amp;gt;Google Home&amp;lt;/a&amp;gt;&amp;lt;/div&amp;gt;&amp;lt;/body&amp;gt;&amp;lt;/html&amp;gt;&lt;/location&gt;&lt;submission_date&gt;99201308141200000000222000&lt;/submission_date&gt;&lt;number&gt;4&lt;/number&gt;&lt;institution&gt;Department of Epidemiology, Biostatistics and Occupational Health, McGill University, Montreal, Canada; Lady Davis Institute for Medical Research, Jewish General Hospital, Montreal, Canada.&lt;/institution&gt;&lt;subtype&gt;400&lt;/subtype&gt;&lt;endpage&gt;290&lt;/endpage&gt;&lt;bundle&gt;&lt;publication&gt;&lt;title&gt;Genetic Epidemiology&lt;/title&gt;&lt;type&gt;-100&lt;/type&gt;&lt;subtype&gt;-100&lt;/subtype&gt;&lt;uuid&gt;643AFACF-0346-43C6-9F82-2DF8EC9C6F14&lt;/uuid&gt;&lt;/publication&gt;&lt;/bundle&gt;&lt;authors&gt;&lt;author&gt;&lt;firstName&gt;ChangJiang&lt;/firstName&gt;&lt;lastName&gt;Xu&lt;/lastName&gt;&lt;/author&gt;&lt;author&gt;&lt;firstName&gt;Ioanna&lt;/firstName&gt;&lt;lastName&gt;Tachmazidou&lt;/lastName&gt;&lt;/author&gt;&lt;author&gt;&lt;firstName&gt;Klaudia&lt;/firstName&gt;&lt;lastName&gt;Walter&lt;/lastName&gt;&lt;/author&gt;&lt;author&gt;&lt;firstName&gt;Antonio&lt;/firstName&gt;&lt;lastName&gt;Ciampi&lt;/lastName&gt;&lt;/author&gt;&lt;author&gt;&lt;firstName&gt;Eleftheria&lt;/firstName&gt;&lt;lastName&gt;Zeggini&lt;/lastName&gt;&lt;/author&gt;&lt;author&gt;&lt;firstName&gt;Celia&lt;/firstName&gt;&lt;middleNames&gt;M T&lt;/middleNames&gt;&lt;lastName&gt;Greenwood&lt;/lastName&gt;&lt;/author&gt;&lt;/authors&gt;&lt;/publication&gt;&lt;/publications&gt;&lt;cites&gt;&lt;/cites&gt;&lt;/citation&gt;</w:instrText>
      </w:r>
      <w:r w:rsidR="0038013D">
        <w:rPr>
          <w:rFonts w:cs="Arial"/>
          <w:szCs w:val="20"/>
          <w:vertAlign w:val="superscript"/>
          <w:lang w:val="en-CA"/>
        </w:rPr>
        <w:fldChar w:fldCharType="separate"/>
      </w:r>
      <w:r w:rsidR="002D628F">
        <w:rPr>
          <w:rFonts w:cs="Times New Roman"/>
          <w:szCs w:val="20"/>
          <w:vertAlign w:val="superscript"/>
        </w:rPr>
        <w:t>17</w:t>
      </w:r>
      <w:r w:rsidR="0038013D">
        <w:rPr>
          <w:rFonts w:cs="Arial"/>
          <w:szCs w:val="20"/>
          <w:vertAlign w:val="superscript"/>
          <w:lang w:val="en-CA"/>
        </w:rPr>
        <w:fldChar w:fldCharType="end"/>
      </w:r>
      <w:r>
        <w:rPr>
          <w:rFonts w:cs="Arial"/>
          <w:szCs w:val="20"/>
          <w:lang w:val="en-CA"/>
        </w:rPr>
        <w:t xml:space="preserve"> This was computed for each BMD phenotype and across 4 MAF bins (0.005-0.01, 0.01-0.05, 0.05-0.1, and 0.1-0.5).</w:t>
      </w:r>
    </w:p>
    <w:p w14:paraId="3305E933" w14:textId="2FC5A257" w:rsidR="000F0820" w:rsidRDefault="000F0820" w:rsidP="000F0820">
      <w:pPr>
        <w:pStyle w:val="Heading2"/>
      </w:pPr>
      <w:r>
        <w:t>Replication Genotyping and Combined Meta-analysis</w:t>
      </w:r>
      <w:r w:rsidR="00375A61">
        <w:t xml:space="preserve"> for BMD</w:t>
      </w:r>
    </w:p>
    <w:p w14:paraId="247E605A" w14:textId="506C08A9" w:rsidR="00DD001F" w:rsidRDefault="00DD001F" w:rsidP="004C6D96">
      <w:pPr>
        <w:pStyle w:val="Heading3"/>
      </w:pPr>
      <w:r>
        <w:t>Genotyping</w:t>
      </w:r>
    </w:p>
    <w:p w14:paraId="3E824EFD" w14:textId="771AC048" w:rsidR="000F0820" w:rsidRPr="00FA3539" w:rsidRDefault="00760EA6" w:rsidP="000F0820">
      <w:r>
        <w:t xml:space="preserve">For lumbar spine and femoral neck BMD sites, </w:t>
      </w:r>
      <w:r w:rsidR="000F0820">
        <w:t xml:space="preserve">17 SNPs were selected to genotype in additional </w:t>
      </w:r>
      <w:r w:rsidR="00D32056">
        <w:t xml:space="preserve">13 </w:t>
      </w:r>
      <w:r w:rsidR="000F0820">
        <w:t xml:space="preserve">GENOMOS </w:t>
      </w:r>
      <w:r w:rsidR="000F0820" w:rsidRPr="00A327AD">
        <w:t xml:space="preserve">cohorts for replication analysis, the selection criteria of SNPs were listed in </w:t>
      </w:r>
      <w:r w:rsidR="000F0820" w:rsidRPr="00A327AD">
        <w:rPr>
          <w:b/>
        </w:rPr>
        <w:t xml:space="preserve">Supplementary Table </w:t>
      </w:r>
      <w:r w:rsidR="00FF0FA6" w:rsidRPr="00A327AD">
        <w:rPr>
          <w:b/>
        </w:rPr>
        <w:t>2</w:t>
      </w:r>
      <w:r w:rsidR="00CA29F6">
        <w:rPr>
          <w:b/>
        </w:rPr>
        <w:t>5</w:t>
      </w:r>
      <w:r w:rsidR="000F0820" w:rsidRPr="00A327AD">
        <w:t>. Human samples from</w:t>
      </w:r>
      <w:r w:rsidR="000F0820">
        <w:t xml:space="preserve"> the </w:t>
      </w:r>
      <w:r w:rsidR="00500857">
        <w:t>1</w:t>
      </w:r>
      <w:r w:rsidR="002F448C">
        <w:t>3</w:t>
      </w:r>
      <w:r w:rsidR="00500857">
        <w:t xml:space="preserve"> </w:t>
      </w:r>
      <w:r w:rsidR="000F0820">
        <w:t xml:space="preserve">GENOMOS cohorts were genotyped on LGC Genomics by KASP genotyping. KASP genotyping assays are based on competitive allele-specific PCR and enable bi-allelic scoring of single nucleotide polymorphisms (SNPs) and insertions and deletions (Indels) at specific loci. </w:t>
      </w:r>
      <w:r w:rsidR="003D5DF8">
        <w:t xml:space="preserve">). Replication cohorts were selected only if they contained greater than 1,000 individuals prior to genotyping quality control, given then frequency of the variants in the replication panel. </w:t>
      </w:r>
      <w:r w:rsidR="000F0820">
        <w:t xml:space="preserve">Assays are deemed to be working successfully if clusters are distinct and call rates are consistently high. The data is automatically quality control checked on a per SNP basis. No Template Controls (NTCs) are included on each plate to enable the detection of contamination or non-specific amplification. Two SNPs (rs13046645 and chr3:50906922) were found to be monomorphic in </w:t>
      </w:r>
      <w:r w:rsidR="00EC6B83">
        <w:t xml:space="preserve">initial </w:t>
      </w:r>
      <w:r w:rsidR="008D7CF9">
        <w:t xml:space="preserve">test </w:t>
      </w:r>
      <w:r w:rsidR="000F0820">
        <w:t>GENOMOS cohorts, thus, only 15 SNPs were genotyped.</w:t>
      </w:r>
      <w:r>
        <w:t xml:space="preserve"> For replication of rs148771817 for forearm BMD, genotyping was undertaken </w:t>
      </w:r>
      <w:r w:rsidR="003D5DF8">
        <w:t xml:space="preserve">in </w:t>
      </w:r>
      <w:r w:rsidR="00CD5C8B">
        <w:t xml:space="preserve">a </w:t>
      </w:r>
      <w:r w:rsidR="003D5DF8">
        <w:t xml:space="preserve">single cohort, since this phenotype is rarely collected in population-based cohorts. Genotyping for this SNP was similarly done </w:t>
      </w:r>
      <w:r>
        <w:t>at LGC Genomics using KASP genotyping in the AOGC cohort, where the age distribution was matched to the discovery cohorts</w:t>
      </w:r>
      <w:r w:rsidR="004E0D94">
        <w:t xml:space="preserve"> (age cutoff of &lt;80 years was used</w:t>
      </w:r>
      <w:r w:rsidR="00A020B0">
        <w:t xml:space="preserve">). </w:t>
      </w:r>
      <w:r w:rsidR="00142788" w:rsidRPr="00FA3539">
        <w:t xml:space="preserve">Genotyping quality metrics </w:t>
      </w:r>
      <w:r w:rsidR="00AF6AFC">
        <w:t xml:space="preserve">for all variants </w:t>
      </w:r>
      <w:r w:rsidR="00CF22FA">
        <w:t xml:space="preserve">for each cohort </w:t>
      </w:r>
      <w:r w:rsidR="00142788" w:rsidRPr="00FA3539">
        <w:t xml:space="preserve">are provided in </w:t>
      </w:r>
      <w:r w:rsidR="00142788" w:rsidRPr="000A2778">
        <w:rPr>
          <w:b/>
        </w:rPr>
        <w:t>Supplementary Table 2</w:t>
      </w:r>
      <w:r w:rsidR="00192DEF">
        <w:rPr>
          <w:b/>
        </w:rPr>
        <w:t>6</w:t>
      </w:r>
      <w:r w:rsidR="00142788" w:rsidRPr="00FA3539">
        <w:t>.</w:t>
      </w:r>
    </w:p>
    <w:p w14:paraId="3FA90048" w14:textId="37718144" w:rsidR="00415246" w:rsidRDefault="00415246" w:rsidP="004C6D96">
      <w:pPr>
        <w:pStyle w:val="Heading3"/>
      </w:pPr>
      <w:r>
        <w:t>Association Analysis</w:t>
      </w:r>
    </w:p>
    <w:p w14:paraId="7C163316" w14:textId="3ECE9853" w:rsidR="000F0820" w:rsidRDefault="000F0820" w:rsidP="000F0820">
      <w:r w:rsidRPr="00FA3539">
        <w:t>The genotyping data of the 1</w:t>
      </w:r>
      <w:r w:rsidR="0057069E">
        <w:t>6</w:t>
      </w:r>
      <w:r w:rsidRPr="00FA3539">
        <w:t xml:space="preserve"> SNPs were formatted into PLINK, the BMD phenotype were adjusted by sex, age, age</w:t>
      </w:r>
      <w:r w:rsidRPr="000A2778">
        <w:rPr>
          <w:vertAlign w:val="superscript"/>
        </w:rPr>
        <w:t>2</w:t>
      </w:r>
      <w:r w:rsidRPr="00FA3539">
        <w:t>, weight and standardized</w:t>
      </w:r>
      <w:r w:rsidR="00A020B0">
        <w:t xml:space="preserve"> to have a mean of zero and a standard deviation of one</w:t>
      </w:r>
      <w:r w:rsidR="00426322">
        <w:t xml:space="preserve"> within each cohort</w:t>
      </w:r>
      <w:r w:rsidRPr="00FA3539">
        <w:t>. The association analysis were performed by PLINK in each cohort, then combined analysis of the 9 discovery GEFOS cohorts and 1</w:t>
      </w:r>
      <w:r w:rsidR="005F2D8F">
        <w:t>3</w:t>
      </w:r>
      <w:r w:rsidRPr="00FA3539">
        <w:t xml:space="preserve"> GENOMOS cohorts of the 1</w:t>
      </w:r>
      <w:r w:rsidR="00AA5808">
        <w:t>6</w:t>
      </w:r>
      <w:r w:rsidRPr="00FA3539">
        <w:t xml:space="preserve"> SNPs were conducted </w:t>
      </w:r>
      <w:r w:rsidRPr="00FA3539">
        <w:lastRenderedPageBreak/>
        <w:t>with GWAMA.</w:t>
      </w:r>
      <w:r w:rsidR="00C06FA7" w:rsidRPr="00FA3539">
        <w:t xml:space="preserve"> Cohort-level association results are provided in </w:t>
      </w:r>
      <w:r w:rsidR="00C06FA7" w:rsidRPr="000A2778">
        <w:rPr>
          <w:b/>
        </w:rPr>
        <w:t>Supplementary Table 2</w:t>
      </w:r>
      <w:r w:rsidR="00035CF6">
        <w:rPr>
          <w:b/>
        </w:rPr>
        <w:t>7</w:t>
      </w:r>
      <w:r w:rsidR="0068391E" w:rsidRPr="00FA3539">
        <w:t>. Meta-analysis results from r</w:t>
      </w:r>
      <w:r w:rsidR="008B65A0" w:rsidRPr="00FA3539">
        <w:t xml:space="preserve">eplication </w:t>
      </w:r>
      <w:r w:rsidR="0068391E" w:rsidRPr="00FA3539">
        <w:t xml:space="preserve">cohorts as well as </w:t>
      </w:r>
      <w:r w:rsidR="008B65A0" w:rsidRPr="00FA3539">
        <w:t xml:space="preserve">combined discovery/replication </w:t>
      </w:r>
      <w:r w:rsidR="0068391E" w:rsidRPr="00FA3539">
        <w:t xml:space="preserve">cohorts </w:t>
      </w:r>
      <w:r w:rsidR="008B65A0" w:rsidRPr="00FA3539">
        <w:t xml:space="preserve">are provided in </w:t>
      </w:r>
      <w:r w:rsidR="008B65A0" w:rsidRPr="000A2778">
        <w:rPr>
          <w:b/>
        </w:rPr>
        <w:t>Supplementary Table 2</w:t>
      </w:r>
      <w:r w:rsidR="00035CF6">
        <w:rPr>
          <w:b/>
        </w:rPr>
        <w:t>8</w:t>
      </w:r>
      <w:r w:rsidR="008B65A0" w:rsidRPr="00FA3539">
        <w:t>.</w:t>
      </w:r>
      <w:r w:rsidR="00316F72">
        <w:t xml:space="preserve">  </w:t>
      </w:r>
    </w:p>
    <w:p w14:paraId="0DC7D2B9" w14:textId="03FA1962" w:rsidR="000A7B18" w:rsidRDefault="000A7B18" w:rsidP="004C6D96">
      <w:pPr>
        <w:pStyle w:val="Heading3"/>
      </w:pPr>
      <w:r>
        <w:t>Non-reference Discordance Rate</w:t>
      </w:r>
    </w:p>
    <w:p w14:paraId="1828C508" w14:textId="080B19AD" w:rsidR="00220BCE" w:rsidRDefault="00220BCE" w:rsidP="000F0820">
      <w:r>
        <w:t xml:space="preserve">Non-reference discordant rate (NRD) presented in main text and </w:t>
      </w:r>
      <w:r w:rsidRPr="00220BCE">
        <w:rPr>
          <w:b/>
        </w:rPr>
        <w:t xml:space="preserve">Supplementary Table </w:t>
      </w:r>
      <w:r w:rsidR="00517CEB">
        <w:rPr>
          <w:b/>
        </w:rPr>
        <w:t>6</w:t>
      </w:r>
      <w:r>
        <w:rPr>
          <w:b/>
        </w:rPr>
        <w:t xml:space="preserve"> </w:t>
      </w:r>
      <w:r>
        <w:t xml:space="preserve">was computed as the proportion of non-reference genotypes found to be discordant </w:t>
      </w:r>
      <w:r w:rsidR="000D7396">
        <w:t xml:space="preserve">between compared individuals </w:t>
      </w:r>
      <w:r>
        <w:t>as compared total measured non-reference genotypes</w:t>
      </w:r>
      <w:r w:rsidR="000D7396">
        <w:t xml:space="preserve"> for that variant</w:t>
      </w:r>
      <w:r>
        <w:t>.</w:t>
      </w:r>
      <w:r w:rsidR="00760668">
        <w:t xml:space="preserve"> For imputed variants</w:t>
      </w:r>
      <w:r w:rsidR="00A41D78">
        <w:t xml:space="preserve">, </w:t>
      </w:r>
      <w:r w:rsidR="00583983">
        <w:t>genotype</w:t>
      </w:r>
      <w:r w:rsidR="00A41D78">
        <w:t xml:space="preserve"> probabilities where converted to hard-calls using a genotype probability of 0.9.</w:t>
      </w:r>
    </w:p>
    <w:p w14:paraId="78ECCD5C" w14:textId="6B41C793" w:rsidR="00F73187" w:rsidRDefault="00F73187" w:rsidP="00D70DA1">
      <w:pPr>
        <w:pStyle w:val="Heading3"/>
      </w:pPr>
      <w:r>
        <w:t xml:space="preserve">Genotype Accuracy of rs11692564 </w:t>
      </w:r>
      <w:r w:rsidR="000359AB">
        <w:t xml:space="preserve">in </w:t>
      </w:r>
      <w:r>
        <w:t>Whole Genome Sequenced Cohorts</w:t>
      </w:r>
    </w:p>
    <w:p w14:paraId="3A430A34" w14:textId="5FC951F7" w:rsidR="009461F9" w:rsidRDefault="00270920" w:rsidP="009461F9">
      <w:r>
        <w:t xml:space="preserve">To </w:t>
      </w:r>
      <w:r w:rsidR="009461F9">
        <w:t>assess the genotype accuracy</w:t>
      </w:r>
      <w:r>
        <w:t xml:space="preserve"> </w:t>
      </w:r>
      <w:r w:rsidR="00D87A81">
        <w:t xml:space="preserve">of rs11692564 </w:t>
      </w:r>
      <w:r>
        <w:t>from the TwinsUK whole genome sequencing cohort</w:t>
      </w:r>
      <w:r w:rsidR="00BA0467">
        <w:t xml:space="preserve">, we </w:t>
      </w:r>
      <w:r w:rsidR="001A3AFB">
        <w:t xml:space="preserve">compared genotypes </w:t>
      </w:r>
      <w:r w:rsidR="007F6BF4">
        <w:t xml:space="preserve">within </w:t>
      </w:r>
      <w:r w:rsidR="001A3AFB">
        <w:t xml:space="preserve">monozygotic </w:t>
      </w:r>
      <w:r w:rsidR="007F6BF4">
        <w:t>sib-pairs, where one sibling was genome sequenced and the other was genotyped during replication phase of this study using the KASP System.</w:t>
      </w:r>
      <w:r w:rsidR="003B7C01">
        <w:t xml:space="preserve">  </w:t>
      </w:r>
      <w:r w:rsidR="00F87ACD">
        <w:t>Full genotype concordance was observed between 246 monozygotic siblings</w:t>
      </w:r>
      <w:r w:rsidR="005B5662">
        <w:t xml:space="preserve"> (</w:t>
      </w:r>
      <w:r w:rsidR="005B5662" w:rsidRPr="0010209A">
        <w:rPr>
          <w:b/>
        </w:rPr>
        <w:t xml:space="preserve">Supplementary Table </w:t>
      </w:r>
      <w:r w:rsidR="001037E0">
        <w:rPr>
          <w:b/>
        </w:rPr>
        <w:t>5</w:t>
      </w:r>
      <w:r w:rsidR="005B5662">
        <w:t>)</w:t>
      </w:r>
      <w:r w:rsidR="00F87ACD">
        <w:t>.</w:t>
      </w:r>
      <w:r w:rsidR="00377A0B">
        <w:t xml:space="preserve">  </w:t>
      </w:r>
      <w:r w:rsidR="00F73187">
        <w:t>To assess the genotype accuracy of rs11692564 from the ALSPAC</w:t>
      </w:r>
      <w:r w:rsidR="00170638">
        <w:t xml:space="preserve"> whole genome sequenced cohort, </w:t>
      </w:r>
      <w:r w:rsidR="00230C2E">
        <w:t>the variant was genotyped and</w:t>
      </w:r>
      <w:r w:rsidR="007469E3">
        <w:t xml:space="preserve"> </w:t>
      </w:r>
      <w:r w:rsidR="00230C2E">
        <w:t xml:space="preserve">compared to imputed genotype calls for the same cohort.  Full </w:t>
      </w:r>
      <w:r w:rsidR="005E7800">
        <w:t>concordance</w:t>
      </w:r>
      <w:r w:rsidR="007469E3">
        <w:t xml:space="preserve"> was observed for </w:t>
      </w:r>
      <w:r w:rsidR="00A95AFD">
        <w:t xml:space="preserve">all </w:t>
      </w:r>
      <w:r w:rsidR="007469E3">
        <w:t>1853 individuals</w:t>
      </w:r>
      <w:r w:rsidR="005E7800">
        <w:t xml:space="preserve"> </w:t>
      </w:r>
      <w:r w:rsidR="00A95AFD">
        <w:t xml:space="preserve">that had genotype data </w:t>
      </w:r>
      <w:r w:rsidR="005E7800">
        <w:t>(</w:t>
      </w:r>
      <w:r w:rsidR="005E7800" w:rsidRPr="00A649E4">
        <w:rPr>
          <w:b/>
        </w:rPr>
        <w:t xml:space="preserve">Supplementary Table </w:t>
      </w:r>
      <w:r w:rsidR="001037E0">
        <w:rPr>
          <w:b/>
        </w:rPr>
        <w:t>4</w:t>
      </w:r>
      <w:r w:rsidR="005E7800" w:rsidRPr="0010209A">
        <w:t>)</w:t>
      </w:r>
      <w:r w:rsidR="007469E3">
        <w:t>.</w:t>
      </w:r>
    </w:p>
    <w:p w14:paraId="7CC224CC" w14:textId="77777777" w:rsidR="00B93775" w:rsidRDefault="00B93775" w:rsidP="00B93775">
      <w:pPr>
        <w:pStyle w:val="Heading2"/>
      </w:pPr>
      <w:r w:rsidRPr="007D228B">
        <w:t xml:space="preserve">Fracture </w:t>
      </w:r>
      <w:r>
        <w:t>Association</w:t>
      </w:r>
    </w:p>
    <w:p w14:paraId="730A0FB2" w14:textId="77777777" w:rsidR="004E6D20" w:rsidRDefault="004E6D20" w:rsidP="00B93775">
      <w:pPr>
        <w:rPr>
          <w:rFonts w:cs="Arial"/>
          <w:szCs w:val="20"/>
        </w:rPr>
      </w:pPr>
    </w:p>
    <w:p w14:paraId="4E0472A5" w14:textId="4700485B" w:rsidR="004E6D20" w:rsidRDefault="004E6D20" w:rsidP="00457F35">
      <w:pPr>
        <w:pStyle w:val="Heading3"/>
      </w:pPr>
      <w:r>
        <w:t>Fracture Association at BMD Discovery Phase</w:t>
      </w:r>
    </w:p>
    <w:p w14:paraId="3F0A941B" w14:textId="01B85DF5" w:rsidR="00B93775" w:rsidRPr="004E6D20" w:rsidRDefault="004E6D20" w:rsidP="00B93775">
      <w:pPr>
        <w:rPr>
          <w:rFonts w:cs="Arial"/>
          <w:szCs w:val="20"/>
        </w:rPr>
      </w:pPr>
      <w:r>
        <w:rPr>
          <w:rFonts w:cs="Arial"/>
          <w:szCs w:val="20"/>
        </w:rPr>
        <w:t xml:space="preserve">Fracture analysis was initially conducted during BMD discovery phase primarily on cohorts that also had BMD measurements. </w:t>
      </w:r>
      <w:r w:rsidR="00B93775" w:rsidRPr="007D228B">
        <w:rPr>
          <w:rFonts w:cs="Arial"/>
          <w:szCs w:val="20"/>
        </w:rPr>
        <w:t>Fracture was defined as a bone fracture resulting from trauma of any type since even high trauma fractures are strongly associated with risk of</w:t>
      </w:r>
      <w:r w:rsidR="00B93775" w:rsidRPr="00B92099">
        <w:rPr>
          <w:rFonts w:cs="Arial"/>
          <w:szCs w:val="20"/>
        </w:rPr>
        <w:t xml:space="preserve"> osteoporotic </w:t>
      </w:r>
      <w:bookmarkStart w:id="0" w:name="_GoBack"/>
      <w:r w:rsidR="00B93775" w:rsidRPr="00B92099">
        <w:rPr>
          <w:rFonts w:cs="Arial"/>
          <w:szCs w:val="20"/>
        </w:rPr>
        <w:t>fractures</w:t>
      </w:r>
      <w:r w:rsidR="006D5DA3">
        <w:rPr>
          <w:rFonts w:cs="Arial"/>
          <w:szCs w:val="20"/>
        </w:rPr>
        <w:fldChar w:fldCharType="begin"/>
      </w:r>
      <w:r w:rsidR="00735D55">
        <w:rPr>
          <w:rFonts w:cs="Arial"/>
          <w:szCs w:val="20"/>
        </w:rPr>
        <w:instrText xml:space="preserve"> ADDIN PAPERS2_CITATIONS &lt;citation&gt;&lt;uuid&gt;F9BB5548-2D8B-48EB-B370-E02228DA224F&lt;/uuid&gt;&lt;priority&gt;0&lt;/priority&gt;&lt;publications&gt;&lt;publication&gt;&lt;uuid&gt;E8FDF1AC-2614-4118-98AC-06F1DEDB61D6&lt;/uuid&gt;&lt;volume&gt;298&lt;/volume&gt;&lt;doi&gt;10.1001/jama.298.20.2381&lt;/doi&gt;&lt;version&gt;2007/11/29&lt;/version&gt;&lt;subtitle&gt;JAMA&lt;/subtitle&gt;&lt;startpage&gt;2381&lt;/startpage&gt;&lt;publication_date&gt;99200711281200000000222000&lt;/publication_date&gt;&lt;url&gt;http://www.ncbi.nlm.nih.gov/entrez/query.fcgi?cmd=Retrieve&amp;amp;db=PubMed&amp;amp;dopt=Citation&amp;amp;list_uids=18042915&lt;/url&gt;&lt;citekey&gt;Mackey:2007kw&lt;/citekey&gt;&lt;type&gt;400&lt;/type&gt;&lt;title&gt;High-trauma fractures and low bone mineral density in older women and men&lt;/title&gt;&lt;location&gt;200,5,37.7618242,-122.3985871&lt;/location&gt;&lt;institution&gt;San Francisco Coordinating Center, California Pacific Medical Center Research Institute, San Francisco, California 94107, USA. dmackey@sfcc-cpmc.net&lt;/institution&gt;&lt;number&gt;20&lt;/number&gt;&lt;subtype&gt;400&lt;/subtype&gt;&lt;endpage&gt;2388&lt;/endpage&gt;&lt;bundle&gt;&lt;publication&gt;&lt;title&gt;Jama&lt;/title&gt;&lt;type&gt;-100&lt;/type&gt;&lt;subtype&gt;-100&lt;/subtype&gt;&lt;uuid&gt;9740F632-B6C8-409E-8CF6-34B4CCDE06AD&lt;/uuid&gt;&lt;/publication&gt;&lt;/bundle&gt;&lt;authors&gt;&lt;author&gt;&lt;firstName&gt;D&lt;/firstName&gt;&lt;middleNames&gt;C&lt;/middleNames&gt;&lt;lastName&gt;Mackey&lt;/lastName&gt;&lt;/author&gt;&lt;author&gt;&lt;firstName&gt;L.Y.&lt;/firstName&gt;&lt;lastName&gt;Lui&lt;/lastName&gt;&lt;/author&gt;&lt;author&gt;&lt;firstName&gt;P&lt;/firstName&gt;&lt;middleNames&gt;M&lt;/middleNames&gt;&lt;lastName&gt;Cawthon&lt;/lastName&gt;&lt;/author&gt;&lt;author&gt;&lt;firstName&gt;D&lt;/firstName&gt;&lt;middleNames&gt;C&lt;/middleNames&gt;&lt;lastName&gt;Bauer&lt;/lastName&gt;&lt;/author&gt;&lt;author&gt;&lt;firstName&gt;M.C.&lt;/firstName&gt;&lt;lastName&gt;Nevitt&lt;/lastName&gt;&lt;/author&gt;&lt;author&gt;&lt;firstName&gt;J.A.&lt;/firstName&gt;&lt;lastName&gt;Cauley&lt;/lastName&gt;&lt;/author&gt;&lt;author&gt;&lt;firstName&gt;T&lt;/firstName&gt;&lt;middleNames&gt;A&lt;/middleNames&gt;&lt;lastName&gt;Hillier&lt;/lastName&gt;&lt;/author&gt;&lt;author&gt;&lt;firstName&gt;C&lt;/firstName&gt;&lt;middleNames&gt;E&lt;/middleNames&gt;&lt;lastName&gt;Lewis&lt;/lastName&gt;&lt;/author&gt;&lt;author&gt;&lt;firstName&gt;E&lt;/firstName&gt;&lt;lastName&gt;Barrett-Connor&lt;/lastName&gt;&lt;/author&gt;&lt;author&gt;&lt;firstName&gt;S.R.&lt;/firstName&gt;&lt;lastName&gt;Cummings&lt;/lastName&gt;&lt;/author&gt;&lt;/authors&gt;&lt;/publication&gt;&lt;/publications&gt;&lt;cites&gt;&lt;/cites&gt;&lt;/citation&gt;</w:instrText>
      </w:r>
      <w:r w:rsidR="006D5DA3">
        <w:rPr>
          <w:rFonts w:cs="Arial"/>
          <w:szCs w:val="20"/>
        </w:rPr>
        <w:fldChar w:fldCharType="separate"/>
      </w:r>
      <w:r w:rsidR="00735D55">
        <w:rPr>
          <w:rFonts w:cs="Times New Roman"/>
          <w:szCs w:val="20"/>
          <w:vertAlign w:val="superscript"/>
        </w:rPr>
        <w:t>23</w:t>
      </w:r>
      <w:r w:rsidR="006D5DA3">
        <w:rPr>
          <w:rFonts w:cs="Arial"/>
          <w:szCs w:val="20"/>
        </w:rPr>
        <w:fldChar w:fldCharType="end"/>
      </w:r>
      <w:r w:rsidR="00B93775" w:rsidRPr="00B92099">
        <w:rPr>
          <w:rFonts w:cs="Arial"/>
          <w:szCs w:val="20"/>
        </w:rPr>
        <w:t>.</w:t>
      </w:r>
      <w:r w:rsidR="00B93775">
        <w:t xml:space="preserve">  </w:t>
      </w:r>
      <w:bookmarkEnd w:id="0"/>
      <w:r w:rsidR="00B93775">
        <w:t xml:space="preserve">Fractures included were those occurring at any site, except fingers, toes and skull, after age 18. Both incident and prevalent fractures were included. Fractures were verified by either radiographic, </w:t>
      </w:r>
      <w:r w:rsidR="00B93775" w:rsidRPr="0090743E">
        <w:t>casting</w:t>
      </w:r>
      <w:r w:rsidR="00B93775">
        <w:t>, physician</w:t>
      </w:r>
      <w:r w:rsidR="00B93775" w:rsidRPr="0090743E">
        <w:t xml:space="preserve"> </w:t>
      </w:r>
      <w:r w:rsidR="00B93775">
        <w:t xml:space="preserve">or subject </w:t>
      </w:r>
      <w:r w:rsidR="00B93775" w:rsidRPr="0090743E">
        <w:t>reporting.</w:t>
      </w:r>
    </w:p>
    <w:p w14:paraId="13E09C2A" w14:textId="77777777" w:rsidR="00B93775" w:rsidRDefault="00B93775" w:rsidP="00B93775"/>
    <w:p w14:paraId="2AD3AE42" w14:textId="13D884D4" w:rsidR="00B93775" w:rsidRPr="00A327AD" w:rsidRDefault="00B93775" w:rsidP="00B93775">
      <w:pPr>
        <w:rPr>
          <w:rFonts w:cs="Arial"/>
          <w:szCs w:val="20"/>
        </w:rPr>
      </w:pPr>
      <w:r w:rsidRPr="00704F86">
        <w:rPr>
          <w:rFonts w:cs="Arial"/>
          <w:szCs w:val="20"/>
        </w:rPr>
        <w:t xml:space="preserve">All </w:t>
      </w:r>
      <w:r>
        <w:rPr>
          <w:rFonts w:cs="Arial"/>
          <w:szCs w:val="20"/>
        </w:rPr>
        <w:t xml:space="preserve">1,482 </w:t>
      </w:r>
      <w:r w:rsidRPr="00704F86">
        <w:rPr>
          <w:rFonts w:cs="Arial"/>
          <w:szCs w:val="20"/>
        </w:rPr>
        <w:t>genome-wide significant</w:t>
      </w:r>
      <w:r>
        <w:rPr>
          <w:rFonts w:cs="Arial"/>
          <w:szCs w:val="20"/>
        </w:rPr>
        <w:t xml:space="preserve"> SNVs associated with femoral neck</w:t>
      </w:r>
      <w:r w:rsidRPr="000A109C">
        <w:rPr>
          <w:rFonts w:cs="Arial"/>
          <w:szCs w:val="20"/>
        </w:rPr>
        <w:t xml:space="preserve">, </w:t>
      </w:r>
      <w:r>
        <w:rPr>
          <w:rFonts w:cs="Arial"/>
          <w:szCs w:val="20"/>
        </w:rPr>
        <w:t xml:space="preserve">lumbar spine </w:t>
      </w:r>
      <w:r w:rsidRPr="000A109C">
        <w:rPr>
          <w:rFonts w:cs="Arial"/>
          <w:szCs w:val="20"/>
        </w:rPr>
        <w:t xml:space="preserve">and </w:t>
      </w:r>
      <w:r>
        <w:rPr>
          <w:rFonts w:cs="Arial"/>
          <w:szCs w:val="20"/>
        </w:rPr>
        <w:t xml:space="preserve">forearm </w:t>
      </w:r>
      <w:r w:rsidRPr="000A109C">
        <w:rPr>
          <w:rFonts w:cs="Arial"/>
          <w:szCs w:val="20"/>
        </w:rPr>
        <w:t>BMD</w:t>
      </w:r>
      <w:r w:rsidRPr="00704F86">
        <w:rPr>
          <w:rFonts w:cs="Arial"/>
          <w:szCs w:val="20"/>
        </w:rPr>
        <w:t xml:space="preserve"> were tested for their </w:t>
      </w:r>
      <w:r w:rsidRPr="00A327AD">
        <w:rPr>
          <w:rFonts w:cs="Arial"/>
          <w:szCs w:val="20"/>
        </w:rPr>
        <w:t xml:space="preserve">association with risk of fracture in a sample size of 10,459 cases and 27,581 controls (38,040 total), of which 76.2% of the samples overlap the BMD </w:t>
      </w:r>
      <w:r>
        <w:rPr>
          <w:rFonts w:cs="Arial"/>
          <w:szCs w:val="20"/>
        </w:rPr>
        <w:t>discovery</w:t>
      </w:r>
      <w:r w:rsidRPr="00A327AD">
        <w:rPr>
          <w:rFonts w:cs="Arial"/>
          <w:szCs w:val="20"/>
        </w:rPr>
        <w:t xml:space="preserve"> samples (</w:t>
      </w:r>
      <w:r w:rsidRPr="00A327AD">
        <w:rPr>
          <w:rFonts w:cs="Arial"/>
          <w:b/>
          <w:szCs w:val="20"/>
        </w:rPr>
        <w:t>Supplementary Table 2</w:t>
      </w:r>
      <w:r w:rsidR="004626F1">
        <w:rPr>
          <w:rFonts w:cs="Arial"/>
          <w:b/>
          <w:szCs w:val="20"/>
        </w:rPr>
        <w:t>9</w:t>
      </w:r>
      <w:r w:rsidRPr="00A327AD">
        <w:rPr>
          <w:rFonts w:cs="Arial"/>
          <w:szCs w:val="20"/>
        </w:rPr>
        <w:t>).</w:t>
      </w:r>
    </w:p>
    <w:p w14:paraId="15D0D9E5" w14:textId="77777777" w:rsidR="00B93775" w:rsidRPr="00A327AD" w:rsidRDefault="00B93775" w:rsidP="00B93775">
      <w:pPr>
        <w:rPr>
          <w:rFonts w:cs="Arial"/>
          <w:szCs w:val="20"/>
        </w:rPr>
      </w:pPr>
    </w:p>
    <w:p w14:paraId="0843D759" w14:textId="77777777" w:rsidR="00B93775" w:rsidRPr="00A327AD" w:rsidRDefault="00B93775" w:rsidP="00B93775">
      <w:pPr>
        <w:rPr>
          <w:rFonts w:cs="Arial"/>
          <w:szCs w:val="20"/>
        </w:rPr>
      </w:pPr>
      <w:r w:rsidRPr="00A327AD">
        <w:rPr>
          <w:rFonts w:cs="Arial"/>
          <w:szCs w:val="20"/>
        </w:rPr>
        <w:t>To obtain association statistics, in each participating study, a logistic regression model (GEE model for family-based studies) adjusted for age, age</w:t>
      </w:r>
      <w:r w:rsidRPr="00A327AD">
        <w:rPr>
          <w:rFonts w:cs="Arial"/>
          <w:szCs w:val="20"/>
          <w:vertAlign w:val="superscript"/>
        </w:rPr>
        <w:t>2</w:t>
      </w:r>
      <w:r w:rsidRPr="00A327AD">
        <w:rPr>
          <w:rFonts w:cs="Arial"/>
          <w:szCs w:val="20"/>
        </w:rPr>
        <w:t>, sex, height, weight, estrogen/menopause status (women only), ancestral genetic background (PCs) and cohort-specific covariates (such as clinical centers) was applied. The summary effect estimates for fracture risk were computed using fixed-effects inverse variance meta-analysis unless heterogeneity was detected (as defined by I</w:t>
      </w:r>
      <w:r w:rsidRPr="00A327AD">
        <w:rPr>
          <w:rFonts w:cs="Arial"/>
          <w:szCs w:val="20"/>
          <w:vertAlign w:val="superscript"/>
        </w:rPr>
        <w:t>2</w:t>
      </w:r>
      <w:r w:rsidRPr="00A327AD">
        <w:rPr>
          <w:rFonts w:cs="Arial"/>
          <w:szCs w:val="20"/>
        </w:rPr>
        <w:t xml:space="preserve"> &gt;50%), where random effects models were also used. To correct for multiple testing, we estimated the effective number of independent SNVs by principal component analyses in the UK10K sequencing dataset and found that 74 principle components explain 97% of the variance in the number of SNVs tested. We then used a Bonferroni correction to estimate the type 1 error. The multiple testing-corrected significant p-value threshold is P &lt; 0.000676 = (0.05/74).</w:t>
      </w:r>
    </w:p>
    <w:p w14:paraId="2DA92ACE" w14:textId="77777777" w:rsidR="00B93775" w:rsidRPr="00A327AD" w:rsidRDefault="00B93775" w:rsidP="00B93775">
      <w:pPr>
        <w:rPr>
          <w:rFonts w:cs="Arial"/>
          <w:szCs w:val="20"/>
        </w:rPr>
      </w:pPr>
    </w:p>
    <w:p w14:paraId="4DDBE086" w14:textId="7CA251B1" w:rsidR="00B93775" w:rsidRDefault="00B93775" w:rsidP="00B93775">
      <w:pPr>
        <w:rPr>
          <w:rFonts w:cs="Arial"/>
          <w:szCs w:val="20"/>
        </w:rPr>
      </w:pPr>
      <w:r w:rsidRPr="00A327AD">
        <w:rPr>
          <w:rFonts w:cs="Arial"/>
          <w:szCs w:val="20"/>
        </w:rPr>
        <w:t>No novel regions achieved genome-wide significance</w:t>
      </w:r>
      <w:r w:rsidR="005572F6">
        <w:rPr>
          <w:rFonts w:cs="Arial"/>
          <w:szCs w:val="20"/>
        </w:rPr>
        <w:t xml:space="preserve"> using samples from the BMD Discovery Phase</w:t>
      </w:r>
      <w:r w:rsidRPr="00A327AD">
        <w:rPr>
          <w:rFonts w:cs="Arial"/>
          <w:szCs w:val="20"/>
        </w:rPr>
        <w:t>. Accounting for multiple testing for all BMD genome-wide significant SNVs rs4727923 remained nominally significant (P = 6.73x10</w:t>
      </w:r>
      <w:r w:rsidRPr="00A327AD">
        <w:rPr>
          <w:rFonts w:cs="Arial"/>
          <w:szCs w:val="20"/>
          <w:vertAlign w:val="superscript"/>
        </w:rPr>
        <w:t>-4</w:t>
      </w:r>
      <w:r w:rsidRPr="00A327AD">
        <w:rPr>
          <w:rFonts w:cs="Arial"/>
          <w:szCs w:val="20"/>
        </w:rPr>
        <w:t xml:space="preserve">; </w:t>
      </w:r>
      <w:r w:rsidRPr="00A327AD">
        <w:rPr>
          <w:rFonts w:cs="Arial"/>
          <w:b/>
          <w:szCs w:val="20"/>
        </w:rPr>
        <w:t xml:space="preserve">Supplementary Table </w:t>
      </w:r>
      <w:r>
        <w:rPr>
          <w:rFonts w:cs="Arial"/>
          <w:b/>
          <w:szCs w:val="20"/>
        </w:rPr>
        <w:t>3</w:t>
      </w:r>
      <w:r w:rsidR="00D2433A">
        <w:rPr>
          <w:rFonts w:cs="Arial"/>
          <w:b/>
          <w:szCs w:val="20"/>
        </w:rPr>
        <w:t>0</w:t>
      </w:r>
      <w:r w:rsidRPr="00A327AD">
        <w:rPr>
          <w:rFonts w:cs="Arial"/>
          <w:szCs w:val="20"/>
        </w:rPr>
        <w:t>)</w:t>
      </w:r>
      <w:r w:rsidRPr="00963DC8">
        <w:rPr>
          <w:rFonts w:cs="Arial"/>
          <w:szCs w:val="20"/>
        </w:rPr>
        <w:t xml:space="preserve"> </w:t>
      </w:r>
      <w:r w:rsidRPr="00A327AD">
        <w:rPr>
          <w:rFonts w:cs="Arial"/>
          <w:szCs w:val="20"/>
        </w:rPr>
        <w:t>which marks</w:t>
      </w:r>
      <w:r w:rsidRPr="00704F86">
        <w:rPr>
          <w:rFonts w:cs="Arial"/>
          <w:szCs w:val="20"/>
        </w:rPr>
        <w:t xml:space="preserve"> the </w:t>
      </w:r>
      <w:r w:rsidRPr="00704F86">
        <w:rPr>
          <w:rFonts w:cs="Arial"/>
          <w:i/>
          <w:szCs w:val="20"/>
        </w:rPr>
        <w:t>WNT16</w:t>
      </w:r>
      <w:r w:rsidRPr="00704F86">
        <w:rPr>
          <w:rFonts w:cs="Arial"/>
          <w:szCs w:val="20"/>
        </w:rPr>
        <w:t xml:space="preserve"> locus, variants at which </w:t>
      </w:r>
      <w:r>
        <w:rPr>
          <w:rFonts w:cs="Arial"/>
          <w:szCs w:val="20"/>
        </w:rPr>
        <w:t xml:space="preserve">we have previously described as </w:t>
      </w:r>
      <w:r w:rsidRPr="00704F86">
        <w:rPr>
          <w:rFonts w:cs="Arial"/>
          <w:szCs w:val="20"/>
        </w:rPr>
        <w:t>genome-wide significant for fracture.</w:t>
      </w:r>
      <w:r>
        <w:rPr>
          <w:rFonts w:cs="Arial"/>
          <w:szCs w:val="20"/>
        </w:rPr>
        <w:fldChar w:fldCharType="begin"/>
      </w:r>
      <w:r w:rsidR="00735D55">
        <w:rPr>
          <w:rFonts w:cs="Arial"/>
          <w:szCs w:val="20"/>
        </w:rPr>
        <w:instrText xml:space="preserve"> ADDIN PAPERS2_CITATIONS &lt;citation&gt;&lt;uuid&gt;D6ADB5BB-74A4-498C-8E22-577949F13566&lt;/uuid&gt;&lt;priority&gt;22&lt;/priority&gt;&lt;publications&gt;&lt;publication&gt;&lt;uuid&gt;6D1C6DF5-3319-4FA0-9C5B-8774C5931948&lt;/uuid&gt;&lt;volume&gt;8&lt;/volume&gt;&lt;doi&gt;10.1371/journal.pgen.1002745&lt;/doi&gt;&lt;startpage&gt;e1002745&lt;/startpage&gt;&lt;publication_date&gt;99201207051200000000222000&lt;/publication_date&gt;&lt;url&gt;http://dx.plos.org/10.1371/journal.pgen.1002745.pdf&lt;/url&gt;&lt;citekey&gt;Zheng:2012dz&lt;/citekey&gt;&lt;type&gt;400&lt;/type&gt;&lt;title&gt;WNT16 Influences Bone Mineral Density, Cortical Bone Thickness, Bone Strength, and Osteoporotic Fracture Risk&lt;/title&gt;&lt;publisher&gt;Public Library of Science&lt;/publisher&gt;&lt;number&gt;7&lt;/number&gt;&lt;subtype&gt;400&lt;/subtype&gt;&lt;bundle&gt;&lt;publication&gt;&lt;publisher&gt;Public Library of Science&lt;/publisher&gt;&lt;url&gt;http://www.plosgenetics.org&lt;/url&gt;&lt;title&gt;PLoS genetics&lt;/title&gt;&lt;type&gt;-100&lt;/type&gt;&lt;subtype&gt;-100&lt;/subtype&gt;&lt;uuid&gt;DB9B2F2F-E187-46C2-839A-2F5D0B1F6485&lt;/uuid&gt;&lt;/publication&gt;&lt;/bundle&gt;&lt;authors&gt;&lt;author&gt;&lt;firstName&gt;Hou-Feng&lt;/firstName&gt;&lt;lastName&gt;Zheng&lt;/lastName&gt;&lt;/author&gt;&lt;author&gt;&lt;firstName&gt;Jon&lt;/firstName&gt;&lt;middleNames&gt;H&lt;/middleNames&gt;&lt;lastName&gt;Tobias&lt;/lastName&gt;&lt;/author&gt;&lt;author&gt;&lt;firstName&gt;Emma&lt;/firstName&gt;&lt;lastName&gt;Duncan&lt;/lastName&gt;&lt;/author&gt;&lt;author&gt;&lt;firstName&gt;David&lt;/firstName&gt;&lt;middleNames&gt;M&lt;/middleNames&gt;&lt;lastName&gt;Evans&lt;/lastName&gt;&lt;/author&gt;&lt;author&gt;&lt;firstName&gt;Joel&lt;/firstName&gt;&lt;lastName&gt;Eriksson&lt;/lastName&gt;&lt;/author&gt;&lt;author&gt;&lt;firstName&gt;Lavinia&lt;/firstName&gt;&lt;lastName&gt;Paternoster&lt;/lastName&gt;&lt;/author&gt;&lt;author&gt;&lt;firstName&gt;Laura&lt;/firstName&gt;&lt;middleNames&gt;M&lt;/middleNames&gt;&lt;lastName&gt;Yerges-Armstrong&lt;/lastName&gt;&lt;/author&gt;&lt;author&gt;&lt;firstName&gt;Terho&lt;/firstName&gt;&lt;lastName&gt;Lehtimäki&lt;/lastName&gt;&lt;/author&gt;&lt;author&gt;&lt;firstName&gt;Ulrica&lt;/firstName&gt;&lt;lastName&gt;Bergström&lt;/lastName&gt;&lt;/author&gt;&lt;author&gt;&lt;firstName&gt;Mika&lt;/firstName&gt;&lt;lastName&gt;Kähönen&lt;/lastName&gt;&lt;/author&gt;&lt;author&gt;&lt;firstName&gt;Paul&lt;/firstName&gt;&lt;middleNames&gt;J&lt;/middleNames&gt;&lt;lastName&gt;Leo&lt;/lastName&gt;&lt;/author&gt;&lt;author&gt;&lt;firstName&gt;Olli&lt;/firstName&gt;&lt;lastName&gt;Raitakari&lt;/lastName&gt;&lt;/author&gt;&lt;author&gt;&lt;firstName&gt;Marika&lt;/firstName&gt;&lt;lastName&gt;Laaksonen&lt;/lastName&gt;&lt;/author&gt;&lt;author&gt;&lt;firstName&gt;Geoffrey&lt;/firstName&gt;&lt;middleNames&gt;C&lt;/middleNames&gt;&lt;lastName&gt;Nicholson&lt;/lastName&gt;&lt;/author&gt;&lt;author&gt;&lt;firstName&gt;Jorma&lt;/firstName&gt;&lt;lastName&gt;Viikari&lt;/lastName&gt;&lt;/author&gt;&lt;author&gt;&lt;firstName&gt;Martin&lt;/firstName&gt;&lt;lastName&gt;Ladouceur&lt;/lastName&gt;&lt;/author&gt;&lt;author&gt;&lt;firstName&gt;Leo-Pekka&lt;/firstName&gt;&lt;lastName&gt;Lyytikäinen&lt;/lastName&gt;&lt;/author&gt;&lt;author&gt;&lt;firstName&gt;Carolina&lt;/firstName&gt;&lt;lastName&gt;Medina-Gómez&lt;/lastName&gt;&lt;/author&gt;&lt;author&gt;&lt;firstName&gt;Fernando&lt;/firstName&gt;&lt;lastName&gt;Rivadeneira&lt;/lastName&gt;&lt;/author&gt;&lt;author&gt;&lt;firstName&gt;Richard&lt;/firstName&gt;&lt;middleNames&gt;L&lt;/middleNames&gt;&lt;lastName&gt;Prince&lt;/lastName&gt;&lt;/author&gt;&lt;author&gt;&lt;firstName&gt;Harri&lt;/firstName&gt;&lt;lastName&gt;Sievanen&lt;/lastName&gt;&lt;/author&gt;&lt;author&gt;&lt;firstName&gt;William&lt;/firstName&gt;&lt;middleNames&gt;D&lt;/middleNames&gt;&lt;lastName&gt;Leslie&lt;/lastName&gt;&lt;/author&gt;&lt;author&gt;&lt;firstName&gt;Dan&lt;/firstName&gt;&lt;lastName&gt;Mellstrom&lt;/lastName&gt;&lt;/author&gt;&lt;author&gt;&lt;firstName&gt;John&lt;/firstName&gt;&lt;middleNames&gt;A&lt;/middleNames&gt;&lt;lastName&gt;Eisman&lt;/lastName&gt;&lt;/author&gt;&lt;author&gt;&lt;firstName&gt;Sofia&lt;/firstName&gt;&lt;lastName&gt;Movérare-Skrtic&lt;/lastName&gt;&lt;/author&gt;&lt;author&gt;&lt;firstName&gt;David&lt;/firstName&gt;&lt;lastName&gt;Goltzman&lt;/lastName&gt;&lt;/author&gt;&lt;author&gt;&lt;firstName&gt;David&lt;/firstName&gt;&lt;middleNames&gt;A&lt;/middleNames&gt;&lt;lastName&gt;Hanley&lt;/lastName&gt;&lt;/author&gt;&lt;author&gt;&lt;firstName&gt;Graeme&lt;/firstName&gt;&lt;lastName&gt;Jones&lt;/lastName&gt;&lt;/author&gt;&lt;author&gt;&lt;firstName&gt;Beate&lt;/firstName&gt;&lt;middleNames&gt;St&lt;/middleNames&gt;&lt;lastName&gt;Pourcain&lt;/lastName&gt;&lt;/author&gt;&lt;author&gt;&lt;firstName&gt;Yongjun&lt;/firstName&gt;&lt;lastName&gt;Xiao&lt;/lastName&gt;&lt;/author&gt;&lt;author&gt;&lt;firstName&gt;Nicholas&lt;/firstName&gt;&lt;middleNames&gt;J&lt;/middleNames&gt;&lt;lastName&gt;Timpson&lt;/lastName&gt;&lt;/author&gt;&lt;author&gt;&lt;firstName&gt;George&lt;/firstName&gt;&lt;middleNames&gt;Davey&lt;/middleNames&gt;&lt;lastName&gt;Smith&lt;/lastName&gt;&lt;/author&gt;&lt;author&gt;&lt;firstName&gt;Ian&lt;/firstName&gt;&lt;middleNames&gt;R&lt;/middleNames&gt;&lt;lastName&gt;Reid&lt;/lastName&gt;&lt;/author&gt;&lt;author&gt;&lt;firstName&gt;Susan&lt;/firstName&gt;&lt;middleNames&gt;M&lt;/middleNames&gt;&lt;lastName&gt;Ring&lt;/lastName&gt;&lt;/author&gt;&lt;author&gt;&lt;firstName&gt;Philip&lt;/firstName&gt;&lt;middleNames&gt;N&lt;/middleNames&gt;&lt;lastName&gt;Sambrook&lt;/lastName&gt;&lt;/author&gt;&lt;author&gt;&lt;firstName&gt;Magnus&lt;/firstName&gt;&lt;lastName&gt;Karlsson&lt;/lastName&gt;&lt;/author&gt;&lt;author&gt;&lt;firstName&gt;Elaine&lt;/firstName&gt;&lt;middleNames&gt;M&lt;/middleNames&gt;&lt;lastName&gt;Dennison&lt;/lastName&gt;&lt;/author&gt;&lt;author&gt;&lt;firstName&gt;John&lt;/firstName&gt;&lt;middleNames&gt;P&lt;/middleNames&gt;&lt;lastName&gt;Kemp&lt;/lastName&gt;&lt;/author&gt;&lt;author&gt;&lt;firstName&gt;Patrick&lt;/firstName&gt;&lt;lastName&gt;Danoy&lt;/lastName&gt;&lt;/author&gt;&lt;author&gt;&lt;firstName&gt;Adrian&lt;/firstName&gt;&lt;lastName&gt;Sayers&lt;/lastName&gt;&lt;/author&gt;&lt;author&gt;&lt;firstName&gt;Scott&lt;/firstName&gt;&lt;middleNames&gt;G&lt;/middleNames&gt;&lt;lastName&gt;Wilson&lt;/lastName&gt;&lt;/author&gt;&lt;author&gt;&lt;firstName&gt;Maria&lt;/firstName&gt;&lt;lastName&gt;Nethander&lt;/lastName&gt;&lt;/author&gt;&lt;author&gt;&lt;firstName&gt;Eugene&lt;/firstName&gt;&lt;lastName&gt;McCloskey&lt;/lastName&gt;&lt;/author&gt;&lt;author&gt;&lt;firstName&gt;Liesbeth&lt;/firstName&gt;&lt;lastName&gt;Vandenput&lt;/lastName&gt;&lt;/author&gt;&lt;author&gt;&lt;firstName&gt;Richard&lt;/firstName&gt;&lt;lastName&gt;Eastell&lt;/lastName&gt;&lt;/author&gt;&lt;author&gt;&lt;firstName&gt;Jeff&lt;/firstName&gt;&lt;lastName&gt;Liu&lt;/lastName&gt;&lt;/author&gt;&lt;author&gt;&lt;firstName&gt;Tim&lt;/firstName&gt;&lt;lastName&gt;Spector&lt;/lastName&gt;&lt;/author&gt;&lt;author&gt;&lt;firstName&gt;Braxton&lt;/firstName&gt;&lt;middleNames&gt;D&lt;/middleNames&gt;&lt;lastName&gt;Mitchell&lt;/lastName&gt;&lt;/author&gt;&lt;author&gt;&lt;firstName&gt;Elizabeth&lt;/firstName&gt;&lt;middleNames&gt;A&lt;/middleNames&gt;&lt;lastName&gt;Streeten&lt;/lastName&gt;&lt;/author&gt;&lt;author&gt;&lt;firstName&gt;Robert&lt;/firstName&gt;&lt;lastName&gt;Brommage&lt;/lastName&gt;&lt;/author&gt;&lt;author&gt;&lt;firstName&gt;Ulrika&lt;/firstName&gt;&lt;lastName&gt;Pettersson-Kymmer&lt;/lastName&gt;&lt;/author&gt;&lt;author&gt;&lt;firstName&gt;Matthew&lt;/firstName&gt;&lt;middleNames&gt;A&lt;/middleNames&gt;&lt;lastName&gt;Brown&lt;/lastName&gt;&lt;/author&gt;&lt;author&gt;&lt;firstName&gt;Claes&lt;/firstName&gt;&lt;lastName&gt;Ohlsson&lt;/lastName&gt;&lt;/author&gt;&lt;author&gt;&lt;firstName&gt;J&lt;/firstName&gt;&lt;middleNames&gt;Brent&lt;/middleNames&gt;&lt;lastName&gt;Richards&lt;/lastName&gt;&lt;/author&gt;&lt;author&gt;&lt;firstName&gt;Mattias&lt;/firstName&gt;&lt;lastName&gt;Lorentzon&lt;/lastName&gt;&lt;/author&gt;&lt;/authors&gt;&lt;/publication&gt;&lt;/publications&gt;&lt;cites&gt;&lt;/cites&gt;&lt;/citation&gt;</w:instrText>
      </w:r>
      <w:r>
        <w:rPr>
          <w:rFonts w:cs="Arial"/>
          <w:szCs w:val="20"/>
        </w:rPr>
        <w:fldChar w:fldCharType="separate"/>
      </w:r>
      <w:r w:rsidR="00735D55">
        <w:rPr>
          <w:rFonts w:cs="Times New Roman"/>
          <w:szCs w:val="20"/>
          <w:vertAlign w:val="superscript"/>
        </w:rPr>
        <w:t>24</w:t>
      </w:r>
      <w:r>
        <w:rPr>
          <w:rFonts w:cs="Arial"/>
          <w:szCs w:val="20"/>
        </w:rPr>
        <w:fldChar w:fldCharType="end"/>
      </w:r>
      <w:r w:rsidRPr="00704F86" w:rsidDel="00D435E0">
        <w:rPr>
          <w:rFonts w:cs="Arial"/>
          <w:szCs w:val="20"/>
        </w:rPr>
        <w:t xml:space="preserve"> </w:t>
      </w:r>
      <w:r w:rsidRPr="002878FB">
        <w:rPr>
          <w:rFonts w:eastAsia="Times New Roman" w:cs="Times New Roman"/>
          <w:szCs w:val="20"/>
          <w:lang w:val="en-CA" w:eastAsia="en-US"/>
        </w:rPr>
        <w:t xml:space="preserve">rs61960954 near the </w:t>
      </w:r>
      <w:r w:rsidRPr="00411297">
        <w:rPr>
          <w:rFonts w:eastAsia="Times New Roman" w:cs="Times New Roman"/>
          <w:i/>
          <w:szCs w:val="20"/>
          <w:lang w:val="en-CA" w:eastAsia="en-US"/>
        </w:rPr>
        <w:t>TNFSF11</w:t>
      </w:r>
      <w:r w:rsidRPr="002878FB">
        <w:rPr>
          <w:rFonts w:eastAsia="Times New Roman" w:cs="Times New Roman"/>
          <w:szCs w:val="20"/>
          <w:lang w:val="en-CA" w:eastAsia="en-US"/>
        </w:rPr>
        <w:t xml:space="preserve"> locus</w:t>
      </w:r>
      <w:r w:rsidRPr="002878FB">
        <w:rPr>
          <w:rFonts w:cs="Times New Roman"/>
          <w:szCs w:val="20"/>
        </w:rPr>
        <w:t>, was also</w:t>
      </w:r>
      <w:r>
        <w:rPr>
          <w:rFonts w:cs="Arial"/>
          <w:szCs w:val="20"/>
        </w:rPr>
        <w:t xml:space="preserve"> significant (P = 3.3 x 10</w:t>
      </w:r>
      <w:r w:rsidRPr="00963DC8">
        <w:rPr>
          <w:rFonts w:cs="Arial"/>
          <w:szCs w:val="20"/>
          <w:vertAlign w:val="superscript"/>
        </w:rPr>
        <w:t>-4</w:t>
      </w:r>
      <w:r>
        <w:rPr>
          <w:rFonts w:cs="Arial"/>
          <w:szCs w:val="20"/>
        </w:rPr>
        <w:t xml:space="preserve"> </w:t>
      </w:r>
      <w:r w:rsidRPr="002878FB">
        <w:rPr>
          <w:rFonts w:cs="Arial"/>
          <w:b/>
          <w:szCs w:val="20"/>
        </w:rPr>
        <w:t>Supplementary Table</w:t>
      </w:r>
      <w:r>
        <w:rPr>
          <w:rFonts w:cs="Arial"/>
          <w:b/>
          <w:szCs w:val="20"/>
        </w:rPr>
        <w:t xml:space="preserve"> 3</w:t>
      </w:r>
      <w:r w:rsidR="00D2433A">
        <w:rPr>
          <w:rFonts w:cs="Arial"/>
          <w:b/>
          <w:szCs w:val="20"/>
        </w:rPr>
        <w:t>0</w:t>
      </w:r>
      <w:r>
        <w:rPr>
          <w:rFonts w:cs="Arial"/>
          <w:szCs w:val="20"/>
        </w:rPr>
        <w:t>).</w:t>
      </w:r>
      <w:r w:rsidR="004E6D20">
        <w:rPr>
          <w:rFonts w:cs="Arial"/>
          <w:szCs w:val="20"/>
        </w:rPr>
        <w:t xml:space="preserve">  The </w:t>
      </w:r>
      <w:r w:rsidR="004E6D20" w:rsidRPr="001D78DD">
        <w:rPr>
          <w:rFonts w:cs="Arial"/>
          <w:i/>
          <w:szCs w:val="20"/>
        </w:rPr>
        <w:t>EN1</w:t>
      </w:r>
      <w:r w:rsidR="004E6D20">
        <w:rPr>
          <w:rFonts w:cs="Arial"/>
          <w:szCs w:val="20"/>
        </w:rPr>
        <w:t xml:space="preserve"> lead variant, rs11692564 had a P value of 0.04</w:t>
      </w:r>
      <w:r w:rsidR="005572F6">
        <w:rPr>
          <w:rFonts w:cs="Arial"/>
          <w:szCs w:val="20"/>
        </w:rPr>
        <w:t xml:space="preserve"> for fracture</w:t>
      </w:r>
      <w:r w:rsidR="004E6D20">
        <w:rPr>
          <w:rFonts w:cs="Arial"/>
          <w:szCs w:val="20"/>
        </w:rPr>
        <w:t>.</w:t>
      </w:r>
    </w:p>
    <w:p w14:paraId="07415DA8" w14:textId="77777777" w:rsidR="00B93775" w:rsidRDefault="00B93775" w:rsidP="00B93775">
      <w:pPr>
        <w:rPr>
          <w:rFonts w:cs="Arial"/>
          <w:szCs w:val="20"/>
        </w:rPr>
      </w:pPr>
    </w:p>
    <w:p w14:paraId="7452E5E8" w14:textId="481E8DA9" w:rsidR="004E6D20" w:rsidRDefault="004E6D20" w:rsidP="00A44473">
      <w:pPr>
        <w:pStyle w:val="Heading3"/>
      </w:pPr>
      <w:r>
        <w:t xml:space="preserve">Fracture Association </w:t>
      </w:r>
      <w:r w:rsidR="00801F7F">
        <w:t xml:space="preserve">and </w:t>
      </w:r>
      <w:r>
        <w:t>Meta-Analysis</w:t>
      </w:r>
      <w:r w:rsidR="002464DF">
        <w:t xml:space="preserve"> of EN1 variants</w:t>
      </w:r>
    </w:p>
    <w:p w14:paraId="71F09D34" w14:textId="728B246F" w:rsidR="00714BB0" w:rsidRPr="00121EB2" w:rsidRDefault="004E6D20" w:rsidP="00B93775">
      <w:r w:rsidRPr="00121EB2">
        <w:t xml:space="preserve">Following discovery of novel locus at </w:t>
      </w:r>
      <w:r w:rsidRPr="001D78DD">
        <w:rPr>
          <w:i/>
        </w:rPr>
        <w:t>EN1</w:t>
      </w:r>
      <w:r w:rsidRPr="00121EB2">
        <w:t xml:space="preserve"> for BMD</w:t>
      </w:r>
      <w:r w:rsidR="00801F7F" w:rsidRPr="00121EB2">
        <w:t xml:space="preserve">, we </w:t>
      </w:r>
      <w:r w:rsidR="009857B1" w:rsidRPr="00121EB2">
        <w:t xml:space="preserve">also </w:t>
      </w:r>
      <w:r w:rsidR="00801F7F" w:rsidRPr="00121EB2">
        <w:t xml:space="preserve">found marginal association of the lead EN1 variant rs11692564 for fracture (see previous section).  </w:t>
      </w:r>
      <w:r w:rsidR="00F44476" w:rsidRPr="00121EB2">
        <w:t xml:space="preserve">To improve statistical power we pursued a large scale association analysis of variants at </w:t>
      </w:r>
      <w:r w:rsidR="00F44476" w:rsidRPr="001D78DD">
        <w:rPr>
          <w:i/>
        </w:rPr>
        <w:t>EN1</w:t>
      </w:r>
      <w:r w:rsidR="00F44476" w:rsidRPr="00121EB2">
        <w:t xml:space="preserve"> for fracture in 18 cohorts (</w:t>
      </w:r>
      <w:r w:rsidR="00F44476" w:rsidRPr="00121EB2">
        <w:rPr>
          <w:b/>
        </w:rPr>
        <w:t xml:space="preserve">Supplementary Table </w:t>
      </w:r>
      <w:r w:rsidR="00F367B8" w:rsidRPr="00121EB2">
        <w:rPr>
          <w:b/>
        </w:rPr>
        <w:t>8</w:t>
      </w:r>
      <w:r w:rsidR="009E6AE9" w:rsidRPr="00121EB2">
        <w:t>)</w:t>
      </w:r>
      <w:r w:rsidR="00F44476" w:rsidRPr="00121EB2">
        <w:t xml:space="preserve">, comprising a total of 98,467 and 409,736 controls.  </w:t>
      </w:r>
      <w:r w:rsidR="009E6AE9" w:rsidRPr="00121EB2">
        <w:t xml:space="preserve">Cohort descriptions are provided in </w:t>
      </w:r>
      <w:r w:rsidR="009E6AE9" w:rsidRPr="00121EB2">
        <w:rPr>
          <w:b/>
        </w:rPr>
        <w:lastRenderedPageBreak/>
        <w:t>Supplementary Table 3</w:t>
      </w:r>
      <w:r w:rsidR="000A4370" w:rsidRPr="00121EB2">
        <w:rPr>
          <w:b/>
        </w:rPr>
        <w:t>1</w:t>
      </w:r>
      <w:r w:rsidR="009E6AE9" w:rsidRPr="00121EB2">
        <w:t xml:space="preserve">.  Methodology used to perform association analyses for each cohort is provided in </w:t>
      </w:r>
      <w:r w:rsidR="009E6AE9" w:rsidRPr="00121EB2">
        <w:rPr>
          <w:b/>
        </w:rPr>
        <w:t>Supplementary Table 3</w:t>
      </w:r>
      <w:r w:rsidR="00986E4E" w:rsidRPr="00121EB2">
        <w:rPr>
          <w:b/>
        </w:rPr>
        <w:t>2</w:t>
      </w:r>
      <w:r w:rsidR="009E6AE9" w:rsidRPr="00121EB2">
        <w:t xml:space="preserve">.  </w:t>
      </w:r>
      <w:r w:rsidR="00714BB0" w:rsidRPr="00121EB2">
        <w:t xml:space="preserve">Cohort level summary statistics are provided in </w:t>
      </w:r>
      <w:r w:rsidR="00714BB0" w:rsidRPr="00121EB2">
        <w:rPr>
          <w:b/>
        </w:rPr>
        <w:t xml:space="preserve">Supplementary Table </w:t>
      </w:r>
      <w:r w:rsidR="008F2022" w:rsidRPr="00121EB2">
        <w:rPr>
          <w:b/>
        </w:rPr>
        <w:t>9</w:t>
      </w:r>
      <w:r w:rsidR="00714BB0" w:rsidRPr="00121EB2">
        <w:t>.</w:t>
      </w:r>
    </w:p>
    <w:p w14:paraId="3CD25484" w14:textId="77777777" w:rsidR="00714BB0" w:rsidRPr="00121EB2" w:rsidRDefault="00714BB0" w:rsidP="00B93775"/>
    <w:p w14:paraId="5A27ED98" w14:textId="5F1DE244" w:rsidR="00714BB0" w:rsidRPr="00121EB2" w:rsidRDefault="00714BB0" w:rsidP="00B93775">
      <w:r w:rsidRPr="00121EB2">
        <w:t xml:space="preserve">Meta-analysis of cohort-level summary statistics was performed using GWAMA version 2.1.  </w:t>
      </w:r>
    </w:p>
    <w:p w14:paraId="453B49EB" w14:textId="372E2B0F" w:rsidR="004E6D20" w:rsidRPr="00121EB2" w:rsidRDefault="00714BB0" w:rsidP="00B93775">
      <w:r w:rsidRPr="00121EB2">
        <w:t xml:space="preserve">The largest number of fracture where derived from the 23andMe cohort (N=65,880).  Meta-analysis </w:t>
      </w:r>
      <w:r w:rsidR="007B4358" w:rsidRPr="00121EB2">
        <w:t xml:space="preserve">excluding this cohort showed that </w:t>
      </w:r>
      <w:r w:rsidRPr="00694E61">
        <w:rPr>
          <w:i/>
        </w:rPr>
        <w:t>EN1</w:t>
      </w:r>
      <w:r w:rsidRPr="00121EB2">
        <w:t xml:space="preserve"> variants remained highly significant</w:t>
      </w:r>
      <w:r w:rsidR="007B4358" w:rsidRPr="00121EB2">
        <w:t xml:space="preserve"> (</w:t>
      </w:r>
      <w:r w:rsidR="007B4358" w:rsidRPr="00121EB2">
        <w:rPr>
          <w:b/>
        </w:rPr>
        <w:t>Supplementary Table 3</w:t>
      </w:r>
      <w:r w:rsidR="001D6F83">
        <w:rPr>
          <w:b/>
        </w:rPr>
        <w:t>3</w:t>
      </w:r>
      <w:r w:rsidR="007B4358" w:rsidRPr="00121EB2">
        <w:t>).</w:t>
      </w:r>
    </w:p>
    <w:p w14:paraId="50E2B5D1" w14:textId="77777777" w:rsidR="004E6D20" w:rsidRDefault="004E6D20" w:rsidP="00B93775">
      <w:pPr>
        <w:rPr>
          <w:color w:val="FF0000"/>
        </w:rPr>
      </w:pPr>
    </w:p>
    <w:p w14:paraId="4DB3C83D" w14:textId="70DFC458" w:rsidR="00694E61" w:rsidRPr="00463AF0" w:rsidRDefault="0005603A" w:rsidP="00B93775">
      <w:pPr>
        <w:rPr>
          <w:color w:val="000000" w:themeColor="text1"/>
        </w:rPr>
      </w:pPr>
      <w:r w:rsidRPr="00463AF0">
        <w:rPr>
          <w:color w:val="000000" w:themeColor="text1"/>
        </w:rPr>
        <w:t xml:space="preserve">Within the </w:t>
      </w:r>
      <w:r w:rsidR="00694E61" w:rsidRPr="00463AF0">
        <w:rPr>
          <w:color w:val="000000" w:themeColor="text1"/>
        </w:rPr>
        <w:t>Rot</w:t>
      </w:r>
      <w:r w:rsidRPr="00463AF0">
        <w:rPr>
          <w:color w:val="000000" w:themeColor="text1"/>
        </w:rPr>
        <w:t>t</w:t>
      </w:r>
      <w:r w:rsidR="00694E61" w:rsidRPr="00463AF0">
        <w:rPr>
          <w:color w:val="000000" w:themeColor="text1"/>
        </w:rPr>
        <w:t xml:space="preserve">erdam </w:t>
      </w:r>
      <w:r w:rsidRPr="00463AF0">
        <w:rPr>
          <w:color w:val="000000" w:themeColor="text1"/>
        </w:rPr>
        <w:t xml:space="preserve">Study I and III cohorts, for which we have both imputed and directly genotyped rs11692564, we observed </w:t>
      </w:r>
      <w:r w:rsidR="00463AF0" w:rsidRPr="00463AF0">
        <w:rPr>
          <w:color w:val="000000" w:themeColor="text1"/>
        </w:rPr>
        <w:t>little</w:t>
      </w:r>
      <w:r w:rsidRPr="00463AF0">
        <w:rPr>
          <w:color w:val="000000" w:themeColor="text1"/>
        </w:rPr>
        <w:t xml:space="preserve"> difference in association to fracture (</w:t>
      </w:r>
      <w:r w:rsidRPr="00463AF0">
        <w:rPr>
          <w:b/>
          <w:color w:val="000000" w:themeColor="text1"/>
        </w:rPr>
        <w:t>Supplementary Table 34</w:t>
      </w:r>
      <w:r w:rsidRPr="00463AF0">
        <w:rPr>
          <w:color w:val="000000" w:themeColor="text1"/>
        </w:rPr>
        <w:t>).</w:t>
      </w:r>
    </w:p>
    <w:p w14:paraId="1B47A554" w14:textId="3BAD4C73" w:rsidR="007C0725" w:rsidRDefault="005A797A" w:rsidP="00107D04">
      <w:pPr>
        <w:pStyle w:val="Heading2"/>
      </w:pPr>
      <w:r>
        <w:t>Functional Genomics</w:t>
      </w:r>
    </w:p>
    <w:p w14:paraId="269E4B41" w14:textId="15858C17" w:rsidR="00DE759E" w:rsidRDefault="00DC6185" w:rsidP="00EF187A">
      <w:pPr>
        <w:pStyle w:val="Heading3"/>
      </w:pPr>
      <w:r>
        <w:t xml:space="preserve">Functional Class </w:t>
      </w:r>
      <w:r w:rsidR="00304873">
        <w:t>Enrichment</w:t>
      </w:r>
    </w:p>
    <w:p w14:paraId="6CD02693" w14:textId="40A53614" w:rsidR="000F5E59" w:rsidRDefault="00304873" w:rsidP="003C3D01">
      <w:r>
        <w:t>To ascertain</w:t>
      </w:r>
      <w:r w:rsidR="00FE04C8">
        <w:t xml:space="preserve"> if </w:t>
      </w:r>
      <w:r w:rsidR="000F5E59">
        <w:t xml:space="preserve">functional </w:t>
      </w:r>
      <w:r w:rsidR="00BD5489">
        <w:t xml:space="preserve">classification </w:t>
      </w:r>
      <w:r w:rsidR="000F5E59">
        <w:t>using G</w:t>
      </w:r>
      <w:r w:rsidR="00FE04C8">
        <w:t>ERP++ scores</w:t>
      </w:r>
      <w:r w:rsidR="00421A5C">
        <w:fldChar w:fldCharType="begin"/>
      </w:r>
      <w:r w:rsidR="00735D55">
        <w:instrText xml:space="preserve"> ADDIN PAPERS2_CITATIONS &lt;citation&gt;&lt;uuid&gt;463C595D-1AC8-46EA-9564-AC9CDF4E2E9C&lt;/uuid&gt;&lt;priority&gt;0&lt;/priority&gt;&lt;publications&gt;&lt;publication&gt;&lt;uuid&gt;CE85F2C8-5DEE-4116-BFC5-8FB0734770AE&lt;/uuid&gt;&lt;volume&gt;6&lt;/volume&gt;&lt;doi&gt;10.1371/journal.pcbi.1001025&lt;/doi&gt;&lt;version&gt;2010/12/15&lt;/version&gt;&lt;subtitle&gt;PLoS Comput Biol&lt;/subtitle&gt;&lt;startpage&gt;e1001025&lt;/startpage&gt;&lt;publication_date&gt;99201000001200000000200000&lt;/publication_date&gt;&lt;url&gt;http://www.ncbi.nlm.nih.gov/pubmed/21152010&lt;/url&gt;&lt;citekey&gt;Davydov:2010dg&lt;/citekey&gt;&lt;type&gt;400&lt;/type&gt;&lt;title&gt;Identifying a high fraction of the human genome to be under selective constraint using GERP++&lt;/title&gt;&lt;location&gt;200,9,37.4288128,-122.1693550&lt;/location&gt;&lt;institution&gt;Department of Computer Science, Stanford University, Stanford, California, United States of America.&lt;/institution&gt;&lt;number&gt;12&lt;/number&gt;&lt;subtype&gt;400&lt;/subtype&gt;&lt;bundle&gt;&lt;publication&gt;&lt;title&gt;PLoS computational biology&lt;/title&gt;&lt;type&gt;-100&lt;/type&gt;&lt;subtype&gt;-100&lt;/subtype&gt;&lt;uuid&gt;B515C852-FE04-4252-A639-1EF4B24EC833&lt;/uuid&gt;&lt;/publication&gt;&lt;/bundle&gt;&lt;authors&gt;&lt;author&gt;&lt;firstName&gt;E&lt;/firstName&gt;&lt;middleNames&gt;V&lt;/middleNames&gt;&lt;lastName&gt;Davydov&lt;/lastName&gt;&lt;/author&gt;&lt;author&gt;&lt;firstName&gt;D&lt;/firstName&gt;&lt;middleNames&gt;L&lt;/middleNames&gt;&lt;lastName&gt;Goode&lt;/lastName&gt;&lt;/author&gt;&lt;author&gt;&lt;firstName&gt;M&lt;/firstName&gt;&lt;lastName&gt;Sirota&lt;/lastName&gt;&lt;/author&gt;&lt;author&gt;&lt;firstName&gt;G&lt;/firstName&gt;&lt;middleNames&gt;M&lt;/middleNames&gt;&lt;lastName&gt;Cooper&lt;/lastName&gt;&lt;/author&gt;&lt;author&gt;&lt;firstName&gt;A&lt;/firstName&gt;&lt;lastName&gt;Sidow&lt;/lastName&gt;&lt;/author&gt;&lt;author&gt;&lt;firstName&gt;S&lt;/firstName&gt;&lt;lastName&gt;Batzoglou&lt;/lastName&gt;&lt;/author&gt;&lt;/authors&gt;&lt;/publication&gt;&lt;/publications&gt;&lt;cites&gt;&lt;/cites&gt;&lt;/citation&gt;</w:instrText>
      </w:r>
      <w:r w:rsidR="00421A5C">
        <w:fldChar w:fldCharType="separate"/>
      </w:r>
      <w:r w:rsidR="00435088">
        <w:rPr>
          <w:rFonts w:cs="Times New Roman"/>
          <w:szCs w:val="20"/>
          <w:vertAlign w:val="superscript"/>
        </w:rPr>
        <w:t>8</w:t>
      </w:r>
      <w:r w:rsidR="00421A5C">
        <w:fldChar w:fldCharType="end"/>
      </w:r>
      <w:r w:rsidR="00FE04C8">
        <w:t xml:space="preserve"> </w:t>
      </w:r>
      <w:r w:rsidR="00FC7AD3">
        <w:t xml:space="preserve">enriches for more significant </w:t>
      </w:r>
      <w:r w:rsidR="00FE04C8">
        <w:t xml:space="preserve">GWAS associations, </w:t>
      </w:r>
      <w:r w:rsidR="00FC7AD3">
        <w:t>we computed</w:t>
      </w:r>
      <w:r w:rsidR="0080285B">
        <w:t>,</w:t>
      </w:r>
      <w:r w:rsidR="00FC7AD3">
        <w:t xml:space="preserve"> for variants that fall below</w:t>
      </w:r>
      <w:r w:rsidR="000F3BB4">
        <w:t xml:space="preserve"> </w:t>
      </w:r>
      <w:r w:rsidR="00FC7AD3">
        <w:t xml:space="preserve">or above a </w:t>
      </w:r>
      <w:r w:rsidR="000F3BB4">
        <w:t xml:space="preserve">series of </w:t>
      </w:r>
      <w:r w:rsidR="00FC7AD3">
        <w:t>GERP++ threshold</w:t>
      </w:r>
      <w:r w:rsidR="000F3BB4">
        <w:t>s</w:t>
      </w:r>
      <w:r w:rsidR="00FC7AD3">
        <w:t xml:space="preserve"> the proportion that surpass FDR q-value o</w:t>
      </w:r>
      <w:r w:rsidR="000F3BB4">
        <w:t xml:space="preserve">f 0.05.  Prior to FDR analysis, </w:t>
      </w:r>
      <w:r w:rsidR="00565D5E">
        <w:t xml:space="preserve">variants from meta-analysis (UK10K + 1KG reference panel </w:t>
      </w:r>
      <w:r w:rsidR="00F26D05">
        <w:t>SNV</w:t>
      </w:r>
      <w:r w:rsidR="00565D5E">
        <w:t>s only) were annotated with GERP++ score</w:t>
      </w:r>
      <w:r w:rsidR="004113A1">
        <w:t>s</w:t>
      </w:r>
      <w:r w:rsidR="00565D5E">
        <w:t xml:space="preserve"> and distance to the nearest gene.  V</w:t>
      </w:r>
      <w:r w:rsidR="000F3BB4">
        <w:t xml:space="preserve">ariants were </w:t>
      </w:r>
      <w:r w:rsidR="00565D5E">
        <w:t xml:space="preserve">then </w:t>
      </w:r>
      <w:r w:rsidR="004113A1">
        <w:t xml:space="preserve">pruned </w:t>
      </w:r>
      <w:r w:rsidR="00565D5E">
        <w:t>for L</w:t>
      </w:r>
      <w:r w:rsidR="000F3BB4">
        <w:t xml:space="preserve">D with PLINK using </w:t>
      </w:r>
      <w:r w:rsidR="00565D5E">
        <w:t xml:space="preserve">an </w:t>
      </w:r>
      <w:r w:rsidR="000F3BB4">
        <w:t>r</w:t>
      </w:r>
      <w:r w:rsidR="000F3BB4" w:rsidRPr="003C3D01">
        <w:rPr>
          <w:vertAlign w:val="superscript"/>
        </w:rPr>
        <w:t>2</w:t>
      </w:r>
      <w:r w:rsidR="000F3BB4">
        <w:t xml:space="preserve"> of &lt; 0.2</w:t>
      </w:r>
      <w:r w:rsidR="004113A1">
        <w:t xml:space="preserve">, </w:t>
      </w:r>
      <w:r w:rsidR="000F3BB4">
        <w:t>window size</w:t>
      </w:r>
      <w:r w:rsidR="004113A1">
        <w:t xml:space="preserve"> of 100kb</w:t>
      </w:r>
      <w:r w:rsidR="000F3BB4">
        <w:t xml:space="preserve"> and step of 20 kb</w:t>
      </w:r>
      <w:r w:rsidR="00565D5E">
        <w:t xml:space="preserve">.  For each </w:t>
      </w:r>
      <w:r w:rsidR="00F26D05">
        <w:t>SNV</w:t>
      </w:r>
      <w:r w:rsidR="00565D5E">
        <w:t xml:space="preserve"> in this LD independent set, we selected the single </w:t>
      </w:r>
      <w:r w:rsidR="00F26D05">
        <w:t>SNV</w:t>
      </w:r>
      <w:r w:rsidR="00565D5E">
        <w:t xml:space="preserve"> in LD with the lowest p-value, thus yielding a final dataset of LD independent </w:t>
      </w:r>
      <w:r w:rsidR="00F26D05">
        <w:t>SNV</w:t>
      </w:r>
      <w:r w:rsidR="00565D5E">
        <w:t>s with lowest p-value</w:t>
      </w:r>
      <w:r w:rsidR="004113A1">
        <w:t>s</w:t>
      </w:r>
      <w:r w:rsidR="00565D5E">
        <w:t xml:space="preserve">.  For each GERP++ threshold considered (from 0 to 4, with step of 0.2), we partitioned </w:t>
      </w:r>
      <w:r w:rsidR="00F26D05">
        <w:t>SNV</w:t>
      </w:r>
      <w:r w:rsidR="00565D5E">
        <w:t xml:space="preserve">s into those above (cases) and below (controls) </w:t>
      </w:r>
      <w:r w:rsidR="00F153CD">
        <w:t xml:space="preserve">the </w:t>
      </w:r>
      <w:r w:rsidR="00565D5E">
        <w:t>threshold.  To adjust for bias</w:t>
      </w:r>
      <w:r w:rsidR="004113A1">
        <w:t xml:space="preserve"> (</w:t>
      </w:r>
      <w:r w:rsidR="00565D5E">
        <w:t xml:space="preserve">such </w:t>
      </w:r>
      <w:r w:rsidR="004B5796">
        <w:t xml:space="preserve">as a </w:t>
      </w:r>
      <w:r w:rsidR="00565D5E">
        <w:t>correlation of GERP++ score to gene distance or MAF</w:t>
      </w:r>
      <w:r w:rsidR="004113A1">
        <w:t>)</w:t>
      </w:r>
      <w:r w:rsidR="00565D5E">
        <w:t xml:space="preserve"> we matched </w:t>
      </w:r>
      <w:r w:rsidR="00C84542">
        <w:t xml:space="preserve">cases to controls using the R package </w:t>
      </w:r>
      <w:proofErr w:type="spellStart"/>
      <w:r w:rsidR="00C84542">
        <w:t>MatchIt</w:t>
      </w:r>
      <w:proofErr w:type="spellEnd"/>
      <w:r w:rsidR="00C84542">
        <w:t xml:space="preserve"> (coarsened exact matching algorithm). Subsequent to matching, FDR analysis was conducted on each set of case and control variants, and proportion of variants surpassing FDR q-value of 0.05 was obtained.</w:t>
      </w:r>
    </w:p>
    <w:p w14:paraId="0864CE91" w14:textId="77777777" w:rsidR="00565D5E" w:rsidRDefault="00565D5E" w:rsidP="00EC5C99"/>
    <w:p w14:paraId="6FEAD982" w14:textId="53C91263" w:rsidR="0032772D" w:rsidRPr="00032003" w:rsidRDefault="00EC5C99" w:rsidP="0032772D">
      <w:r>
        <w:t xml:space="preserve">For synonymous and deleterious variants, </w:t>
      </w:r>
      <w:r w:rsidR="004366A4">
        <w:t xml:space="preserve">the above </w:t>
      </w:r>
      <w:r>
        <w:t xml:space="preserve">strategy was applied, except </w:t>
      </w:r>
      <w:r w:rsidR="004113A1">
        <w:t xml:space="preserve">only </w:t>
      </w:r>
      <w:r>
        <w:t>coding variants were partitioned b</w:t>
      </w:r>
      <w:r w:rsidR="00BD5489">
        <w:t>ased on whether or not they were</w:t>
      </w:r>
      <w:r w:rsidR="004366A4">
        <w:t xml:space="preserve"> synonymous </w:t>
      </w:r>
      <w:r w:rsidR="00BD5489">
        <w:t xml:space="preserve">or </w:t>
      </w:r>
      <w:r>
        <w:t>deleterious.  Variant annotations were computed using a local version of Variant Effect Predictor.</w:t>
      </w:r>
      <w:r w:rsidR="00E219CA">
        <w:fldChar w:fldCharType="begin"/>
      </w:r>
      <w:r w:rsidR="00735D55">
        <w:instrText xml:space="preserve"> ADDIN PAPERS2_CITATIONS &lt;citation&gt;&lt;uuid&gt;023EBF85-307F-400B-A9D6-55D633ED6C67&lt;/uuid&gt;&lt;priority&gt;23&lt;/priority&gt;&lt;publications&gt;&lt;publication&gt;&lt;uuid&gt;10E52D38-E6EC-4E7B-8651-4E49248DD02B&lt;/uuid&gt;&lt;volume&gt;26&lt;/volume&gt;&lt;doi&gt;10.1093/bioinformatics/btq330&lt;/doi&gt;&lt;startpage&gt;2069&lt;/startpage&gt;&lt;publication_date&gt;99201008051200000000222000&lt;/publication_date&gt;&lt;url&gt;http://bioinformatics.oxfordjournals.org/cgi/doi/10.1093/bioinformatics/btq330&lt;/url&gt;&lt;citekey&gt;McLaren:2010dj&lt;/citekey&gt;&lt;type&gt;400&lt;/type&gt;&lt;title&gt;Deriving the consequences of genomic variants with the Ensembl API and SNP Effect Predictor&lt;/title&gt;&lt;publisher&gt;Oxford University Press&lt;/publisher&gt;&lt;number&gt;16&lt;/number&gt;&lt;subtype&gt;400&lt;/subtype&gt;&lt;endpage&gt;2070&lt;/endpage&gt;&lt;bundle&gt;&lt;publication&gt;&lt;publisher&gt;Oxford University Press&lt;/publisher&gt;&lt;title&gt;Bioinformatics&lt;/title&gt;&lt;type&gt;-100&lt;/type&gt;&lt;subtype&gt;-100&lt;/subtype&gt;&lt;uuid&gt;5E0617C0-143A-4C27-A688-3E035890BEDE&lt;/uuid&gt;&lt;/publication&gt;&lt;/bundle&gt;&lt;authors&gt;&lt;author&gt;&lt;firstName&gt;W&lt;/firstName&gt;&lt;lastName&gt;McLaren&lt;/lastName&gt;&lt;/author&gt;&lt;author&gt;&lt;firstName&gt;B&lt;/firstName&gt;&lt;lastName&gt;Pritchard&lt;/lastName&gt;&lt;/author&gt;&lt;author&gt;&lt;firstName&gt;D&lt;/firstName&gt;&lt;lastName&gt;Rios&lt;/lastName&gt;&lt;/author&gt;&lt;author&gt;&lt;firstName&gt;Y&lt;/firstName&gt;&lt;lastName&gt;Chen&lt;/lastName&gt;&lt;/author&gt;&lt;author&gt;&lt;firstName&gt;P&lt;/firstName&gt;&lt;lastName&gt;Flicek&lt;/lastName&gt;&lt;/author&gt;&lt;author&gt;&lt;firstName&gt;F&lt;/firstName&gt;&lt;lastName&gt;Cunningham&lt;/lastName&gt;&lt;/author&gt;&lt;/authors&gt;&lt;/publication&gt;&lt;/publications&gt;&lt;cites&gt;&lt;/cites&gt;&lt;/citation&gt;</w:instrText>
      </w:r>
      <w:r w:rsidR="00E219CA">
        <w:fldChar w:fldCharType="separate"/>
      </w:r>
      <w:r w:rsidR="003848DF">
        <w:rPr>
          <w:rFonts w:cs="Arial"/>
          <w:szCs w:val="20"/>
          <w:vertAlign w:val="superscript"/>
        </w:rPr>
        <w:t>7</w:t>
      </w:r>
      <w:r w:rsidR="00E219CA">
        <w:fldChar w:fldCharType="end"/>
      </w:r>
      <w:r>
        <w:t xml:space="preserve"> Deleterious variants were classified as having the following sequence ontology terms (</w:t>
      </w:r>
      <w:proofErr w:type="spellStart"/>
      <w:r w:rsidRPr="00EC5C99">
        <w:t>frameshift_variant</w:t>
      </w:r>
      <w:proofErr w:type="spellEnd"/>
      <w:r>
        <w:t xml:space="preserve">, </w:t>
      </w:r>
      <w:proofErr w:type="spellStart"/>
      <w:r>
        <w:t>inframe_deletion</w:t>
      </w:r>
      <w:proofErr w:type="spellEnd"/>
      <w:r>
        <w:t xml:space="preserve">, </w:t>
      </w:r>
      <w:proofErr w:type="spellStart"/>
      <w:r w:rsidRPr="00EC5C99">
        <w:t>inframe_insertion</w:t>
      </w:r>
      <w:proofErr w:type="spellEnd"/>
      <w:r>
        <w:t xml:space="preserve">, </w:t>
      </w:r>
      <w:proofErr w:type="spellStart"/>
      <w:r w:rsidRPr="00EC5C99">
        <w:t>initiator_codon_variant</w:t>
      </w:r>
      <w:proofErr w:type="spellEnd"/>
      <w:r>
        <w:t xml:space="preserve">, </w:t>
      </w:r>
      <w:proofErr w:type="spellStart"/>
      <w:r w:rsidRPr="00EC5C99">
        <w:t>missense_variant</w:t>
      </w:r>
      <w:proofErr w:type="spellEnd"/>
      <w:r>
        <w:t xml:space="preserve">, </w:t>
      </w:r>
      <w:proofErr w:type="spellStart"/>
      <w:r w:rsidRPr="00EC5C99">
        <w:t>splice_acceptor_variant</w:t>
      </w:r>
      <w:proofErr w:type="spellEnd"/>
      <w:r>
        <w:t xml:space="preserve">, </w:t>
      </w:r>
      <w:proofErr w:type="spellStart"/>
      <w:r w:rsidRPr="00EC5C99">
        <w:t>splice_donor_variant</w:t>
      </w:r>
      <w:proofErr w:type="spellEnd"/>
      <w:r>
        <w:t xml:space="preserve">, </w:t>
      </w:r>
      <w:proofErr w:type="spellStart"/>
      <w:r>
        <w:t>stop_gained</w:t>
      </w:r>
      <w:proofErr w:type="spellEnd"/>
      <w:r>
        <w:t xml:space="preserve">, and </w:t>
      </w:r>
      <w:proofErr w:type="spellStart"/>
      <w:r w:rsidRPr="00EC5C99">
        <w:t>stop_lost</w:t>
      </w:r>
      <w:proofErr w:type="spellEnd"/>
      <w:r>
        <w:t>)</w:t>
      </w:r>
      <w:r w:rsidR="004366A4">
        <w:t>.</w:t>
      </w:r>
      <w:r w:rsidR="0032772D">
        <w:t xml:space="preserve"> </w:t>
      </w:r>
    </w:p>
    <w:p w14:paraId="52087675" w14:textId="0340E3E0" w:rsidR="003A5581" w:rsidRPr="00373CF8" w:rsidRDefault="006E4D34" w:rsidP="00EF187A">
      <w:pPr>
        <w:pStyle w:val="Heading3"/>
        <w:rPr>
          <w:i/>
        </w:rPr>
      </w:pPr>
      <w:r>
        <w:t>Chromatin Accessibility: DNase</w:t>
      </w:r>
      <w:r w:rsidR="00460B97">
        <w:t xml:space="preserve"> </w:t>
      </w:r>
      <w:r>
        <w:t xml:space="preserve">I Hypersensitivity Site </w:t>
      </w:r>
      <w:r w:rsidR="00B949F5" w:rsidRPr="00373CF8">
        <w:t>C</w:t>
      </w:r>
      <w:r w:rsidR="00D17469" w:rsidRPr="00373CF8">
        <w:t>orrelations</w:t>
      </w:r>
      <w:r w:rsidR="00DD49D2" w:rsidRPr="00373CF8">
        <w:t xml:space="preserve"> </w:t>
      </w:r>
    </w:p>
    <w:p w14:paraId="3172BDAE" w14:textId="1A294B83" w:rsidR="007D228B" w:rsidRPr="002362C2" w:rsidRDefault="007D228B" w:rsidP="007D228B">
      <w:pPr>
        <w:rPr>
          <w:rFonts w:cs="Arial"/>
          <w:szCs w:val="20"/>
        </w:rPr>
      </w:pPr>
      <w:r w:rsidRPr="00373CF8">
        <w:rPr>
          <w:rFonts w:cs="Arial"/>
          <w:szCs w:val="20"/>
        </w:rPr>
        <w:t xml:space="preserve">For distal/promoter DHS correlation analyses, we </w:t>
      </w:r>
      <w:r w:rsidR="00DD49C4" w:rsidRPr="00373CF8">
        <w:rPr>
          <w:rFonts w:cs="Arial"/>
          <w:szCs w:val="20"/>
        </w:rPr>
        <w:t>utilized</w:t>
      </w:r>
      <w:r w:rsidRPr="00373CF8">
        <w:rPr>
          <w:rFonts w:cs="Arial"/>
          <w:szCs w:val="20"/>
        </w:rPr>
        <w:t xml:space="preserve"> DHS data from ENCODE for 305 cell lines (</w:t>
      </w:r>
      <w:r w:rsidR="00DD49C4" w:rsidRPr="00DD49C4">
        <w:rPr>
          <w:rFonts w:cs="Arial"/>
          <w:b/>
          <w:szCs w:val="20"/>
        </w:rPr>
        <w:t xml:space="preserve">Supplementary </w:t>
      </w:r>
      <w:r w:rsidRPr="00DD49C4">
        <w:rPr>
          <w:rFonts w:cs="Arial"/>
          <w:b/>
          <w:szCs w:val="20"/>
        </w:rPr>
        <w:t xml:space="preserve">Table </w:t>
      </w:r>
      <w:r w:rsidR="00827217">
        <w:rPr>
          <w:rFonts w:cs="Arial"/>
          <w:b/>
          <w:szCs w:val="20"/>
        </w:rPr>
        <w:t>3</w:t>
      </w:r>
      <w:r w:rsidR="0005603A">
        <w:rPr>
          <w:rFonts w:cs="Arial"/>
          <w:b/>
          <w:szCs w:val="20"/>
        </w:rPr>
        <w:t>5</w:t>
      </w:r>
      <w:r w:rsidRPr="00373CF8">
        <w:rPr>
          <w:rFonts w:cs="Arial"/>
          <w:szCs w:val="20"/>
        </w:rPr>
        <w:t>).  The distal DHS regions were defined as a peak region from ENCODE DHS data that overlapped the GWAS SNP. For rs148771817 (WNT16 locus), the peak region was obtained from the “Digital</w:t>
      </w:r>
      <w:r w:rsidRPr="008226F6">
        <w:rPr>
          <w:rFonts w:cs="Arial"/>
          <w:szCs w:val="20"/>
        </w:rPr>
        <w:t xml:space="preserve"> DNase</w:t>
      </w:r>
      <w:r w:rsidR="008614A8">
        <w:rPr>
          <w:rFonts w:cs="Arial"/>
          <w:szCs w:val="20"/>
        </w:rPr>
        <w:t xml:space="preserve"> </w:t>
      </w:r>
      <w:r w:rsidRPr="008226F6">
        <w:rPr>
          <w:rFonts w:cs="Arial"/>
          <w:szCs w:val="20"/>
        </w:rPr>
        <w:t>I Hypersensitivity Clusters in 125 cell types from ENCODE</w:t>
      </w:r>
      <w:r w:rsidR="008D31A8">
        <w:rPr>
          <w:rFonts w:cs="Arial"/>
          <w:szCs w:val="20"/>
        </w:rPr>
        <w:t>”</w:t>
      </w:r>
      <w:r>
        <w:rPr>
          <w:rFonts w:cs="Arial"/>
          <w:szCs w:val="20"/>
        </w:rPr>
        <w:t xml:space="preserve"> track from the UCSC Genome Browser</w:t>
      </w:r>
      <w:r w:rsidR="00BA1D05">
        <w:rPr>
          <w:rFonts w:cs="Arial"/>
          <w:szCs w:val="20"/>
        </w:rPr>
        <w:t xml:space="preserve">. </w:t>
      </w:r>
      <w:proofErr w:type="spellStart"/>
      <w:r>
        <w:rPr>
          <w:rFonts w:cs="Arial"/>
          <w:szCs w:val="20"/>
        </w:rPr>
        <w:t>Promoter</w:t>
      </w:r>
      <w:proofErr w:type="spellEnd"/>
      <w:r>
        <w:rPr>
          <w:rFonts w:cs="Arial"/>
          <w:szCs w:val="20"/>
        </w:rPr>
        <w:t xml:space="preserve"> regions were defined as 500 </w:t>
      </w:r>
      <w:r w:rsidR="007832BF">
        <w:rPr>
          <w:rFonts w:cs="Arial"/>
          <w:szCs w:val="20"/>
        </w:rPr>
        <w:t xml:space="preserve">nucleotide </w:t>
      </w:r>
      <w:r>
        <w:rPr>
          <w:rFonts w:cs="Arial"/>
          <w:szCs w:val="20"/>
        </w:rPr>
        <w:t xml:space="preserve">flanking the TSS of genes within 500 Kb of the GWAS SNP being considered.  Within each of these promoter or distal DHS regions, we obtained the DHS measurements for all overlapping 100nt bins across the 305 cell lines.  Correlation analyses between the distal and promoter DHS 100 </w:t>
      </w:r>
      <w:r w:rsidR="007832BF">
        <w:rPr>
          <w:rFonts w:cs="Arial"/>
          <w:szCs w:val="20"/>
        </w:rPr>
        <w:t xml:space="preserve">nucleotide </w:t>
      </w:r>
      <w:r>
        <w:rPr>
          <w:rFonts w:cs="Arial"/>
          <w:szCs w:val="20"/>
        </w:rPr>
        <w:t xml:space="preserve">bins was conducted using Pearson correlation in the R statistical software package.  For each distal </w:t>
      </w:r>
      <w:r w:rsidR="007832BF">
        <w:rPr>
          <w:rFonts w:cs="Arial"/>
          <w:szCs w:val="20"/>
        </w:rPr>
        <w:t xml:space="preserve">nucleotide </w:t>
      </w:r>
      <w:r>
        <w:rPr>
          <w:rFonts w:cs="Arial"/>
          <w:szCs w:val="20"/>
        </w:rPr>
        <w:t xml:space="preserve">bin, </w:t>
      </w:r>
      <w:r w:rsidRPr="002362C2">
        <w:rPr>
          <w:rFonts w:cs="Arial"/>
          <w:szCs w:val="20"/>
        </w:rPr>
        <w:t>the maximal R</w:t>
      </w:r>
      <w:r w:rsidRPr="002362C2">
        <w:rPr>
          <w:rFonts w:cs="Arial"/>
          <w:szCs w:val="20"/>
          <w:vertAlign w:val="superscript"/>
        </w:rPr>
        <w:t>2</w:t>
      </w:r>
      <w:r w:rsidRPr="002362C2">
        <w:rPr>
          <w:rFonts w:cs="Arial"/>
          <w:szCs w:val="20"/>
        </w:rPr>
        <w:t xml:space="preserve"> to across all bins per gene promoter region </w:t>
      </w:r>
      <w:r w:rsidR="007832BF" w:rsidRPr="002362C2">
        <w:rPr>
          <w:rFonts w:cs="Arial"/>
          <w:szCs w:val="20"/>
        </w:rPr>
        <w:t xml:space="preserve">was </w:t>
      </w:r>
      <w:r w:rsidRPr="002362C2">
        <w:rPr>
          <w:rFonts w:cs="Arial"/>
          <w:szCs w:val="20"/>
        </w:rPr>
        <w:t>reported.</w:t>
      </w:r>
      <w:r w:rsidR="00373CF8" w:rsidRPr="002362C2">
        <w:rPr>
          <w:rFonts w:cs="Arial"/>
          <w:szCs w:val="20"/>
        </w:rPr>
        <w:t xml:space="preserve"> Results for </w:t>
      </w:r>
      <w:r w:rsidR="00373CF8" w:rsidRPr="002362C2">
        <w:rPr>
          <w:rFonts w:cs="Arial"/>
          <w:i/>
          <w:szCs w:val="20"/>
        </w:rPr>
        <w:t>WNT16</w:t>
      </w:r>
      <w:r w:rsidR="00373CF8" w:rsidRPr="002362C2">
        <w:rPr>
          <w:rFonts w:cs="Arial"/>
          <w:szCs w:val="20"/>
        </w:rPr>
        <w:t xml:space="preserve"> loci are shown in </w:t>
      </w:r>
      <w:r w:rsidR="009069E1" w:rsidRPr="002362C2">
        <w:rPr>
          <w:rFonts w:cs="Arial"/>
          <w:b/>
          <w:szCs w:val="20"/>
        </w:rPr>
        <w:t xml:space="preserve">Supplementary </w:t>
      </w:r>
      <w:r w:rsidR="00373CF8" w:rsidRPr="002362C2">
        <w:rPr>
          <w:rFonts w:cs="Arial"/>
          <w:b/>
          <w:szCs w:val="20"/>
        </w:rPr>
        <w:t xml:space="preserve">Table </w:t>
      </w:r>
      <w:r w:rsidR="00937C7A">
        <w:rPr>
          <w:rFonts w:cs="Arial"/>
          <w:b/>
          <w:szCs w:val="20"/>
        </w:rPr>
        <w:t>1</w:t>
      </w:r>
      <w:r w:rsidR="0071082E">
        <w:rPr>
          <w:rFonts w:cs="Arial"/>
          <w:b/>
          <w:szCs w:val="20"/>
        </w:rPr>
        <w:t>3</w:t>
      </w:r>
      <w:r w:rsidR="00373CF8" w:rsidRPr="002362C2">
        <w:rPr>
          <w:rFonts w:cs="Arial"/>
          <w:szCs w:val="20"/>
        </w:rPr>
        <w:t>.</w:t>
      </w:r>
    </w:p>
    <w:p w14:paraId="12A3DFFF" w14:textId="1E06B625" w:rsidR="00C336D9" w:rsidRDefault="00C336D9" w:rsidP="003A62DD">
      <w:pPr>
        <w:rPr>
          <w:rFonts w:cs="Arial"/>
          <w:b/>
          <w:szCs w:val="20"/>
        </w:rPr>
      </w:pPr>
    </w:p>
    <w:p w14:paraId="39C612F7" w14:textId="205CA905" w:rsidR="005A121F" w:rsidRDefault="00E10427" w:rsidP="00457F35">
      <w:pPr>
        <w:pStyle w:val="Heading3"/>
      </w:pPr>
      <w:r>
        <w:t>Topologically</w:t>
      </w:r>
      <w:r w:rsidR="005A121F">
        <w:t xml:space="preserve"> Associated Domains</w:t>
      </w:r>
    </w:p>
    <w:p w14:paraId="0010A149" w14:textId="3DD9EC3E" w:rsidR="005F79E2" w:rsidRPr="002362C2" w:rsidRDefault="00CF22FA" w:rsidP="003A62DD">
      <w:pPr>
        <w:rPr>
          <w:rFonts w:cs="Arial"/>
          <w:b/>
          <w:szCs w:val="20"/>
        </w:rPr>
      </w:pPr>
      <w:r w:rsidRPr="00457F35">
        <w:rPr>
          <w:rFonts w:cs="Arial"/>
          <w:szCs w:val="20"/>
        </w:rPr>
        <w:t xml:space="preserve">Hi-C </w:t>
      </w:r>
      <w:proofErr w:type="spellStart"/>
      <w:r w:rsidRPr="00457F35">
        <w:rPr>
          <w:rFonts w:cs="Arial"/>
          <w:szCs w:val="20"/>
        </w:rPr>
        <w:t>seq</w:t>
      </w:r>
      <w:proofErr w:type="spellEnd"/>
      <w:r w:rsidRPr="00457F35">
        <w:rPr>
          <w:rFonts w:cs="Arial"/>
          <w:szCs w:val="20"/>
        </w:rPr>
        <w:t xml:space="preserve"> (chromosome conformation capture) in human embryo stem (ES) cells was obtained </w:t>
      </w:r>
      <w:proofErr w:type="spellStart"/>
      <w:r w:rsidRPr="00457F35">
        <w:rPr>
          <w:rFonts w:cs="Arial"/>
          <w:szCs w:val="20"/>
        </w:rPr>
        <w:t>from</w:t>
      </w:r>
      <w:r w:rsidR="00C20A88">
        <w:rPr>
          <w:rFonts w:cs="Arial"/>
          <w:szCs w:val="20"/>
        </w:rPr>
        <w:t>s</w:t>
      </w:r>
      <w:proofErr w:type="spellEnd"/>
      <w:r w:rsidRPr="00457F35">
        <w:rPr>
          <w:rFonts w:cs="Arial"/>
          <w:szCs w:val="20"/>
        </w:rPr>
        <w:t xml:space="preserve"> previously published papers by Dr. Bing Ren (</w:t>
      </w:r>
      <w:hyperlink r:id="rId15" w:history="1">
        <w:r w:rsidRPr="00457F35">
          <w:rPr>
            <w:rStyle w:val="Hyperlink"/>
            <w:rFonts w:cs="Arial"/>
            <w:szCs w:val="20"/>
          </w:rPr>
          <w:t>http://chromosome.sdsc.edu/mouse/hi-c/download.html</w:t>
        </w:r>
      </w:hyperlink>
      <w:r w:rsidRPr="00457F35">
        <w:rPr>
          <w:rFonts w:cs="Arial"/>
          <w:szCs w:val="20"/>
        </w:rPr>
        <w:t>)</w:t>
      </w:r>
      <w:r w:rsidR="0075068B" w:rsidRPr="0075068B">
        <w:rPr>
          <w:rFonts w:cs="Arial"/>
          <w:szCs w:val="20"/>
        </w:rPr>
        <w:t xml:space="preserve"> </w:t>
      </w:r>
      <w:r w:rsidR="0075068B">
        <w:rPr>
          <w:rFonts w:cs="Arial"/>
          <w:szCs w:val="20"/>
        </w:rPr>
        <w:fldChar w:fldCharType="begin"/>
      </w:r>
      <w:r w:rsidR="00735D55">
        <w:rPr>
          <w:rFonts w:cs="Arial"/>
          <w:szCs w:val="20"/>
        </w:rPr>
        <w:instrText xml:space="preserve"> ADDIN PAPERS2_CITATIONS &lt;citation&gt;&lt;uuid&gt;24E945C1-FC96-4BD2-96C5-8B10C479B2C9&lt;/uuid&gt;&lt;priority&gt;21&lt;/priority&gt;&lt;publications&gt;&lt;publication&gt;&lt;uuid&gt;EDDCECA1-DF99-4989-ABF7-8449463070F3&lt;/uuid&gt;&lt;volume&gt;485&lt;/volume&gt;&lt;doi&gt;doi:10.1038/nature11082&lt;/doi&gt;&lt;startpage&gt;376&lt;/startpage&gt;&lt;publication_date&gt;99201205171200000000222000&lt;/publication_date&gt;&lt;url&gt;http://www.nature.com/doifinder/10.1038/nature11082&lt;/url&gt;&lt;citekey&gt;Dixon:2012gc&lt;/citekey&gt;&lt;type&gt;400&lt;/type&gt;&lt;title&gt;Topological domains in mammalian genomes identified by analysis of chromatin interactions&lt;/title&gt;&lt;publisher&gt;Nature Publishing Group&lt;/publisher&gt;&lt;number&gt;7398&lt;/number&gt;&lt;subtype&gt;400&lt;/subtype&gt;&lt;endpage&gt;380&lt;/endpage&gt;&lt;bundle&gt;&lt;publication&gt;&lt;publisher&gt;Nature Publishing Group&lt;/publisher&gt;&lt;url&gt;http://www.nature.com.proxy2.library.mcgill.ca&lt;/url&gt;&lt;title&gt;Nature&lt;/title&gt;&lt;type&gt;-100&lt;/type&gt;&lt;subtype&gt;-100&lt;/subtype&gt;&lt;uuid&gt;143B004D-FA03-4FDC-995C-BA149360CF3B&lt;/uuid&gt;&lt;/publication&gt;&lt;/bundle&gt;&lt;authors&gt;&lt;author&gt;&lt;firstName&gt;Jesse&lt;/firstName&gt;&lt;middleNames&gt;R&lt;/middleNames&gt;&lt;lastName&gt;Dixon&lt;/lastName&gt;&lt;/author&gt;&lt;author&gt;&lt;firstName&gt;Siddarth&lt;/firstName&gt;&lt;lastName&gt;Selvaraj&lt;/lastName&gt;&lt;/author&gt;&lt;author&gt;&lt;firstName&gt;Feng&lt;/firstName&gt;&lt;lastName&gt;Yue&lt;/lastName&gt;&lt;/author&gt;&lt;author&gt;&lt;firstName&gt;Audrey&lt;/firstName&gt;&lt;lastName&gt;Kim&lt;/lastName&gt;&lt;/author&gt;&lt;author&gt;&lt;firstName&gt;Yan&lt;/firstName&gt;&lt;lastName&gt;Li&lt;/lastName&gt;&lt;/author&gt;&lt;author&gt;&lt;firstName&gt;Yin&lt;/firstName&gt;&lt;lastName&gt;Shen&lt;/lastName&gt;&lt;/author&gt;&lt;author&gt;&lt;firstName&gt;Ming&lt;/firstName&gt;&lt;lastName&gt;Hu&lt;/lastName&gt;&lt;/author&gt;&lt;author&gt;&lt;firstName&gt;Jun&lt;/firstName&gt;&lt;middleNames&gt;S&lt;/middleNames&gt;&lt;lastName&gt;Liu&lt;/lastName&gt;&lt;/author&gt;&lt;author&gt;&lt;firstName&gt;Bing&lt;/firstName&gt;&lt;lastName&gt;Ren&lt;/lastName&gt;&lt;/author&gt;&lt;/authors&gt;&lt;/publication&gt;&lt;/publications&gt;&lt;cites&gt;&lt;/cites&gt;&lt;/citation&gt;</w:instrText>
      </w:r>
      <w:r w:rsidR="0075068B">
        <w:rPr>
          <w:rFonts w:cs="Arial"/>
          <w:szCs w:val="20"/>
        </w:rPr>
        <w:fldChar w:fldCharType="separate"/>
      </w:r>
      <w:r w:rsidR="0075068B">
        <w:rPr>
          <w:rFonts w:cs="Times New Roman"/>
          <w:szCs w:val="20"/>
          <w:vertAlign w:val="superscript"/>
        </w:rPr>
        <w:t>25</w:t>
      </w:r>
      <w:r w:rsidR="0075068B">
        <w:rPr>
          <w:rFonts w:cs="Arial"/>
          <w:szCs w:val="20"/>
        </w:rPr>
        <w:fldChar w:fldCharType="end"/>
      </w:r>
      <w:r w:rsidRPr="00457F35">
        <w:rPr>
          <w:rFonts w:cs="Arial"/>
          <w:szCs w:val="20"/>
        </w:rPr>
        <w:t>.</w:t>
      </w:r>
      <w:r w:rsidR="00863A58">
        <w:rPr>
          <w:rFonts w:cs="Arial"/>
          <w:szCs w:val="20"/>
        </w:rPr>
        <w:t xml:space="preserve">  </w:t>
      </w:r>
      <w:r w:rsidRPr="00457F35">
        <w:rPr>
          <w:rFonts w:cs="Arial"/>
          <w:szCs w:val="20"/>
        </w:rPr>
        <w:t xml:space="preserve">The normalized interaction </w:t>
      </w:r>
      <w:proofErr w:type="spellStart"/>
      <w:r w:rsidRPr="00457F35">
        <w:rPr>
          <w:rFonts w:cs="Arial"/>
          <w:szCs w:val="20"/>
        </w:rPr>
        <w:t>matrice</w:t>
      </w:r>
      <w:proofErr w:type="spellEnd"/>
      <w:r w:rsidRPr="00457F35">
        <w:rPr>
          <w:rFonts w:cs="Arial"/>
          <w:szCs w:val="20"/>
        </w:rPr>
        <w:t xml:space="preserve"> from Hi-C </w:t>
      </w:r>
      <w:proofErr w:type="spellStart"/>
      <w:r w:rsidRPr="00457F35">
        <w:rPr>
          <w:rFonts w:cs="Arial"/>
          <w:szCs w:val="20"/>
        </w:rPr>
        <w:t>seq</w:t>
      </w:r>
      <w:proofErr w:type="spellEnd"/>
      <w:r w:rsidRPr="00457F35">
        <w:rPr>
          <w:rFonts w:cs="Arial"/>
          <w:szCs w:val="20"/>
        </w:rPr>
        <w:t xml:space="preserve"> was downloaded and topologically associated domain was plotted.</w:t>
      </w:r>
      <w:r w:rsidR="009E04F6">
        <w:rPr>
          <w:rFonts w:cs="Arial"/>
          <w:b/>
          <w:szCs w:val="20"/>
        </w:rPr>
        <w:t xml:space="preserve"> </w:t>
      </w:r>
      <w:r w:rsidR="00171300" w:rsidRPr="00457F35">
        <w:rPr>
          <w:rFonts w:cs="Arial"/>
          <w:szCs w:val="20"/>
        </w:rPr>
        <w:t>Hi-C data for EN1 region supports all variants being in 3d proximity to EN1.</w:t>
      </w:r>
      <w:r w:rsidR="00751728" w:rsidRPr="00457F35">
        <w:rPr>
          <w:rFonts w:cs="Arial"/>
          <w:szCs w:val="20"/>
        </w:rPr>
        <w:t xml:space="preserve"> </w:t>
      </w:r>
      <w:r w:rsidR="005F79E2" w:rsidRPr="002362C2">
        <w:rPr>
          <w:rFonts w:cs="Arial"/>
          <w:szCs w:val="20"/>
        </w:rPr>
        <w:t xml:space="preserve">Hi-C data in human embryonic stem cells supports an interaction between the rs148771817 DHS and the </w:t>
      </w:r>
      <w:r w:rsidR="005F79E2" w:rsidRPr="000A4236">
        <w:rPr>
          <w:rFonts w:cs="Arial"/>
          <w:i/>
          <w:szCs w:val="20"/>
        </w:rPr>
        <w:t>WNT16</w:t>
      </w:r>
      <w:r w:rsidR="005F79E2" w:rsidRPr="002362C2">
        <w:rPr>
          <w:rFonts w:cs="Arial"/>
          <w:szCs w:val="20"/>
        </w:rPr>
        <w:t xml:space="preserve"> promoter, as both sites lie within the same topologically associated domain (TAD</w:t>
      </w:r>
      <w:r w:rsidR="005F79E2">
        <w:rPr>
          <w:rFonts w:cs="Arial"/>
          <w:szCs w:val="20"/>
        </w:rPr>
        <w:t>)</w:t>
      </w:r>
      <w:r w:rsidR="005F79E2">
        <w:rPr>
          <w:rFonts w:cs="Arial"/>
          <w:szCs w:val="20"/>
        </w:rPr>
        <w:fldChar w:fldCharType="begin"/>
      </w:r>
      <w:r w:rsidR="00735D55">
        <w:rPr>
          <w:rFonts w:cs="Arial"/>
          <w:szCs w:val="20"/>
        </w:rPr>
        <w:instrText xml:space="preserve"> ADDIN PAPERS2_CITATIONS &lt;citation&gt;&lt;uuid&gt;ED9ABAEB-11FB-492C-8B16-994A70F89E61&lt;/uuid&gt;&lt;priority&gt;21&lt;/priority&gt;&lt;publications&gt;&lt;publication&gt;&lt;uuid&gt;EDDCECA1-DF99-4989-ABF7-8449463070F3&lt;/uuid&gt;&lt;volume&gt;485&lt;/volume&gt;&lt;doi&gt;doi:10.1038/nature11082&lt;/doi&gt;&lt;startpage&gt;376&lt;/startpage&gt;&lt;publication_date&gt;99201205171200000000222000&lt;/publication_date&gt;&lt;url&gt;http://www.nature.com/doifinder/10.1038/nature11082&lt;/url&gt;&lt;citekey&gt;Dixon:2012gc&lt;/citekey&gt;&lt;type&gt;400&lt;/type&gt;&lt;title&gt;Topological domains in mammalian genomes identified by analysis of chromatin interactions&lt;/title&gt;&lt;publisher&gt;Nature Publishing Group&lt;/publisher&gt;&lt;number&gt;7398&lt;/number&gt;&lt;subtype&gt;400&lt;/subtype&gt;&lt;endpage&gt;380&lt;/endpage&gt;&lt;bundle&gt;&lt;publication&gt;&lt;publisher&gt;Nature Publishing Group&lt;/publisher&gt;&lt;url&gt;http://www.nature.com.proxy2.library.mcgill.ca&lt;/url&gt;&lt;title&gt;Nature&lt;/title&gt;&lt;type&gt;-100&lt;/type&gt;&lt;subtype&gt;-100&lt;/subtype&gt;&lt;uuid&gt;143B004D-FA03-4FDC-995C-BA149360CF3B&lt;/uuid&gt;&lt;/publication&gt;&lt;/bundle&gt;&lt;authors&gt;&lt;author&gt;&lt;firstName&gt;Jesse&lt;/firstName&gt;&lt;middleNames&gt;R&lt;/middleNames&gt;&lt;lastName&gt;Dixon&lt;/lastName&gt;&lt;/author&gt;&lt;author&gt;&lt;firstName&gt;Siddarth&lt;/firstName&gt;&lt;lastName&gt;Selvaraj&lt;/lastName&gt;&lt;/author&gt;&lt;author&gt;&lt;firstName&gt;Feng&lt;/firstName&gt;&lt;lastName&gt;Yue&lt;/lastName&gt;&lt;/author&gt;&lt;author&gt;&lt;firstName&gt;Audrey&lt;/firstName&gt;&lt;lastName&gt;Kim&lt;/lastName&gt;&lt;/author&gt;&lt;author&gt;&lt;firstName&gt;Yan&lt;/firstName&gt;&lt;lastName&gt;Li&lt;/lastName&gt;&lt;/author&gt;&lt;author&gt;&lt;firstName&gt;Yin&lt;/firstName&gt;&lt;lastName&gt;Shen&lt;/lastName&gt;&lt;/author&gt;&lt;author&gt;&lt;firstName&gt;Ming&lt;/firstName&gt;&lt;lastName&gt;Hu&lt;/lastName&gt;&lt;/author&gt;&lt;author&gt;&lt;firstName&gt;Jun&lt;/firstName&gt;&lt;middleNames&gt;S&lt;/middleNames&gt;&lt;lastName&gt;Liu&lt;/lastName&gt;&lt;/author&gt;&lt;author&gt;&lt;firstName&gt;Bing&lt;/firstName&gt;&lt;lastName&gt;Ren&lt;/lastName&gt;&lt;/author&gt;&lt;/authors&gt;&lt;/publication&gt;&lt;/publications&gt;&lt;cites&gt;&lt;/cites&gt;&lt;/citation&gt;</w:instrText>
      </w:r>
      <w:r w:rsidR="005F79E2">
        <w:rPr>
          <w:rFonts w:cs="Arial"/>
          <w:szCs w:val="20"/>
        </w:rPr>
        <w:fldChar w:fldCharType="separate"/>
      </w:r>
      <w:r w:rsidR="005F79E2">
        <w:rPr>
          <w:rFonts w:cs="Times New Roman"/>
          <w:szCs w:val="20"/>
          <w:vertAlign w:val="superscript"/>
        </w:rPr>
        <w:t>25</w:t>
      </w:r>
      <w:r w:rsidR="005F79E2">
        <w:rPr>
          <w:rFonts w:cs="Arial"/>
          <w:szCs w:val="20"/>
        </w:rPr>
        <w:fldChar w:fldCharType="end"/>
      </w:r>
      <w:r w:rsidR="00911194">
        <w:rPr>
          <w:rFonts w:cs="Arial"/>
          <w:szCs w:val="20"/>
        </w:rPr>
        <w:t>.</w:t>
      </w:r>
      <w:r w:rsidR="005F79E2">
        <w:rPr>
          <w:rFonts w:cs="Arial"/>
          <w:szCs w:val="20"/>
        </w:rPr>
        <w:t xml:space="preserve"> However, interaction frequency to nearby regions is also elevated.</w:t>
      </w:r>
    </w:p>
    <w:p w14:paraId="5C5B71AD" w14:textId="77777777" w:rsidR="00041564" w:rsidRPr="002362C2" w:rsidRDefault="00041564" w:rsidP="00041564">
      <w:pPr>
        <w:pStyle w:val="Heading3"/>
      </w:pPr>
      <w:r w:rsidRPr="002362C2">
        <w:lastRenderedPageBreak/>
        <w:t xml:space="preserve">ENCODE Analysis of </w:t>
      </w:r>
      <w:r w:rsidRPr="000E5FCA">
        <w:rPr>
          <w:i/>
        </w:rPr>
        <w:t>CPED1/WNT16</w:t>
      </w:r>
      <w:r w:rsidRPr="002362C2">
        <w:t xml:space="preserve"> variant rs148771817</w:t>
      </w:r>
    </w:p>
    <w:p w14:paraId="3B24D0EA" w14:textId="6F6086A4" w:rsidR="00041564" w:rsidRDefault="00041564" w:rsidP="00041564">
      <w:pPr>
        <w:rPr>
          <w:rFonts w:cs="Arial"/>
          <w:szCs w:val="20"/>
        </w:rPr>
      </w:pPr>
      <w:r w:rsidRPr="002362C2">
        <w:rPr>
          <w:rFonts w:cs="Arial"/>
          <w:szCs w:val="20"/>
        </w:rPr>
        <w:t xml:space="preserve">A genome-wide significant within an intron of </w:t>
      </w:r>
      <w:r w:rsidRPr="000E5FCA">
        <w:rPr>
          <w:rFonts w:cs="Arial"/>
          <w:i/>
          <w:szCs w:val="20"/>
        </w:rPr>
        <w:t>CPED1</w:t>
      </w:r>
      <w:r w:rsidRPr="002362C2">
        <w:rPr>
          <w:rFonts w:cs="Arial"/>
          <w:szCs w:val="20"/>
        </w:rPr>
        <w:t xml:space="preserve"> (rs148771817 [T], MAF= 0.9%, </w:t>
      </w:r>
      <w:r w:rsidR="000E5FCA">
        <w:rPr>
          <w:rFonts w:cs="Arial"/>
          <w:szCs w:val="20"/>
        </w:rPr>
        <w:t xml:space="preserve">replication </w:t>
      </w:r>
      <w:r w:rsidRPr="002362C2">
        <w:rPr>
          <w:rFonts w:cs="Arial"/>
          <w:szCs w:val="20"/>
        </w:rPr>
        <w:t>effect siz</w:t>
      </w:r>
      <w:r w:rsidR="000E5FCA">
        <w:rPr>
          <w:rFonts w:cs="Arial"/>
          <w:szCs w:val="20"/>
        </w:rPr>
        <w:t>e= +0.41</w:t>
      </w:r>
      <w:r w:rsidRPr="002362C2">
        <w:rPr>
          <w:rFonts w:cs="Arial"/>
          <w:szCs w:val="20"/>
        </w:rPr>
        <w:t xml:space="preserve"> SD, </w:t>
      </w:r>
      <w:proofErr w:type="spellStart"/>
      <w:r w:rsidRPr="002362C2">
        <w:rPr>
          <w:rFonts w:cs="Arial"/>
          <w:szCs w:val="20"/>
        </w:rPr>
        <w:t>P</w:t>
      </w:r>
      <w:r w:rsidR="000E5FCA" w:rsidRPr="000E5FCA">
        <w:rPr>
          <w:rFonts w:cs="Arial"/>
          <w:szCs w:val="20"/>
          <w:vertAlign w:val="subscript"/>
        </w:rPr>
        <w:t>meta</w:t>
      </w:r>
      <w:proofErr w:type="spellEnd"/>
      <w:r w:rsidR="000E5FCA">
        <w:rPr>
          <w:rFonts w:cs="Arial"/>
          <w:szCs w:val="20"/>
        </w:rPr>
        <w:t xml:space="preserve">= 1.1 </w:t>
      </w:r>
      <w:r w:rsidRPr="002362C2">
        <w:rPr>
          <w:rFonts w:cs="Arial"/>
          <w:szCs w:val="20"/>
        </w:rPr>
        <w:t>x</w:t>
      </w:r>
      <w:r w:rsidR="000E5FCA">
        <w:rPr>
          <w:rFonts w:cs="Arial"/>
          <w:szCs w:val="20"/>
        </w:rPr>
        <w:t xml:space="preserve"> </w:t>
      </w:r>
      <w:r w:rsidRPr="002362C2">
        <w:rPr>
          <w:rFonts w:cs="Arial"/>
          <w:szCs w:val="20"/>
        </w:rPr>
        <w:t>10</w:t>
      </w:r>
      <w:r w:rsidRPr="002362C2">
        <w:rPr>
          <w:rFonts w:cs="Arial"/>
          <w:szCs w:val="20"/>
          <w:vertAlign w:val="superscript"/>
        </w:rPr>
        <w:t>-</w:t>
      </w:r>
      <w:r w:rsidR="000E5FCA">
        <w:rPr>
          <w:rFonts w:cs="Arial"/>
          <w:szCs w:val="20"/>
          <w:vertAlign w:val="superscript"/>
        </w:rPr>
        <w:t>11</w:t>
      </w:r>
      <w:r w:rsidRPr="002362C2">
        <w:rPr>
          <w:rFonts w:cs="Arial"/>
          <w:szCs w:val="20"/>
        </w:rPr>
        <w:t xml:space="preserve">) overlaps a DNase I hypersensitive site (DHS) in 14 cell types. We found evidence of moderate correlation in chromatin accessibility between rs148771817 and the promoter of </w:t>
      </w:r>
      <w:r w:rsidRPr="000A4236">
        <w:rPr>
          <w:rFonts w:cs="Arial"/>
          <w:i/>
          <w:szCs w:val="20"/>
        </w:rPr>
        <w:t>WNT16</w:t>
      </w:r>
      <w:r w:rsidRPr="002362C2">
        <w:rPr>
          <w:rFonts w:cs="Arial"/>
          <w:szCs w:val="20"/>
        </w:rPr>
        <w:t xml:space="preserve"> across 305 cell types</w:t>
      </w:r>
      <w:r w:rsidRPr="002362C2">
        <w:rPr>
          <w:rFonts w:cs="Arial"/>
          <w:szCs w:val="20"/>
        </w:rPr>
        <w:fldChar w:fldCharType="begin"/>
      </w:r>
      <w:r w:rsidR="00735D55">
        <w:rPr>
          <w:rFonts w:cs="Arial"/>
          <w:szCs w:val="20"/>
        </w:rPr>
        <w:instrText xml:space="preserve"> ADDIN PAPERS2_CITATIONS &lt;citation&gt;&lt;uuid&gt;DF87B54F-E24F-41BA-8D39-C82A5DD74A96&lt;/uuid&gt;&lt;priority&gt;20&lt;/priority&gt;&lt;publications&gt;&lt;publication&gt;&lt;uuid&gt;84042F6B-53A6-4893-81B5-66F29561989A&lt;/uuid&gt;&lt;volume&gt;489&lt;/volume&gt;&lt;doi&gt;doi:10.1038/nature11247&lt;/doi&gt;&lt;startpage&gt;57&lt;/startpage&gt;&lt;publication_date&gt;99201209051200000000222000&lt;/publication_date&gt;&lt;url&gt;http://www.nature.com/nature/journal/v489/n7414/full/nature11247.html&lt;/url&gt;&lt;citekey&gt;Project:2012db&lt;/citekey&gt;&lt;type&gt;400&lt;/type&gt;&lt;title&gt;An integrated encyclopedia of DNA elements in the human genome&lt;/title&gt;&lt;publisher&gt;Nature Publishing Group&lt;/publisher&gt;&lt;number&gt;7414&lt;/number&gt;&lt;subtype&gt;400&lt;/subtype&gt;&lt;endpage&gt;74&lt;/endpage&gt;&lt;bundle&gt;&lt;publication&gt;&lt;publisher&gt;Nature Publishing Group&lt;/publisher&gt;&lt;url&gt;http://www.nature.com.proxy2.library.mcgill.ca&lt;/url&gt;&lt;title&gt;Nature&lt;/title&gt;&lt;type&gt;-100&lt;/type&gt;&lt;subtype&gt;-100&lt;/subtype&gt;&lt;uuid&gt;143B004D-FA03-4FDC-995C-BA149360CF3B&lt;/uuid&gt;&lt;/publication&gt;&lt;/bundle&gt;&lt;authors&gt;&lt;author&gt;&lt;firstName&gt;The&lt;/firstName&gt;&lt;middleNames&gt;ENCODE&lt;/middleNames&gt;&lt;lastName&gt;Project&lt;/lastName&gt;&lt;/author&gt;&lt;/authors&gt;&lt;/publication&gt;&lt;/publications&gt;&lt;cites&gt;&lt;/cites&gt;&lt;/citation&gt;</w:instrText>
      </w:r>
      <w:r w:rsidRPr="002362C2">
        <w:rPr>
          <w:rFonts w:cs="Arial"/>
          <w:szCs w:val="20"/>
        </w:rPr>
        <w:fldChar w:fldCharType="separate"/>
      </w:r>
      <w:r w:rsidR="00735D55">
        <w:rPr>
          <w:rFonts w:cs="Times New Roman"/>
          <w:szCs w:val="20"/>
          <w:vertAlign w:val="superscript"/>
        </w:rPr>
        <w:t>26</w:t>
      </w:r>
      <w:r w:rsidRPr="002362C2">
        <w:rPr>
          <w:rFonts w:cs="Arial"/>
          <w:szCs w:val="20"/>
        </w:rPr>
        <w:fldChar w:fldCharType="end"/>
      </w:r>
      <w:r w:rsidRPr="002362C2">
        <w:rPr>
          <w:rFonts w:cs="Arial"/>
          <w:szCs w:val="20"/>
        </w:rPr>
        <w:t xml:space="preserve"> (</w:t>
      </w:r>
      <w:r w:rsidRPr="002362C2">
        <w:rPr>
          <w:rFonts w:cs="Arial"/>
          <w:b/>
          <w:szCs w:val="20"/>
        </w:rPr>
        <w:t>Supplementary Table 1</w:t>
      </w:r>
      <w:r w:rsidR="006B7A47">
        <w:rPr>
          <w:rFonts w:cs="Arial"/>
          <w:b/>
          <w:szCs w:val="20"/>
        </w:rPr>
        <w:t>3</w:t>
      </w:r>
      <w:r w:rsidRPr="002362C2">
        <w:rPr>
          <w:rFonts w:cs="Arial"/>
          <w:szCs w:val="20"/>
        </w:rPr>
        <w:t xml:space="preserve">, suggesting that the DHS overlapping rs148771817 may regulate expression of </w:t>
      </w:r>
      <w:r w:rsidRPr="000A4236">
        <w:rPr>
          <w:rFonts w:cs="Arial"/>
          <w:i/>
          <w:szCs w:val="20"/>
        </w:rPr>
        <w:t>WNT16</w:t>
      </w:r>
      <w:r w:rsidRPr="002362C2">
        <w:rPr>
          <w:rFonts w:cs="Arial"/>
          <w:szCs w:val="20"/>
        </w:rPr>
        <w:t xml:space="preserve">. </w:t>
      </w:r>
      <w:r>
        <w:rPr>
          <w:rFonts w:cs="Arial"/>
          <w:szCs w:val="20"/>
        </w:rPr>
        <w:t xml:space="preserve">. </w:t>
      </w:r>
    </w:p>
    <w:p w14:paraId="29E7D9D2" w14:textId="21D91FD5" w:rsidR="005A2488" w:rsidRDefault="005A2488" w:rsidP="008E5F9E">
      <w:pPr>
        <w:pStyle w:val="Heading2"/>
      </w:pPr>
      <w:r>
        <w:t>Functional Experiments</w:t>
      </w:r>
    </w:p>
    <w:p w14:paraId="083A8593" w14:textId="23E763D8" w:rsidR="00D07BB5" w:rsidRDefault="006244B7" w:rsidP="00EF187A">
      <w:pPr>
        <w:pStyle w:val="Heading3"/>
        <w:rPr>
          <w:i/>
        </w:rPr>
      </w:pPr>
      <w:r>
        <w:t>Murine O</w:t>
      </w:r>
      <w:r w:rsidR="00D07BB5" w:rsidRPr="0019753A">
        <w:t xml:space="preserve">steoblast </w:t>
      </w:r>
      <w:r>
        <w:t>G</w:t>
      </w:r>
      <w:r w:rsidR="00D07BB5" w:rsidRPr="0019753A">
        <w:t xml:space="preserve">ene </w:t>
      </w:r>
      <w:r>
        <w:t>E</w:t>
      </w:r>
      <w:r w:rsidR="00D07BB5" w:rsidRPr="0019753A">
        <w:t xml:space="preserve">xpression </w:t>
      </w:r>
      <w:r>
        <w:t>P</w:t>
      </w:r>
      <w:r w:rsidR="00D07BB5" w:rsidRPr="0019753A">
        <w:t>rofiling</w:t>
      </w:r>
    </w:p>
    <w:p w14:paraId="7B585862" w14:textId="191FA615" w:rsidR="00BD4F5C" w:rsidRPr="002362C2" w:rsidRDefault="00D07BB5" w:rsidP="00BD4F5C">
      <w:pPr>
        <w:rPr>
          <w:rFonts w:cs="Arial"/>
          <w:szCs w:val="20"/>
        </w:rPr>
      </w:pPr>
      <w:r w:rsidRPr="00D07BB5">
        <w:rPr>
          <w:rFonts w:cs="Arial"/>
          <w:szCs w:val="20"/>
        </w:rPr>
        <w:t xml:space="preserve">Pre-osteoblast-like cells were obtained from neonatal </w:t>
      </w:r>
      <w:proofErr w:type="spellStart"/>
      <w:r w:rsidRPr="00D07BB5">
        <w:rPr>
          <w:rFonts w:cs="Arial"/>
          <w:szCs w:val="20"/>
        </w:rPr>
        <w:t>calvaria</w:t>
      </w:r>
      <w:proofErr w:type="spellEnd"/>
      <w:r w:rsidRPr="00D07BB5">
        <w:rPr>
          <w:rFonts w:cs="Arial"/>
          <w:szCs w:val="20"/>
        </w:rPr>
        <w:t xml:space="preserve"> collected from C57BL/6J mice expressing cyan florescent protein (CFP) under the control of the Col3.6 promoter (</w:t>
      </w:r>
      <w:r w:rsidRPr="00D07BB5">
        <w:rPr>
          <w:rFonts w:cs="Arial"/>
          <w:bCs/>
          <w:szCs w:val="20"/>
        </w:rPr>
        <w:t>pOBCol3.6CFP)</w:t>
      </w:r>
      <w:r w:rsidRPr="00D07BB5">
        <w:rPr>
          <w:rFonts w:cs="Arial"/>
          <w:szCs w:val="20"/>
        </w:rPr>
        <w:t>, using standard techniques.</w:t>
      </w:r>
      <w:r w:rsidR="00430861">
        <w:rPr>
          <w:rFonts w:cs="Arial"/>
          <w:szCs w:val="20"/>
        </w:rPr>
        <w:fldChar w:fldCharType="begin"/>
      </w:r>
      <w:r w:rsidR="00735D55">
        <w:rPr>
          <w:rFonts w:cs="Arial"/>
          <w:szCs w:val="20"/>
        </w:rPr>
        <w:instrText xml:space="preserve"> ADDIN PAPERS2_CITATIONS &lt;citation&gt;&lt;uuid&gt;5CB6A69C-9A69-40CD-AC77-7B0C2A2242AB&lt;/uuid&gt;&lt;priority&gt;28&lt;/priority&gt;&lt;publications&gt;&lt;publication&gt;&lt;uuid&gt;84944069-267F-4053-AC66-0508187EB473&lt;/uuid&gt;&lt;volume&gt;17&lt;/volume&gt;&lt;doi&gt;10.1359/jbmr.2002.17.1.15&lt;/doi&gt;&lt;startpage&gt;15&lt;/startpage&gt;&lt;publication_date&gt;99200201011200000000222000&lt;/publication_date&gt;&lt;url&gt;http://doi.wiley.com/10.1359/jbmr.2002.17.1.15&lt;/url&gt;&lt;citekey&gt;Kalajzic:2002kg&lt;/citekey&gt;&lt;type&gt;400&lt;/type&gt;&lt;title&gt;Use of Type I Collagen Green Fluorescent Protein Transgenes to Identify Subpopulations of Cells at Different Stages of the Osteoblast Lineage&lt;/title&gt;&lt;number&gt;1&lt;/number&gt;&lt;subtype&gt;400&lt;/subtype&gt;&lt;endpage&gt;25&lt;/endpage&gt;&lt;bundle&gt;&lt;publication&gt;&lt;url&gt;http://onlinelibrary.wiley.com.proxy1.library.mcgill.ca&lt;/url&gt;&lt;title&gt;Journal of bone and mineral research : the official journal of the American Society for Bone and Mineral Research&lt;/title&gt;&lt;type&gt;-100&lt;/type&gt;&lt;subtype&gt;-100&lt;/subtype&gt;&lt;uuid&gt;3F21DE58-9AA9-4CEF-9A80-8BAF223F7767&lt;/uuid&gt;&lt;/publication&gt;&lt;/bundle&gt;&lt;authors&gt;&lt;author&gt;&lt;firstName&gt;I&lt;/firstName&gt;&lt;lastName&gt;Kalajzic&lt;/lastName&gt;&lt;/author&gt;&lt;author&gt;&lt;firstName&gt;Z&lt;/firstName&gt;&lt;lastName&gt;Kalajzic&lt;/lastName&gt;&lt;/author&gt;&lt;author&gt;&lt;firstName&gt;M&lt;/firstName&gt;&lt;lastName&gt;Kaliterna&lt;/lastName&gt;&lt;/author&gt;&lt;author&gt;&lt;firstName&gt;G&lt;/firstName&gt;&lt;lastName&gt;Gronowicz&lt;/lastName&gt;&lt;/author&gt;&lt;author&gt;&lt;firstName&gt;S&lt;/firstName&gt;&lt;middleNames&gt;H&lt;/middleNames&gt;&lt;lastName&gt;Clark&lt;/lastName&gt;&lt;/author&gt;&lt;author&gt;&lt;firstName&gt;A&lt;/firstName&gt;&lt;middleNames&gt;C&lt;/middleNames&gt;&lt;lastName&gt;Lichtler&lt;/lastName&gt;&lt;/author&gt;&lt;author&gt;&lt;firstName&gt;D&lt;/firstName&gt;&lt;lastName&gt;Rowe&lt;/lastName&gt;&lt;/author&gt;&lt;/authors&gt;&lt;/publication&gt;&lt;/publications&gt;&lt;cites&gt;&lt;/cites&gt;&lt;/citation&gt;</w:instrText>
      </w:r>
      <w:r w:rsidR="00430861">
        <w:rPr>
          <w:rFonts w:cs="Arial"/>
          <w:szCs w:val="20"/>
        </w:rPr>
        <w:fldChar w:fldCharType="separate"/>
      </w:r>
      <w:r w:rsidR="002D628F">
        <w:rPr>
          <w:rFonts w:cs="Times New Roman"/>
          <w:szCs w:val="20"/>
          <w:vertAlign w:val="superscript"/>
        </w:rPr>
        <w:t>27</w:t>
      </w:r>
      <w:r w:rsidR="00430861">
        <w:rPr>
          <w:rFonts w:cs="Arial"/>
          <w:szCs w:val="20"/>
        </w:rPr>
        <w:fldChar w:fldCharType="end"/>
      </w:r>
      <w:r w:rsidRPr="00D07BB5">
        <w:rPr>
          <w:rFonts w:cs="Arial"/>
          <w:szCs w:val="20"/>
        </w:rPr>
        <w:t xml:space="preserve"> </w:t>
      </w:r>
      <w:r w:rsidRPr="00D07BB5">
        <w:rPr>
          <w:rFonts w:cs="Arial"/>
          <w:bCs/>
          <w:szCs w:val="20"/>
        </w:rPr>
        <w:t>pOBCol3.6CFP mice used with permission for this study.  These mice were made in an identical fashion to the previously described pOBCol3.6GFPtpz transgenic mice.</w:t>
      </w:r>
      <w:r w:rsidR="00430861">
        <w:rPr>
          <w:rFonts w:cs="Arial"/>
          <w:bCs/>
          <w:szCs w:val="20"/>
        </w:rPr>
        <w:fldChar w:fldCharType="begin"/>
      </w:r>
      <w:r w:rsidR="00735D55">
        <w:rPr>
          <w:rFonts w:cs="Arial"/>
          <w:bCs/>
          <w:szCs w:val="20"/>
        </w:rPr>
        <w:instrText xml:space="preserve"> ADDIN PAPERS2_CITATIONS &lt;citation&gt;&lt;uuid&gt;0B8CF744-0906-4BC8-A055-90DEE163E2A4&lt;/uuid&gt;&lt;priority&gt;29&lt;/priority&gt;&lt;publications&gt;&lt;publication&gt;&lt;uuid&gt;84944069-267F-4053-AC66-0508187EB473&lt;/uuid&gt;&lt;volume&gt;17&lt;/volume&gt;&lt;doi&gt;10.1359/jbmr.2002.17.1.15&lt;/doi&gt;&lt;startpage&gt;15&lt;/startpage&gt;&lt;publication_date&gt;99200201011200000000222000&lt;/publication_date&gt;&lt;url&gt;http://doi.wiley.com/10.1359/jbmr.2002.17.1.15&lt;/url&gt;&lt;citekey&gt;Kalajzic:2002kg&lt;/citekey&gt;&lt;type&gt;400&lt;/type&gt;&lt;title&gt;Use of Type I Collagen Green Fluorescent Protein Transgenes to Identify Subpopulations of Cells at Different Stages of the Osteoblast Lineage&lt;/title&gt;&lt;number&gt;1&lt;/number&gt;&lt;subtype&gt;400&lt;/subtype&gt;&lt;endpage&gt;25&lt;/endpage&gt;&lt;bundle&gt;&lt;publication&gt;&lt;url&gt;http://onlinelibrary.wiley.com.proxy1.library.mcgill.ca&lt;/url&gt;&lt;title&gt;Journal of bone and mineral research : the official journal of the American Society for Bone and Mineral Research&lt;/title&gt;&lt;type&gt;-100&lt;/type&gt;&lt;subtype&gt;-100&lt;/subtype&gt;&lt;uuid&gt;3F21DE58-9AA9-4CEF-9A80-8BAF223F7767&lt;/uuid&gt;&lt;/publication&gt;&lt;/bundle&gt;&lt;authors&gt;&lt;author&gt;&lt;firstName&gt;I&lt;/firstName&gt;&lt;lastName&gt;Kalajzic&lt;/lastName&gt;&lt;/author&gt;&lt;author&gt;&lt;firstName&gt;Z&lt;/firstName&gt;&lt;lastName&gt;Kalajzic&lt;/lastName&gt;&lt;/author&gt;&lt;author&gt;&lt;firstName&gt;M&lt;/firstName&gt;&lt;lastName&gt;Kaliterna&lt;/lastName&gt;&lt;/author&gt;&lt;author&gt;&lt;firstName&gt;G&lt;/firstName&gt;&lt;lastName&gt;Gronowicz&lt;/lastName&gt;&lt;/author&gt;&lt;author&gt;&lt;firstName&gt;S&lt;/firstName&gt;&lt;middleNames&gt;H&lt;/middleNames&gt;&lt;lastName&gt;Clark&lt;/lastName&gt;&lt;/author&gt;&lt;author&gt;&lt;firstName&gt;A&lt;/firstName&gt;&lt;middleNames&gt;C&lt;/middleNames&gt;&lt;lastName&gt;Lichtler&lt;/lastName&gt;&lt;/author&gt;&lt;author&gt;&lt;firstName&gt;D&lt;/firstName&gt;&lt;lastName&gt;Rowe&lt;/lastName&gt;&lt;/author&gt;&lt;/authors&gt;&lt;/publication&gt;&lt;/publications&gt;&lt;cites&gt;&lt;/cites&gt;&lt;/citation&gt;</w:instrText>
      </w:r>
      <w:r w:rsidR="00430861">
        <w:rPr>
          <w:rFonts w:cs="Arial"/>
          <w:bCs/>
          <w:szCs w:val="20"/>
        </w:rPr>
        <w:fldChar w:fldCharType="separate"/>
      </w:r>
      <w:r w:rsidR="002D628F">
        <w:rPr>
          <w:rFonts w:cs="Times New Roman"/>
          <w:szCs w:val="20"/>
          <w:vertAlign w:val="superscript"/>
        </w:rPr>
        <w:t>27</w:t>
      </w:r>
      <w:r w:rsidR="00430861">
        <w:rPr>
          <w:rFonts w:cs="Arial"/>
          <w:bCs/>
          <w:szCs w:val="20"/>
        </w:rPr>
        <w:fldChar w:fldCharType="end"/>
      </w:r>
      <w:r w:rsidRPr="00D07BB5">
        <w:rPr>
          <w:rFonts w:cs="Arial"/>
          <w:szCs w:val="20"/>
        </w:rPr>
        <w:t xml:space="preserve"> The cells were placed into culture for 4 days in growth media (DMEM containing 10% fetal bovine serum (FBS) and 1X penicillin/streptomycin), removed from culture by trypsin digestions and subjected FACS sorting based on the presence/absence of CFP expression to allow for enrichment of osteoblast lineage cells.  Cells expressing CFP were returned to culture, plated at a density of 1x10</w:t>
      </w:r>
      <w:r w:rsidRPr="00D07BB5">
        <w:rPr>
          <w:rFonts w:cs="Arial"/>
          <w:szCs w:val="20"/>
          <w:vertAlign w:val="superscript"/>
        </w:rPr>
        <w:t>4</w:t>
      </w:r>
      <w:r w:rsidRPr="00D07BB5">
        <w:rPr>
          <w:rFonts w:cs="Arial"/>
          <w:szCs w:val="20"/>
        </w:rPr>
        <w:t xml:space="preserve"> cells per cm</w:t>
      </w:r>
      <w:r w:rsidRPr="00D07BB5">
        <w:rPr>
          <w:rFonts w:cs="Arial"/>
          <w:szCs w:val="20"/>
          <w:vertAlign w:val="superscript"/>
        </w:rPr>
        <w:t>2</w:t>
      </w:r>
      <w:r w:rsidRPr="00D07BB5">
        <w:rPr>
          <w:rFonts w:cs="Arial"/>
          <w:szCs w:val="20"/>
        </w:rPr>
        <w:t>, subjected to an osteoblast differentiation cocktail (</w:t>
      </w:r>
      <w:r w:rsidRPr="00D07BB5">
        <w:rPr>
          <w:rFonts w:cs="Arial"/>
          <w:szCs w:val="20"/>
        </w:rPr>
        <w:sym w:font="Symbol" w:char="F061"/>
      </w:r>
      <w:r w:rsidRPr="00D07BB5">
        <w:rPr>
          <w:rFonts w:cs="Arial"/>
          <w:szCs w:val="20"/>
        </w:rPr>
        <w:t xml:space="preserve">MEM containing 50 </w:t>
      </w:r>
      <w:r w:rsidRPr="00D07BB5">
        <w:rPr>
          <w:rFonts w:cs="Arial"/>
          <w:szCs w:val="20"/>
        </w:rPr>
        <w:sym w:font="Symbol" w:char="F06D"/>
      </w:r>
      <w:r w:rsidRPr="00D07BB5">
        <w:rPr>
          <w:rFonts w:cs="Arial"/>
          <w:szCs w:val="20"/>
        </w:rPr>
        <w:t xml:space="preserve">g/ml Ascorbic Acid, 4 </w:t>
      </w:r>
      <w:proofErr w:type="spellStart"/>
      <w:r w:rsidRPr="00D07BB5">
        <w:rPr>
          <w:rFonts w:cs="Arial"/>
          <w:szCs w:val="20"/>
        </w:rPr>
        <w:t>mM</w:t>
      </w:r>
      <w:proofErr w:type="spellEnd"/>
      <w:r w:rsidRPr="00D07BB5">
        <w:rPr>
          <w:rFonts w:cs="Arial"/>
          <w:szCs w:val="20"/>
        </w:rPr>
        <w:t xml:space="preserve"> </w:t>
      </w:r>
      <w:r w:rsidRPr="00D07BB5">
        <w:rPr>
          <w:rFonts w:cs="Arial"/>
          <w:szCs w:val="20"/>
        </w:rPr>
        <w:sym w:font="Symbol" w:char="F062"/>
      </w:r>
      <w:r w:rsidRPr="00D07BB5">
        <w:rPr>
          <w:rFonts w:cs="Arial"/>
          <w:szCs w:val="20"/>
        </w:rPr>
        <w:t xml:space="preserve">-glycerol phosphate, 10% FBS and 1X penicillin/streptomycin) and RNA was collected at 2, 4, 6, 8, 10, 12, 14, 16 and 18 days post differentiation. To examine gene expression across </w:t>
      </w:r>
      <w:proofErr w:type="spellStart"/>
      <w:r w:rsidRPr="00D07BB5">
        <w:rPr>
          <w:rFonts w:cs="Arial"/>
          <w:szCs w:val="20"/>
        </w:rPr>
        <w:t>osteoblastogenesis</w:t>
      </w:r>
      <w:proofErr w:type="spellEnd"/>
      <w:r w:rsidRPr="00D07BB5">
        <w:rPr>
          <w:rFonts w:cs="Arial"/>
          <w:szCs w:val="20"/>
        </w:rPr>
        <w:t>, mRNA profiles for each time point were generated by Next Generation High throughput RNA sequencing (</w:t>
      </w:r>
      <w:proofErr w:type="spellStart"/>
      <w:r w:rsidRPr="00D07BB5">
        <w:rPr>
          <w:rFonts w:cs="Arial"/>
          <w:szCs w:val="20"/>
        </w:rPr>
        <w:t>RNAseq</w:t>
      </w:r>
      <w:proofErr w:type="spellEnd"/>
      <w:r w:rsidRPr="00D07BB5">
        <w:rPr>
          <w:rFonts w:cs="Arial"/>
          <w:szCs w:val="20"/>
        </w:rPr>
        <w:t>), using an Illumina HiSeq 2000.   Three technical replicates per sample were sequenced. The alignments for abundance estimation of transcripts was conducted using Bowtie version 0.12.9</w:t>
      </w:r>
      <w:r w:rsidR="00430861">
        <w:rPr>
          <w:rFonts w:cs="Arial"/>
          <w:szCs w:val="20"/>
        </w:rPr>
        <w:fldChar w:fldCharType="begin"/>
      </w:r>
      <w:r w:rsidR="00735D55">
        <w:rPr>
          <w:rFonts w:cs="Arial"/>
          <w:szCs w:val="20"/>
        </w:rPr>
        <w:instrText xml:space="preserve"> ADDIN PAPERS2_CITATIONS &lt;citation&gt;&lt;uuid&gt;247352F5-692F-4582-A268-78682F287F77&lt;/uuid&gt;&lt;priority&gt;30&lt;/priority&gt;&lt;publications&gt;&lt;publication&gt;&lt;uuid&gt;6D760F8D-4C22-4194-AA8B-BD38702F2F66&lt;/uuid&gt;&lt;volume&gt;10&lt;/volume&gt;&lt;doi&gt;10.1186/gb-2009-10-3-r25&lt;/doi&gt;&lt;startpage&gt;R25&lt;/startpage&gt;&lt;publication_date&gt;99200900001200000000200000&lt;/publication_date&gt;&lt;url&gt;/pmc/articles/PMC2690996/?report=abstract&lt;/url&gt;&lt;citekey&gt;BenLangmead:2009fv&lt;/citekey&gt;&lt;type&gt;400&lt;/type&gt;&lt;title&gt;Ultrafast and memory-efficient alignment of short DNA sequences to the human genome&lt;/title&gt;&lt;publisher&gt;BioMed Central&lt;/publisher&gt;&lt;number&gt;3&lt;/number&gt;&lt;subtype&gt;400&lt;/subtype&gt;&lt;bundle&gt;&lt;publication&gt;&lt;publisher&gt;BioMed Central&lt;/publisher&gt;&lt;title&gt;Genome Biology&lt;/title&gt;&lt;type&gt;-100&lt;/type&gt;&lt;subtype&gt;-100&lt;/subtype&gt;&lt;uuid&gt;5280D2A9-EE71-4CD4-9C73-1EA9F493B95C&lt;/uuid&gt;&lt;/publication&gt;&lt;/bundle&gt;&lt;authors&gt;&lt;author&gt;&lt;lastName&gt;Langmead&lt;/lastName&gt;&lt;nonDroppingParticle&gt;Ben&lt;/nonDroppingParticle&gt;&lt;firstName&gt;Cole&lt;/firstName&gt;&lt;middleNames&gt;Trapnell Mihai Pop Steven L Salzberg&lt;/middleNames&gt;&lt;/author&gt;&lt;/authors&gt;&lt;/publication&gt;&lt;/publications&gt;&lt;cites&gt;&lt;/cites&gt;&lt;/citation&gt;</w:instrText>
      </w:r>
      <w:r w:rsidR="00430861">
        <w:rPr>
          <w:rFonts w:cs="Arial"/>
          <w:szCs w:val="20"/>
        </w:rPr>
        <w:fldChar w:fldCharType="separate"/>
      </w:r>
      <w:r w:rsidR="002D628F">
        <w:rPr>
          <w:rFonts w:cs="Times New Roman"/>
          <w:szCs w:val="20"/>
          <w:vertAlign w:val="superscript"/>
        </w:rPr>
        <w:t>28</w:t>
      </w:r>
      <w:r w:rsidR="00430861">
        <w:rPr>
          <w:rFonts w:cs="Arial"/>
          <w:szCs w:val="20"/>
        </w:rPr>
        <w:fldChar w:fldCharType="end"/>
      </w:r>
      <w:r w:rsidRPr="00D07BB5">
        <w:rPr>
          <w:rFonts w:cs="Arial"/>
          <w:szCs w:val="20"/>
        </w:rPr>
        <w:t xml:space="preserve">  using the NCBIm37 transcriptome as the reference for alignments. Among all the possible alignments that had fewer than or equal to three mismatches against reference transcriptome, we only accepted those with the minimum number of mismatches for each of 100bp read (using both ‘--all’ and ‘--best’ options).  Expression level per gene was calculated using RSEM version 1.2.0 using the following parameters: --fragment-length-mean 280 and --fragment-length-</w:t>
      </w:r>
      <w:proofErr w:type="spellStart"/>
      <w:r w:rsidRPr="00D07BB5">
        <w:rPr>
          <w:rFonts w:cs="Arial"/>
          <w:szCs w:val="20"/>
        </w:rPr>
        <w:t>sd</w:t>
      </w:r>
      <w:proofErr w:type="spellEnd"/>
      <w:r w:rsidRPr="00D07BB5">
        <w:rPr>
          <w:rFonts w:cs="Arial"/>
          <w:szCs w:val="20"/>
        </w:rPr>
        <w:t xml:space="preserve"> 50</w:t>
      </w:r>
      <w:r w:rsidR="008C5628">
        <w:rPr>
          <w:rFonts w:cs="Arial"/>
          <w:szCs w:val="20"/>
        </w:rPr>
        <w:t xml:space="preserve"> </w:t>
      </w:r>
      <w:r w:rsidRPr="00D07BB5">
        <w:rPr>
          <w:rFonts w:cs="Arial"/>
          <w:szCs w:val="20"/>
        </w:rPr>
        <w:t xml:space="preserve">and expression level for each sample was </w:t>
      </w:r>
      <w:r w:rsidRPr="002362C2">
        <w:rPr>
          <w:rFonts w:cs="Arial"/>
          <w:szCs w:val="20"/>
        </w:rPr>
        <w:t>normalized relative to the per sample upper quartile.</w:t>
      </w:r>
      <w:r w:rsidR="00736253" w:rsidRPr="002362C2">
        <w:rPr>
          <w:rFonts w:cs="Arial"/>
          <w:szCs w:val="20"/>
        </w:rPr>
        <w:fldChar w:fldCharType="begin"/>
      </w:r>
      <w:r w:rsidR="00735D55">
        <w:rPr>
          <w:rFonts w:cs="Arial"/>
          <w:szCs w:val="20"/>
        </w:rPr>
        <w:instrText xml:space="preserve"> ADDIN PAPERS2_CITATIONS &lt;citation&gt;&lt;uuid&gt;1647D408-57B9-4A2B-8EC3-DA8CC0262F29&lt;/uuid&gt;&lt;priority&gt;31&lt;/priority&gt;&lt;publications&gt;&lt;publication&gt;&lt;volume&gt;12&lt;/volume&gt;&lt;publication_date&gt;99201100001200000000200000&lt;/publication_date&gt;&lt;doi&gt;10.1186/1471-2105-12-323&lt;/doi&gt;&lt;startpage&gt;323&lt;/startpage&gt;&lt;title&gt;RSEM: accurate transcript quantification from RNA-Seq data with or without a reference genome&lt;/title&gt;&lt;uuid&gt;A217BB56-0D02-4AE6-B88E-048FC5C6ABE5&lt;/uuid&gt;&lt;subtype&gt;400&lt;/subtype&gt;&lt;publisher&gt;BioMed Central&lt;/publisher&gt;&lt;type&gt;400&lt;/type&gt;&lt;citekey&gt;BoLi:2011cb&lt;/citekey&gt;&lt;url&gt;/pmc/articles/PMC3163565/?report=abstract&lt;/url&gt;&lt;bundle&gt;&lt;publication&gt;&lt;publisher&gt;BioMed Central&lt;/publisher&gt;&lt;title&gt;BMC bioinformatics&lt;/title&gt;&lt;type&gt;-100&lt;/type&gt;&lt;subtype&gt;-100&lt;/subtype&gt;&lt;uuid&gt;3DAB5F79-1C04-47A9-9090-27C30D8443BF&lt;/uuid&gt;&lt;/publication&gt;&lt;/bundle&gt;&lt;authors&gt;&lt;author&gt;&lt;firstName&gt;Colin&lt;/firstName&gt;&lt;middleNames&gt;N Dewey&lt;/middleNames&gt;&lt;lastName&gt;Bo Li&lt;/lastName&gt;&lt;/author&gt;&lt;/authors&gt;&lt;/publication&gt;&lt;publication&gt;&lt;volume&gt;11&lt;/volume&gt;&lt;publication_date&gt;99201000001200000000200000&lt;/publication_date&gt;&lt;doi&gt;10.1186/1471-2105-11-94&lt;/doi&gt;&lt;startpage&gt;94&lt;/startpage&gt;&lt;title&gt;Evaluation of statistical methods for normalization and differential expression in mRNA-Seq experiments&lt;/title&gt;&lt;uuid&gt;90CCCF81-2C75-475F-BA02-FB0DB094373A&lt;/uuid&gt;&lt;subtype&gt;400&lt;/subtype&gt;&lt;publisher&gt;BioMed Central&lt;/publisher&gt;&lt;type&gt;400&lt;/type&gt;&lt;citekey&gt;JamesHBullard:2010go&lt;/citekey&gt;&lt;url&gt;/pmc/articles/PMC2838869/?report=abstract&lt;/url&gt;&lt;bundle&gt;&lt;publication&gt;&lt;publisher&gt;BioMed Central&lt;/publisher&gt;&lt;title&gt;BMC bioinformatics&lt;/title&gt;&lt;type&gt;-100&lt;/type&gt;&lt;subtype&gt;-100&lt;/subtype&gt;&lt;uuid&gt;3DAB5F79-1C04-47A9-9090-27C30D8443BF&lt;/uuid&gt;&lt;/publication&gt;&lt;/bundle&gt;&lt;authors&gt;&lt;author&gt;&lt;firstName&gt;Elizabeth&lt;/firstName&gt;&lt;middleNames&gt;Purdom Kasper D Hansen Sandrine Dudoit&lt;/middleNames&gt;&lt;lastName&gt;James H Bullard&lt;/lastName&gt;&lt;/author&gt;&lt;/authors&gt;&lt;/publication&gt;&lt;/publications&gt;&lt;cites&gt;&lt;/cites&gt;&lt;/citation&gt;</w:instrText>
      </w:r>
      <w:r w:rsidR="00736253" w:rsidRPr="002362C2">
        <w:rPr>
          <w:rFonts w:cs="Arial"/>
          <w:szCs w:val="20"/>
        </w:rPr>
        <w:fldChar w:fldCharType="separate"/>
      </w:r>
      <w:r w:rsidR="002D628F">
        <w:rPr>
          <w:rFonts w:cs="Times New Roman"/>
          <w:szCs w:val="20"/>
          <w:vertAlign w:val="superscript"/>
        </w:rPr>
        <w:t>29</w:t>
      </w:r>
      <w:proofErr w:type="gramStart"/>
      <w:r w:rsidR="002D628F">
        <w:rPr>
          <w:rFonts w:cs="Times New Roman"/>
          <w:szCs w:val="20"/>
          <w:vertAlign w:val="superscript"/>
        </w:rPr>
        <w:t>,30</w:t>
      </w:r>
      <w:proofErr w:type="gramEnd"/>
      <w:r w:rsidR="00736253" w:rsidRPr="002362C2">
        <w:rPr>
          <w:rFonts w:cs="Arial"/>
          <w:szCs w:val="20"/>
        </w:rPr>
        <w:fldChar w:fldCharType="end"/>
      </w:r>
      <w:r w:rsidRPr="002362C2">
        <w:rPr>
          <w:rFonts w:cs="Arial"/>
          <w:szCs w:val="20"/>
        </w:rPr>
        <w:t xml:space="preserve"> This data has been submitted to the gene expression omnibus (Accession Number: GSE54461).</w:t>
      </w:r>
      <w:r w:rsidR="004D7DA8" w:rsidRPr="002362C2">
        <w:rPr>
          <w:rFonts w:cs="Arial"/>
          <w:szCs w:val="20"/>
        </w:rPr>
        <w:t xml:space="preserve"> Results from these experiments </w:t>
      </w:r>
      <w:r w:rsidR="007777F8" w:rsidRPr="002362C2">
        <w:rPr>
          <w:rFonts w:cs="Arial"/>
          <w:szCs w:val="20"/>
        </w:rPr>
        <w:t xml:space="preserve">for </w:t>
      </w:r>
      <w:r w:rsidR="007777F8" w:rsidRPr="002362C2">
        <w:rPr>
          <w:rFonts w:cs="Arial"/>
          <w:i/>
          <w:szCs w:val="20"/>
        </w:rPr>
        <w:t>D</w:t>
      </w:r>
      <w:r w:rsidR="0002495D" w:rsidRPr="002362C2">
        <w:rPr>
          <w:rFonts w:cs="Arial"/>
          <w:i/>
          <w:szCs w:val="20"/>
        </w:rPr>
        <w:t>ock</w:t>
      </w:r>
      <w:r w:rsidR="007777F8" w:rsidRPr="002362C2">
        <w:rPr>
          <w:rFonts w:cs="Arial"/>
          <w:i/>
          <w:szCs w:val="20"/>
        </w:rPr>
        <w:t>8</w:t>
      </w:r>
      <w:r w:rsidR="007777F8" w:rsidRPr="002362C2">
        <w:rPr>
          <w:rFonts w:cs="Arial"/>
          <w:szCs w:val="20"/>
        </w:rPr>
        <w:t xml:space="preserve"> </w:t>
      </w:r>
      <w:r w:rsidR="004D7DA8" w:rsidRPr="002362C2">
        <w:rPr>
          <w:rFonts w:cs="Arial"/>
          <w:szCs w:val="20"/>
        </w:rPr>
        <w:t xml:space="preserve">are shown in </w:t>
      </w:r>
      <w:r w:rsidR="001B65BB" w:rsidRPr="002362C2">
        <w:rPr>
          <w:rFonts w:cs="Arial"/>
          <w:b/>
          <w:szCs w:val="20"/>
        </w:rPr>
        <w:t xml:space="preserve">Extended Data Fig. </w:t>
      </w:r>
      <w:r w:rsidR="000F2966">
        <w:rPr>
          <w:rFonts w:cs="Arial"/>
          <w:b/>
          <w:szCs w:val="20"/>
        </w:rPr>
        <w:t>3</w:t>
      </w:r>
      <w:r w:rsidR="00F350F6" w:rsidRPr="002362C2">
        <w:rPr>
          <w:rFonts w:cs="Arial"/>
          <w:b/>
          <w:szCs w:val="20"/>
        </w:rPr>
        <w:t>a</w:t>
      </w:r>
      <w:r w:rsidR="001B65BB" w:rsidRPr="002362C2">
        <w:rPr>
          <w:rFonts w:cs="Arial"/>
          <w:b/>
          <w:szCs w:val="20"/>
        </w:rPr>
        <w:t>.</w:t>
      </w:r>
    </w:p>
    <w:p w14:paraId="3396179E" w14:textId="7EF2FD77" w:rsidR="0019753A" w:rsidRPr="002362C2" w:rsidRDefault="00526F02" w:rsidP="00EF187A">
      <w:pPr>
        <w:pStyle w:val="Heading3"/>
      </w:pPr>
      <w:r w:rsidRPr="002362C2">
        <w:t xml:space="preserve">Temporal </w:t>
      </w:r>
      <w:r w:rsidR="0019753A" w:rsidRPr="002362C2">
        <w:t xml:space="preserve">Expression of </w:t>
      </w:r>
      <w:r w:rsidR="0019753A" w:rsidRPr="00E042EB">
        <w:rPr>
          <w:i/>
        </w:rPr>
        <w:t>En1</w:t>
      </w:r>
      <w:r w:rsidR="0019753A" w:rsidRPr="002362C2">
        <w:t xml:space="preserve"> in </w:t>
      </w:r>
      <w:r w:rsidR="00C66C52" w:rsidRPr="002362C2">
        <w:t xml:space="preserve">Mouse </w:t>
      </w:r>
      <w:r w:rsidR="00532F23" w:rsidRPr="002362C2">
        <w:t>O</w:t>
      </w:r>
      <w:r w:rsidR="0019753A" w:rsidRPr="002362C2">
        <w:t xml:space="preserve">steoblasts and </w:t>
      </w:r>
      <w:r w:rsidR="00532F23" w:rsidRPr="002362C2">
        <w:t>O</w:t>
      </w:r>
      <w:r w:rsidR="0019753A" w:rsidRPr="002362C2">
        <w:t>steoclasts</w:t>
      </w:r>
    </w:p>
    <w:p w14:paraId="1CC46E2C" w14:textId="6D39F6E3" w:rsidR="0019753A" w:rsidRDefault="0019753A" w:rsidP="0019753A">
      <w:pPr>
        <w:rPr>
          <w:rFonts w:cs="Arial"/>
          <w:szCs w:val="20"/>
        </w:rPr>
      </w:pPr>
      <w:r w:rsidRPr="002362C2">
        <w:rPr>
          <w:rFonts w:cs="Arial"/>
          <w:szCs w:val="20"/>
        </w:rPr>
        <w:t xml:space="preserve">Pre-osteoblast-like cells were obtained from neonatal </w:t>
      </w:r>
      <w:proofErr w:type="spellStart"/>
      <w:r w:rsidRPr="002362C2">
        <w:rPr>
          <w:rFonts w:cs="Arial"/>
          <w:szCs w:val="20"/>
        </w:rPr>
        <w:t>calvaria</w:t>
      </w:r>
      <w:proofErr w:type="spellEnd"/>
      <w:r w:rsidRPr="002362C2">
        <w:rPr>
          <w:rFonts w:cs="Arial"/>
          <w:szCs w:val="20"/>
        </w:rPr>
        <w:t xml:space="preserve"> collected from C57BL/6J mice using standard techniques.  The cells were placed into culture for 4 days in growth media (DMEM containing 10% fetal bovine serum (FBS) and 1X penicillin/streptomycin) at a density of 2x10</w:t>
      </w:r>
      <w:r w:rsidRPr="002362C2">
        <w:rPr>
          <w:rFonts w:cs="Arial"/>
          <w:szCs w:val="20"/>
          <w:vertAlign w:val="superscript"/>
        </w:rPr>
        <w:t>4</w:t>
      </w:r>
      <w:r w:rsidRPr="002362C2">
        <w:rPr>
          <w:rFonts w:cs="Arial"/>
          <w:szCs w:val="20"/>
        </w:rPr>
        <w:t xml:space="preserve"> cells per cm</w:t>
      </w:r>
      <w:r w:rsidRPr="002362C2">
        <w:rPr>
          <w:rFonts w:cs="Arial"/>
          <w:szCs w:val="20"/>
          <w:vertAlign w:val="superscript"/>
        </w:rPr>
        <w:t>2</w:t>
      </w:r>
      <w:r w:rsidRPr="002362C2">
        <w:rPr>
          <w:rFonts w:cs="Arial"/>
          <w:szCs w:val="20"/>
        </w:rPr>
        <w:t>.  The pre-osteoblast cells were subjected to an osteoblast differentiation cocktail (</w:t>
      </w:r>
      <w:r w:rsidRPr="002362C2">
        <w:rPr>
          <w:rFonts w:cs="Arial"/>
          <w:szCs w:val="20"/>
        </w:rPr>
        <w:sym w:font="Symbol" w:char="F061"/>
      </w:r>
      <w:r w:rsidRPr="002362C2">
        <w:rPr>
          <w:rFonts w:cs="Arial"/>
          <w:szCs w:val="20"/>
        </w:rPr>
        <w:t>MEM containing</w:t>
      </w:r>
      <w:r w:rsidRPr="0019753A">
        <w:rPr>
          <w:rFonts w:cs="Arial"/>
          <w:szCs w:val="20"/>
        </w:rPr>
        <w:t xml:space="preserve"> 50 </w:t>
      </w:r>
      <w:r w:rsidRPr="0019753A">
        <w:rPr>
          <w:rFonts w:cs="Arial"/>
          <w:szCs w:val="20"/>
        </w:rPr>
        <w:sym w:font="Symbol" w:char="F06D"/>
      </w:r>
      <w:r w:rsidRPr="0019753A">
        <w:rPr>
          <w:rFonts w:cs="Arial"/>
          <w:szCs w:val="20"/>
        </w:rPr>
        <w:t xml:space="preserve">g/ml Ascorbic Acid, 4 </w:t>
      </w:r>
      <w:proofErr w:type="spellStart"/>
      <w:r w:rsidRPr="0019753A">
        <w:rPr>
          <w:rFonts w:cs="Arial"/>
          <w:szCs w:val="20"/>
        </w:rPr>
        <w:t>mM</w:t>
      </w:r>
      <w:proofErr w:type="spellEnd"/>
      <w:r w:rsidRPr="0019753A">
        <w:rPr>
          <w:rFonts w:cs="Arial"/>
          <w:szCs w:val="20"/>
        </w:rPr>
        <w:t xml:space="preserve"> </w:t>
      </w:r>
      <w:r w:rsidRPr="0019753A">
        <w:rPr>
          <w:rFonts w:cs="Arial"/>
          <w:szCs w:val="20"/>
        </w:rPr>
        <w:sym w:font="Symbol" w:char="F062"/>
      </w:r>
      <w:r w:rsidRPr="0019753A">
        <w:rPr>
          <w:rFonts w:cs="Arial"/>
          <w:szCs w:val="20"/>
        </w:rPr>
        <w:t>-glycerol phosphate, 10% FBS and 1X penicillin/streptomycin) and RNA was collected at 2 and 1</w:t>
      </w:r>
      <w:r w:rsidR="000A2778">
        <w:rPr>
          <w:rFonts w:cs="Arial"/>
          <w:szCs w:val="20"/>
        </w:rPr>
        <w:t>8</w:t>
      </w:r>
      <w:r w:rsidRPr="0019753A">
        <w:rPr>
          <w:rFonts w:cs="Arial"/>
          <w:szCs w:val="20"/>
        </w:rPr>
        <w:t xml:space="preserve"> days post differentiation.  These cells were independent from the cells used for the RNA-</w:t>
      </w:r>
      <w:proofErr w:type="spellStart"/>
      <w:r w:rsidRPr="0019753A">
        <w:rPr>
          <w:rFonts w:cs="Arial"/>
          <w:szCs w:val="20"/>
        </w:rPr>
        <w:t>seq</w:t>
      </w:r>
      <w:proofErr w:type="spellEnd"/>
      <w:r w:rsidRPr="0019753A">
        <w:rPr>
          <w:rFonts w:cs="Arial"/>
          <w:szCs w:val="20"/>
        </w:rPr>
        <w:t xml:space="preserve"> experiments and were not subjected to FACS. Bone marrow derived osteoclast precursor cells were isolated from the hind long bones (femur and tibia) of six week old C57BL/6J female mice. In short, bone marrow was flushed from the long bones and marrow stromal cells were plated at a density of 1x10</w:t>
      </w:r>
      <w:r w:rsidRPr="0019753A">
        <w:rPr>
          <w:rFonts w:cs="Arial"/>
          <w:szCs w:val="20"/>
          <w:vertAlign w:val="superscript"/>
        </w:rPr>
        <w:t>6</w:t>
      </w:r>
      <w:r w:rsidRPr="0019753A">
        <w:rPr>
          <w:rFonts w:cs="Arial"/>
          <w:szCs w:val="20"/>
        </w:rPr>
        <w:t xml:space="preserve"> cells per cm</w:t>
      </w:r>
      <w:r w:rsidRPr="0019753A">
        <w:rPr>
          <w:rFonts w:cs="Arial"/>
          <w:szCs w:val="20"/>
          <w:vertAlign w:val="superscript"/>
        </w:rPr>
        <w:t>2</w:t>
      </w:r>
      <w:r w:rsidRPr="0019753A">
        <w:rPr>
          <w:rFonts w:cs="Arial"/>
          <w:szCs w:val="20"/>
        </w:rPr>
        <w:t xml:space="preserve"> in αMEM containing 10% FBS, macrophage colony-stimulating factor (25 </w:t>
      </w:r>
      <w:r w:rsidRPr="0019753A">
        <w:rPr>
          <w:rFonts w:cs="Arial"/>
          <w:szCs w:val="20"/>
        </w:rPr>
        <w:sym w:font="Symbol" w:char="F068"/>
      </w:r>
      <w:r w:rsidRPr="0019753A">
        <w:rPr>
          <w:rFonts w:cs="Arial"/>
          <w:szCs w:val="20"/>
        </w:rPr>
        <w:t xml:space="preserve">g/ml) and RANKL (100 </w:t>
      </w:r>
      <w:r w:rsidRPr="0019753A">
        <w:rPr>
          <w:rFonts w:cs="Arial"/>
          <w:szCs w:val="20"/>
        </w:rPr>
        <w:sym w:font="Symbol" w:char="F068"/>
      </w:r>
      <w:r w:rsidRPr="0019753A">
        <w:rPr>
          <w:rFonts w:cs="Arial"/>
          <w:szCs w:val="20"/>
        </w:rPr>
        <w:t xml:space="preserve">g/ml).  Media was changed at day three post plating and RNA was collected three days after that (day six post plating). Each lane for gene expression represents data from one mouse for the osteoclasts cultures and from one well of cells for the osteoblast cultures.   For both the osteoclasts and the osteoblast samples, total RNA was isolated using </w:t>
      </w:r>
      <w:proofErr w:type="spellStart"/>
      <w:r w:rsidRPr="0019753A">
        <w:rPr>
          <w:rFonts w:cs="Arial"/>
          <w:szCs w:val="20"/>
        </w:rPr>
        <w:t>TriZOL</w:t>
      </w:r>
      <w:proofErr w:type="spellEnd"/>
      <w:r w:rsidRPr="0019753A">
        <w:rPr>
          <w:rFonts w:cs="Arial"/>
          <w:szCs w:val="20"/>
        </w:rPr>
        <w:t xml:space="preserve"> (Life Technologies, USA), as described by the manufacturer, and RNA was treated with DNase to remove any contaminating DNA. For each sample, 500 </w:t>
      </w:r>
      <w:r w:rsidRPr="0019753A">
        <w:rPr>
          <w:rFonts w:cs="Arial"/>
          <w:szCs w:val="20"/>
        </w:rPr>
        <w:sym w:font="Symbol" w:char="F068"/>
      </w:r>
      <w:r w:rsidRPr="0019753A">
        <w:rPr>
          <w:rFonts w:cs="Arial"/>
          <w:szCs w:val="20"/>
        </w:rPr>
        <w:t xml:space="preserve">g of RNA were then converted to cDNA using standard protocols, with random </w:t>
      </w:r>
      <w:proofErr w:type="spellStart"/>
      <w:r w:rsidRPr="0019753A">
        <w:rPr>
          <w:rFonts w:cs="Arial"/>
          <w:szCs w:val="20"/>
        </w:rPr>
        <w:t>decamers</w:t>
      </w:r>
      <w:proofErr w:type="spellEnd"/>
      <w:r w:rsidRPr="0019753A">
        <w:rPr>
          <w:rFonts w:cs="Arial"/>
          <w:szCs w:val="20"/>
        </w:rPr>
        <w:t xml:space="preserve"> used as primers for the reaction. Expression of </w:t>
      </w:r>
      <w:r w:rsidRPr="0019753A">
        <w:rPr>
          <w:rFonts w:cs="Arial"/>
          <w:i/>
          <w:szCs w:val="20"/>
        </w:rPr>
        <w:t>En1</w:t>
      </w:r>
      <w:r w:rsidRPr="0019753A">
        <w:rPr>
          <w:rFonts w:cs="Arial"/>
          <w:szCs w:val="20"/>
        </w:rPr>
        <w:t xml:space="preserve">, </w:t>
      </w:r>
      <w:proofErr w:type="spellStart"/>
      <w:r w:rsidRPr="0019753A">
        <w:rPr>
          <w:rFonts w:cs="Arial"/>
          <w:i/>
          <w:szCs w:val="20"/>
        </w:rPr>
        <w:t>Bglap</w:t>
      </w:r>
      <w:proofErr w:type="spellEnd"/>
      <w:r w:rsidRPr="0019753A">
        <w:rPr>
          <w:rFonts w:cs="Arial"/>
          <w:szCs w:val="20"/>
        </w:rPr>
        <w:t xml:space="preserve"> (</w:t>
      </w:r>
      <w:proofErr w:type="spellStart"/>
      <w:r w:rsidRPr="0019753A">
        <w:rPr>
          <w:rFonts w:cs="Arial"/>
          <w:szCs w:val="20"/>
        </w:rPr>
        <w:t>osteocalcin</w:t>
      </w:r>
      <w:proofErr w:type="spellEnd"/>
      <w:r w:rsidRPr="0019753A">
        <w:rPr>
          <w:rFonts w:cs="Arial"/>
          <w:szCs w:val="20"/>
        </w:rPr>
        <w:t xml:space="preserve">) and </w:t>
      </w:r>
      <w:r w:rsidRPr="0019753A">
        <w:rPr>
          <w:rFonts w:cs="Arial"/>
          <w:i/>
          <w:szCs w:val="20"/>
        </w:rPr>
        <w:t>Tnfrsf11a</w:t>
      </w:r>
      <w:r w:rsidRPr="0019753A">
        <w:rPr>
          <w:rFonts w:cs="Arial"/>
          <w:szCs w:val="20"/>
        </w:rPr>
        <w:t xml:space="preserve"> (RANK) was assessed by PCR.  For each PCR reaction, 2 </w:t>
      </w:r>
      <w:proofErr w:type="spellStart"/>
      <w:r w:rsidRPr="0019753A">
        <w:rPr>
          <w:rFonts w:cs="Arial"/>
          <w:szCs w:val="20"/>
        </w:rPr>
        <w:t>μl</w:t>
      </w:r>
      <w:proofErr w:type="spellEnd"/>
      <w:r w:rsidRPr="0019753A">
        <w:rPr>
          <w:rFonts w:cs="Arial"/>
          <w:szCs w:val="20"/>
        </w:rPr>
        <w:t xml:space="preserve"> of cDNA was added to 48 </w:t>
      </w:r>
      <w:r w:rsidRPr="0019753A">
        <w:rPr>
          <w:rFonts w:cs="Arial"/>
          <w:szCs w:val="20"/>
        </w:rPr>
        <w:sym w:font="Symbol" w:char="F06D"/>
      </w:r>
      <w:r w:rsidRPr="0019753A">
        <w:rPr>
          <w:rFonts w:cs="Arial"/>
          <w:szCs w:val="20"/>
        </w:rPr>
        <w:t xml:space="preserve">l of master mix containing 5 </w:t>
      </w:r>
      <w:proofErr w:type="spellStart"/>
      <w:r w:rsidR="0085125F" w:rsidRPr="008E6422">
        <w:t>μ</w:t>
      </w:r>
      <w:r w:rsidRPr="0019753A">
        <w:rPr>
          <w:rFonts w:cs="Arial"/>
          <w:szCs w:val="20"/>
        </w:rPr>
        <w:t>l</w:t>
      </w:r>
      <w:proofErr w:type="spellEnd"/>
      <w:r w:rsidRPr="0019753A">
        <w:rPr>
          <w:rFonts w:cs="Arial"/>
          <w:szCs w:val="20"/>
        </w:rPr>
        <w:t xml:space="preserve"> of 10X PCR Buffer (</w:t>
      </w:r>
      <w:proofErr w:type="spellStart"/>
      <w:r w:rsidRPr="0019753A">
        <w:rPr>
          <w:rFonts w:cs="Arial"/>
          <w:szCs w:val="20"/>
        </w:rPr>
        <w:t>Clontech</w:t>
      </w:r>
      <w:proofErr w:type="spellEnd"/>
      <w:r w:rsidRPr="0019753A">
        <w:rPr>
          <w:rFonts w:cs="Arial"/>
          <w:szCs w:val="20"/>
        </w:rPr>
        <w:t xml:space="preserve">), 0.4mM </w:t>
      </w:r>
      <w:proofErr w:type="spellStart"/>
      <w:r w:rsidRPr="0019753A">
        <w:rPr>
          <w:rFonts w:cs="Arial"/>
          <w:szCs w:val="20"/>
        </w:rPr>
        <w:t>dNTP’s</w:t>
      </w:r>
      <w:proofErr w:type="spellEnd"/>
      <w:r w:rsidRPr="0019753A">
        <w:rPr>
          <w:rFonts w:cs="Arial"/>
          <w:szCs w:val="20"/>
        </w:rPr>
        <w:t xml:space="preserve">, 2 </w:t>
      </w:r>
      <w:r w:rsidRPr="0019753A">
        <w:rPr>
          <w:rFonts w:cs="Arial"/>
          <w:szCs w:val="20"/>
        </w:rPr>
        <w:sym w:font="Symbol" w:char="F06D"/>
      </w:r>
      <w:r w:rsidRPr="0019753A">
        <w:rPr>
          <w:rFonts w:cs="Arial"/>
          <w:szCs w:val="20"/>
        </w:rPr>
        <w:t xml:space="preserve">M of each of a forward and a reverse primer, 1 </w:t>
      </w:r>
      <w:r w:rsidRPr="0019753A">
        <w:rPr>
          <w:rFonts w:cs="Arial"/>
          <w:szCs w:val="20"/>
        </w:rPr>
        <w:sym w:font="Symbol" w:char="F06D"/>
      </w:r>
      <w:r w:rsidRPr="0019753A">
        <w:rPr>
          <w:rFonts w:cs="Arial"/>
          <w:szCs w:val="20"/>
        </w:rPr>
        <w:t xml:space="preserve">l of </w:t>
      </w:r>
      <w:proofErr w:type="spellStart"/>
      <w:r w:rsidRPr="0019753A">
        <w:rPr>
          <w:rFonts w:cs="Arial"/>
          <w:szCs w:val="20"/>
        </w:rPr>
        <w:t>Taq</w:t>
      </w:r>
      <w:proofErr w:type="spellEnd"/>
      <w:r w:rsidRPr="0019753A">
        <w:rPr>
          <w:rFonts w:cs="Arial"/>
          <w:szCs w:val="20"/>
        </w:rPr>
        <w:t xml:space="preserve"> (</w:t>
      </w:r>
      <w:proofErr w:type="spellStart"/>
      <w:r w:rsidRPr="0019753A">
        <w:rPr>
          <w:rFonts w:cs="Arial"/>
          <w:szCs w:val="20"/>
        </w:rPr>
        <w:t>Clontech</w:t>
      </w:r>
      <w:proofErr w:type="spellEnd"/>
      <w:r w:rsidRPr="0019753A">
        <w:rPr>
          <w:rFonts w:cs="Arial"/>
          <w:szCs w:val="20"/>
        </w:rPr>
        <w:t>) with a balance of ddH</w:t>
      </w:r>
      <w:r w:rsidRPr="0019753A">
        <w:rPr>
          <w:rFonts w:cs="Arial"/>
          <w:szCs w:val="20"/>
          <w:vertAlign w:val="subscript"/>
        </w:rPr>
        <w:t>2</w:t>
      </w:r>
      <w:r w:rsidRPr="0019753A">
        <w:rPr>
          <w:rFonts w:cs="Arial"/>
          <w:szCs w:val="20"/>
        </w:rPr>
        <w:t xml:space="preserve">O. The PCR was completed using the following cycling conditions: 1 minute (min) hold at 94ºC and 30 cycles of 94ºC for 30 sec and 68ºC for 3 min, followed by a hold at 68ºC for 3 min.  The following primers were used:  </w:t>
      </w:r>
      <w:r w:rsidRPr="0019753A">
        <w:rPr>
          <w:rFonts w:cs="Arial"/>
          <w:i/>
          <w:szCs w:val="20"/>
        </w:rPr>
        <w:t>En1</w:t>
      </w:r>
      <w:r w:rsidRPr="0019753A">
        <w:rPr>
          <w:rFonts w:cs="Arial"/>
          <w:szCs w:val="20"/>
        </w:rPr>
        <w:t xml:space="preserve"> forward: </w:t>
      </w:r>
      <w:r w:rsidRPr="0019753A">
        <w:rPr>
          <w:rFonts w:cs="Arial"/>
          <w:i/>
          <w:szCs w:val="20"/>
        </w:rPr>
        <w:t>TCA AGA CTG ACT CAC AGC AAC CC</w:t>
      </w:r>
      <w:r w:rsidRPr="0019753A">
        <w:rPr>
          <w:rFonts w:cs="Arial"/>
          <w:szCs w:val="20"/>
        </w:rPr>
        <w:t xml:space="preserve">, </w:t>
      </w:r>
      <w:r w:rsidRPr="0019753A">
        <w:rPr>
          <w:rFonts w:cs="Arial"/>
          <w:i/>
          <w:szCs w:val="20"/>
        </w:rPr>
        <w:t>En1</w:t>
      </w:r>
      <w:r w:rsidRPr="0019753A">
        <w:rPr>
          <w:rFonts w:cs="Arial"/>
          <w:szCs w:val="20"/>
        </w:rPr>
        <w:t xml:space="preserve"> reverse: </w:t>
      </w:r>
      <w:r w:rsidRPr="0019753A">
        <w:rPr>
          <w:rFonts w:cs="Arial"/>
          <w:i/>
          <w:szCs w:val="20"/>
        </w:rPr>
        <w:t xml:space="preserve">TTG TCC TGA ACC GTG </w:t>
      </w:r>
      <w:proofErr w:type="spellStart"/>
      <w:r w:rsidRPr="0019753A">
        <w:rPr>
          <w:rFonts w:cs="Arial"/>
          <w:i/>
          <w:szCs w:val="20"/>
        </w:rPr>
        <w:t>GTG</w:t>
      </w:r>
      <w:proofErr w:type="spellEnd"/>
      <w:r w:rsidRPr="0019753A">
        <w:rPr>
          <w:rFonts w:cs="Arial"/>
          <w:i/>
          <w:szCs w:val="20"/>
        </w:rPr>
        <w:t xml:space="preserve"> GTA GAG</w:t>
      </w:r>
      <w:r w:rsidRPr="0019753A">
        <w:rPr>
          <w:rFonts w:cs="Arial"/>
          <w:szCs w:val="20"/>
        </w:rPr>
        <w:t xml:space="preserve">, </w:t>
      </w:r>
      <w:proofErr w:type="spellStart"/>
      <w:r w:rsidRPr="0019753A">
        <w:rPr>
          <w:rFonts w:cs="Arial"/>
          <w:i/>
          <w:szCs w:val="20"/>
        </w:rPr>
        <w:t>Bglap</w:t>
      </w:r>
      <w:proofErr w:type="spellEnd"/>
      <w:r w:rsidRPr="0019753A">
        <w:rPr>
          <w:rFonts w:cs="Arial"/>
          <w:szCs w:val="20"/>
        </w:rPr>
        <w:t xml:space="preserve"> forward: </w:t>
      </w:r>
      <w:r w:rsidRPr="0019753A">
        <w:rPr>
          <w:rFonts w:cs="Arial"/>
          <w:i/>
          <w:szCs w:val="20"/>
        </w:rPr>
        <w:t>CCA TCT TTC TGC TCA CTC TGC TG</w:t>
      </w:r>
      <w:r w:rsidRPr="0019753A">
        <w:rPr>
          <w:rFonts w:cs="Arial"/>
          <w:szCs w:val="20"/>
        </w:rPr>
        <w:t xml:space="preserve">, </w:t>
      </w:r>
      <w:proofErr w:type="spellStart"/>
      <w:r w:rsidRPr="0019753A">
        <w:rPr>
          <w:rFonts w:cs="Arial"/>
          <w:i/>
          <w:szCs w:val="20"/>
        </w:rPr>
        <w:lastRenderedPageBreak/>
        <w:t>Bglap</w:t>
      </w:r>
      <w:proofErr w:type="spellEnd"/>
      <w:r w:rsidRPr="0019753A">
        <w:rPr>
          <w:rFonts w:cs="Arial"/>
          <w:szCs w:val="20"/>
        </w:rPr>
        <w:t xml:space="preserve"> reverse: </w:t>
      </w:r>
      <w:r w:rsidRPr="0019753A">
        <w:rPr>
          <w:rFonts w:cs="Arial"/>
          <w:i/>
          <w:szCs w:val="20"/>
        </w:rPr>
        <w:t>CTT CAA GCC ATA CTG GTC TGA TAG C</w:t>
      </w:r>
      <w:r w:rsidRPr="0019753A">
        <w:rPr>
          <w:rFonts w:cs="Arial"/>
          <w:szCs w:val="20"/>
        </w:rPr>
        <w:t xml:space="preserve">, </w:t>
      </w:r>
      <w:r w:rsidRPr="0019753A">
        <w:rPr>
          <w:rFonts w:cs="Arial"/>
          <w:i/>
          <w:szCs w:val="20"/>
        </w:rPr>
        <w:t>Tnfrsf11a</w:t>
      </w:r>
      <w:r w:rsidRPr="0019753A">
        <w:rPr>
          <w:rFonts w:cs="Arial"/>
          <w:szCs w:val="20"/>
        </w:rPr>
        <w:t xml:space="preserve"> forward: </w:t>
      </w:r>
      <w:r w:rsidRPr="0019753A">
        <w:rPr>
          <w:rFonts w:cs="Arial"/>
          <w:i/>
          <w:szCs w:val="20"/>
        </w:rPr>
        <w:t>CCA TCA TCT TCG GCG TTT ACT ACA G</w:t>
      </w:r>
      <w:r w:rsidRPr="0019753A">
        <w:rPr>
          <w:rFonts w:cs="Arial"/>
          <w:szCs w:val="20"/>
        </w:rPr>
        <w:t xml:space="preserve"> and </w:t>
      </w:r>
      <w:r w:rsidRPr="0019753A">
        <w:rPr>
          <w:rFonts w:cs="Arial"/>
          <w:i/>
          <w:szCs w:val="20"/>
        </w:rPr>
        <w:t>Tnfrsf11a</w:t>
      </w:r>
      <w:r w:rsidRPr="0019753A">
        <w:rPr>
          <w:rFonts w:cs="Arial"/>
          <w:szCs w:val="20"/>
        </w:rPr>
        <w:t xml:space="preserve"> reverse: </w:t>
      </w:r>
      <w:r w:rsidRPr="0019753A">
        <w:rPr>
          <w:rFonts w:cs="Arial"/>
          <w:i/>
          <w:szCs w:val="20"/>
        </w:rPr>
        <w:t>GGA TTA GGA GCA GTG AAC CAG TCG</w:t>
      </w:r>
      <w:r w:rsidRPr="0019753A">
        <w:rPr>
          <w:rFonts w:cs="Arial"/>
          <w:szCs w:val="20"/>
        </w:rPr>
        <w:t>.  PCR products were visualized by separating them on a standard 2% agarose gel stained with Ethidium Bromide.</w:t>
      </w:r>
    </w:p>
    <w:p w14:paraId="6225288D" w14:textId="671E7231" w:rsidR="00CB3EFF" w:rsidRDefault="00CB3EFF" w:rsidP="00061DFC">
      <w:pPr>
        <w:pStyle w:val="Heading3"/>
      </w:pPr>
      <w:r>
        <w:t xml:space="preserve">Quantitative Expression of </w:t>
      </w:r>
      <w:r w:rsidRPr="00E042EB">
        <w:rPr>
          <w:i/>
        </w:rPr>
        <w:t>En1</w:t>
      </w:r>
    </w:p>
    <w:p w14:paraId="21977B3E" w14:textId="400467F1" w:rsidR="00CD694F" w:rsidRDefault="00CD694F" w:rsidP="00061DFC">
      <w:pPr>
        <w:pStyle w:val="Heading4"/>
      </w:pPr>
      <w:proofErr w:type="spellStart"/>
      <w:proofErr w:type="gramStart"/>
      <w:r w:rsidRPr="00367E5E">
        <w:t>iCycler</w:t>
      </w:r>
      <w:proofErr w:type="spellEnd"/>
      <w:proofErr w:type="gramEnd"/>
      <w:r w:rsidRPr="00367E5E">
        <w:t xml:space="preserve"> </w:t>
      </w:r>
      <w:proofErr w:type="spellStart"/>
      <w:r w:rsidRPr="00367E5E">
        <w:t>iQ</w:t>
      </w:r>
      <w:proofErr w:type="spellEnd"/>
      <w:r w:rsidRPr="00367E5E">
        <w:t xml:space="preserve"> thermal cycler</w:t>
      </w:r>
    </w:p>
    <w:p w14:paraId="1B6C93F7" w14:textId="555E654F" w:rsidR="00CB3EFF" w:rsidRPr="00686B18" w:rsidRDefault="00CB3EFF" w:rsidP="00963ACE">
      <w:pPr>
        <w:rPr>
          <w:rFonts w:cs="Arial"/>
          <w:szCs w:val="20"/>
        </w:rPr>
      </w:pPr>
      <w:r w:rsidRPr="00367E5E">
        <w:rPr>
          <w:color w:val="1A1A1A"/>
        </w:rPr>
        <w:t>For osteoblast marker gene expression, total mRNAs were purified from osteoblast cultures</w:t>
      </w:r>
      <w:r>
        <w:rPr>
          <w:color w:val="1A1A1A"/>
        </w:rPr>
        <w:t>.</w:t>
      </w:r>
      <w:r w:rsidRPr="00367E5E">
        <w:rPr>
          <w:color w:val="1A1A1A"/>
        </w:rPr>
        <w:t xml:space="preserve"> </w:t>
      </w:r>
      <w:r w:rsidRPr="00367E5E">
        <w:t xml:space="preserve">Real time PCR was performed in triplicate using the </w:t>
      </w:r>
      <w:proofErr w:type="spellStart"/>
      <w:r w:rsidRPr="00367E5E">
        <w:t>iCycler</w:t>
      </w:r>
      <w:proofErr w:type="spellEnd"/>
      <w:r w:rsidRPr="00367E5E">
        <w:t xml:space="preserve"> </w:t>
      </w:r>
      <w:proofErr w:type="spellStart"/>
      <w:proofErr w:type="gramStart"/>
      <w:r w:rsidRPr="00367E5E">
        <w:t>iQ</w:t>
      </w:r>
      <w:proofErr w:type="spellEnd"/>
      <w:proofErr w:type="gramEnd"/>
      <w:r w:rsidRPr="00367E5E">
        <w:t xml:space="preserve"> thermal cycler and detection system </w:t>
      </w:r>
      <w:bookmarkStart w:id="1" w:name="OLE_LINK4"/>
      <w:r w:rsidRPr="00367E5E">
        <w:t xml:space="preserve">(Applied </w:t>
      </w:r>
      <w:proofErr w:type="spellStart"/>
      <w:r w:rsidRPr="00367E5E">
        <w:t>Biosystem</w:t>
      </w:r>
      <w:bookmarkEnd w:id="1"/>
      <w:r w:rsidRPr="00367E5E">
        <w:t>s</w:t>
      </w:r>
      <w:proofErr w:type="spellEnd"/>
      <w:r w:rsidRPr="00367E5E">
        <w:t>, Carlsbad, CA) following the manufacturer’s protocols. Expression of the tested gene was normalized relative to levels of GAPDH.</w:t>
      </w:r>
      <w:r w:rsidRPr="00874E35">
        <w:rPr>
          <w:rFonts w:cs="Times New Roman"/>
        </w:rPr>
        <w:t xml:space="preserve"> </w:t>
      </w:r>
      <w:r w:rsidR="00963ACE">
        <w:rPr>
          <w:rFonts w:cs="Times New Roman"/>
        </w:rPr>
        <w:t xml:space="preserve">Primers used are: </w:t>
      </w:r>
      <w:proofErr w:type="spellStart"/>
      <w:r w:rsidR="00963ACE" w:rsidRPr="00963ACE">
        <w:rPr>
          <w:rFonts w:cs="Arial"/>
          <w:szCs w:val="20"/>
        </w:rPr>
        <w:t>mALP</w:t>
      </w:r>
      <w:proofErr w:type="spellEnd"/>
      <w:r w:rsidR="00963ACE">
        <w:rPr>
          <w:rFonts w:cs="Arial"/>
          <w:szCs w:val="20"/>
        </w:rPr>
        <w:t xml:space="preserve"> forward</w:t>
      </w:r>
      <w:r w:rsidR="00CD440C">
        <w:rPr>
          <w:rFonts w:cs="Arial"/>
          <w:szCs w:val="20"/>
        </w:rPr>
        <w:t>:</w:t>
      </w:r>
      <w:r w:rsidR="00963ACE">
        <w:rPr>
          <w:rFonts w:cs="Arial"/>
          <w:szCs w:val="20"/>
        </w:rPr>
        <w:t xml:space="preserve"> </w:t>
      </w:r>
      <w:r w:rsidR="00963ACE" w:rsidRPr="00963ACE">
        <w:rPr>
          <w:rFonts w:cs="Arial"/>
          <w:szCs w:val="20"/>
        </w:rPr>
        <w:t>CAC</w:t>
      </w:r>
      <w:r w:rsidR="00021641">
        <w:rPr>
          <w:rFonts w:cs="Arial"/>
          <w:szCs w:val="20"/>
        </w:rPr>
        <w:t xml:space="preserve"> </w:t>
      </w:r>
      <w:r w:rsidR="00963ACE" w:rsidRPr="00963ACE">
        <w:rPr>
          <w:rFonts w:cs="Arial"/>
          <w:szCs w:val="20"/>
        </w:rPr>
        <w:t>AAT</w:t>
      </w:r>
      <w:r w:rsidR="00021641">
        <w:rPr>
          <w:rFonts w:cs="Arial"/>
          <w:szCs w:val="20"/>
        </w:rPr>
        <w:t xml:space="preserve"> </w:t>
      </w:r>
      <w:r w:rsidR="00963ACE" w:rsidRPr="00963ACE">
        <w:rPr>
          <w:rFonts w:cs="Arial"/>
          <w:szCs w:val="20"/>
        </w:rPr>
        <w:t>ATC</w:t>
      </w:r>
      <w:r w:rsidR="00021641">
        <w:rPr>
          <w:rFonts w:cs="Arial"/>
          <w:szCs w:val="20"/>
        </w:rPr>
        <w:t xml:space="preserve"> </w:t>
      </w:r>
      <w:r w:rsidR="00963ACE" w:rsidRPr="00963ACE">
        <w:rPr>
          <w:rFonts w:cs="Arial"/>
          <w:szCs w:val="20"/>
        </w:rPr>
        <w:t>AAG</w:t>
      </w:r>
      <w:r w:rsidR="00021641">
        <w:rPr>
          <w:rFonts w:cs="Arial"/>
          <w:szCs w:val="20"/>
        </w:rPr>
        <w:t xml:space="preserve"> </w:t>
      </w:r>
      <w:r w:rsidR="00963ACE" w:rsidRPr="00963ACE">
        <w:rPr>
          <w:rFonts w:cs="Arial"/>
          <w:szCs w:val="20"/>
        </w:rPr>
        <w:t>GAT</w:t>
      </w:r>
      <w:r w:rsidR="00021641">
        <w:rPr>
          <w:rFonts w:cs="Arial"/>
          <w:szCs w:val="20"/>
        </w:rPr>
        <w:t xml:space="preserve"> </w:t>
      </w:r>
      <w:r w:rsidR="00963ACE" w:rsidRPr="00963ACE">
        <w:rPr>
          <w:rFonts w:cs="Arial"/>
          <w:szCs w:val="20"/>
        </w:rPr>
        <w:t>ATC</w:t>
      </w:r>
      <w:r w:rsidR="00021641">
        <w:rPr>
          <w:rFonts w:cs="Arial"/>
          <w:szCs w:val="20"/>
        </w:rPr>
        <w:t xml:space="preserve"> </w:t>
      </w:r>
      <w:r w:rsidR="00963ACE" w:rsidRPr="00963ACE">
        <w:rPr>
          <w:rFonts w:cs="Arial"/>
          <w:szCs w:val="20"/>
        </w:rPr>
        <w:t>GAC</w:t>
      </w:r>
      <w:r w:rsidR="00021641">
        <w:rPr>
          <w:rFonts w:cs="Arial"/>
          <w:szCs w:val="20"/>
        </w:rPr>
        <w:t xml:space="preserve"> </w:t>
      </w:r>
      <w:r w:rsidR="00963ACE" w:rsidRPr="00963ACE">
        <w:rPr>
          <w:rFonts w:cs="Arial"/>
          <w:szCs w:val="20"/>
        </w:rPr>
        <w:t>GTG</w:t>
      </w:r>
      <w:r w:rsidR="00021641">
        <w:rPr>
          <w:rFonts w:cs="Arial"/>
          <w:szCs w:val="20"/>
        </w:rPr>
        <w:t xml:space="preserve"> </w:t>
      </w:r>
      <w:r w:rsidR="00963ACE" w:rsidRPr="00963ACE">
        <w:rPr>
          <w:rFonts w:cs="Arial"/>
          <w:szCs w:val="20"/>
        </w:rPr>
        <w:t>A</w:t>
      </w:r>
      <w:r w:rsidR="00963ACE">
        <w:rPr>
          <w:rFonts w:cs="Arial"/>
          <w:szCs w:val="20"/>
        </w:rPr>
        <w:t>,</w:t>
      </w:r>
      <w:r w:rsidR="00963ACE" w:rsidRPr="00963ACE">
        <w:rPr>
          <w:rFonts w:cs="Arial"/>
          <w:szCs w:val="20"/>
        </w:rPr>
        <w:tab/>
        <w:t xml:space="preserve"> </w:t>
      </w:r>
      <w:proofErr w:type="spellStart"/>
      <w:r w:rsidR="00963ACE">
        <w:rPr>
          <w:rFonts w:cs="Arial"/>
          <w:szCs w:val="20"/>
        </w:rPr>
        <w:t>mALP</w:t>
      </w:r>
      <w:proofErr w:type="spellEnd"/>
      <w:r w:rsidR="00963ACE">
        <w:rPr>
          <w:rFonts w:cs="Arial"/>
          <w:szCs w:val="20"/>
        </w:rPr>
        <w:t xml:space="preserve"> reverse</w:t>
      </w:r>
      <w:r w:rsidR="00CD440C">
        <w:rPr>
          <w:rFonts w:cs="Arial"/>
          <w:szCs w:val="20"/>
        </w:rPr>
        <w:t>:</w:t>
      </w:r>
      <w:r w:rsidR="00963ACE">
        <w:rPr>
          <w:rFonts w:cs="Arial"/>
          <w:szCs w:val="20"/>
        </w:rPr>
        <w:t xml:space="preserve"> </w:t>
      </w:r>
      <w:r w:rsidR="00963ACE" w:rsidRPr="00963ACE">
        <w:rPr>
          <w:rFonts w:cs="Arial"/>
          <w:szCs w:val="20"/>
        </w:rPr>
        <w:t>ACA</w:t>
      </w:r>
      <w:r w:rsidR="00021641">
        <w:rPr>
          <w:rFonts w:cs="Arial"/>
          <w:szCs w:val="20"/>
        </w:rPr>
        <w:t xml:space="preserve"> </w:t>
      </w:r>
      <w:r w:rsidR="00963ACE" w:rsidRPr="00963ACE">
        <w:rPr>
          <w:rFonts w:cs="Arial"/>
          <w:szCs w:val="20"/>
        </w:rPr>
        <w:t>TCA</w:t>
      </w:r>
      <w:r w:rsidR="00021641">
        <w:rPr>
          <w:rFonts w:cs="Arial"/>
          <w:szCs w:val="20"/>
        </w:rPr>
        <w:t xml:space="preserve"> </w:t>
      </w:r>
      <w:r w:rsidR="00963ACE" w:rsidRPr="00963ACE">
        <w:rPr>
          <w:rFonts w:cs="Arial"/>
          <w:szCs w:val="20"/>
        </w:rPr>
        <w:t>GTT</w:t>
      </w:r>
      <w:r w:rsidR="00021641">
        <w:rPr>
          <w:rFonts w:cs="Arial"/>
          <w:szCs w:val="20"/>
        </w:rPr>
        <w:t xml:space="preserve"> </w:t>
      </w:r>
      <w:r w:rsidR="00963ACE" w:rsidRPr="00963ACE">
        <w:rPr>
          <w:rFonts w:cs="Arial"/>
          <w:szCs w:val="20"/>
        </w:rPr>
        <w:t>CTG</w:t>
      </w:r>
      <w:r w:rsidR="00021641">
        <w:rPr>
          <w:rFonts w:cs="Arial"/>
          <w:szCs w:val="20"/>
        </w:rPr>
        <w:t xml:space="preserve"> </w:t>
      </w:r>
      <w:r w:rsidR="00963ACE" w:rsidRPr="00963ACE">
        <w:rPr>
          <w:rFonts w:cs="Arial"/>
          <w:szCs w:val="20"/>
        </w:rPr>
        <w:t>TTC</w:t>
      </w:r>
      <w:r w:rsidR="00021641">
        <w:rPr>
          <w:rFonts w:cs="Arial"/>
          <w:szCs w:val="20"/>
        </w:rPr>
        <w:t xml:space="preserve"> </w:t>
      </w:r>
      <w:proofErr w:type="spellStart"/>
      <w:r w:rsidR="00963ACE" w:rsidRPr="00963ACE">
        <w:rPr>
          <w:rFonts w:cs="Arial"/>
          <w:szCs w:val="20"/>
        </w:rPr>
        <w:t>TTC</w:t>
      </w:r>
      <w:proofErr w:type="spellEnd"/>
      <w:r w:rsidR="00021641">
        <w:rPr>
          <w:rFonts w:cs="Arial"/>
          <w:szCs w:val="20"/>
        </w:rPr>
        <w:t xml:space="preserve"> </w:t>
      </w:r>
      <w:r w:rsidR="00963ACE" w:rsidRPr="00963ACE">
        <w:rPr>
          <w:rFonts w:cs="Arial"/>
          <w:szCs w:val="20"/>
        </w:rPr>
        <w:t>GGG</w:t>
      </w:r>
      <w:r w:rsidR="00021641">
        <w:rPr>
          <w:rFonts w:cs="Arial"/>
          <w:szCs w:val="20"/>
        </w:rPr>
        <w:t xml:space="preserve"> </w:t>
      </w:r>
      <w:r w:rsidR="00963ACE" w:rsidRPr="00963ACE">
        <w:rPr>
          <w:rFonts w:cs="Arial"/>
          <w:szCs w:val="20"/>
        </w:rPr>
        <w:t>TAC</w:t>
      </w:r>
      <w:r w:rsidR="00021641">
        <w:rPr>
          <w:rFonts w:cs="Arial"/>
          <w:szCs w:val="20"/>
        </w:rPr>
        <w:t xml:space="preserve"> </w:t>
      </w:r>
      <w:r w:rsidR="00963ACE" w:rsidRPr="00963ACE">
        <w:rPr>
          <w:rFonts w:cs="Arial"/>
          <w:szCs w:val="20"/>
        </w:rPr>
        <w:t>A</w:t>
      </w:r>
      <w:r w:rsidR="00963ACE">
        <w:rPr>
          <w:rFonts w:cs="Arial"/>
          <w:szCs w:val="20"/>
        </w:rPr>
        <w:t xml:space="preserve">, </w:t>
      </w:r>
      <w:proofErr w:type="spellStart"/>
      <w:r w:rsidR="00963ACE" w:rsidRPr="00963ACE">
        <w:rPr>
          <w:rFonts w:cs="Arial"/>
          <w:szCs w:val="20"/>
        </w:rPr>
        <w:t>mOSX</w:t>
      </w:r>
      <w:proofErr w:type="spellEnd"/>
      <w:r w:rsidR="00963ACE">
        <w:rPr>
          <w:rFonts w:cs="Arial"/>
          <w:szCs w:val="20"/>
        </w:rPr>
        <w:t xml:space="preserve"> forward</w:t>
      </w:r>
      <w:r w:rsidR="00CD440C">
        <w:rPr>
          <w:rFonts w:cs="Arial"/>
          <w:szCs w:val="20"/>
        </w:rPr>
        <w:t>:</w:t>
      </w:r>
      <w:r w:rsidR="00963ACE">
        <w:rPr>
          <w:rFonts w:cs="Arial"/>
          <w:szCs w:val="20"/>
        </w:rPr>
        <w:t xml:space="preserve"> </w:t>
      </w:r>
      <w:r w:rsidR="00963ACE" w:rsidRPr="00963ACE">
        <w:rPr>
          <w:rFonts w:cs="Arial"/>
          <w:szCs w:val="20"/>
        </w:rPr>
        <w:t>ATG</w:t>
      </w:r>
      <w:r w:rsidR="00021641">
        <w:rPr>
          <w:rFonts w:cs="Arial"/>
          <w:szCs w:val="20"/>
        </w:rPr>
        <w:t xml:space="preserve"> </w:t>
      </w:r>
      <w:r w:rsidR="00963ACE" w:rsidRPr="00963ACE">
        <w:rPr>
          <w:rFonts w:cs="Arial"/>
          <w:szCs w:val="20"/>
        </w:rPr>
        <w:t>GCG</w:t>
      </w:r>
      <w:r w:rsidR="00021641">
        <w:rPr>
          <w:rFonts w:cs="Arial"/>
          <w:szCs w:val="20"/>
        </w:rPr>
        <w:t xml:space="preserve"> </w:t>
      </w:r>
      <w:r w:rsidR="00963ACE" w:rsidRPr="00963ACE">
        <w:rPr>
          <w:rFonts w:cs="Arial"/>
          <w:szCs w:val="20"/>
        </w:rPr>
        <w:t>TCC</w:t>
      </w:r>
      <w:r w:rsidR="00021641">
        <w:rPr>
          <w:rFonts w:cs="Arial"/>
          <w:szCs w:val="20"/>
        </w:rPr>
        <w:t xml:space="preserve"> </w:t>
      </w:r>
      <w:r w:rsidR="00963ACE" w:rsidRPr="00963ACE">
        <w:rPr>
          <w:rFonts w:cs="Arial"/>
          <w:szCs w:val="20"/>
        </w:rPr>
        <w:t>TCT</w:t>
      </w:r>
      <w:r w:rsidR="00021641">
        <w:rPr>
          <w:rFonts w:cs="Arial"/>
          <w:szCs w:val="20"/>
        </w:rPr>
        <w:t xml:space="preserve"> </w:t>
      </w:r>
      <w:r w:rsidR="00963ACE" w:rsidRPr="00963ACE">
        <w:rPr>
          <w:rFonts w:cs="Arial"/>
          <w:szCs w:val="20"/>
        </w:rPr>
        <w:t>CTG</w:t>
      </w:r>
      <w:r w:rsidR="00021641">
        <w:rPr>
          <w:rFonts w:cs="Arial"/>
          <w:szCs w:val="20"/>
        </w:rPr>
        <w:t xml:space="preserve"> </w:t>
      </w:r>
      <w:r w:rsidR="00963ACE" w:rsidRPr="00963ACE">
        <w:rPr>
          <w:rFonts w:cs="Arial"/>
          <w:szCs w:val="20"/>
        </w:rPr>
        <w:t>CTT</w:t>
      </w:r>
      <w:r w:rsidR="00021641">
        <w:rPr>
          <w:rFonts w:cs="Arial"/>
          <w:szCs w:val="20"/>
        </w:rPr>
        <w:t xml:space="preserve"> </w:t>
      </w:r>
      <w:r w:rsidR="00963ACE" w:rsidRPr="00963ACE">
        <w:rPr>
          <w:rFonts w:cs="Arial"/>
          <w:szCs w:val="20"/>
        </w:rPr>
        <w:t>GA</w:t>
      </w:r>
      <w:r w:rsidR="00963ACE">
        <w:rPr>
          <w:rFonts w:cs="Arial"/>
          <w:szCs w:val="20"/>
        </w:rPr>
        <w:t xml:space="preserve"> </w:t>
      </w:r>
      <w:proofErr w:type="spellStart"/>
      <w:r w:rsidR="00963ACE">
        <w:rPr>
          <w:rFonts w:cs="Arial"/>
          <w:szCs w:val="20"/>
        </w:rPr>
        <w:t>mOSX</w:t>
      </w:r>
      <w:proofErr w:type="spellEnd"/>
      <w:r w:rsidR="00963ACE">
        <w:rPr>
          <w:rFonts w:cs="Arial"/>
          <w:szCs w:val="20"/>
        </w:rPr>
        <w:t xml:space="preserve"> reverse</w:t>
      </w:r>
      <w:r w:rsidR="00CD440C">
        <w:rPr>
          <w:rFonts w:cs="Arial"/>
          <w:szCs w:val="20"/>
        </w:rPr>
        <w:t>:</w:t>
      </w:r>
      <w:r w:rsidR="00963ACE">
        <w:rPr>
          <w:rFonts w:cs="Arial"/>
          <w:szCs w:val="20"/>
        </w:rPr>
        <w:t xml:space="preserve"> </w:t>
      </w:r>
      <w:r w:rsidR="00963ACE" w:rsidRPr="00963ACE">
        <w:rPr>
          <w:rFonts w:cs="Arial"/>
          <w:szCs w:val="20"/>
        </w:rPr>
        <w:t>GAA</w:t>
      </w:r>
      <w:r w:rsidR="00021641">
        <w:rPr>
          <w:rFonts w:cs="Arial"/>
          <w:szCs w:val="20"/>
        </w:rPr>
        <w:t xml:space="preserve"> </w:t>
      </w:r>
      <w:r w:rsidR="00963ACE" w:rsidRPr="00963ACE">
        <w:rPr>
          <w:rFonts w:cs="Arial"/>
          <w:szCs w:val="20"/>
        </w:rPr>
        <w:t>GGG</w:t>
      </w:r>
      <w:r w:rsidR="00021641">
        <w:rPr>
          <w:rFonts w:cs="Arial"/>
          <w:szCs w:val="20"/>
        </w:rPr>
        <w:t xml:space="preserve"> </w:t>
      </w:r>
      <w:r w:rsidR="00963ACE" w:rsidRPr="00963ACE">
        <w:rPr>
          <w:rFonts w:cs="Arial"/>
          <w:szCs w:val="20"/>
        </w:rPr>
        <w:t>TGG</w:t>
      </w:r>
      <w:r w:rsidR="00021641">
        <w:rPr>
          <w:rFonts w:cs="Arial"/>
          <w:szCs w:val="20"/>
        </w:rPr>
        <w:t xml:space="preserve"> </w:t>
      </w:r>
      <w:r w:rsidR="00963ACE" w:rsidRPr="00963ACE">
        <w:rPr>
          <w:rFonts w:cs="Arial"/>
          <w:szCs w:val="20"/>
        </w:rPr>
        <w:t>GTA</w:t>
      </w:r>
      <w:r w:rsidR="00021641">
        <w:rPr>
          <w:rFonts w:cs="Arial"/>
          <w:szCs w:val="20"/>
        </w:rPr>
        <w:t xml:space="preserve"> </w:t>
      </w:r>
      <w:r w:rsidR="00963ACE" w:rsidRPr="00963ACE">
        <w:rPr>
          <w:rFonts w:cs="Arial"/>
          <w:szCs w:val="20"/>
        </w:rPr>
        <w:t>GTC</w:t>
      </w:r>
      <w:r w:rsidR="00021641">
        <w:rPr>
          <w:rFonts w:cs="Arial"/>
          <w:szCs w:val="20"/>
        </w:rPr>
        <w:t xml:space="preserve"> </w:t>
      </w:r>
      <w:r w:rsidR="00963ACE" w:rsidRPr="00963ACE">
        <w:rPr>
          <w:rFonts w:cs="Arial"/>
          <w:szCs w:val="20"/>
        </w:rPr>
        <w:t>ATT</w:t>
      </w:r>
      <w:r w:rsidR="00021641">
        <w:rPr>
          <w:rFonts w:cs="Arial"/>
          <w:szCs w:val="20"/>
        </w:rPr>
        <w:t xml:space="preserve"> </w:t>
      </w:r>
      <w:r w:rsidR="00963ACE" w:rsidRPr="00963ACE">
        <w:rPr>
          <w:rFonts w:cs="Arial"/>
          <w:szCs w:val="20"/>
        </w:rPr>
        <w:t>TG</w:t>
      </w:r>
      <w:r w:rsidR="00963ACE">
        <w:rPr>
          <w:rFonts w:cs="Arial"/>
          <w:szCs w:val="20"/>
        </w:rPr>
        <w:t xml:space="preserve">, </w:t>
      </w:r>
      <w:proofErr w:type="spellStart"/>
      <w:r w:rsidR="00963ACE" w:rsidRPr="00963ACE">
        <w:rPr>
          <w:rFonts w:cs="Arial"/>
          <w:szCs w:val="20"/>
        </w:rPr>
        <w:t>mBglap</w:t>
      </w:r>
      <w:proofErr w:type="spellEnd"/>
      <w:r w:rsidR="00963ACE">
        <w:rPr>
          <w:rFonts w:cs="Arial"/>
          <w:szCs w:val="20"/>
        </w:rPr>
        <w:t xml:space="preserve"> forward</w:t>
      </w:r>
      <w:r w:rsidR="00CD440C">
        <w:rPr>
          <w:rFonts w:cs="Arial"/>
          <w:szCs w:val="20"/>
        </w:rPr>
        <w:t>:</w:t>
      </w:r>
      <w:r w:rsidR="00963ACE">
        <w:rPr>
          <w:rFonts w:cs="Arial"/>
          <w:szCs w:val="20"/>
        </w:rPr>
        <w:t xml:space="preserve"> </w:t>
      </w:r>
      <w:r w:rsidR="00963ACE" w:rsidRPr="00963ACE">
        <w:rPr>
          <w:rFonts w:cs="Arial"/>
          <w:szCs w:val="20"/>
        </w:rPr>
        <w:t>GGG</w:t>
      </w:r>
      <w:r w:rsidR="00021641">
        <w:rPr>
          <w:rFonts w:cs="Arial"/>
          <w:szCs w:val="20"/>
        </w:rPr>
        <w:t xml:space="preserve"> </w:t>
      </w:r>
      <w:r w:rsidR="00963ACE" w:rsidRPr="00963ACE">
        <w:rPr>
          <w:rFonts w:cs="Arial"/>
          <w:szCs w:val="20"/>
        </w:rPr>
        <w:t>CAA</w:t>
      </w:r>
      <w:r w:rsidR="00021641">
        <w:rPr>
          <w:rFonts w:cs="Arial"/>
          <w:szCs w:val="20"/>
        </w:rPr>
        <w:t xml:space="preserve"> </w:t>
      </w:r>
      <w:r w:rsidR="00963ACE" w:rsidRPr="00963ACE">
        <w:rPr>
          <w:rFonts w:cs="Arial"/>
          <w:szCs w:val="20"/>
        </w:rPr>
        <w:t>TAA</w:t>
      </w:r>
      <w:r w:rsidR="00021641">
        <w:rPr>
          <w:rFonts w:cs="Arial"/>
          <w:szCs w:val="20"/>
        </w:rPr>
        <w:t xml:space="preserve"> </w:t>
      </w:r>
      <w:r w:rsidR="00963ACE" w:rsidRPr="00963ACE">
        <w:rPr>
          <w:rFonts w:cs="Arial"/>
          <w:szCs w:val="20"/>
        </w:rPr>
        <w:t>GGT</w:t>
      </w:r>
      <w:r w:rsidR="00021641">
        <w:rPr>
          <w:rFonts w:cs="Arial"/>
          <w:szCs w:val="20"/>
        </w:rPr>
        <w:t xml:space="preserve"> </w:t>
      </w:r>
      <w:r w:rsidR="00963ACE" w:rsidRPr="00963ACE">
        <w:rPr>
          <w:rFonts w:cs="Arial"/>
          <w:szCs w:val="20"/>
        </w:rPr>
        <w:t>AGT</w:t>
      </w:r>
      <w:r w:rsidR="00021641">
        <w:rPr>
          <w:rFonts w:cs="Arial"/>
          <w:szCs w:val="20"/>
        </w:rPr>
        <w:t xml:space="preserve"> </w:t>
      </w:r>
      <w:r w:rsidR="00963ACE" w:rsidRPr="00963ACE">
        <w:rPr>
          <w:rFonts w:cs="Arial"/>
          <w:szCs w:val="20"/>
        </w:rPr>
        <w:t>GAA</w:t>
      </w:r>
      <w:r w:rsidR="00021641">
        <w:rPr>
          <w:rFonts w:cs="Arial"/>
          <w:szCs w:val="20"/>
        </w:rPr>
        <w:t xml:space="preserve"> </w:t>
      </w:r>
      <w:r w:rsidR="00963ACE" w:rsidRPr="00963ACE">
        <w:rPr>
          <w:rFonts w:cs="Arial"/>
          <w:szCs w:val="20"/>
        </w:rPr>
        <w:t>CAG</w:t>
      </w:r>
      <w:r w:rsidR="00963ACE">
        <w:rPr>
          <w:rFonts w:cs="Arial"/>
          <w:szCs w:val="20"/>
        </w:rPr>
        <w:t xml:space="preserve"> </w:t>
      </w:r>
      <w:proofErr w:type="spellStart"/>
      <w:r w:rsidR="00963ACE">
        <w:rPr>
          <w:rFonts w:cs="Arial"/>
          <w:szCs w:val="20"/>
        </w:rPr>
        <w:t>mBglap</w:t>
      </w:r>
      <w:proofErr w:type="spellEnd"/>
      <w:r w:rsidR="00963ACE">
        <w:rPr>
          <w:rFonts w:cs="Arial"/>
          <w:szCs w:val="20"/>
        </w:rPr>
        <w:t xml:space="preserve"> reverse</w:t>
      </w:r>
      <w:r w:rsidR="00CD440C">
        <w:rPr>
          <w:rFonts w:cs="Arial"/>
          <w:szCs w:val="20"/>
        </w:rPr>
        <w:t>:</w:t>
      </w:r>
      <w:r w:rsidR="00963ACE">
        <w:rPr>
          <w:rFonts w:cs="Arial"/>
          <w:szCs w:val="20"/>
        </w:rPr>
        <w:t xml:space="preserve"> </w:t>
      </w:r>
      <w:r w:rsidR="00963ACE" w:rsidRPr="00963ACE">
        <w:rPr>
          <w:rFonts w:cs="Arial"/>
          <w:szCs w:val="20"/>
        </w:rPr>
        <w:t>GCA</w:t>
      </w:r>
      <w:r w:rsidR="00021641">
        <w:rPr>
          <w:rFonts w:cs="Arial"/>
          <w:szCs w:val="20"/>
        </w:rPr>
        <w:t xml:space="preserve"> </w:t>
      </w:r>
      <w:proofErr w:type="spellStart"/>
      <w:r w:rsidR="00963ACE" w:rsidRPr="00963ACE">
        <w:rPr>
          <w:rFonts w:cs="Arial"/>
          <w:szCs w:val="20"/>
        </w:rPr>
        <w:t>GCA</w:t>
      </w:r>
      <w:proofErr w:type="spellEnd"/>
      <w:r w:rsidR="00021641">
        <w:rPr>
          <w:rFonts w:cs="Arial"/>
          <w:szCs w:val="20"/>
        </w:rPr>
        <w:t xml:space="preserve"> </w:t>
      </w:r>
      <w:r w:rsidR="00963ACE" w:rsidRPr="00963ACE">
        <w:rPr>
          <w:rFonts w:cs="Arial"/>
          <w:szCs w:val="20"/>
        </w:rPr>
        <w:t>CAG</w:t>
      </w:r>
      <w:r w:rsidR="00021641">
        <w:rPr>
          <w:rFonts w:cs="Arial"/>
          <w:szCs w:val="20"/>
        </w:rPr>
        <w:t xml:space="preserve"> </w:t>
      </w:r>
      <w:r w:rsidR="00963ACE" w:rsidRPr="00963ACE">
        <w:rPr>
          <w:rFonts w:cs="Arial"/>
          <w:szCs w:val="20"/>
        </w:rPr>
        <w:t>GTC</w:t>
      </w:r>
      <w:r w:rsidR="00021641">
        <w:rPr>
          <w:rFonts w:cs="Arial"/>
          <w:szCs w:val="20"/>
        </w:rPr>
        <w:t xml:space="preserve"> </w:t>
      </w:r>
      <w:r w:rsidR="00963ACE" w:rsidRPr="00963ACE">
        <w:rPr>
          <w:rFonts w:cs="Arial"/>
          <w:szCs w:val="20"/>
        </w:rPr>
        <w:t>CTA</w:t>
      </w:r>
      <w:r w:rsidR="00021641">
        <w:rPr>
          <w:rFonts w:cs="Arial"/>
          <w:szCs w:val="20"/>
        </w:rPr>
        <w:t xml:space="preserve"> </w:t>
      </w:r>
      <w:r w:rsidR="00963ACE" w:rsidRPr="00963ACE">
        <w:rPr>
          <w:rFonts w:cs="Arial"/>
          <w:szCs w:val="20"/>
        </w:rPr>
        <w:t>AAT</w:t>
      </w:r>
      <w:r w:rsidR="00021641">
        <w:rPr>
          <w:rFonts w:cs="Arial"/>
          <w:szCs w:val="20"/>
        </w:rPr>
        <w:t xml:space="preserve"> </w:t>
      </w:r>
      <w:r w:rsidR="00963ACE" w:rsidRPr="00963ACE">
        <w:rPr>
          <w:rFonts w:cs="Arial"/>
          <w:szCs w:val="20"/>
        </w:rPr>
        <w:t>AGT</w:t>
      </w:r>
      <w:r w:rsidR="00963ACE">
        <w:rPr>
          <w:rFonts w:cs="Arial"/>
          <w:szCs w:val="20"/>
        </w:rPr>
        <w:t xml:space="preserve">, </w:t>
      </w:r>
      <w:r w:rsidR="00963ACE" w:rsidRPr="00963ACE">
        <w:rPr>
          <w:rFonts w:cs="Arial"/>
          <w:szCs w:val="20"/>
        </w:rPr>
        <w:t>mRunx2</w:t>
      </w:r>
      <w:r w:rsidR="00021641">
        <w:rPr>
          <w:rFonts w:cs="Arial"/>
          <w:szCs w:val="20"/>
        </w:rPr>
        <w:t xml:space="preserve"> </w:t>
      </w:r>
      <w:r w:rsidR="00963ACE">
        <w:rPr>
          <w:rFonts w:cs="Arial"/>
          <w:szCs w:val="20"/>
        </w:rPr>
        <w:t>forward</w:t>
      </w:r>
      <w:r w:rsidR="00CD440C">
        <w:rPr>
          <w:rFonts w:cs="Arial"/>
          <w:szCs w:val="20"/>
        </w:rPr>
        <w:t>:</w:t>
      </w:r>
      <w:r w:rsidR="00963ACE">
        <w:rPr>
          <w:rFonts w:cs="Arial"/>
          <w:szCs w:val="20"/>
        </w:rPr>
        <w:t xml:space="preserve"> TAC</w:t>
      </w:r>
      <w:r w:rsidR="00021641">
        <w:rPr>
          <w:rFonts w:cs="Arial"/>
          <w:szCs w:val="20"/>
        </w:rPr>
        <w:t xml:space="preserve"> </w:t>
      </w:r>
      <w:r w:rsidR="00963ACE">
        <w:rPr>
          <w:rFonts w:cs="Arial"/>
          <w:szCs w:val="20"/>
        </w:rPr>
        <w:t>AAA</w:t>
      </w:r>
      <w:r w:rsidR="00021641">
        <w:rPr>
          <w:rFonts w:cs="Arial"/>
          <w:szCs w:val="20"/>
        </w:rPr>
        <w:t xml:space="preserve"> </w:t>
      </w:r>
      <w:r w:rsidR="00963ACE">
        <w:rPr>
          <w:rFonts w:cs="Arial"/>
          <w:szCs w:val="20"/>
        </w:rPr>
        <w:t>CCA</w:t>
      </w:r>
      <w:r w:rsidR="00021641">
        <w:rPr>
          <w:rFonts w:cs="Arial"/>
          <w:szCs w:val="20"/>
        </w:rPr>
        <w:t xml:space="preserve"> </w:t>
      </w:r>
      <w:r w:rsidR="00963ACE">
        <w:rPr>
          <w:rFonts w:cs="Arial"/>
          <w:szCs w:val="20"/>
        </w:rPr>
        <w:t>TAC</w:t>
      </w:r>
      <w:r w:rsidR="00021641">
        <w:rPr>
          <w:rFonts w:cs="Arial"/>
          <w:szCs w:val="20"/>
        </w:rPr>
        <w:t xml:space="preserve"> </w:t>
      </w:r>
      <w:r w:rsidR="00963ACE">
        <w:rPr>
          <w:rFonts w:cs="Arial"/>
          <w:szCs w:val="20"/>
        </w:rPr>
        <w:t>CCA</w:t>
      </w:r>
      <w:r w:rsidR="00021641">
        <w:rPr>
          <w:rFonts w:cs="Arial"/>
          <w:szCs w:val="20"/>
        </w:rPr>
        <w:t xml:space="preserve"> </w:t>
      </w:r>
      <w:r w:rsidR="00963ACE">
        <w:rPr>
          <w:rFonts w:cs="Arial"/>
          <w:szCs w:val="20"/>
        </w:rPr>
        <w:t>GTC</w:t>
      </w:r>
      <w:r w:rsidR="00021641">
        <w:rPr>
          <w:rFonts w:cs="Arial"/>
          <w:szCs w:val="20"/>
        </w:rPr>
        <w:t xml:space="preserve"> </w:t>
      </w:r>
      <w:r w:rsidR="00963ACE">
        <w:rPr>
          <w:rFonts w:cs="Arial"/>
          <w:szCs w:val="20"/>
        </w:rPr>
        <w:t>CCT</w:t>
      </w:r>
      <w:r w:rsidR="00021641">
        <w:rPr>
          <w:rFonts w:cs="Arial"/>
          <w:szCs w:val="20"/>
        </w:rPr>
        <w:t xml:space="preserve"> </w:t>
      </w:r>
      <w:r w:rsidR="00963ACE">
        <w:rPr>
          <w:rFonts w:cs="Arial"/>
          <w:szCs w:val="20"/>
        </w:rPr>
        <w:t>GTT</w:t>
      </w:r>
      <w:r w:rsidR="00021641">
        <w:rPr>
          <w:rFonts w:cs="Arial"/>
          <w:szCs w:val="20"/>
        </w:rPr>
        <w:t xml:space="preserve"> </w:t>
      </w:r>
      <w:r w:rsidR="00963ACE">
        <w:rPr>
          <w:rFonts w:cs="Arial"/>
          <w:szCs w:val="20"/>
        </w:rPr>
        <w:t>T, mRunx2 reverse</w:t>
      </w:r>
      <w:r w:rsidR="00CD440C">
        <w:rPr>
          <w:rFonts w:cs="Arial"/>
          <w:szCs w:val="20"/>
        </w:rPr>
        <w:t>:</w:t>
      </w:r>
      <w:r w:rsidR="00963ACE">
        <w:rPr>
          <w:rFonts w:cs="Arial"/>
          <w:szCs w:val="20"/>
        </w:rPr>
        <w:t xml:space="preserve"> </w:t>
      </w:r>
      <w:r w:rsidR="00963ACE" w:rsidRPr="00963ACE">
        <w:rPr>
          <w:rFonts w:cs="Arial"/>
          <w:szCs w:val="20"/>
        </w:rPr>
        <w:t>AGT</w:t>
      </w:r>
      <w:r w:rsidR="00021641">
        <w:rPr>
          <w:rFonts w:cs="Arial"/>
          <w:szCs w:val="20"/>
        </w:rPr>
        <w:t xml:space="preserve"> </w:t>
      </w:r>
      <w:r w:rsidR="00963ACE" w:rsidRPr="00963ACE">
        <w:rPr>
          <w:rFonts w:cs="Arial"/>
          <w:szCs w:val="20"/>
        </w:rPr>
        <w:t>GCT</w:t>
      </w:r>
      <w:r w:rsidR="00021641">
        <w:rPr>
          <w:rFonts w:cs="Arial"/>
          <w:szCs w:val="20"/>
        </w:rPr>
        <w:t xml:space="preserve"> </w:t>
      </w:r>
      <w:r w:rsidR="00963ACE" w:rsidRPr="00963ACE">
        <w:rPr>
          <w:rFonts w:cs="Arial"/>
          <w:szCs w:val="20"/>
        </w:rPr>
        <w:t>CTA</w:t>
      </w:r>
      <w:r w:rsidR="00021641">
        <w:rPr>
          <w:rFonts w:cs="Arial"/>
          <w:szCs w:val="20"/>
        </w:rPr>
        <w:t xml:space="preserve"> </w:t>
      </w:r>
      <w:r w:rsidR="00963ACE" w:rsidRPr="00963ACE">
        <w:rPr>
          <w:rFonts w:cs="Arial"/>
          <w:szCs w:val="20"/>
        </w:rPr>
        <w:t>ACC</w:t>
      </w:r>
      <w:r w:rsidR="00021641">
        <w:rPr>
          <w:rFonts w:cs="Arial"/>
          <w:szCs w:val="20"/>
        </w:rPr>
        <w:t xml:space="preserve"> </w:t>
      </w:r>
      <w:r w:rsidR="00963ACE" w:rsidRPr="00963ACE">
        <w:rPr>
          <w:rFonts w:cs="Arial"/>
          <w:szCs w:val="20"/>
        </w:rPr>
        <w:t>ACA</w:t>
      </w:r>
      <w:r w:rsidR="00021641">
        <w:rPr>
          <w:rFonts w:cs="Arial"/>
          <w:szCs w:val="20"/>
        </w:rPr>
        <w:t xml:space="preserve"> </w:t>
      </w:r>
      <w:r w:rsidR="00963ACE" w:rsidRPr="00963ACE">
        <w:rPr>
          <w:rFonts w:cs="Arial"/>
          <w:szCs w:val="20"/>
        </w:rPr>
        <w:t>GTC</w:t>
      </w:r>
      <w:r w:rsidR="00021641">
        <w:rPr>
          <w:rFonts w:cs="Arial"/>
          <w:szCs w:val="20"/>
        </w:rPr>
        <w:t xml:space="preserve"> </w:t>
      </w:r>
      <w:r w:rsidR="00963ACE" w:rsidRPr="00963ACE">
        <w:rPr>
          <w:rFonts w:cs="Arial"/>
          <w:szCs w:val="20"/>
        </w:rPr>
        <w:t>CAT</w:t>
      </w:r>
      <w:r w:rsidR="00021641">
        <w:rPr>
          <w:rFonts w:cs="Arial"/>
          <w:szCs w:val="20"/>
        </w:rPr>
        <w:t xml:space="preserve"> </w:t>
      </w:r>
      <w:r w:rsidR="00963ACE" w:rsidRPr="00963ACE">
        <w:rPr>
          <w:rFonts w:cs="Arial"/>
          <w:szCs w:val="20"/>
        </w:rPr>
        <w:t>GCA</w:t>
      </w:r>
      <w:r w:rsidR="00743467">
        <w:rPr>
          <w:rFonts w:cs="Arial"/>
          <w:szCs w:val="20"/>
        </w:rPr>
        <w:t xml:space="preserve">, </w:t>
      </w:r>
      <w:r w:rsidR="00963ACE" w:rsidRPr="00963ACE">
        <w:rPr>
          <w:rFonts w:cs="Arial"/>
          <w:szCs w:val="20"/>
        </w:rPr>
        <w:t>mCol1a1</w:t>
      </w:r>
      <w:r w:rsidR="00CD440C">
        <w:rPr>
          <w:rFonts w:cs="Arial"/>
          <w:szCs w:val="20"/>
        </w:rPr>
        <w:t>:</w:t>
      </w:r>
      <w:r w:rsidR="00743467">
        <w:rPr>
          <w:rFonts w:cs="Arial"/>
          <w:szCs w:val="20"/>
        </w:rPr>
        <w:t xml:space="preserve"> forward </w:t>
      </w:r>
      <w:r w:rsidR="00963ACE" w:rsidRPr="00963ACE">
        <w:rPr>
          <w:rFonts w:cs="Arial"/>
          <w:szCs w:val="20"/>
        </w:rPr>
        <w:t>ACT</w:t>
      </w:r>
      <w:r w:rsidR="00021641">
        <w:rPr>
          <w:rFonts w:cs="Arial"/>
          <w:szCs w:val="20"/>
        </w:rPr>
        <w:t xml:space="preserve"> </w:t>
      </w:r>
      <w:r w:rsidR="00963ACE" w:rsidRPr="00963ACE">
        <w:rPr>
          <w:rFonts w:cs="Arial"/>
          <w:szCs w:val="20"/>
        </w:rPr>
        <w:t>GTC</w:t>
      </w:r>
      <w:r w:rsidR="00021641">
        <w:rPr>
          <w:rFonts w:cs="Arial"/>
          <w:szCs w:val="20"/>
        </w:rPr>
        <w:t xml:space="preserve"> </w:t>
      </w:r>
      <w:r w:rsidR="00963ACE" w:rsidRPr="00963ACE">
        <w:rPr>
          <w:rFonts w:cs="Arial"/>
          <w:szCs w:val="20"/>
        </w:rPr>
        <w:t>CCA</w:t>
      </w:r>
      <w:r w:rsidR="00021641">
        <w:rPr>
          <w:rFonts w:cs="Arial"/>
          <w:szCs w:val="20"/>
        </w:rPr>
        <w:t xml:space="preserve"> </w:t>
      </w:r>
      <w:r w:rsidR="00963ACE" w:rsidRPr="00963ACE">
        <w:rPr>
          <w:rFonts w:cs="Arial"/>
          <w:szCs w:val="20"/>
        </w:rPr>
        <w:t>ACC</w:t>
      </w:r>
      <w:r w:rsidR="00021641">
        <w:rPr>
          <w:rFonts w:cs="Arial"/>
          <w:szCs w:val="20"/>
        </w:rPr>
        <w:t xml:space="preserve"> </w:t>
      </w:r>
      <w:r w:rsidR="00963ACE" w:rsidRPr="00963ACE">
        <w:rPr>
          <w:rFonts w:cs="Arial"/>
          <w:szCs w:val="20"/>
        </w:rPr>
        <w:t>CCC</w:t>
      </w:r>
      <w:r w:rsidR="00021641">
        <w:rPr>
          <w:rFonts w:cs="Arial"/>
          <w:szCs w:val="20"/>
        </w:rPr>
        <w:t xml:space="preserve"> </w:t>
      </w:r>
      <w:r w:rsidR="00963ACE" w:rsidRPr="00963ACE">
        <w:rPr>
          <w:rFonts w:cs="Arial"/>
          <w:szCs w:val="20"/>
        </w:rPr>
        <w:t>AAA</w:t>
      </w:r>
      <w:r w:rsidR="00021641">
        <w:rPr>
          <w:rFonts w:cs="Arial"/>
          <w:szCs w:val="20"/>
        </w:rPr>
        <w:t xml:space="preserve"> </w:t>
      </w:r>
      <w:r w:rsidR="00963ACE" w:rsidRPr="00963ACE">
        <w:rPr>
          <w:rFonts w:cs="Arial"/>
          <w:szCs w:val="20"/>
        </w:rPr>
        <w:t>G</w:t>
      </w:r>
      <w:r w:rsidR="003721FC">
        <w:rPr>
          <w:rFonts w:cs="Arial"/>
          <w:szCs w:val="20"/>
        </w:rPr>
        <w:t>,</w:t>
      </w:r>
      <w:r w:rsidR="00743467">
        <w:rPr>
          <w:rFonts w:cs="Arial"/>
          <w:szCs w:val="20"/>
        </w:rPr>
        <w:t xml:space="preserve"> Ccol1a1 reverse</w:t>
      </w:r>
      <w:r w:rsidR="00CD440C">
        <w:rPr>
          <w:rFonts w:cs="Arial"/>
          <w:szCs w:val="20"/>
        </w:rPr>
        <w:t>:</w:t>
      </w:r>
      <w:r w:rsidR="00743467">
        <w:rPr>
          <w:rFonts w:cs="Arial"/>
          <w:szCs w:val="20"/>
        </w:rPr>
        <w:t xml:space="preserve"> </w:t>
      </w:r>
      <w:r w:rsidR="00963ACE" w:rsidRPr="00963ACE">
        <w:rPr>
          <w:rFonts w:cs="Arial"/>
          <w:szCs w:val="20"/>
        </w:rPr>
        <w:t>ACG</w:t>
      </w:r>
      <w:r w:rsidR="00021641">
        <w:rPr>
          <w:rFonts w:cs="Arial"/>
          <w:szCs w:val="20"/>
        </w:rPr>
        <w:t xml:space="preserve"> </w:t>
      </w:r>
      <w:r w:rsidR="00963ACE" w:rsidRPr="00963ACE">
        <w:rPr>
          <w:rFonts w:cs="Arial"/>
          <w:szCs w:val="20"/>
        </w:rPr>
        <w:t>TAT</w:t>
      </w:r>
      <w:r w:rsidR="00021641">
        <w:rPr>
          <w:rFonts w:cs="Arial"/>
          <w:szCs w:val="20"/>
        </w:rPr>
        <w:t xml:space="preserve"> </w:t>
      </w:r>
      <w:r w:rsidR="00963ACE" w:rsidRPr="00963ACE">
        <w:rPr>
          <w:rFonts w:cs="Arial"/>
          <w:szCs w:val="20"/>
        </w:rPr>
        <w:t>TCT</w:t>
      </w:r>
      <w:r w:rsidR="00021641">
        <w:rPr>
          <w:rFonts w:cs="Arial"/>
          <w:szCs w:val="20"/>
        </w:rPr>
        <w:t xml:space="preserve"> </w:t>
      </w:r>
      <w:r w:rsidR="00963ACE" w:rsidRPr="00963ACE">
        <w:rPr>
          <w:rFonts w:cs="Arial"/>
          <w:szCs w:val="20"/>
        </w:rPr>
        <w:t>TCC</w:t>
      </w:r>
      <w:r w:rsidR="00021641">
        <w:rPr>
          <w:rFonts w:cs="Arial"/>
          <w:szCs w:val="20"/>
        </w:rPr>
        <w:t xml:space="preserve"> </w:t>
      </w:r>
      <w:r w:rsidR="00963ACE" w:rsidRPr="00963ACE">
        <w:rPr>
          <w:rFonts w:cs="Arial"/>
          <w:szCs w:val="20"/>
        </w:rPr>
        <w:t>GGG</w:t>
      </w:r>
      <w:r w:rsidR="00021641">
        <w:rPr>
          <w:rFonts w:cs="Arial"/>
          <w:szCs w:val="20"/>
        </w:rPr>
        <w:t xml:space="preserve"> </w:t>
      </w:r>
      <w:r w:rsidR="00963ACE" w:rsidRPr="00963ACE">
        <w:rPr>
          <w:rFonts w:cs="Arial"/>
          <w:szCs w:val="20"/>
        </w:rPr>
        <w:t>CAG</w:t>
      </w:r>
      <w:r w:rsidR="00021641">
        <w:rPr>
          <w:rFonts w:cs="Arial"/>
          <w:szCs w:val="20"/>
        </w:rPr>
        <w:t xml:space="preserve"> </w:t>
      </w:r>
      <w:r w:rsidR="00963ACE" w:rsidRPr="00963ACE">
        <w:rPr>
          <w:rFonts w:cs="Arial"/>
          <w:szCs w:val="20"/>
        </w:rPr>
        <w:t>AA</w:t>
      </w:r>
      <w:r w:rsidR="00743467">
        <w:rPr>
          <w:rFonts w:cs="Arial"/>
          <w:szCs w:val="20"/>
        </w:rPr>
        <w:t>.</w:t>
      </w:r>
      <w:r w:rsidR="009333AB">
        <w:rPr>
          <w:rFonts w:cs="Arial"/>
          <w:szCs w:val="20"/>
        </w:rPr>
        <w:t xml:space="preserve"> For </w:t>
      </w:r>
      <w:r w:rsidR="009333AB" w:rsidRPr="002362C2">
        <w:rPr>
          <w:rFonts w:cs="Arial"/>
          <w:szCs w:val="20"/>
        </w:rPr>
        <w:t xml:space="preserve">results see </w:t>
      </w:r>
      <w:r w:rsidR="009333AB" w:rsidRPr="002362C2">
        <w:rPr>
          <w:rFonts w:cs="Arial"/>
          <w:b/>
          <w:szCs w:val="20"/>
        </w:rPr>
        <w:t xml:space="preserve">Extended Data Fig. </w:t>
      </w:r>
      <w:r w:rsidR="00AA301C">
        <w:rPr>
          <w:rFonts w:cs="Arial"/>
          <w:b/>
          <w:szCs w:val="20"/>
        </w:rPr>
        <w:t>3</w:t>
      </w:r>
      <w:r w:rsidR="00AA301C" w:rsidRPr="002362C2">
        <w:rPr>
          <w:rFonts w:cs="Arial"/>
          <w:b/>
          <w:szCs w:val="20"/>
        </w:rPr>
        <w:t>d</w:t>
      </w:r>
      <w:r w:rsidR="009333AB" w:rsidRPr="002362C2">
        <w:rPr>
          <w:rFonts w:cs="Arial"/>
          <w:szCs w:val="20"/>
        </w:rPr>
        <w:t>.</w:t>
      </w:r>
      <w:r w:rsidR="00686B18">
        <w:rPr>
          <w:rFonts w:cs="Arial"/>
          <w:szCs w:val="20"/>
        </w:rPr>
        <w:t xml:space="preserve"> Expression within sd</w:t>
      </w:r>
      <w:r w:rsidR="00686B18" w:rsidRPr="00686B18">
        <w:rPr>
          <w:rFonts w:cs="Arial"/>
          <w:i/>
          <w:szCs w:val="20"/>
        </w:rPr>
        <w:t>En1</w:t>
      </w:r>
      <w:r w:rsidR="00686B18">
        <w:rPr>
          <w:rFonts w:cs="Arial"/>
          <w:i/>
          <w:szCs w:val="20"/>
        </w:rPr>
        <w:t xml:space="preserve"> </w:t>
      </w:r>
      <w:r w:rsidR="00686B18">
        <w:rPr>
          <w:rFonts w:cs="Arial"/>
          <w:szCs w:val="20"/>
        </w:rPr>
        <w:t xml:space="preserve">is likely due to detection of the non-functional </w:t>
      </w:r>
      <w:r w:rsidR="00686B18" w:rsidRPr="00686B18">
        <w:rPr>
          <w:rFonts w:cs="Arial"/>
          <w:i/>
          <w:szCs w:val="20"/>
        </w:rPr>
        <w:t>En1</w:t>
      </w:r>
      <w:r w:rsidR="00686B18" w:rsidRPr="00686B18">
        <w:rPr>
          <w:rFonts w:cs="Arial"/>
          <w:i/>
          <w:szCs w:val="20"/>
          <w:vertAlign w:val="superscript"/>
        </w:rPr>
        <w:t>Cre</w:t>
      </w:r>
      <w:r w:rsidR="00686B18">
        <w:rPr>
          <w:rFonts w:cs="Arial"/>
          <w:szCs w:val="20"/>
        </w:rPr>
        <w:t xml:space="preserve"> allele.</w:t>
      </w:r>
    </w:p>
    <w:p w14:paraId="299A0A26" w14:textId="77777777" w:rsidR="00CB3EFF" w:rsidRPr="002362C2" w:rsidRDefault="00CB3EFF" w:rsidP="0019753A">
      <w:pPr>
        <w:rPr>
          <w:rFonts w:cs="Arial"/>
          <w:szCs w:val="20"/>
        </w:rPr>
      </w:pPr>
    </w:p>
    <w:p w14:paraId="4C7BB745" w14:textId="15E580C9" w:rsidR="007F20E7" w:rsidRPr="002362C2" w:rsidRDefault="00CE3CAC" w:rsidP="00061DFC">
      <w:pPr>
        <w:pStyle w:val="Heading4"/>
      </w:pPr>
      <w:proofErr w:type="spellStart"/>
      <w:r w:rsidRPr="002362C2">
        <w:t>StepOnePlus</w:t>
      </w:r>
      <w:proofErr w:type="spellEnd"/>
      <w:r w:rsidRPr="002362C2">
        <w:t xml:space="preserve"> Real Time PCR system</w:t>
      </w:r>
    </w:p>
    <w:p w14:paraId="47984374" w14:textId="1E156190" w:rsidR="007F20E7" w:rsidRPr="002362C2" w:rsidRDefault="007F20E7">
      <w:pPr>
        <w:rPr>
          <w:rFonts w:cs="Arial"/>
          <w:szCs w:val="20"/>
        </w:rPr>
      </w:pPr>
      <w:r w:rsidRPr="002362C2">
        <w:t xml:space="preserve">Total RNA </w:t>
      </w:r>
      <w:r w:rsidR="002E0C4C">
        <w:t xml:space="preserve">from whole vertebral bone extract </w:t>
      </w:r>
      <w:r w:rsidRPr="002362C2">
        <w:t xml:space="preserve">was prepared using </w:t>
      </w:r>
      <w:proofErr w:type="spellStart"/>
      <w:r w:rsidRPr="002362C2">
        <w:t>TRIZOLreagent</w:t>
      </w:r>
      <w:proofErr w:type="spellEnd"/>
      <w:r w:rsidRPr="002362C2">
        <w:t xml:space="preserve"> (Sigma) followed by RNeasy Mini Kit (</w:t>
      </w:r>
      <w:proofErr w:type="spellStart"/>
      <w:r w:rsidRPr="002362C2">
        <w:t>Qiagen</w:t>
      </w:r>
      <w:proofErr w:type="spellEnd"/>
      <w:r w:rsidRPr="002362C2">
        <w:t xml:space="preserve">). The RNA was reverse transcribed into cDNA using </w:t>
      </w:r>
      <w:proofErr w:type="spellStart"/>
      <w:r w:rsidRPr="002362C2">
        <w:t>cDNAkit</w:t>
      </w:r>
      <w:proofErr w:type="spellEnd"/>
      <w:r w:rsidRPr="002362C2">
        <w:t xml:space="preserve"> (</w:t>
      </w:r>
      <w:proofErr w:type="spellStart"/>
      <w:r w:rsidRPr="002362C2">
        <w:t>Appled</w:t>
      </w:r>
      <w:proofErr w:type="spellEnd"/>
      <w:r w:rsidRPr="002362C2">
        <w:t xml:space="preserve"> </w:t>
      </w:r>
      <w:proofErr w:type="spellStart"/>
      <w:r w:rsidRPr="002362C2">
        <w:t>Biosystems</w:t>
      </w:r>
      <w:proofErr w:type="spellEnd"/>
      <w:r w:rsidRPr="002362C2">
        <w:t xml:space="preserve">) and real-time PCR analysis was performed using custom designed real-time PCR assays and the </w:t>
      </w:r>
      <w:proofErr w:type="spellStart"/>
      <w:r w:rsidRPr="002362C2">
        <w:t>StepOnePlus</w:t>
      </w:r>
      <w:proofErr w:type="spellEnd"/>
      <w:r w:rsidRPr="002362C2">
        <w:t xml:space="preserve"> Real Time PCR system (Applied </w:t>
      </w:r>
      <w:proofErr w:type="spellStart"/>
      <w:r w:rsidRPr="002362C2">
        <w:t>Biosystems</w:t>
      </w:r>
      <w:proofErr w:type="spellEnd"/>
      <w:r w:rsidRPr="002362C2">
        <w:t>). Primers used are: forward ACT CAT GGG TTC GGC TAA CG, reverse GAC GGT CCG AAT AGC GTG T, and probe CGG TGG TCA AGA CTG ACT CA.</w:t>
      </w:r>
      <w:r w:rsidR="00481A61" w:rsidRPr="002362C2">
        <w:t xml:space="preserve"> </w:t>
      </w:r>
      <w:r w:rsidRPr="002362C2">
        <w:t xml:space="preserve">18S ribosomal RNA (4310893E Applied </w:t>
      </w:r>
      <w:proofErr w:type="spellStart"/>
      <w:r w:rsidRPr="002362C2">
        <w:t>Biosystems</w:t>
      </w:r>
      <w:proofErr w:type="spellEnd"/>
      <w:r w:rsidRPr="002362C2">
        <w:t>) was included as an internal standard.</w:t>
      </w:r>
      <w:r w:rsidR="00ED3582" w:rsidRPr="002362C2">
        <w:rPr>
          <w:rFonts w:cs="Arial"/>
          <w:szCs w:val="20"/>
        </w:rPr>
        <w:t xml:space="preserve"> For results see </w:t>
      </w:r>
      <w:r w:rsidR="00ED3582" w:rsidRPr="002362C2">
        <w:rPr>
          <w:rFonts w:cs="Arial"/>
          <w:b/>
          <w:szCs w:val="20"/>
        </w:rPr>
        <w:t xml:space="preserve">Extended Data Fig. </w:t>
      </w:r>
      <w:r w:rsidR="00330187">
        <w:rPr>
          <w:rFonts w:cs="Arial"/>
          <w:b/>
          <w:szCs w:val="20"/>
        </w:rPr>
        <w:t>3</w:t>
      </w:r>
      <w:r w:rsidR="005E11ED" w:rsidRPr="002362C2">
        <w:rPr>
          <w:rFonts w:cs="Arial"/>
          <w:b/>
          <w:szCs w:val="20"/>
        </w:rPr>
        <w:t>e</w:t>
      </w:r>
      <w:r w:rsidR="00ED3582" w:rsidRPr="002362C2">
        <w:rPr>
          <w:rFonts w:cs="Arial"/>
          <w:szCs w:val="20"/>
        </w:rPr>
        <w:t>.</w:t>
      </w:r>
      <w:r w:rsidR="00A23ABC">
        <w:rPr>
          <w:rFonts w:cs="Arial"/>
          <w:szCs w:val="20"/>
        </w:rPr>
        <w:t xml:space="preserve"> E</w:t>
      </w:r>
      <w:r w:rsidR="00686B18">
        <w:rPr>
          <w:rFonts w:cs="Arial"/>
          <w:szCs w:val="20"/>
        </w:rPr>
        <w:t>xpression within sd</w:t>
      </w:r>
      <w:r w:rsidR="00686B18" w:rsidRPr="00686B18">
        <w:rPr>
          <w:rFonts w:cs="Arial"/>
          <w:i/>
          <w:szCs w:val="20"/>
        </w:rPr>
        <w:t>En1</w:t>
      </w:r>
      <w:r w:rsidR="00686B18">
        <w:rPr>
          <w:rFonts w:cs="Arial"/>
          <w:i/>
          <w:szCs w:val="20"/>
        </w:rPr>
        <w:t xml:space="preserve"> </w:t>
      </w:r>
      <w:r w:rsidR="00686B18">
        <w:rPr>
          <w:rFonts w:cs="Arial"/>
          <w:szCs w:val="20"/>
        </w:rPr>
        <w:t xml:space="preserve">is likely due to detection of the non-functional </w:t>
      </w:r>
      <w:r w:rsidR="00686B18" w:rsidRPr="00686B18">
        <w:rPr>
          <w:rFonts w:cs="Arial"/>
          <w:i/>
          <w:szCs w:val="20"/>
        </w:rPr>
        <w:t>En1</w:t>
      </w:r>
      <w:r w:rsidR="00686B18" w:rsidRPr="00686B18">
        <w:rPr>
          <w:rFonts w:cs="Arial"/>
          <w:i/>
          <w:szCs w:val="20"/>
          <w:vertAlign w:val="superscript"/>
        </w:rPr>
        <w:t>Cre</w:t>
      </w:r>
      <w:r w:rsidR="00686B18">
        <w:rPr>
          <w:rFonts w:cs="Arial"/>
          <w:szCs w:val="20"/>
        </w:rPr>
        <w:t xml:space="preserve"> allele.</w:t>
      </w:r>
    </w:p>
    <w:p w14:paraId="395850A4" w14:textId="289FD584" w:rsidR="00D90598" w:rsidRPr="00C203B3" w:rsidRDefault="00D90598" w:rsidP="00C203B3">
      <w:pPr>
        <w:pStyle w:val="Heading3"/>
      </w:pPr>
      <w:r w:rsidRPr="00C203B3">
        <w:t>Murine bone histology</w:t>
      </w:r>
    </w:p>
    <w:p w14:paraId="6CBAE107" w14:textId="4720CAB2" w:rsidR="00D90598" w:rsidRPr="00D90598" w:rsidRDefault="00D90598" w:rsidP="00D90598">
      <w:pPr>
        <w:rPr>
          <w:iCs/>
          <w:lang w:val="en-GB"/>
        </w:rPr>
      </w:pPr>
      <w:r w:rsidRPr="00D90598">
        <w:rPr>
          <w:i/>
          <w:lang w:val="en-GB"/>
        </w:rPr>
        <w:t>Mouse bone tissue preparation</w:t>
      </w:r>
      <w:r>
        <w:rPr>
          <w:i/>
          <w:lang w:val="en-GB"/>
        </w:rPr>
        <w:t xml:space="preserve">: </w:t>
      </w:r>
      <w:r w:rsidR="003C72C0">
        <w:rPr>
          <w:lang w:val="en-GB"/>
        </w:rPr>
        <w:t>Two</w:t>
      </w:r>
      <w:r w:rsidRPr="00D90598">
        <w:rPr>
          <w:lang w:val="en-GB"/>
        </w:rPr>
        <w:t xml:space="preserve">-month old </w:t>
      </w:r>
      <w:r w:rsidRPr="00D90598">
        <w:rPr>
          <w:i/>
          <w:iCs/>
          <w:lang w:val="en-GB"/>
        </w:rPr>
        <w:t>En1</w:t>
      </w:r>
      <w:r w:rsidRPr="00D90598">
        <w:rPr>
          <w:i/>
          <w:iCs/>
          <w:vertAlign w:val="superscript"/>
          <w:lang w:val="en-GB"/>
        </w:rPr>
        <w:t>lacZ/+</w:t>
      </w:r>
      <w:r w:rsidRPr="00D90598">
        <w:rPr>
          <w:lang w:val="en-GB"/>
        </w:rPr>
        <w:t xml:space="preserve"> mice</w:t>
      </w:r>
      <w:r w:rsidR="00E0343E">
        <w:rPr>
          <w:lang w:val="en-GB"/>
        </w:rPr>
        <w:fldChar w:fldCharType="begin"/>
      </w:r>
      <w:r w:rsidR="00735D55">
        <w:rPr>
          <w:lang w:val="en-GB"/>
        </w:rPr>
        <w:instrText xml:space="preserve"> ADDIN PAPERS2_CITATIONS &lt;citation&gt;&lt;uuid&gt;BCF94572-D64A-48AD-BDEF-20A43501761D&lt;/uuid&gt;&lt;priority&gt;0&lt;/priority&gt;&lt;publications&gt;&lt;publication&gt;&lt;uuid&gt;150660CC-90B7-4D1A-81AB-81CD38F95FB2&lt;/uuid&gt;&lt;volume&gt;269&lt;/volume&gt;&lt;startpage&gt;679&lt;/startpage&gt;&lt;publication_date&gt;99199508041200000000222000&lt;/publication_date&gt;&lt;url&gt;http://eutils.ncbi.nlm.nih.gov/entrez/eutils/elink.fcgi?dbfrom=pubmed&amp;amp;id=7624797&amp;amp;retmode=ref&amp;amp;cmd=prlinks&lt;/url&gt;&lt;citekey&gt;Hanks:1995tn&lt;/citekey&gt;&lt;type&gt;400&lt;/type&gt;&lt;title&gt;Rescue of the En-1 mutant phenotype by replacement of En-1 with En-2.&lt;/title&gt;&lt;location&gt;&amp;lt;html&amp;gt;&amp;lt;head&amp;gt;&amp;lt;meta http-equiv="content-type" content="text/html; charset=utf-8"/&amp;gt;&amp;lt;title&amp;gt;Sorry...&amp;lt;/title&amp;gt;&amp;lt;style&amp;gt; body { font-family: verdana, arial, sans-serif; background-color: #fff; color: #000; }&amp;lt;/style&amp;gt;&amp;lt;/head&amp;gt;&amp;lt;body&amp;gt;&amp;lt;div&amp;gt;&amp;lt;table&amp;gt;&amp;lt;tr&amp;gt;&amp;lt;td&amp;gt;&amp;lt;b&amp;gt;&amp;lt;font face=times color=#0039b6 size=10&amp;gt;G&amp;lt;/font&amp;gt;&amp;lt;font face=times color=#c41200 size=10&amp;gt;o&amp;lt;/font&amp;gt;&amp;lt;font face=times color=#f3c518 size=10&amp;gt;o&amp;lt;/font&amp;gt;&amp;lt;font face=times color=#0039b6 size=10&amp;gt;g&amp;lt;/font&amp;gt;&amp;lt;font face=times color=#30a72f size=10&amp;gt;l&amp;lt;/font&amp;gt;&amp;lt;font face=times color=#c41200 size=10&amp;gt;e&amp;lt;/font&amp;gt;&amp;lt;/b&amp;gt;&amp;lt;/td&amp;gt;&amp;lt;td style="text-align: left; vertical-align: bottom; padding-bottom: 15px; width: 50%"&amp;gt;&amp;lt;div style="border-bottom: 1px solid #dfdfdf;"&amp;gt;Sorry...&amp;lt;/div&amp;gt;&amp;lt;/td&amp;gt;&amp;lt;/tr&amp;gt;&amp;lt;/table&amp;gt;&amp;lt;/div&amp;gt;&amp;lt;div style="margin-left: 4em;"&amp;gt;&amp;lt;h1&amp;gt;We're sorry...&amp;lt;/h1&amp;gt;&amp;lt;p&amp;gt;... but your computer or network may be sending automated queries. To protect our users, we can't process your request right now.&amp;lt;/p&amp;gt;&amp;lt;/div&amp;gt;&amp;lt;div style="margin-left: 4em;"&amp;gt;See &amp;lt;a href="https://support.google.com/websearch/answer/86640"&amp;gt;Google Help&amp;lt;/a&amp;gt; for more information.&amp;lt;br/&amp;gt;&amp;lt;br/&amp;gt;&amp;lt;/div&amp;gt;&amp;lt;div style="text-align: center; border-top: 1px solid #dfdfdf;"&amp;gt;&amp;amp;copy; 2013 Google - &amp;lt;a href="https://www.google.com"&amp;gt;Google Home&amp;lt;/a&amp;gt;&amp;lt;/div&amp;gt;&amp;lt;/body&amp;gt;&amp;lt;/html&amp;gt;&lt;/location&gt;&lt;institution&gt;Division of Molecular and Developmental Biology, Samuel Lunenfeld Research Institute, Mt. Sinai Hospital, Toronto, Canada.&lt;/institution&gt;&lt;number&gt;5224&lt;/number&gt;&lt;subtype&gt;400&lt;/subtype&gt;&lt;endpage&gt;682&lt;/endpage&gt;&lt;bundle&gt;&lt;publication&gt;&lt;publisher&gt;AAAS&lt;/publisher&gt;&lt;url&gt;http://www.sciencemag.org.proxy2.library.mcgill.ca&lt;/url&gt;&lt;title&gt;Science&lt;/title&gt;&lt;type&gt;-100&lt;/type&gt;&lt;subtype&gt;-100&lt;/subtype&gt;&lt;uuid&gt;F5DFD51E-1FBC-4E6B-AADD-A60F960AB079&lt;/uuid&gt;&lt;/publication&gt;&lt;/bundle&gt;&lt;authors&gt;&lt;author&gt;&lt;firstName&gt;M&lt;/firstName&gt;&lt;lastName&gt;Hanks&lt;/lastName&gt;&lt;/author&gt;&lt;author&gt;&lt;firstName&gt;W&lt;/firstName&gt;&lt;lastName&gt;Wurst&lt;/lastName&gt;&lt;/author&gt;&lt;author&gt;&lt;firstName&gt;L&lt;/firstName&gt;&lt;lastName&gt;Anson-Cartwright&lt;/lastName&gt;&lt;/author&gt;&lt;author&gt;&lt;firstName&gt;A&lt;/firstName&gt;&lt;middleNames&gt;B&lt;/middleNames&gt;&lt;lastName&gt;Auerbach&lt;/lastName&gt;&lt;/author&gt;&lt;author&gt;&lt;firstName&gt;A&lt;/firstName&gt;&lt;middleNames&gt;L&lt;/middleNames&gt;&lt;lastName&gt;Joyner&lt;/lastName&gt;&lt;/author&gt;&lt;/authors&gt;&lt;/publication&gt;&lt;/publications&gt;&lt;cites&gt;&lt;/cites&gt;&lt;/citation&gt;</w:instrText>
      </w:r>
      <w:r w:rsidR="00E0343E">
        <w:rPr>
          <w:lang w:val="en-GB"/>
        </w:rPr>
        <w:fldChar w:fldCharType="separate"/>
      </w:r>
      <w:r w:rsidR="002D628F">
        <w:rPr>
          <w:rFonts w:cs="Times New Roman"/>
          <w:szCs w:val="20"/>
          <w:vertAlign w:val="superscript"/>
        </w:rPr>
        <w:t>31</w:t>
      </w:r>
      <w:r w:rsidR="00E0343E">
        <w:rPr>
          <w:lang w:val="en-GB"/>
        </w:rPr>
        <w:fldChar w:fldCharType="end"/>
      </w:r>
      <w:r w:rsidR="00B13E91">
        <w:rPr>
          <w:lang w:val="en-GB"/>
        </w:rPr>
        <w:t xml:space="preserve"> </w:t>
      </w:r>
      <w:r w:rsidRPr="00D90598">
        <w:rPr>
          <w:lang w:val="en-GB"/>
        </w:rPr>
        <w:t>were euthanized by CO</w:t>
      </w:r>
      <w:r w:rsidRPr="00D90598">
        <w:rPr>
          <w:vertAlign w:val="subscript"/>
          <w:lang w:val="en-GB"/>
        </w:rPr>
        <w:t>2</w:t>
      </w:r>
      <w:r w:rsidRPr="00D90598">
        <w:rPr>
          <w:lang w:val="en-GB"/>
        </w:rPr>
        <w:t xml:space="preserve"> suffocation and the vertebrae from T13 to S1 were collected as a whole block on ice-cold phosphate-buffered saline (PBS). Soft tissue was gently removed with blunt scissors and a size-11 surgical blade, until the intervertebral discs were visible. The vertebral blocks were then fixed by immersion in 0.25% </w:t>
      </w:r>
      <w:proofErr w:type="spellStart"/>
      <w:r w:rsidRPr="00D90598">
        <w:rPr>
          <w:lang w:val="en-GB"/>
        </w:rPr>
        <w:t>glutaraldehyde</w:t>
      </w:r>
      <w:proofErr w:type="spellEnd"/>
      <w:r w:rsidRPr="00D90598">
        <w:rPr>
          <w:lang w:val="en-GB"/>
        </w:rPr>
        <w:t xml:space="preserve"> in PBS for 90 minutes at room temperature (RT). After several washes with PBS, the vertebrae were decalcified for 4 days with EDTA 0.5M pH 7.4 at 4°C (2 changes per day), followed by further washes with PBS. The tissue was then </w:t>
      </w:r>
      <w:proofErr w:type="spellStart"/>
      <w:r w:rsidRPr="00D90598">
        <w:rPr>
          <w:lang w:val="en-GB"/>
        </w:rPr>
        <w:t>cryoprotected</w:t>
      </w:r>
      <w:proofErr w:type="spellEnd"/>
      <w:r w:rsidRPr="00D90598">
        <w:rPr>
          <w:lang w:val="en-GB"/>
        </w:rPr>
        <w:t xml:space="preserve"> by incubation with a solution of 30% sucrose in PBS overnight at 4°C, and then embedded in OCT compound (Tissue-</w:t>
      </w:r>
      <w:proofErr w:type="spellStart"/>
      <w:r w:rsidRPr="00D90598">
        <w:rPr>
          <w:lang w:val="en-GB"/>
        </w:rPr>
        <w:t>Tek</w:t>
      </w:r>
      <w:proofErr w:type="spellEnd"/>
      <w:r w:rsidRPr="00D90598">
        <w:rPr>
          <w:lang w:val="en-GB"/>
        </w:rPr>
        <w:t xml:space="preserve">) using dry-ice-cold </w:t>
      </w:r>
      <w:proofErr w:type="spellStart"/>
      <w:r w:rsidRPr="00D90598">
        <w:rPr>
          <w:lang w:val="en-GB"/>
        </w:rPr>
        <w:t>isopentane</w:t>
      </w:r>
      <w:proofErr w:type="spellEnd"/>
      <w:r w:rsidRPr="00D90598">
        <w:rPr>
          <w:lang w:val="en-GB"/>
        </w:rPr>
        <w:t xml:space="preserve"> (Sigma).</w:t>
      </w:r>
    </w:p>
    <w:p w14:paraId="5857B5D0" w14:textId="77777777" w:rsidR="00D90598" w:rsidRDefault="00D90598" w:rsidP="00D90598">
      <w:pPr>
        <w:rPr>
          <w:b/>
          <w:u w:val="single"/>
        </w:rPr>
      </w:pPr>
      <w:r>
        <w:rPr>
          <w:b/>
          <w:u w:val="single"/>
        </w:rPr>
        <w:t xml:space="preserve"> </w:t>
      </w:r>
    </w:p>
    <w:p w14:paraId="2E0DCFCB" w14:textId="334A53B1" w:rsidR="00D90598" w:rsidRPr="00824DFF" w:rsidRDefault="00D90598" w:rsidP="00D90598">
      <w:r w:rsidRPr="00824DFF">
        <w:rPr>
          <w:i/>
          <w:lang w:val="en-GB"/>
        </w:rPr>
        <w:t xml:space="preserve">Histochemical methods: </w:t>
      </w:r>
      <w:r w:rsidRPr="00824DFF">
        <w:rPr>
          <w:lang w:val="en-GB"/>
        </w:rPr>
        <w:t xml:space="preserve">10-micron sections were collected with a Leica Cryostat on </w:t>
      </w:r>
      <w:proofErr w:type="spellStart"/>
      <w:r w:rsidRPr="00824DFF">
        <w:rPr>
          <w:lang w:val="en-GB"/>
        </w:rPr>
        <w:t>SuperFrost</w:t>
      </w:r>
      <w:proofErr w:type="spellEnd"/>
      <w:r w:rsidRPr="00824DFF">
        <w:rPr>
          <w:lang w:val="en-GB"/>
        </w:rPr>
        <w:t xml:space="preserve"> slides (Fisher) and allowed to dry overnight. Sections were stored at –80°C until use. For enzymatic detection of β-</w:t>
      </w:r>
      <w:proofErr w:type="spellStart"/>
      <w:r w:rsidRPr="00824DFF">
        <w:rPr>
          <w:lang w:val="en-GB"/>
        </w:rPr>
        <w:t>galactosidase</w:t>
      </w:r>
      <w:proofErr w:type="spellEnd"/>
      <w:r w:rsidRPr="00824DFF">
        <w:rPr>
          <w:lang w:val="en-GB"/>
        </w:rPr>
        <w:t xml:space="preserve"> activity, slides were allowed to reach room temperature (RT) in a closed box, and OCT was washed away for 15 minutes with warm PBS (37°C), followed with several extra PBS washes. The sections were post</w:t>
      </w:r>
      <w:r w:rsidR="001D22E3">
        <w:rPr>
          <w:lang w:val="en-GB"/>
        </w:rPr>
        <w:t>-</w:t>
      </w:r>
      <w:r w:rsidRPr="00824DFF">
        <w:rPr>
          <w:lang w:val="en-GB"/>
        </w:rPr>
        <w:t>fixed 5 minutes with 4% paraformaldehyde (PFA, Electron Microscopy Sciences) in PBS at RT. After PBS washes, the sections were incubated 2x5 minutes with X-gal buffer (2mM MgCl</w:t>
      </w:r>
      <w:r w:rsidRPr="00824DFF">
        <w:rPr>
          <w:vertAlign w:val="subscript"/>
          <w:lang w:val="en-GB"/>
        </w:rPr>
        <w:t>2</w:t>
      </w:r>
      <w:r w:rsidRPr="00824DFF">
        <w:rPr>
          <w:lang w:val="en-GB"/>
        </w:rPr>
        <w:t xml:space="preserve">, 0.02% NP40 and 0.05% </w:t>
      </w:r>
      <w:proofErr w:type="spellStart"/>
      <w:r w:rsidRPr="00824DFF">
        <w:rPr>
          <w:lang w:val="en-GB"/>
        </w:rPr>
        <w:t>deoxycholate</w:t>
      </w:r>
      <w:proofErr w:type="spellEnd"/>
      <w:r w:rsidRPr="00824DFF">
        <w:rPr>
          <w:lang w:val="en-GB"/>
        </w:rPr>
        <w:t xml:space="preserve"> in PBS 0.1M pH 7.4) and then overnight at 37°C in X-gal reaction buffer (20 mg/ml X-gal, 5mM K</w:t>
      </w:r>
      <w:r w:rsidRPr="00824DFF">
        <w:rPr>
          <w:vertAlign w:val="subscript"/>
          <w:lang w:val="en-GB"/>
        </w:rPr>
        <w:t>4</w:t>
      </w:r>
      <w:r w:rsidRPr="00824DFF">
        <w:rPr>
          <w:lang w:val="en-GB"/>
        </w:rPr>
        <w:t>Fe(CN)</w:t>
      </w:r>
      <w:r w:rsidRPr="00824DFF">
        <w:rPr>
          <w:vertAlign w:val="subscript"/>
          <w:lang w:val="en-GB"/>
        </w:rPr>
        <w:t>6</w:t>
      </w:r>
      <w:r w:rsidRPr="00824DFF">
        <w:rPr>
          <w:lang w:val="en-GB"/>
        </w:rPr>
        <w:t xml:space="preserve"> and 5mM K</w:t>
      </w:r>
      <w:r w:rsidRPr="00824DFF">
        <w:rPr>
          <w:vertAlign w:val="subscript"/>
          <w:lang w:val="en-GB"/>
        </w:rPr>
        <w:t>3</w:t>
      </w:r>
      <w:r w:rsidRPr="00824DFF">
        <w:rPr>
          <w:lang w:val="en-GB"/>
        </w:rPr>
        <w:t>Fe(CN)</w:t>
      </w:r>
      <w:r w:rsidRPr="00824DFF">
        <w:rPr>
          <w:vertAlign w:val="subscript"/>
          <w:lang w:val="en-GB"/>
        </w:rPr>
        <w:t>6</w:t>
      </w:r>
      <w:r w:rsidRPr="00824DFF">
        <w:rPr>
          <w:lang w:val="en-GB"/>
        </w:rPr>
        <w:t xml:space="preserve"> in X-gal wash buffer). After PBS rinses, the sections were </w:t>
      </w:r>
      <w:proofErr w:type="spellStart"/>
      <w:r w:rsidRPr="00824DFF">
        <w:rPr>
          <w:lang w:val="en-GB"/>
        </w:rPr>
        <w:t>postfixed</w:t>
      </w:r>
      <w:proofErr w:type="spellEnd"/>
      <w:r w:rsidRPr="00824DFF">
        <w:rPr>
          <w:lang w:val="en-GB"/>
        </w:rPr>
        <w:t xml:space="preserve"> 10 minutes in 4% PFA and PBS-rinsed again. At this point, if only X-gal staining was required, the sections were then counterstained with Nuclear Fast Red 0.005% for 15 minutes, serially dehydrated, incubated 3x1 min with xylene, and cover</w:t>
      </w:r>
      <w:r w:rsidR="001D22E3">
        <w:rPr>
          <w:lang w:val="en-GB"/>
        </w:rPr>
        <w:t>-</w:t>
      </w:r>
      <w:r w:rsidRPr="00824DFF">
        <w:rPr>
          <w:lang w:val="en-GB"/>
        </w:rPr>
        <w:t xml:space="preserve">slipped using DPX </w:t>
      </w:r>
      <w:proofErr w:type="spellStart"/>
      <w:r w:rsidRPr="00824DFF">
        <w:rPr>
          <w:lang w:val="en-GB"/>
        </w:rPr>
        <w:t>mountant</w:t>
      </w:r>
      <w:proofErr w:type="spellEnd"/>
      <w:r w:rsidRPr="00824DFF">
        <w:rPr>
          <w:lang w:val="en-GB"/>
        </w:rPr>
        <w:t xml:space="preserve"> (Fisher). If Alkaline Phosphatase (AP) activity was also required, the sections were incubated 2x5 minutes with AP buffer (100mM </w:t>
      </w:r>
      <w:proofErr w:type="spellStart"/>
      <w:r w:rsidRPr="00824DFF">
        <w:rPr>
          <w:lang w:val="en-GB"/>
        </w:rPr>
        <w:t>NaCl</w:t>
      </w:r>
      <w:proofErr w:type="spellEnd"/>
      <w:r w:rsidRPr="00824DFF">
        <w:rPr>
          <w:lang w:val="en-GB"/>
        </w:rPr>
        <w:t>, 50mM MgCl</w:t>
      </w:r>
      <w:r w:rsidRPr="00824DFF">
        <w:rPr>
          <w:vertAlign w:val="subscript"/>
          <w:lang w:val="en-GB"/>
        </w:rPr>
        <w:t>2</w:t>
      </w:r>
      <w:r w:rsidRPr="00824DFF">
        <w:rPr>
          <w:lang w:val="en-GB"/>
        </w:rPr>
        <w:t xml:space="preserve">, 0.1% Tween-20 in </w:t>
      </w:r>
      <w:proofErr w:type="spellStart"/>
      <w:r w:rsidRPr="00824DFF">
        <w:rPr>
          <w:lang w:val="en-GB"/>
        </w:rPr>
        <w:t>Tris-HCl</w:t>
      </w:r>
      <w:proofErr w:type="spellEnd"/>
      <w:r w:rsidRPr="00824DFF">
        <w:rPr>
          <w:lang w:val="en-GB"/>
        </w:rPr>
        <w:t xml:space="preserve"> 0.1M pH 8.2) and AP activity was revealed by incubation with Fast Red (2 h at 37°C) following manufacturer instructions (Roche). After PBS rinses, a </w:t>
      </w:r>
      <w:proofErr w:type="spellStart"/>
      <w:r w:rsidRPr="00824DFF">
        <w:rPr>
          <w:lang w:val="en-GB"/>
        </w:rPr>
        <w:t>gelatin</w:t>
      </w:r>
      <w:proofErr w:type="spellEnd"/>
      <w:r w:rsidRPr="00824DFF">
        <w:rPr>
          <w:lang w:val="en-GB"/>
        </w:rPr>
        <w:t>/</w:t>
      </w:r>
      <w:proofErr w:type="spellStart"/>
      <w:r w:rsidRPr="00824DFF">
        <w:rPr>
          <w:lang w:val="en-GB"/>
        </w:rPr>
        <w:t>Tris</w:t>
      </w:r>
      <w:proofErr w:type="spellEnd"/>
      <w:r w:rsidRPr="00824DFF">
        <w:rPr>
          <w:lang w:val="en-GB"/>
        </w:rPr>
        <w:t xml:space="preserve"> mounting medium was used to coverslip the slides.</w:t>
      </w:r>
    </w:p>
    <w:p w14:paraId="62E97849" w14:textId="77777777" w:rsidR="00D90598" w:rsidRDefault="00D90598" w:rsidP="00D90598">
      <w:pPr>
        <w:rPr>
          <w:b/>
          <w:u w:val="single"/>
        </w:rPr>
      </w:pPr>
    </w:p>
    <w:p w14:paraId="09FB5117" w14:textId="231DFCCE" w:rsidR="00D90598" w:rsidRDefault="00D90598" w:rsidP="00D90598">
      <w:r>
        <w:rPr>
          <w:i/>
        </w:rPr>
        <w:lastRenderedPageBreak/>
        <w:t>I</w:t>
      </w:r>
      <w:r w:rsidRPr="00FA2FAA">
        <w:rPr>
          <w:i/>
        </w:rPr>
        <w:t>maging</w:t>
      </w:r>
      <w:r>
        <w:rPr>
          <w:i/>
        </w:rPr>
        <w:t xml:space="preserve">: </w:t>
      </w:r>
      <w:r>
        <w:t xml:space="preserve">Z-stacked DIC images were captured of the </w:t>
      </w:r>
      <w:proofErr w:type="spellStart"/>
      <w:r>
        <w:t>LacZ</w:t>
      </w:r>
      <w:proofErr w:type="spellEnd"/>
      <w:r>
        <w:t xml:space="preserve"> and AP double-stained lumbar vertebrae from 2-month old </w:t>
      </w:r>
      <w:r w:rsidRPr="00FA2FAA">
        <w:rPr>
          <w:i/>
        </w:rPr>
        <w:t>En1</w:t>
      </w:r>
      <w:r>
        <w:rPr>
          <w:i/>
          <w:vertAlign w:val="superscript"/>
        </w:rPr>
        <w:t>l</w:t>
      </w:r>
      <w:r w:rsidRPr="00FA2FAA">
        <w:rPr>
          <w:i/>
          <w:vertAlign w:val="superscript"/>
        </w:rPr>
        <w:t>acZ/+</w:t>
      </w:r>
      <w:r>
        <w:t xml:space="preserve"> reporter mice at 400x using a Nikon Eclipse Ni-E upright microscope and </w:t>
      </w:r>
      <w:proofErr w:type="spellStart"/>
      <w:r>
        <w:t>NIS</w:t>
      </w:r>
      <w:r w:rsidRPr="005F7C0E">
        <w:rPr>
          <w:vertAlign w:val="superscript"/>
        </w:rPr>
        <w:t>Ar</w:t>
      </w:r>
      <w:proofErr w:type="spellEnd"/>
      <w:r>
        <w:t xml:space="preserve"> software.</w:t>
      </w:r>
    </w:p>
    <w:p w14:paraId="055231C7" w14:textId="2345B7CD" w:rsidR="00187F1D" w:rsidRDefault="00724A7E" w:rsidP="00EF187A">
      <w:pPr>
        <w:pStyle w:val="Heading3"/>
        <w:rPr>
          <w:i/>
        </w:rPr>
      </w:pPr>
      <w:r>
        <w:t>M</w:t>
      </w:r>
      <w:r w:rsidR="00C45E18">
        <w:t>ouse</w:t>
      </w:r>
      <w:r>
        <w:t xml:space="preserve"> Micro-CT</w:t>
      </w:r>
    </w:p>
    <w:p w14:paraId="5BA495FF" w14:textId="46618642" w:rsidR="009F7CCD" w:rsidRPr="00FA2FAA" w:rsidRDefault="009F7CCD" w:rsidP="00032960">
      <w:r>
        <w:rPr>
          <w:i/>
        </w:rPr>
        <w:t>Mice</w:t>
      </w:r>
      <w:r w:rsidR="00400995">
        <w:rPr>
          <w:i/>
        </w:rPr>
        <w:t xml:space="preserve">: </w:t>
      </w:r>
      <w:r>
        <w:t xml:space="preserve">The </w:t>
      </w:r>
      <w:r>
        <w:rPr>
          <w:i/>
        </w:rPr>
        <w:t>En1</w:t>
      </w:r>
      <w:r>
        <w:rPr>
          <w:i/>
          <w:vertAlign w:val="superscript"/>
        </w:rPr>
        <w:t>Cre/+</w:t>
      </w:r>
      <w:r w:rsidR="00FA22DD">
        <w:t xml:space="preserve"> </w:t>
      </w:r>
      <w:r>
        <w:t xml:space="preserve">and </w:t>
      </w:r>
      <w:r>
        <w:rPr>
          <w:i/>
        </w:rPr>
        <w:t>En1</w:t>
      </w:r>
      <w:r w:rsidR="00186455">
        <w:rPr>
          <w:i/>
          <w:vertAlign w:val="superscript"/>
        </w:rPr>
        <w:t>f</w:t>
      </w:r>
      <w:r w:rsidRPr="00FA2FAA">
        <w:rPr>
          <w:i/>
          <w:vertAlign w:val="superscript"/>
        </w:rPr>
        <w:t>lox/+</w:t>
      </w:r>
      <w:r>
        <w:t xml:space="preserve"> mouse strains</w:t>
      </w:r>
      <w:r w:rsidR="00EA5478">
        <w:fldChar w:fldCharType="begin"/>
      </w:r>
      <w:r w:rsidR="00735D55">
        <w:instrText xml:space="preserve"> ADDIN PAPERS2_CITATIONS &lt;citation&gt;&lt;uuid&gt;1BD5B933-FD8C-4063-9414-6A444938938A&lt;/uuid&gt;&lt;priority&gt;38&lt;/priority&gt;&lt;publications&gt;&lt;publication&gt;&lt;type&gt;400&lt;/type&gt;&lt;title&gt;Two lineage boundaries coordinate vertebrate apical ectodermal ridge formation&lt;/title&gt;&lt;citekey&gt;Kimmel:tl&lt;/citekey&gt;&lt;url&gt;http://genesdev.cshlp.org/content/14/11/1377.long&lt;/url&gt;&lt;subtype&gt;400&lt;/subtype&gt;&lt;uuid&gt;7AAC7613-2430-4282-92FF-A79627008B41&lt;/uuid&gt;&lt;bundle&gt;&lt;publication&gt;&lt;url&gt;http://genesdev.cshlp.org&lt;/url&gt;&lt;title&gt;genesdev.cshlp.org&lt;/title&gt;&lt;type&gt;-300&lt;/type&gt;&lt;subtype&gt;-300&lt;/subtype&gt;&lt;uuid&gt;3BD276C7-A9FD-4D6B-9383-0EB725DA0885&lt;/uuid&gt;&lt;/publication&gt;&lt;/bundle&gt;&lt;authors&gt;&lt;author&gt;&lt;firstName&gt;Robin&lt;/firstName&gt;&lt;middleNames&gt;A&lt;/middleNames&gt;&lt;lastName&gt;Kimmel&lt;/lastName&gt;&lt;/author&gt;&lt;author&gt;&lt;firstName&gt;Daniel&lt;/firstName&gt;&lt;middleNames&gt;H&lt;/middleNames&gt;&lt;lastName&gt;Turnbull&lt;/lastName&gt;&lt;/author&gt;&lt;author&gt;&lt;firstName&gt;Veronique&lt;/firstName&gt;&lt;lastName&gt;Blanquet&lt;/lastName&gt;&lt;/author&gt;&lt;author&gt;&lt;firstName&gt;Wolfgang&lt;/firstName&gt;&lt;lastName&gt;Wurst&lt;/lastName&gt;&lt;/author&gt;&lt;author&gt;&lt;firstName&gt;Cynthia&lt;/firstName&gt;&lt;middleNames&gt;A&lt;/middleNames&gt;&lt;lastName&gt;Loomis&lt;/lastName&gt;&lt;/author&gt;&lt;author&gt;&lt;firstName&gt;Alexandra&lt;/firstName&gt;&lt;middleNames&gt;L&lt;/middleNames&gt;&lt;lastName&gt;Joyner&lt;/lastName&gt;&lt;/author&gt;&lt;/authors&gt;&lt;/publication&gt;&lt;publication&gt;&lt;type&gt;400&lt;/type&gt;&lt;title&gt;Genetic subdivision of the tectum and cerebellum into functionally related regions based on differential sensitivity to engrailed proteins&lt;/title&gt;&lt;citekey&gt;Sgaier:wi&lt;/citekey&gt;&lt;url&gt;http://dev.biologists.org/content/134/12/2325&lt;/url&gt;&lt;subtype&gt;400&lt;/subtype&gt;&lt;uuid&gt;6629DCB0-44EB-48D1-808D-E4888AFB1567&lt;/uuid&gt;&lt;bundle&gt;&lt;publication&gt;&lt;url&gt;http://dev.biologists.org&lt;/url&gt;&lt;title&gt;dev.biologists.org&lt;/title&gt;&lt;type&gt;-300&lt;/type&gt;&lt;subtype&gt;-300&lt;/subtype&gt;&lt;uuid&gt;75F6E0D3-D167-42BD-AF48-B8937792F67E&lt;/uuid&gt;&lt;/publication&gt;&lt;/bundle&gt;&lt;authors&gt;&lt;author&gt;&lt;firstName&gt;Sema&lt;/firstName&gt;&lt;middleNames&gt;K&lt;/middleNames&gt;&lt;lastName&gt;Sgaier&lt;/lastName&gt;&lt;/author&gt;&lt;author&gt;&lt;firstName&gt;Zhimin&lt;/firstName&gt;&lt;lastName&gt;Lao&lt;/lastName&gt;&lt;/author&gt;&lt;author&gt;&lt;firstName&gt;Melissa&lt;/firstName&gt;&lt;middleNames&gt;P&lt;/middleNames&gt;&lt;lastName&gt;Villanueva&lt;/lastName&gt;&lt;/author&gt;&lt;author&gt;&lt;firstName&gt;Frada&lt;/firstName&gt;&lt;lastName&gt;Berenshteyn&lt;/lastName&gt;&lt;/author&gt;&lt;author&gt;&lt;firstName&gt;Daniel&lt;/firstName&gt;&lt;lastName&gt;Stephen&lt;/lastName&gt;&lt;/author&gt;&lt;author&gt;&lt;firstName&gt;Rowena&lt;/firstName&gt;&lt;middleNames&gt;K&lt;/middleNames&gt;&lt;lastName&gt;Turnbull&lt;/lastName&gt;&lt;/author&gt;&lt;author&gt;&lt;firstName&gt;Alexandra&lt;/firstName&gt;&lt;middleNames&gt;L&lt;/middleNames&gt;&lt;lastName&gt;Joyner&lt;/lastName&gt;&lt;/author&gt;&lt;/authors&gt;&lt;/publication&gt;&lt;/publications&gt;&lt;cites&gt;&lt;/cites&gt;&lt;/citation&gt;</w:instrText>
      </w:r>
      <w:r w:rsidR="00EA5478">
        <w:fldChar w:fldCharType="separate"/>
      </w:r>
      <w:r w:rsidR="002D628F">
        <w:rPr>
          <w:rFonts w:cs="Times New Roman"/>
          <w:szCs w:val="20"/>
          <w:vertAlign w:val="superscript"/>
        </w:rPr>
        <w:t>32,33</w:t>
      </w:r>
      <w:r w:rsidR="00EA5478">
        <w:fldChar w:fldCharType="end"/>
      </w:r>
      <w:r>
        <w:t xml:space="preserve"> were maintained in a mixed background and genotyped as described. Male </w:t>
      </w:r>
      <w:r>
        <w:rPr>
          <w:i/>
        </w:rPr>
        <w:t>En1</w:t>
      </w:r>
      <w:r>
        <w:rPr>
          <w:i/>
          <w:vertAlign w:val="superscript"/>
        </w:rPr>
        <w:t xml:space="preserve">Cre/+ </w:t>
      </w:r>
      <w:r>
        <w:t xml:space="preserve">mice were crossed with </w:t>
      </w:r>
      <w:r>
        <w:rPr>
          <w:i/>
        </w:rPr>
        <w:t>En1</w:t>
      </w:r>
      <w:r w:rsidR="000411A0">
        <w:rPr>
          <w:i/>
          <w:vertAlign w:val="superscript"/>
        </w:rPr>
        <w:t>f</w:t>
      </w:r>
      <w:r w:rsidRPr="00813649">
        <w:rPr>
          <w:i/>
          <w:vertAlign w:val="superscript"/>
        </w:rPr>
        <w:t>lox/</w:t>
      </w:r>
      <w:proofErr w:type="spellStart"/>
      <w:r w:rsidR="000411A0">
        <w:rPr>
          <w:i/>
          <w:vertAlign w:val="superscript"/>
        </w:rPr>
        <w:t>f</w:t>
      </w:r>
      <w:r>
        <w:rPr>
          <w:i/>
          <w:vertAlign w:val="superscript"/>
        </w:rPr>
        <w:t>lox</w:t>
      </w:r>
      <w:proofErr w:type="spellEnd"/>
      <w:r>
        <w:rPr>
          <w:i/>
          <w:vertAlign w:val="superscript"/>
        </w:rPr>
        <w:t xml:space="preserve"> </w:t>
      </w:r>
      <w:r>
        <w:t>females to generate experimental and control animals</w:t>
      </w:r>
      <w:r w:rsidR="00032960">
        <w:t xml:space="preserve">: </w:t>
      </w:r>
      <w:r w:rsidR="00032960" w:rsidRPr="00032960">
        <w:t xml:space="preserve">2 </w:t>
      </w:r>
      <w:r w:rsidR="00032960" w:rsidRPr="001F5201">
        <w:rPr>
          <w:i/>
        </w:rPr>
        <w:t>En1</w:t>
      </w:r>
      <w:r w:rsidR="00032960" w:rsidRPr="001F5201">
        <w:rPr>
          <w:i/>
          <w:vertAlign w:val="superscript"/>
        </w:rPr>
        <w:t>Cre/</w:t>
      </w:r>
      <w:proofErr w:type="spellStart"/>
      <w:r w:rsidR="00032960" w:rsidRPr="001F5201">
        <w:rPr>
          <w:i/>
          <w:vertAlign w:val="superscript"/>
        </w:rPr>
        <w:t>flox</w:t>
      </w:r>
      <w:proofErr w:type="spellEnd"/>
      <w:r w:rsidR="00032960" w:rsidRPr="00032960">
        <w:t xml:space="preserve"> males bor</w:t>
      </w:r>
      <w:r w:rsidR="000500BD">
        <w:t>n 2/27/14 2 and sacrificed</w:t>
      </w:r>
      <w:r w:rsidR="00E578F2">
        <w:t xml:space="preserve"> 6/24/14, </w:t>
      </w:r>
      <w:r w:rsidR="00032960" w:rsidRPr="00032960">
        <w:t xml:space="preserve">3 </w:t>
      </w:r>
      <w:r w:rsidR="00032960" w:rsidRPr="001F5201">
        <w:rPr>
          <w:i/>
        </w:rPr>
        <w:t>En1</w:t>
      </w:r>
      <w:r w:rsidR="00032960" w:rsidRPr="001F5201">
        <w:rPr>
          <w:i/>
          <w:vertAlign w:val="superscript"/>
        </w:rPr>
        <w:t>Cre/</w:t>
      </w:r>
      <w:proofErr w:type="spellStart"/>
      <w:r w:rsidR="00032960" w:rsidRPr="001F5201">
        <w:rPr>
          <w:i/>
          <w:vertAlign w:val="superscript"/>
        </w:rPr>
        <w:t>flox</w:t>
      </w:r>
      <w:proofErr w:type="spellEnd"/>
      <w:r w:rsidR="00032960" w:rsidRPr="00032960">
        <w:t xml:space="preserve"> males born 3/16/14 and </w:t>
      </w:r>
      <w:r w:rsidR="000500BD">
        <w:t>sacrificed</w:t>
      </w:r>
      <w:r w:rsidR="000500BD" w:rsidRPr="00032960">
        <w:t xml:space="preserve"> </w:t>
      </w:r>
      <w:r w:rsidR="00032960" w:rsidRPr="00032960">
        <w:t>7/10/14</w:t>
      </w:r>
      <w:r w:rsidR="00E578F2">
        <w:t xml:space="preserve">, </w:t>
      </w:r>
      <w:r w:rsidR="00032960" w:rsidRPr="00032960">
        <w:t xml:space="preserve">3 </w:t>
      </w:r>
      <w:r w:rsidR="00032960" w:rsidRPr="002A3D0F">
        <w:rPr>
          <w:i/>
        </w:rPr>
        <w:t>En1</w:t>
      </w:r>
      <w:r w:rsidR="00032960" w:rsidRPr="002A3D0F">
        <w:rPr>
          <w:i/>
          <w:vertAlign w:val="superscript"/>
        </w:rPr>
        <w:t>flo</w:t>
      </w:r>
      <w:r w:rsidR="00E578F2" w:rsidRPr="002A3D0F">
        <w:rPr>
          <w:i/>
          <w:vertAlign w:val="superscript"/>
        </w:rPr>
        <w:t>x/+</w:t>
      </w:r>
      <w:r w:rsidR="005875B8">
        <w:t> </w:t>
      </w:r>
      <w:r w:rsidR="00032960" w:rsidRPr="00032960">
        <w:t xml:space="preserve">males born 2/27/14 and </w:t>
      </w:r>
      <w:r w:rsidR="000500BD">
        <w:t>sacrificed</w:t>
      </w:r>
      <w:r w:rsidR="000500BD" w:rsidRPr="00032960">
        <w:t xml:space="preserve"> </w:t>
      </w:r>
      <w:r w:rsidR="00204031">
        <w:t>6/24/14, and</w:t>
      </w:r>
      <w:r w:rsidR="00E578F2">
        <w:t xml:space="preserve"> 3 </w:t>
      </w:r>
      <w:r w:rsidR="00E578F2" w:rsidRPr="002A3D0F">
        <w:rPr>
          <w:i/>
        </w:rPr>
        <w:t>En1</w:t>
      </w:r>
      <w:r w:rsidR="00032960" w:rsidRPr="002A3D0F">
        <w:rPr>
          <w:i/>
          <w:vertAlign w:val="superscript"/>
        </w:rPr>
        <w:t>flox</w:t>
      </w:r>
      <w:r w:rsidR="00E578F2" w:rsidRPr="002A3D0F">
        <w:rPr>
          <w:i/>
          <w:vertAlign w:val="superscript"/>
        </w:rPr>
        <w:t>/+</w:t>
      </w:r>
      <w:r w:rsidR="00032960" w:rsidRPr="00032960">
        <w:t xml:space="preserve"> males born 3/16/14 and </w:t>
      </w:r>
      <w:r w:rsidR="000500BD">
        <w:t>sacrificed</w:t>
      </w:r>
      <w:r w:rsidR="00032960" w:rsidRPr="00032960">
        <w:t xml:space="preserve"> 7/10/14</w:t>
      </w:r>
      <w:r w:rsidR="00BE69F8">
        <w:t xml:space="preserve">.  </w:t>
      </w:r>
      <w:r w:rsidR="00032960" w:rsidRPr="00032960">
        <w:t>All mice are littermates from two litters, likely with the same father.</w:t>
      </w:r>
      <w:r w:rsidR="00F20C1F">
        <w:t xml:space="preserve"> </w:t>
      </w:r>
      <w:r w:rsidR="009146FD">
        <w:rPr>
          <w:rFonts w:eastAsia="Times New Roman"/>
        </w:rPr>
        <w:t>Mouse husbandry and all experiments were performed in accordance with Memorial Sloan-Kettering Cancer Center Institutional Animal Care and Use Committee-approved protocols.</w:t>
      </w:r>
    </w:p>
    <w:p w14:paraId="541B40FC" w14:textId="77777777" w:rsidR="009F7CCD" w:rsidRPr="00FA2FAA" w:rsidRDefault="009F7CCD">
      <w:pPr>
        <w:rPr>
          <w:i/>
        </w:rPr>
      </w:pPr>
    </w:p>
    <w:p w14:paraId="69AB1707" w14:textId="166BAF34" w:rsidR="009F7CCD" w:rsidRPr="00380E3D" w:rsidRDefault="009F7CCD">
      <w:r>
        <w:rPr>
          <w:i/>
        </w:rPr>
        <w:t>Tissue collection, preparation and imaging</w:t>
      </w:r>
      <w:r w:rsidR="00400995">
        <w:rPr>
          <w:i/>
        </w:rPr>
        <w:t xml:space="preserve">: </w:t>
      </w:r>
      <w:r w:rsidRPr="00380E3D">
        <w:t>Lumbar vertebrae from levels L4 to L6 were collected from 4</w:t>
      </w:r>
      <w:r>
        <w:t>-</w:t>
      </w:r>
      <w:r w:rsidRPr="00380E3D">
        <w:t xml:space="preserve">month old </w:t>
      </w:r>
      <w:r w:rsidRPr="00FA2FAA">
        <w:rPr>
          <w:i/>
        </w:rPr>
        <w:t>En1</w:t>
      </w:r>
      <w:r w:rsidRPr="00FA2FAA">
        <w:rPr>
          <w:vertAlign w:val="superscript"/>
        </w:rPr>
        <w:t>Cre/</w:t>
      </w:r>
      <w:proofErr w:type="spellStart"/>
      <w:r w:rsidR="001451F7" w:rsidRPr="007B7030">
        <w:rPr>
          <w:i/>
          <w:vertAlign w:val="superscript"/>
        </w:rPr>
        <w:t>f</w:t>
      </w:r>
      <w:r w:rsidRPr="00FA2FAA">
        <w:rPr>
          <w:vertAlign w:val="superscript"/>
        </w:rPr>
        <w:t>lox</w:t>
      </w:r>
      <w:proofErr w:type="spellEnd"/>
      <w:r w:rsidRPr="00FA2FAA">
        <w:rPr>
          <w:vertAlign w:val="superscript"/>
        </w:rPr>
        <w:t xml:space="preserve"> </w:t>
      </w:r>
      <w:r>
        <w:t xml:space="preserve">(self-deleted </w:t>
      </w:r>
      <w:r w:rsidRPr="00380E3D">
        <w:t xml:space="preserve">conditional </w:t>
      </w:r>
      <w:r>
        <w:rPr>
          <w:i/>
        </w:rPr>
        <w:t>En1</w:t>
      </w:r>
      <w:r w:rsidRPr="00582FF5">
        <w:t xml:space="preserve"> </w:t>
      </w:r>
      <w:r>
        <w:t>mutants,</w:t>
      </w:r>
      <w:r w:rsidRPr="00380E3D">
        <w:t xml:space="preserve"> </w:t>
      </w:r>
      <w:r>
        <w:t>s</w:t>
      </w:r>
      <w:r w:rsidRPr="00380E3D">
        <w:t>d</w:t>
      </w:r>
      <w:r w:rsidRPr="007E6CB9">
        <w:rPr>
          <w:i/>
        </w:rPr>
        <w:t>En1</w:t>
      </w:r>
      <w:r w:rsidRPr="00380E3D">
        <w:t>; n=5), and compared to</w:t>
      </w:r>
      <w:r>
        <w:t xml:space="preserve"> </w:t>
      </w:r>
      <w:r w:rsidRPr="00813649">
        <w:rPr>
          <w:i/>
        </w:rPr>
        <w:t>En1</w:t>
      </w:r>
      <w:r w:rsidRPr="00813649">
        <w:rPr>
          <w:i/>
          <w:vertAlign w:val="superscript"/>
        </w:rPr>
        <w:t>+/</w:t>
      </w:r>
      <w:proofErr w:type="spellStart"/>
      <w:r w:rsidR="00BC39CB">
        <w:rPr>
          <w:i/>
          <w:vertAlign w:val="superscript"/>
        </w:rPr>
        <w:t>f</w:t>
      </w:r>
      <w:r w:rsidRPr="00813649">
        <w:rPr>
          <w:i/>
          <w:vertAlign w:val="superscript"/>
        </w:rPr>
        <w:t>lox</w:t>
      </w:r>
      <w:proofErr w:type="spellEnd"/>
      <w:r w:rsidRPr="00380E3D">
        <w:t xml:space="preserve"> littermates (</w:t>
      </w:r>
      <w:r>
        <w:t>control</w:t>
      </w:r>
      <w:r w:rsidRPr="00380E3D">
        <w:t xml:space="preserve">; n=6). All vertebrae were cleaned of soft tissue, fixed in 4% PFA (paraformaldehyde) overnight, washed three time in 1XPBS for 30 </w:t>
      </w:r>
      <w:proofErr w:type="spellStart"/>
      <w:r w:rsidRPr="00380E3D">
        <w:t>mins</w:t>
      </w:r>
      <w:proofErr w:type="spellEnd"/>
      <w:r w:rsidRPr="00380E3D">
        <w:t xml:space="preserve"> each, and stored in 70% ethanol at 4°C until scanning. Before scanning, the bones were allowed to reach room temperature. L5 vertebral body starting 100μm from the growth plates were used for trabecular bone micro</w:t>
      </w:r>
      <w:r w:rsidR="001D22E3">
        <w:t>-</w:t>
      </w:r>
      <w:r w:rsidRPr="00380E3D">
        <w:t>computed tomography (</w:t>
      </w:r>
      <w:proofErr w:type="spellStart"/>
      <w:r w:rsidRPr="00380E3D">
        <w:t>microCT</w:t>
      </w:r>
      <w:proofErr w:type="spellEnd"/>
      <w:r w:rsidRPr="00380E3D">
        <w:t xml:space="preserve">, </w:t>
      </w:r>
      <w:proofErr w:type="spellStart"/>
      <w:r w:rsidRPr="00380E3D">
        <w:t>μCT</w:t>
      </w:r>
      <w:proofErr w:type="spellEnd"/>
      <w:r w:rsidRPr="00380E3D">
        <w:t xml:space="preserve">) analysis on </w:t>
      </w:r>
      <w:proofErr w:type="spellStart"/>
      <w:r w:rsidRPr="00380E3D">
        <w:t>Scanco</w:t>
      </w:r>
      <w:proofErr w:type="spellEnd"/>
      <w:r w:rsidRPr="00380E3D">
        <w:t xml:space="preserve"> </w:t>
      </w:r>
      <w:proofErr w:type="spellStart"/>
      <w:r w:rsidRPr="00380E3D">
        <w:t>μCT</w:t>
      </w:r>
      <w:proofErr w:type="spellEnd"/>
      <w:r w:rsidRPr="00380E3D">
        <w:t xml:space="preserve"> 35 (</w:t>
      </w:r>
      <w:proofErr w:type="spellStart"/>
      <w:r w:rsidRPr="00380E3D">
        <w:t>Scanco</w:t>
      </w:r>
      <w:proofErr w:type="spellEnd"/>
      <w:r w:rsidRPr="00380E3D">
        <w:t xml:space="preserve"> Medical, </w:t>
      </w:r>
      <w:proofErr w:type="spellStart"/>
      <w:r w:rsidRPr="00380E3D">
        <w:t>Brüttisellen</w:t>
      </w:r>
      <w:proofErr w:type="spellEnd"/>
      <w:r w:rsidRPr="00380E3D">
        <w:t>, Switzerland) system. 6μm voxel size, 55KVp, 0.36 degrees rotation step (180 degrees angular range) and a 400ms exposure per view were used for the scans</w:t>
      </w:r>
      <w:r>
        <w:t>,</w:t>
      </w:r>
      <w:r w:rsidRPr="00380E3D">
        <w:t xml:space="preserve"> which were performed in 70% ethanol. The </w:t>
      </w:r>
      <w:proofErr w:type="spellStart"/>
      <w:r w:rsidRPr="00380E3D">
        <w:t>Scanco</w:t>
      </w:r>
      <w:proofErr w:type="spellEnd"/>
      <w:r w:rsidRPr="00380E3D">
        <w:t xml:space="preserve"> </w:t>
      </w:r>
      <w:proofErr w:type="spellStart"/>
      <w:r w:rsidRPr="00380E3D">
        <w:t>μCT</w:t>
      </w:r>
      <w:proofErr w:type="spellEnd"/>
      <w:r w:rsidRPr="00380E3D">
        <w:t xml:space="preserve"> software (HP, </w:t>
      </w:r>
      <w:proofErr w:type="spellStart"/>
      <w:r w:rsidRPr="00380E3D">
        <w:t>DECwindows</w:t>
      </w:r>
      <w:proofErr w:type="spellEnd"/>
      <w:r w:rsidRPr="00380E3D">
        <w:t xml:space="preserve"> Motif 1.6) was used for 3D reconstruction and viewing of images. After 3D reconstruction, volumes were segmented using a global threshold of .4g/c.  Directly measured bone volume fraction (BV/TV), thickness (</w:t>
      </w:r>
      <w:proofErr w:type="spellStart"/>
      <w:r w:rsidRPr="00380E3D">
        <w:t>Tb.Th</w:t>
      </w:r>
      <w:proofErr w:type="spellEnd"/>
      <w:r w:rsidRPr="00380E3D">
        <w:t>), number (</w:t>
      </w:r>
      <w:proofErr w:type="spellStart"/>
      <w:r w:rsidRPr="00380E3D">
        <w:t>Tb.N</w:t>
      </w:r>
      <w:proofErr w:type="spellEnd"/>
      <w:r w:rsidRPr="00380E3D">
        <w:t>) and separation (</w:t>
      </w:r>
      <w:proofErr w:type="spellStart"/>
      <w:r w:rsidRPr="00380E3D">
        <w:t>Tb.Sp</w:t>
      </w:r>
      <w:proofErr w:type="spellEnd"/>
      <w:r w:rsidRPr="00380E3D">
        <w:t>), TMD and surface to volume ratio (BS/BV) were calculated for the trabecular bone. </w:t>
      </w:r>
    </w:p>
    <w:p w14:paraId="15B976A5" w14:textId="77777777" w:rsidR="009F7CCD" w:rsidRDefault="009F7CCD" w:rsidP="008B6B58">
      <w:pPr>
        <w:rPr>
          <w:rFonts w:cs="Arial"/>
          <w:szCs w:val="20"/>
        </w:rPr>
      </w:pPr>
    </w:p>
    <w:p w14:paraId="7B0EBCDE" w14:textId="03BE9B59" w:rsidR="00187F1D" w:rsidRPr="00187F1D" w:rsidRDefault="00565F38" w:rsidP="00187F1D">
      <w:pPr>
        <w:rPr>
          <w:rFonts w:cs="Arial"/>
          <w:szCs w:val="20"/>
        </w:rPr>
      </w:pPr>
      <w:r w:rsidRPr="004C3A72">
        <w:rPr>
          <w:rFonts w:cs="Arial"/>
          <w:b/>
          <w:szCs w:val="20"/>
        </w:rPr>
        <w:t xml:space="preserve">Extended Data </w:t>
      </w:r>
      <w:r w:rsidR="008B25BC" w:rsidRPr="004C3A72">
        <w:rPr>
          <w:rFonts w:cs="Arial"/>
          <w:b/>
          <w:szCs w:val="20"/>
        </w:rPr>
        <w:t xml:space="preserve">Figure </w:t>
      </w:r>
      <w:r w:rsidR="00C453CB">
        <w:rPr>
          <w:rFonts w:cs="Arial"/>
          <w:b/>
          <w:szCs w:val="20"/>
        </w:rPr>
        <w:t>5</w:t>
      </w:r>
      <w:r w:rsidR="00452829" w:rsidRPr="004C3A72">
        <w:rPr>
          <w:rFonts w:cs="Arial"/>
          <w:b/>
          <w:szCs w:val="20"/>
        </w:rPr>
        <w:t>e</w:t>
      </w:r>
      <w:r w:rsidR="008B25BC" w:rsidRPr="004C3A72">
        <w:rPr>
          <w:rFonts w:cs="Arial"/>
          <w:szCs w:val="20"/>
        </w:rPr>
        <w:t xml:space="preserve"> present</w:t>
      </w:r>
      <w:r w:rsidR="007215A7" w:rsidRPr="004C3A72">
        <w:rPr>
          <w:rFonts w:cs="Arial"/>
          <w:szCs w:val="20"/>
        </w:rPr>
        <w:t>s</w:t>
      </w:r>
      <w:r w:rsidR="008B25BC" w:rsidRPr="004C3A72">
        <w:rPr>
          <w:rFonts w:cs="Arial"/>
          <w:szCs w:val="20"/>
        </w:rPr>
        <w:t xml:space="preserve"> the </w:t>
      </w:r>
      <w:proofErr w:type="spellStart"/>
      <w:r w:rsidR="008B25BC" w:rsidRPr="004C3A72">
        <w:rPr>
          <w:rFonts w:cs="Arial"/>
          <w:szCs w:val="20"/>
        </w:rPr>
        <w:t>microCT</w:t>
      </w:r>
      <w:proofErr w:type="spellEnd"/>
      <w:r w:rsidR="008B25BC" w:rsidRPr="004C3A72">
        <w:rPr>
          <w:rFonts w:cs="Arial"/>
          <w:szCs w:val="20"/>
        </w:rPr>
        <w:t xml:space="preserve"> para</w:t>
      </w:r>
      <w:r w:rsidR="0087376E" w:rsidRPr="004C3A72">
        <w:rPr>
          <w:rFonts w:cs="Arial"/>
          <w:szCs w:val="20"/>
        </w:rPr>
        <w:t xml:space="preserve">meters for data in </w:t>
      </w:r>
      <w:r w:rsidR="00C8563A" w:rsidRPr="004C3A72">
        <w:rPr>
          <w:rFonts w:cs="Arial"/>
          <w:b/>
          <w:szCs w:val="20"/>
        </w:rPr>
        <w:t>Supplementary</w:t>
      </w:r>
      <w:r w:rsidR="00C8563A" w:rsidRPr="004C3A72">
        <w:rPr>
          <w:rFonts w:cs="Arial"/>
          <w:szCs w:val="20"/>
        </w:rPr>
        <w:t xml:space="preserve"> </w:t>
      </w:r>
      <w:r w:rsidR="0087376E" w:rsidRPr="004C3A72">
        <w:rPr>
          <w:rFonts w:cs="Arial"/>
          <w:b/>
          <w:szCs w:val="20"/>
        </w:rPr>
        <w:t xml:space="preserve">Table </w:t>
      </w:r>
      <w:r w:rsidR="004F7844">
        <w:rPr>
          <w:rFonts w:cs="Arial"/>
          <w:b/>
          <w:szCs w:val="20"/>
        </w:rPr>
        <w:t>3</w:t>
      </w:r>
      <w:r w:rsidR="0017558D">
        <w:rPr>
          <w:rFonts w:cs="Arial"/>
          <w:b/>
          <w:szCs w:val="20"/>
        </w:rPr>
        <w:t>6</w:t>
      </w:r>
      <w:r w:rsidR="0087376E" w:rsidRPr="004C3A72">
        <w:rPr>
          <w:rFonts w:cs="Arial"/>
          <w:szCs w:val="20"/>
        </w:rPr>
        <w:t xml:space="preserve">.  </w:t>
      </w:r>
      <w:r w:rsidR="005D3141" w:rsidRPr="004C3A72">
        <w:rPr>
          <w:rFonts w:cs="Arial"/>
          <w:szCs w:val="20"/>
        </w:rPr>
        <w:t xml:space="preserve">Significance </w:t>
      </w:r>
      <w:r w:rsidR="009676C2" w:rsidRPr="004C3A72">
        <w:rPr>
          <w:rFonts w:cs="Arial"/>
          <w:szCs w:val="20"/>
        </w:rPr>
        <w:t xml:space="preserve">between </w:t>
      </w:r>
      <w:r w:rsidR="00403904" w:rsidRPr="004C3A72">
        <w:rPr>
          <w:rFonts w:cs="Arial"/>
          <w:szCs w:val="20"/>
        </w:rPr>
        <w:t xml:space="preserve">control </w:t>
      </w:r>
      <w:r w:rsidR="009676C2" w:rsidRPr="004C3A72">
        <w:rPr>
          <w:rFonts w:cs="Arial"/>
          <w:szCs w:val="20"/>
        </w:rPr>
        <w:t xml:space="preserve">and </w:t>
      </w:r>
      <w:r w:rsidR="00BF16B5" w:rsidRPr="001034E0">
        <w:rPr>
          <w:rFonts w:cs="Arial"/>
          <w:szCs w:val="20"/>
        </w:rPr>
        <w:t>sd</w:t>
      </w:r>
      <w:r w:rsidR="00425FA1" w:rsidRPr="00944954">
        <w:rPr>
          <w:rFonts w:cs="Arial"/>
          <w:i/>
          <w:szCs w:val="20"/>
        </w:rPr>
        <w:t>En1</w:t>
      </w:r>
      <w:r w:rsidR="00BF16B5">
        <w:rPr>
          <w:rFonts w:cs="Arial"/>
          <w:szCs w:val="20"/>
        </w:rPr>
        <w:t xml:space="preserve"> mutants</w:t>
      </w:r>
      <w:r w:rsidR="00403904" w:rsidRPr="004C3A72">
        <w:rPr>
          <w:rFonts w:cs="Arial"/>
          <w:szCs w:val="20"/>
        </w:rPr>
        <w:t xml:space="preserve"> </w:t>
      </w:r>
      <w:r w:rsidR="005D3141" w:rsidRPr="004C3A72">
        <w:rPr>
          <w:rFonts w:cs="Arial"/>
          <w:szCs w:val="20"/>
        </w:rPr>
        <w:t>was computed using an unpaired t-test.</w:t>
      </w:r>
      <w:r w:rsidR="005E531E" w:rsidRPr="004C3A72">
        <w:rPr>
          <w:rFonts w:cs="Arial"/>
          <w:szCs w:val="20"/>
        </w:rPr>
        <w:t xml:space="preserve"> </w:t>
      </w:r>
      <w:r w:rsidR="00187F1D" w:rsidRPr="004C3A72">
        <w:rPr>
          <w:rFonts w:cs="Arial"/>
          <w:szCs w:val="20"/>
        </w:rPr>
        <w:t xml:space="preserve">The thickness map of the 3D image reconstructed </w:t>
      </w:r>
      <w:proofErr w:type="spellStart"/>
      <w:r w:rsidR="00187F1D" w:rsidRPr="004C3A72">
        <w:rPr>
          <w:rFonts w:cs="Arial"/>
          <w:szCs w:val="20"/>
        </w:rPr>
        <w:t>microCT</w:t>
      </w:r>
      <w:proofErr w:type="spellEnd"/>
      <w:r w:rsidR="00187F1D" w:rsidRPr="004C3A72">
        <w:rPr>
          <w:rFonts w:cs="Arial"/>
          <w:szCs w:val="20"/>
        </w:rPr>
        <w:t xml:space="preserve"> image of the LV5 shows the spatial distribution of the mineral density and is presented in </w:t>
      </w:r>
      <w:r w:rsidR="0041349D" w:rsidRPr="004C3A72">
        <w:rPr>
          <w:rFonts w:cs="Arial"/>
          <w:b/>
          <w:szCs w:val="20"/>
        </w:rPr>
        <w:t xml:space="preserve">Extended Data </w:t>
      </w:r>
      <w:r w:rsidR="00187F1D" w:rsidRPr="004C3A72">
        <w:rPr>
          <w:rFonts w:cs="Arial"/>
          <w:b/>
          <w:szCs w:val="20"/>
        </w:rPr>
        <w:t xml:space="preserve">Figure </w:t>
      </w:r>
      <w:r w:rsidR="00C453CB">
        <w:rPr>
          <w:rFonts w:cs="Arial"/>
          <w:b/>
          <w:szCs w:val="20"/>
        </w:rPr>
        <w:t>5</w:t>
      </w:r>
      <w:r w:rsidR="002D50B2" w:rsidRPr="004C3A72">
        <w:rPr>
          <w:rFonts w:cs="Arial"/>
          <w:b/>
          <w:szCs w:val="20"/>
        </w:rPr>
        <w:t>a</w:t>
      </w:r>
      <w:r w:rsidR="00173E32" w:rsidRPr="004C3A72">
        <w:rPr>
          <w:rFonts w:cs="Arial"/>
          <w:szCs w:val="20"/>
        </w:rPr>
        <w:t>, with morphological characteristics presented</w:t>
      </w:r>
      <w:r w:rsidR="002D50B2" w:rsidRPr="004C3A72">
        <w:rPr>
          <w:rFonts w:cs="Arial"/>
          <w:szCs w:val="20"/>
        </w:rPr>
        <w:t xml:space="preserve"> in </w:t>
      </w:r>
      <w:r w:rsidR="002D50B2" w:rsidRPr="004C3A72">
        <w:rPr>
          <w:rFonts w:cs="Arial"/>
          <w:b/>
          <w:szCs w:val="20"/>
        </w:rPr>
        <w:t xml:space="preserve">Extended Data Figure </w:t>
      </w:r>
      <w:r w:rsidR="00C453CB">
        <w:rPr>
          <w:rFonts w:cs="Arial"/>
          <w:b/>
          <w:szCs w:val="20"/>
        </w:rPr>
        <w:t>5</w:t>
      </w:r>
      <w:r w:rsidR="002D50B2" w:rsidRPr="004C3A72">
        <w:rPr>
          <w:rFonts w:cs="Arial"/>
          <w:b/>
          <w:szCs w:val="20"/>
        </w:rPr>
        <w:t>b</w:t>
      </w:r>
      <w:r w:rsidR="00173E32" w:rsidRPr="004C3A72">
        <w:rPr>
          <w:rFonts w:cs="Arial"/>
          <w:szCs w:val="20"/>
        </w:rPr>
        <w:t xml:space="preserve">.  </w:t>
      </w:r>
      <w:r w:rsidR="00B5748F" w:rsidRPr="004C3A72">
        <w:rPr>
          <w:rFonts w:cs="Arial"/>
          <w:b/>
          <w:szCs w:val="20"/>
        </w:rPr>
        <w:t xml:space="preserve">Extended Data Figure </w:t>
      </w:r>
      <w:r w:rsidR="00C453CB">
        <w:rPr>
          <w:rFonts w:cs="Arial"/>
          <w:b/>
          <w:szCs w:val="20"/>
        </w:rPr>
        <w:t>5</w:t>
      </w:r>
      <w:r w:rsidR="00A37905" w:rsidRPr="004C3A72">
        <w:rPr>
          <w:rFonts w:cs="Arial"/>
          <w:b/>
          <w:szCs w:val="20"/>
        </w:rPr>
        <w:t xml:space="preserve">c and </w:t>
      </w:r>
      <w:r w:rsidR="00C453CB">
        <w:rPr>
          <w:rFonts w:cs="Arial"/>
          <w:b/>
          <w:szCs w:val="20"/>
        </w:rPr>
        <w:t>5</w:t>
      </w:r>
      <w:r w:rsidR="00A37905" w:rsidRPr="004C3A72">
        <w:rPr>
          <w:rFonts w:cs="Arial"/>
          <w:b/>
          <w:szCs w:val="20"/>
        </w:rPr>
        <w:t>d</w:t>
      </w:r>
      <w:r w:rsidR="00B5748F" w:rsidRPr="004C3A72">
        <w:rPr>
          <w:rFonts w:cs="Arial"/>
          <w:szCs w:val="20"/>
        </w:rPr>
        <w:t xml:space="preserve"> also</w:t>
      </w:r>
      <w:r w:rsidR="00B5748F" w:rsidRPr="00376904">
        <w:rPr>
          <w:rFonts w:cs="Arial"/>
          <w:szCs w:val="20"/>
        </w:rPr>
        <w:t xml:space="preserve"> </w:t>
      </w:r>
      <w:r w:rsidR="00173E32" w:rsidRPr="00376904">
        <w:rPr>
          <w:rFonts w:cs="Arial"/>
          <w:szCs w:val="20"/>
        </w:rPr>
        <w:t xml:space="preserve">presents </w:t>
      </w:r>
      <w:proofErr w:type="spellStart"/>
      <w:r w:rsidR="00173E32" w:rsidRPr="00376904">
        <w:rPr>
          <w:rFonts w:cs="Arial"/>
          <w:szCs w:val="20"/>
        </w:rPr>
        <w:t>mictoCT</w:t>
      </w:r>
      <w:proofErr w:type="spellEnd"/>
      <w:r w:rsidR="00173E32" w:rsidRPr="00376904">
        <w:rPr>
          <w:rFonts w:cs="Arial"/>
          <w:szCs w:val="20"/>
        </w:rPr>
        <w:t xml:space="preserve"> and morphological characteristics for femur trabecula and cortical bone.</w:t>
      </w:r>
      <w:r w:rsidR="00173E32">
        <w:rPr>
          <w:rFonts w:cs="Arial"/>
          <w:szCs w:val="20"/>
        </w:rPr>
        <w:t xml:space="preserve"> </w:t>
      </w:r>
      <w:r w:rsidR="005F103E">
        <w:rPr>
          <w:rFonts w:cs="Arial"/>
          <w:szCs w:val="20"/>
        </w:rPr>
        <w:t xml:space="preserve">  </w:t>
      </w:r>
    </w:p>
    <w:p w14:paraId="36761C7A" w14:textId="3D73F8AF" w:rsidR="00040916" w:rsidRPr="005D0D2A" w:rsidRDefault="00040916" w:rsidP="00EF187A">
      <w:pPr>
        <w:pStyle w:val="Heading3"/>
        <w:rPr>
          <w:i/>
        </w:rPr>
      </w:pPr>
      <w:r w:rsidRPr="005D0D2A">
        <w:t xml:space="preserve">Dynamic and </w:t>
      </w:r>
      <w:r w:rsidR="00722ED6">
        <w:t>C</w:t>
      </w:r>
      <w:r w:rsidRPr="005D0D2A">
        <w:t>el</w:t>
      </w:r>
      <w:r w:rsidR="008D0D94">
        <w:t xml:space="preserve">lular </w:t>
      </w:r>
      <w:proofErr w:type="spellStart"/>
      <w:r w:rsidR="00722ED6">
        <w:t>Histomorphometry</w:t>
      </w:r>
      <w:proofErr w:type="spellEnd"/>
    </w:p>
    <w:p w14:paraId="6C2F3415" w14:textId="2D0C5EC2" w:rsidR="00040916" w:rsidRPr="002D5D81" w:rsidRDefault="00BF16B5" w:rsidP="00B02FF3">
      <w:r>
        <w:rPr>
          <w:i/>
        </w:rPr>
        <w:t>M</w:t>
      </w:r>
      <w:r w:rsidR="00040916" w:rsidRPr="005D6EC3">
        <w:rPr>
          <w:i/>
        </w:rPr>
        <w:t>ice for skeletal testing</w:t>
      </w:r>
      <w:r>
        <w:rPr>
          <w:i/>
        </w:rPr>
        <w:t xml:space="preserve"> and laboratory blinding</w:t>
      </w:r>
      <w:r w:rsidR="00040916" w:rsidRPr="005D6EC3">
        <w:t>:</w:t>
      </w:r>
      <w:r w:rsidR="00040916" w:rsidRPr="00EB3F65">
        <w:rPr>
          <w:b/>
        </w:rPr>
        <w:t xml:space="preserve">  </w:t>
      </w:r>
      <w:r w:rsidRPr="002D5D81">
        <w:t xml:space="preserve">The same animals were used for </w:t>
      </w:r>
      <w:proofErr w:type="spellStart"/>
      <w:r w:rsidRPr="002D5D81">
        <w:t>histomorphometry</w:t>
      </w:r>
      <w:proofErr w:type="spellEnd"/>
      <w:r w:rsidRPr="002D5D81">
        <w:t xml:space="preserve"> as </w:t>
      </w:r>
      <w:proofErr w:type="spellStart"/>
      <w:r w:rsidRPr="002D5D81">
        <w:t>MicroCT</w:t>
      </w:r>
      <w:proofErr w:type="spellEnd"/>
      <w:r w:rsidRPr="002D5D81">
        <w:t xml:space="preserve">. </w:t>
      </w:r>
      <w:proofErr w:type="spellStart"/>
      <w:r w:rsidRPr="002D5D81">
        <w:t>Histomorphometry</w:t>
      </w:r>
      <w:proofErr w:type="spellEnd"/>
      <w:r w:rsidRPr="002D5D81">
        <w:t xml:space="preserve"> labs (Rower and Ackert) and </w:t>
      </w:r>
      <w:proofErr w:type="spellStart"/>
      <w:r w:rsidRPr="002D5D81">
        <w:t>MicroCT</w:t>
      </w:r>
      <w:proofErr w:type="spellEnd"/>
      <w:r w:rsidRPr="002D5D81">
        <w:t xml:space="preserve"> labs (</w:t>
      </w:r>
      <w:proofErr w:type="spellStart"/>
      <w:r w:rsidRPr="002D5D81">
        <w:t>Dahia</w:t>
      </w:r>
      <w:proofErr w:type="spellEnd"/>
      <w:r w:rsidRPr="002D5D81">
        <w:t xml:space="preserve"> and Joyner) were blinded to the results of each other’s analyses. </w:t>
      </w:r>
    </w:p>
    <w:p w14:paraId="0F417675" w14:textId="77777777" w:rsidR="00CE3B58" w:rsidRDefault="00CE3B58" w:rsidP="005D0D2A">
      <w:pPr>
        <w:rPr>
          <w:i/>
        </w:rPr>
      </w:pPr>
    </w:p>
    <w:p w14:paraId="69EDF992" w14:textId="7F9D9884" w:rsidR="00040916" w:rsidRPr="008F3A79" w:rsidRDefault="00040916" w:rsidP="005D0D2A">
      <w:r w:rsidRPr="005D6EC3">
        <w:rPr>
          <w:i/>
        </w:rPr>
        <w:t>Sample collection</w:t>
      </w:r>
      <w:r w:rsidRPr="00EB3F65">
        <w:t xml:space="preserve">: Prior to sacrifice, mice received intraperitoneal injections of 10 mg/kg </w:t>
      </w:r>
      <w:proofErr w:type="spellStart"/>
      <w:r w:rsidRPr="00EB3F65">
        <w:t>calcein</w:t>
      </w:r>
      <w:proofErr w:type="spellEnd"/>
      <w:r w:rsidRPr="00EB3F65">
        <w:t xml:space="preserve"> (Sigma C-0875) and 30 mg/kg alizarin </w:t>
      </w:r>
      <w:proofErr w:type="spellStart"/>
      <w:r w:rsidRPr="00EB3F65">
        <w:t>complexone</w:t>
      </w:r>
      <w:proofErr w:type="spellEnd"/>
      <w:r w:rsidRPr="00EB3F65">
        <w:t xml:space="preserve"> (Sigma A-3882</w:t>
      </w:r>
      <w:r w:rsidRPr="00210FA6">
        <w:t xml:space="preserve">) at 7 and 2 days, respectively, prior to sacrifice.  </w:t>
      </w:r>
      <w:r w:rsidR="00942D75" w:rsidRPr="00485EB4">
        <w:rPr>
          <w:rFonts w:cs="Arial"/>
        </w:rPr>
        <w:t>The dynamic mineralization activity measurements</w:t>
      </w:r>
      <w:r w:rsidR="00942D75">
        <w:rPr>
          <w:rFonts w:cs="Arial"/>
        </w:rPr>
        <w:t>, which are dependent on being able to detect these dyes in the bone,</w:t>
      </w:r>
      <w:r w:rsidR="00942D75" w:rsidRPr="00485EB4">
        <w:rPr>
          <w:rFonts w:cs="Arial"/>
        </w:rPr>
        <w:t xml:space="preserve"> suffered from a loss of 2 animals in each group due to inadequate uptake of one of the</w:t>
      </w:r>
      <w:r w:rsidR="00942D75">
        <w:rPr>
          <w:rFonts w:cs="Arial"/>
        </w:rPr>
        <w:t xml:space="preserve"> two</w:t>
      </w:r>
      <w:r w:rsidR="00942D75" w:rsidRPr="00485EB4">
        <w:rPr>
          <w:rFonts w:cs="Arial"/>
        </w:rPr>
        <w:t xml:space="preserve"> mineralization dyes.</w:t>
      </w:r>
      <w:r w:rsidR="00942D75">
        <w:rPr>
          <w:rFonts w:cs="Arial"/>
        </w:rPr>
        <w:t xml:space="preserve"> </w:t>
      </w:r>
      <w:r w:rsidRPr="008F3A79">
        <w:t xml:space="preserve">The right hind limb was dissected from the hip, and skin and non-adherent muscle and connective tissues were removed from the bone, without scraping periosteal surfaces.  The marrow space was exposed by excising the proximal femur and distal </w:t>
      </w:r>
      <w:proofErr w:type="spellStart"/>
      <w:r w:rsidRPr="008F3A79">
        <w:t>tibial</w:t>
      </w:r>
      <w:proofErr w:type="spellEnd"/>
      <w:r w:rsidRPr="008F3A79">
        <w:t xml:space="preserve"> bone leaving with knee joint intact.  In addition, the vertebra bodies from L1 through L3 were dissected free of adherent muscle.  The samples were placed in 10% formalin at 4</w:t>
      </w:r>
      <w:r w:rsidRPr="008F3A79">
        <w:rPr>
          <w:vertAlign w:val="superscript"/>
        </w:rPr>
        <w:t>o</w:t>
      </w:r>
      <w:r w:rsidRPr="008F3A79">
        <w:t xml:space="preserve">C and shipped to Rowe laboratory.  Upon receipt, the samples completed a 3-day exposure to formalin and subsequently were place in 30% sucrose at -80º C until all the samples had been collected.  </w:t>
      </w:r>
    </w:p>
    <w:p w14:paraId="177BBE94" w14:textId="77777777" w:rsidR="00AE55B0" w:rsidRDefault="00AE55B0" w:rsidP="00B02FF3">
      <w:pPr>
        <w:rPr>
          <w:i/>
        </w:rPr>
      </w:pPr>
    </w:p>
    <w:p w14:paraId="698C3E43" w14:textId="572D05A4" w:rsidR="00040916" w:rsidRPr="008F3A79" w:rsidRDefault="00040916" w:rsidP="00B02FF3">
      <w:r w:rsidRPr="008F3A79">
        <w:rPr>
          <w:i/>
        </w:rPr>
        <w:t>Tissue sectioning</w:t>
      </w:r>
      <w:r w:rsidRPr="008F3A79">
        <w:t xml:space="preserve">: Samples were entered into a modification of the fluorescence-based computer-automated dynamic and cellular bone </w:t>
      </w:r>
      <w:proofErr w:type="spellStart"/>
      <w:r w:rsidRPr="008F3A79">
        <w:t>histomorphomet</w:t>
      </w:r>
      <w:r w:rsidR="00312E22">
        <w:t>ry</w:t>
      </w:r>
      <w:proofErr w:type="spellEnd"/>
      <w:r w:rsidR="00312E22">
        <w:t xml:space="preserve"> as described by Hong et al.</w:t>
      </w:r>
      <w:r w:rsidR="00312E22">
        <w:fldChar w:fldCharType="begin"/>
      </w:r>
      <w:r w:rsidR="00735D55">
        <w:instrText xml:space="preserve"> ADDIN PAPERS2_CITATIONS &lt;citation&gt;&lt;uuid&gt;5C909077-0422-4DB1-ADB1-9AA80A286B77&lt;/uuid&gt;&lt;priority&gt;0&lt;/priority&gt;&lt;publications&gt;&lt;publication&gt;&lt;uuid&gt;C3EBE6BC-BE4A-4CF3-B2F3-B09A37B57E0D&lt;/uuid&gt;&lt;volume&gt;Suppl 1&lt;/volume&gt;&lt;doi&gt;10.4172/2157-7552.S1-004&lt;/doi&gt;&lt;startpage&gt;004&lt;/startpage&gt;&lt;publication_date&gt;99201400001200000000200000&lt;/publication_date&gt;&lt;url&gt;http://www.omicsonline.org/computerautomated-static-dynamic-and-cellular-bone-histomorphometry-2157-7552.S1-004.php?aid=11116&lt;/url&gt;&lt;type&gt;400&lt;/type&gt;&lt;title&gt;Computer-Automated Static, Dynamic and Cellular Bone Histomorphometry&lt;/title&gt;&lt;publisher&gt;NIH Public Access&lt;/publisher&gt;&lt;institution&gt;Department of Computer Science and Engineering, University of Connecticut, Storrs, Connecticut, USA.&lt;/institution&gt;&lt;number&gt;01&lt;/number&gt;&lt;subtype&gt;400&lt;/subtype&gt;&lt;bundle&gt;&lt;title&gt;Journal of tissue science &amp;amp; engineering&lt;/title&gt;&lt;uuid&gt;temp--782E34EE-F3DB-4AA0-ACC2-A77DA1910FB4&lt;/uuid&gt;&lt;subtype&gt;-100&lt;/subtype&gt;&lt;publisher&gt;NIH Public Access&lt;/publisher&gt;&lt;type&gt;-100&lt;/type&gt;&lt;/bundle&gt;&lt;authors&gt;&lt;author&gt;&lt;firstName&gt;Seung-Hyun&lt;/firstName&gt;&lt;lastName&gt;Hong&lt;/lastName&gt;&lt;/author&gt;&lt;author&gt;&lt;firstName&gt;Xi&lt;/firstName&gt;&lt;lastName&gt;Jiang&lt;/lastName&gt;&lt;/author&gt;&lt;author&gt;&lt;firstName&gt;Li&lt;/firstName&gt;&lt;lastName&gt;Chen&lt;/lastName&gt;&lt;/author&gt;&lt;author&gt;&lt;firstName&gt;Pujan&lt;/firstName&gt;&lt;lastName&gt;Josh&lt;/lastName&gt;&lt;/author&gt;&lt;author&gt;&lt;firstName&gt;Dong-Guk&lt;/firstName&gt;&lt;lastName&gt;Shin&lt;/lastName&gt;&lt;/author&gt;&lt;author&gt;&lt;firstName&gt;David&lt;/firstName&gt;&lt;lastName&gt;Rowe&lt;/lastName&gt;&lt;/author&gt;&lt;/authors&gt;&lt;/publication&gt;&lt;/publications&gt;&lt;cites&gt;&lt;/cites&gt;&lt;/citation&gt;</w:instrText>
      </w:r>
      <w:r w:rsidR="00312E22">
        <w:fldChar w:fldCharType="separate"/>
      </w:r>
      <w:r w:rsidR="002D628F">
        <w:rPr>
          <w:rFonts w:cs="Times New Roman"/>
          <w:szCs w:val="20"/>
          <w:vertAlign w:val="superscript"/>
        </w:rPr>
        <w:t>34</w:t>
      </w:r>
      <w:r w:rsidR="00312E22">
        <w:fldChar w:fldCharType="end"/>
      </w:r>
      <w:r w:rsidRPr="008F3A79">
        <w:t xml:space="preserve">  The workflow and staining protocols are detailed at the bonebase.org, and is briefly outline</w:t>
      </w:r>
      <w:r w:rsidR="007A7A40">
        <w:t>d</w:t>
      </w:r>
      <w:r w:rsidRPr="008F3A79">
        <w:t xml:space="preserve"> here.  Three to four distal femur or vertebral bodies are embedded in the sample mold with the aid spacing device and held in place with layering of the </w:t>
      </w:r>
      <w:proofErr w:type="spellStart"/>
      <w:r w:rsidRPr="008F3A79">
        <w:t>cyro</w:t>
      </w:r>
      <w:proofErr w:type="spellEnd"/>
      <w:r w:rsidR="001D22E3">
        <w:t>-</w:t>
      </w:r>
      <w:r w:rsidRPr="008F3A79">
        <w:t xml:space="preserve">embedding medium (OCT, </w:t>
      </w:r>
      <w:proofErr w:type="spellStart"/>
      <w:r w:rsidRPr="008F3A79">
        <w:t>ThermoScientific</w:t>
      </w:r>
      <w:proofErr w:type="spellEnd"/>
      <w:r w:rsidRPr="008F3A79">
        <w:t>).  The ice blocks are position</w:t>
      </w:r>
      <w:r w:rsidR="00B27AAB">
        <w:t>ed</w:t>
      </w:r>
      <w:r w:rsidRPr="008F3A79">
        <w:t xml:space="preserve"> on cryostat (Leica </w:t>
      </w:r>
      <w:r w:rsidRPr="008F3A79">
        <w:rPr>
          <w:color w:val="262626"/>
        </w:rPr>
        <w:t xml:space="preserve">CM3050 S) </w:t>
      </w:r>
      <w:r w:rsidRPr="008F3A79">
        <w:t>and oriented to cut the multiple bones in the same pla</w:t>
      </w:r>
      <w:r w:rsidR="00B27AAB">
        <w:t>ne</w:t>
      </w:r>
      <w:r w:rsidRPr="008F3A79">
        <w:t xml:space="preserve"> of section.  Three 5 µm sections are collected at 100 µm levels using an adhesive </w:t>
      </w:r>
      <w:proofErr w:type="spellStart"/>
      <w:r w:rsidRPr="008F3A79">
        <w:t>cryotape</w:t>
      </w:r>
      <w:proofErr w:type="spellEnd"/>
      <w:r w:rsidRPr="008F3A79">
        <w:t xml:space="preserve"> (</w:t>
      </w:r>
      <w:proofErr w:type="spellStart"/>
      <w:r w:rsidRPr="008F3A79">
        <w:t>Cryofilm</w:t>
      </w:r>
      <w:proofErr w:type="spellEnd"/>
      <w:r w:rsidRPr="008F3A79">
        <w:t xml:space="preserve"> type </w:t>
      </w:r>
      <w:proofErr w:type="gramStart"/>
      <w:r w:rsidRPr="008F3A79">
        <w:lastRenderedPageBreak/>
        <w:t>IIC(</w:t>
      </w:r>
      <w:proofErr w:type="gramEnd"/>
      <w:r w:rsidRPr="008F3A79">
        <w:t>10), Section Lab, Japan.) to capture and maintain the morphology of the section.  The tape is bonded to a glass slide (</w:t>
      </w:r>
      <w:proofErr w:type="spellStart"/>
      <w:r w:rsidRPr="008F3A79">
        <w:t>Cryojane</w:t>
      </w:r>
      <w:proofErr w:type="spellEnd"/>
      <w:r w:rsidRPr="008F3A79">
        <w:t>, Leica Cat#</w:t>
      </w:r>
      <w:r w:rsidRPr="008F3A79">
        <w:rPr>
          <w:color w:val="262626"/>
        </w:rPr>
        <w:t xml:space="preserve"> 39475208</w:t>
      </w:r>
      <w:r w:rsidRPr="008F3A79">
        <w:t xml:space="preserve">) using UV fixation with the sample side exposed.  Each slide contains two tapes with all the sections from the Control or </w:t>
      </w:r>
      <w:r w:rsidR="00E70DBF">
        <w:t>sd</w:t>
      </w:r>
      <w:r w:rsidR="00425FA1">
        <w:rPr>
          <w:i/>
        </w:rPr>
        <w:t>En1</w:t>
      </w:r>
      <w:r w:rsidR="00E70DBF" w:rsidRPr="008F3A79">
        <w:t xml:space="preserve"> </w:t>
      </w:r>
      <w:r w:rsidRPr="008F3A79">
        <w:t xml:space="preserve">samples as well as spots of fluorescent beads (5-10µm) for subsequent image registration.   Three slides per the Control and </w:t>
      </w:r>
      <w:r w:rsidR="00E70DBF">
        <w:t>sd</w:t>
      </w:r>
      <w:r w:rsidR="00425FA1" w:rsidRPr="00B130AD">
        <w:rPr>
          <w:i/>
        </w:rPr>
        <w:t>En1</w:t>
      </w:r>
      <w:r w:rsidR="00E70DBF" w:rsidRPr="008F3A79">
        <w:t xml:space="preserve"> </w:t>
      </w:r>
      <w:r w:rsidRPr="008F3A79">
        <w:t>samples containing the 3 levels of section are processed in a single batch for the staining and imaging steps.</w:t>
      </w:r>
    </w:p>
    <w:p w14:paraId="0EC35CBE" w14:textId="77777777" w:rsidR="00A86633" w:rsidRDefault="00A86633" w:rsidP="00B02FF3">
      <w:pPr>
        <w:rPr>
          <w:i/>
        </w:rPr>
      </w:pPr>
    </w:p>
    <w:p w14:paraId="443D8394" w14:textId="77777777" w:rsidR="00040916" w:rsidRPr="008F3A79" w:rsidRDefault="00040916" w:rsidP="00B02FF3">
      <w:r w:rsidRPr="008F3A79">
        <w:rPr>
          <w:i/>
        </w:rPr>
        <w:t>Section staining</w:t>
      </w:r>
      <w:r w:rsidRPr="008F3A79">
        <w:t xml:space="preserve">: In the first step, the samples are incubated for 5 min in a </w:t>
      </w:r>
      <w:proofErr w:type="spellStart"/>
      <w:r w:rsidRPr="008F3A79">
        <w:t>calcein</w:t>
      </w:r>
      <w:proofErr w:type="spellEnd"/>
      <w:r w:rsidRPr="008F3A79">
        <w:t xml:space="preserve"> blue solution to identify the accumulated mineral with a fluorescent signal.  The slide is cover-slipped with 30% glycerol and imaged for accumulated mineral and the </w:t>
      </w:r>
      <w:proofErr w:type="spellStart"/>
      <w:r w:rsidRPr="008F3A79">
        <w:t>calcein</w:t>
      </w:r>
      <w:proofErr w:type="spellEnd"/>
      <w:r w:rsidRPr="008F3A79">
        <w:t xml:space="preserve"> and alizarin </w:t>
      </w:r>
      <w:proofErr w:type="spellStart"/>
      <w:r w:rsidRPr="008F3A79">
        <w:t>complexone</w:t>
      </w:r>
      <w:proofErr w:type="spellEnd"/>
      <w:r w:rsidRPr="008F3A79">
        <w:t xml:space="preserve"> (AC) mineralization lines.  The second step removes the coverslips and place the slides in a tartrate acid (TRAP) incubation buffer, followed by 5 minutes in the reaction buffer that contains the fluorescent substrate Elf97.  The acid conditions remove all the mineralization signals used in the first step.  The slides washed in PBS and cover-slipped with 30% glycerol.  The TRAP positive cells and registration beads are captured in the second scanning step.  The third step removes coverslip and incubates the sections in the alkaline phosphatase (AP) reaction buffer and followed by 10 minutes in the reaction buffer containing fast red substrate.  The PBS washed slides are cover-slipped with 30% glycerol/water containing DAPI.  The slides are imaged for the red AP signal, DAPI positive nuclei and registration beads.  The final step removes the cover slips and stains the slides with toluidine blue to provide visual tissue morphology and identify cartilage proteoglycan of the articular cartilage and growth plate.  The slides are cover-slipped again in 50% glycerol/water and imaged from chromogenic signals.  </w:t>
      </w:r>
    </w:p>
    <w:p w14:paraId="78E35744" w14:textId="77777777" w:rsidR="00AA5D9C" w:rsidRDefault="00AA5D9C" w:rsidP="00B02FF3">
      <w:pPr>
        <w:rPr>
          <w:i/>
        </w:rPr>
      </w:pPr>
    </w:p>
    <w:p w14:paraId="06EDAC8C" w14:textId="77777777" w:rsidR="00040916" w:rsidRPr="008F3A79" w:rsidRDefault="00040916" w:rsidP="00B02FF3">
      <w:r w:rsidRPr="008F3A79">
        <w:rPr>
          <w:i/>
        </w:rPr>
        <w:t>Section imaging</w:t>
      </w:r>
      <w:r w:rsidRPr="008F3A79">
        <w:t xml:space="preserve">:  The six slides, each containing 5-6 bone sections, are placed in 3 of the 4 positions of the slide holder and loaded into the slide magazine of the </w:t>
      </w:r>
      <w:proofErr w:type="spellStart"/>
      <w:r w:rsidRPr="008F3A79">
        <w:t>Axioscan</w:t>
      </w:r>
      <w:proofErr w:type="spellEnd"/>
      <w:r w:rsidRPr="008F3A79">
        <w:t xml:space="preserve"> Z1 microscope.  The software recognizes the bar code of the slide and identifies the individual sections on the slide to create an image file for each section.  The operator refines the region of interest (ROI) to be scanned and initiates the scanning procedure using preset exposure times and excitation/emission settings.  The light source is the Colibri.2 and the image is captured with a high-resolution monochromic digital camera (Zeiss </w:t>
      </w:r>
      <w:proofErr w:type="spellStart"/>
      <w:r w:rsidRPr="008F3A79">
        <w:t>MRm</w:t>
      </w:r>
      <w:proofErr w:type="spellEnd"/>
      <w:r w:rsidRPr="008F3A79">
        <w:t xml:space="preserve"> Rev.3).   The DAPI, </w:t>
      </w:r>
      <w:proofErr w:type="spellStart"/>
      <w:r w:rsidRPr="008F3A79">
        <w:t>calcein</w:t>
      </w:r>
      <w:proofErr w:type="spellEnd"/>
      <w:r w:rsidRPr="008F3A79">
        <w:t xml:space="preserve"> blue and tetracycline sections were excited with the 385nm LED, </w:t>
      </w:r>
      <w:proofErr w:type="spellStart"/>
      <w:r w:rsidRPr="008F3A79">
        <w:t>calcein</w:t>
      </w:r>
      <w:proofErr w:type="spellEnd"/>
      <w:r w:rsidRPr="008F3A79">
        <w:t xml:space="preserve"> with the 470nm LED, and the AC and fast red with the 555nm LED.  The emission filters used Chroma, #49000ET (LP 400, Emission 460/50) for </w:t>
      </w:r>
      <w:proofErr w:type="spellStart"/>
      <w:r w:rsidRPr="008F3A79">
        <w:t>calcein</w:t>
      </w:r>
      <w:proofErr w:type="spellEnd"/>
      <w:r w:rsidRPr="008F3A79">
        <w:t xml:space="preserve"> blue and DAPI, Chroma #49003ET (LP 515, emission 535/30) for </w:t>
      </w:r>
      <w:proofErr w:type="spellStart"/>
      <w:r w:rsidRPr="008F3A79">
        <w:t>calcein</w:t>
      </w:r>
      <w:proofErr w:type="spellEnd"/>
      <w:r w:rsidRPr="008F3A79">
        <w:t>, a custom Chroma filter (LP 425, emission 555/30) for tetracycline and Chroma 49005ET (LP 570, emission 600/50) for AC and fast red.  The toluidine blue stain section uses a tungsten light source and Hitachi HV-F202 camera.  Using a Plan-</w:t>
      </w:r>
      <w:proofErr w:type="spellStart"/>
      <w:r w:rsidRPr="008F3A79">
        <w:t>Apochromat</w:t>
      </w:r>
      <w:proofErr w:type="spellEnd"/>
      <w:r w:rsidRPr="008F3A79">
        <w:t xml:space="preserve"> 10x/0.45 WD objective, the entire ROI is captured at 100X using an automated image stack compression algorithm. </w:t>
      </w:r>
    </w:p>
    <w:p w14:paraId="6B30B82F" w14:textId="77777777" w:rsidR="001D3F3B" w:rsidRDefault="001D3F3B" w:rsidP="003E4D18"/>
    <w:p w14:paraId="7C917548" w14:textId="618F716D" w:rsidR="00C37BE7" w:rsidRPr="008F3A79" w:rsidRDefault="00040916" w:rsidP="00C37BE7">
      <w:r w:rsidRPr="008F3A79">
        <w:rPr>
          <w:i/>
        </w:rPr>
        <w:t>Image Analysis</w:t>
      </w:r>
      <w:r w:rsidRPr="008F3A79">
        <w:t xml:space="preserve">:  The </w:t>
      </w:r>
      <w:proofErr w:type="spellStart"/>
      <w:r w:rsidRPr="008F3A79">
        <w:t>Axioscan</w:t>
      </w:r>
      <w:proofErr w:type="spellEnd"/>
      <w:r w:rsidRPr="008F3A79">
        <w:t xml:space="preserve"> generates proprietary multilevel source files that are exported as individual gray scale jpeg files for each filter setting.  The files average approximately 65 megapixels per image, which is about 10 pixels per µm</w:t>
      </w:r>
      <w:r w:rsidRPr="008F3A79">
        <w:rPr>
          <w:vertAlign w:val="superscript"/>
        </w:rPr>
        <w:t>2</w:t>
      </w:r>
      <w:r w:rsidRPr="008F3A79">
        <w:t xml:space="preserve"> and corresponds to the size of a DAPI positive nucleus.  A total of 9 gray scale files and 1 color file are generated.  A proprietary</w:t>
      </w:r>
      <w:r w:rsidR="006C2EAF">
        <w:t xml:space="preserve"> algorithm was </w:t>
      </w:r>
      <w:r w:rsidRPr="008F3A79">
        <w:t xml:space="preserve">utilized to threshold each fluorescent signal and map it back to the mineralized bone architecture as defined by the </w:t>
      </w:r>
      <w:proofErr w:type="spellStart"/>
      <w:r w:rsidRPr="008F3A79">
        <w:t>calcein</w:t>
      </w:r>
      <w:proofErr w:type="spellEnd"/>
      <w:r w:rsidRPr="008F3A79">
        <w:t xml:space="preserve"> blue stain</w:t>
      </w:r>
      <w:r w:rsidR="00312E22">
        <w:t>.</w:t>
      </w:r>
      <w:r w:rsidR="00312E22">
        <w:fldChar w:fldCharType="begin"/>
      </w:r>
      <w:r w:rsidR="00735D55">
        <w:instrText xml:space="preserve"> ADDIN PAPERS2_CITATIONS &lt;citation&gt;&lt;uuid&gt;DC7CFCC0-460E-42E1-9DC1-DA0D3F6C2EAB&lt;/uuid&gt;&lt;priority&gt;0&lt;/priority&gt;&lt;publications&gt;&lt;publication&gt;&lt;uuid&gt;C3EBE6BC-BE4A-4CF3-B2F3-B09A37B57E0D&lt;/uuid&gt;&lt;volume&gt;Suppl 1&lt;/volume&gt;&lt;doi&gt;10.4172/2157-7552.S1-004&lt;/doi&gt;&lt;startpage&gt;004&lt;/startpage&gt;&lt;publication_date&gt;99201400001200000000200000&lt;/publication_date&gt;&lt;url&gt;http://www.omicsonline.org/computerautomated-static-dynamic-and-cellular-bone-histomorphometry-2157-7552.S1-004.php?aid=11116&lt;/url&gt;&lt;type&gt;400&lt;/type&gt;&lt;title&gt;Computer-Automated Static, Dynamic and Cellular Bone Histomorphometry&lt;/title&gt;&lt;publisher&gt;NIH Public Access&lt;/publisher&gt;&lt;institution&gt;Department of Computer Science and Engineering, University of Connecticut, Storrs, Connecticut, USA.&lt;/institution&gt;&lt;number&gt;01&lt;/number&gt;&lt;subtype&gt;400&lt;/subtype&gt;&lt;bundle&gt;&lt;title&gt;Journal of tissue science &amp;amp; engineering&lt;/title&gt;&lt;uuid&gt;temp--782E34EE-F3DB-4AA0-ACC2-A77DA1910FB4&lt;/uuid&gt;&lt;subtype&gt;-100&lt;/subtype&gt;&lt;publisher&gt;NIH Public Access&lt;/publisher&gt;&lt;type&gt;-100&lt;/type&gt;&lt;/bundle&gt;&lt;authors&gt;&lt;author&gt;&lt;firstName&gt;Seung-Hyun&lt;/firstName&gt;&lt;lastName&gt;Hong&lt;/lastName&gt;&lt;/author&gt;&lt;author&gt;&lt;firstName&gt;Xi&lt;/firstName&gt;&lt;lastName&gt;Jiang&lt;/lastName&gt;&lt;/author&gt;&lt;author&gt;&lt;firstName&gt;Li&lt;/firstName&gt;&lt;lastName&gt;Chen&lt;/lastName&gt;&lt;/author&gt;&lt;author&gt;&lt;firstName&gt;Pujan&lt;/firstName&gt;&lt;lastName&gt;Josh&lt;/lastName&gt;&lt;/author&gt;&lt;author&gt;&lt;firstName&gt;Dong-Guk&lt;/firstName&gt;&lt;lastName&gt;Shin&lt;/lastName&gt;&lt;/author&gt;&lt;author&gt;&lt;firstName&gt;David&lt;/firstName&gt;&lt;lastName&gt;Rowe&lt;/lastName&gt;&lt;/author&gt;&lt;/authors&gt;&lt;/publication&gt;&lt;/publications&gt;&lt;cites&gt;&lt;/cites&gt;&lt;/citation&gt;</w:instrText>
      </w:r>
      <w:r w:rsidR="00312E22">
        <w:fldChar w:fldCharType="separate"/>
      </w:r>
      <w:r w:rsidR="002D628F">
        <w:rPr>
          <w:rFonts w:cs="Times New Roman"/>
          <w:szCs w:val="20"/>
          <w:vertAlign w:val="superscript"/>
        </w:rPr>
        <w:t>34</w:t>
      </w:r>
      <w:r w:rsidR="00312E22">
        <w:fldChar w:fldCharType="end"/>
      </w:r>
      <w:r w:rsidRPr="008F3A79">
        <w:t xml:space="preserve">   The details of the analysis and the production of measured and calculated data are detailed at bonebase.org.</w:t>
      </w:r>
      <w:r w:rsidR="00C37BE7">
        <w:t xml:space="preserve"> </w:t>
      </w:r>
      <w:proofErr w:type="spellStart"/>
      <w:r w:rsidR="00C37BE7" w:rsidRPr="00485EB4">
        <w:rPr>
          <w:rFonts w:cs="Arial"/>
        </w:rPr>
        <w:t>Osteoblastic</w:t>
      </w:r>
      <w:proofErr w:type="spellEnd"/>
      <w:r w:rsidR="00C37BE7" w:rsidRPr="00485EB4">
        <w:rPr>
          <w:rFonts w:cs="Arial"/>
        </w:rPr>
        <w:t xml:space="preserve"> activity is assessed by a fluorescent </w:t>
      </w:r>
      <w:r w:rsidR="00C37BE7">
        <w:rPr>
          <w:rFonts w:cs="Arial"/>
        </w:rPr>
        <w:t>AP</w:t>
      </w:r>
      <w:r w:rsidR="00C37BE7" w:rsidRPr="00485EB4">
        <w:rPr>
          <w:rFonts w:cs="Arial"/>
        </w:rPr>
        <w:t xml:space="preserve"> stain, which is strongly positive in active osteoblasts but still detectable by resting (lining) cell of the bone lineage.  The histology measures the proportion of trabecular bone surface</w:t>
      </w:r>
      <w:r w:rsidR="00C37BE7">
        <w:rPr>
          <w:rFonts w:cs="Arial"/>
        </w:rPr>
        <w:t xml:space="preserve"> (BS)</w:t>
      </w:r>
      <w:r w:rsidR="00C37BE7" w:rsidRPr="00485EB4">
        <w:rPr>
          <w:rFonts w:cs="Arial"/>
        </w:rPr>
        <w:t xml:space="preserve"> that is positive for AP activity (AP/BS).  To control for technical </w:t>
      </w:r>
      <w:r w:rsidR="00C37BE7">
        <w:rPr>
          <w:rFonts w:cs="Arial"/>
        </w:rPr>
        <w:t xml:space="preserve">or biological </w:t>
      </w:r>
      <w:r w:rsidR="00C37BE7" w:rsidRPr="00485EB4">
        <w:rPr>
          <w:rFonts w:cs="Arial"/>
        </w:rPr>
        <w:t>variation in staining activity, the distribution of that signal between bone labeling surfaces (AP_L_BS) and non-labeling surfaces (AP_NL_BS) is calculated.   Another measurement that is independent of the total AP activity of a tissue</w:t>
      </w:r>
      <w:r w:rsidR="00C37BE7">
        <w:rPr>
          <w:rFonts w:cs="Arial"/>
        </w:rPr>
        <w:t>,</w:t>
      </w:r>
      <w:r w:rsidR="00C37BE7" w:rsidRPr="00485EB4">
        <w:rPr>
          <w:rFonts w:cs="Arial"/>
        </w:rPr>
        <w:t xml:space="preserve"> distributes the proportion of AP activity that is adjacent to mineralizing surfaces (</w:t>
      </w:r>
      <w:r w:rsidR="00C37BE7">
        <w:rPr>
          <w:rFonts w:cs="Arial"/>
        </w:rPr>
        <w:t>%AP_L</w:t>
      </w:r>
      <w:r w:rsidR="00C37BE7" w:rsidRPr="00485EB4">
        <w:rPr>
          <w:rFonts w:cs="Arial"/>
        </w:rPr>
        <w:t>) or non-labeling surfaces (</w:t>
      </w:r>
      <w:r w:rsidR="00C37BE7">
        <w:rPr>
          <w:rFonts w:cs="Arial"/>
        </w:rPr>
        <w:t>%AP_NL</w:t>
      </w:r>
      <w:r w:rsidR="00C37BE7" w:rsidRPr="00485EB4">
        <w:rPr>
          <w:rFonts w:cs="Arial"/>
        </w:rPr>
        <w:t>).</w:t>
      </w:r>
      <w:r w:rsidR="00C37BE7">
        <w:rPr>
          <w:rFonts w:cs="Arial"/>
        </w:rPr>
        <w:t xml:space="preserve">  </w:t>
      </w:r>
      <w:r w:rsidR="00C37BE7" w:rsidRPr="00485EB4">
        <w:rPr>
          <w:rFonts w:cs="Arial"/>
        </w:rPr>
        <w:t>Osteoclastic activity is based on a fluorescent TRAP stain and expressed as the proportion of trabecular bone surface that is TRAP positive</w:t>
      </w:r>
      <w:r w:rsidR="00C37BE7">
        <w:rPr>
          <w:rFonts w:cs="Arial"/>
        </w:rPr>
        <w:t xml:space="preserve"> (TRAP_BS)</w:t>
      </w:r>
      <w:r w:rsidR="00C37BE7" w:rsidRPr="00485EB4">
        <w:rPr>
          <w:rFonts w:cs="Arial"/>
        </w:rPr>
        <w:t xml:space="preserve">.  The analysis does not account for the size of the individual spots of activity nor the number of nuclei per fluorescent spot.  Only activity that resides adjacent to the trabecular surface and not within the marrow space is assessed.  The distribution of the TRAP activity to sites of active mineralization (TRAP_L_BS) or </w:t>
      </w:r>
      <w:proofErr w:type="spellStart"/>
      <w:r w:rsidR="00C37BE7" w:rsidRPr="00485EB4">
        <w:rPr>
          <w:rFonts w:cs="Arial"/>
        </w:rPr>
        <w:t>osteogenesis</w:t>
      </w:r>
      <w:proofErr w:type="spellEnd"/>
      <w:r w:rsidR="00C37BE7" w:rsidRPr="00485EB4">
        <w:rPr>
          <w:rFonts w:cs="Arial"/>
        </w:rPr>
        <w:t xml:space="preserve"> (AP_TRAP_BS) versus inactive mineralization (TRAP_NL_BS) has proven to be a useful measurement to discriminate areas of high bone turnover versus bone resorption without an osteogenic response</w:t>
      </w:r>
      <w:r w:rsidR="00C37BE7">
        <w:rPr>
          <w:rFonts w:cs="Arial"/>
        </w:rPr>
        <w:t>.</w:t>
      </w:r>
    </w:p>
    <w:p w14:paraId="5160BB55" w14:textId="0F15C7C2" w:rsidR="00740F6E" w:rsidRPr="004D39D0" w:rsidRDefault="00740F6E" w:rsidP="00740F6E">
      <w:pPr>
        <w:pStyle w:val="Heading3"/>
      </w:pPr>
      <w:r w:rsidRPr="004D39D0">
        <w:lastRenderedPageBreak/>
        <w:t>Identification of cells belonging to the</w:t>
      </w:r>
      <w:r>
        <w:t xml:space="preserve"> En1 lineage</w:t>
      </w:r>
    </w:p>
    <w:p w14:paraId="06C838F0" w14:textId="62136BD8" w:rsidR="00F52EFC" w:rsidRDefault="00040916" w:rsidP="00761F7D">
      <w:r w:rsidRPr="00EB3F65">
        <w:rPr>
          <w:i/>
        </w:rPr>
        <w:t>Breeding of mice and sample collection</w:t>
      </w:r>
      <w:r w:rsidRPr="00EB3F65">
        <w:t xml:space="preserve">:  </w:t>
      </w:r>
      <w:r w:rsidR="00F52EFC">
        <w:rPr>
          <w:rFonts w:cs="Arial"/>
        </w:rPr>
        <w:t xml:space="preserve">Twelve week old </w:t>
      </w:r>
      <w:r w:rsidR="00F52EFC" w:rsidRPr="001B3D75">
        <w:rPr>
          <w:rFonts w:cs="Arial"/>
          <w:i/>
        </w:rPr>
        <w:t>En1</w:t>
      </w:r>
      <w:r w:rsidR="00805E4D">
        <w:rPr>
          <w:rFonts w:cs="Arial"/>
          <w:i/>
          <w:vertAlign w:val="superscript"/>
        </w:rPr>
        <w:t>C</w:t>
      </w:r>
      <w:r w:rsidR="00F52EFC" w:rsidRPr="001B3D75">
        <w:rPr>
          <w:rFonts w:cs="Arial"/>
          <w:i/>
          <w:vertAlign w:val="superscript"/>
        </w:rPr>
        <w:t>re/+</w:t>
      </w:r>
      <w:r w:rsidR="00F52EFC" w:rsidRPr="001B3D75">
        <w:rPr>
          <w:rFonts w:cs="Arial"/>
          <w:i/>
        </w:rPr>
        <w:t>;</w:t>
      </w:r>
      <w:r w:rsidR="003C42AF">
        <w:rPr>
          <w:rFonts w:cs="Arial"/>
          <w:i/>
        </w:rPr>
        <w:t>R26</w:t>
      </w:r>
      <w:r w:rsidR="003C42AF" w:rsidRPr="00490FF0">
        <w:rPr>
          <w:rFonts w:cs="Arial"/>
          <w:i/>
          <w:vertAlign w:val="superscript"/>
        </w:rPr>
        <w:t>LSL-EYFP</w:t>
      </w:r>
      <w:r w:rsidR="00F52EFC">
        <w:rPr>
          <w:rFonts w:cs="Arial"/>
        </w:rPr>
        <w:t xml:space="preserve"> (</w:t>
      </w:r>
      <w:r w:rsidR="00F52EFC" w:rsidRPr="001B3D75">
        <w:rPr>
          <w:rFonts w:cs="Arial"/>
          <w:i/>
        </w:rPr>
        <w:t>En1</w:t>
      </w:r>
      <w:r w:rsidR="00F52EFC">
        <w:rPr>
          <w:rFonts w:cs="Arial"/>
        </w:rPr>
        <w:t xml:space="preserve"> lineage tagged) and </w:t>
      </w:r>
      <w:r w:rsidR="00F52EFC" w:rsidRPr="001B3D75">
        <w:rPr>
          <w:rFonts w:cs="Arial"/>
          <w:i/>
        </w:rPr>
        <w:t>En1</w:t>
      </w:r>
      <w:r w:rsidR="00F52EFC" w:rsidRPr="001B3D75">
        <w:rPr>
          <w:rFonts w:cs="Arial"/>
          <w:i/>
          <w:vertAlign w:val="superscript"/>
        </w:rPr>
        <w:t>+/+</w:t>
      </w:r>
      <w:r w:rsidR="00F52EFC" w:rsidRPr="001B3D75">
        <w:rPr>
          <w:rFonts w:cs="Arial"/>
          <w:i/>
        </w:rPr>
        <w:t>;</w:t>
      </w:r>
      <w:r w:rsidR="006C6C32" w:rsidRPr="00194313">
        <w:rPr>
          <w:rFonts w:cs="Arial"/>
          <w:i/>
        </w:rPr>
        <w:t>R26</w:t>
      </w:r>
      <w:r w:rsidR="006C6C32">
        <w:rPr>
          <w:rFonts w:cs="Arial"/>
          <w:i/>
          <w:vertAlign w:val="superscript"/>
        </w:rPr>
        <w:t>LSL-EYFP</w:t>
      </w:r>
      <w:r w:rsidR="00F52EFC">
        <w:rPr>
          <w:rFonts w:cs="Arial"/>
        </w:rPr>
        <w:t xml:space="preserve"> (control) mice </w:t>
      </w:r>
      <w:r w:rsidR="00F52EFC" w:rsidRPr="00485EB4">
        <w:rPr>
          <w:rFonts w:cs="Arial"/>
        </w:rPr>
        <w:t xml:space="preserve">were sacrificed, the vertebral </w:t>
      </w:r>
      <w:r w:rsidR="00F52EFC">
        <w:rPr>
          <w:rFonts w:cs="Arial"/>
        </w:rPr>
        <w:t>1-3</w:t>
      </w:r>
      <w:r w:rsidR="00F52EFC" w:rsidRPr="00485EB4">
        <w:rPr>
          <w:rFonts w:cs="Arial"/>
        </w:rPr>
        <w:t xml:space="preserve"> were excised, place</w:t>
      </w:r>
      <w:r w:rsidR="00F52EFC">
        <w:rPr>
          <w:rFonts w:cs="Arial"/>
        </w:rPr>
        <w:t>d</w:t>
      </w:r>
      <w:r w:rsidR="00F52EFC" w:rsidRPr="00485EB4">
        <w:rPr>
          <w:rFonts w:cs="Arial"/>
        </w:rPr>
        <w:t xml:space="preserve"> in chilled 10% formalin, packed in wet ice and sent to the Rowe lab for imaging.</w:t>
      </w:r>
    </w:p>
    <w:p w14:paraId="0A783B2D" w14:textId="77777777" w:rsidR="00040916" w:rsidRPr="00EB3F65" w:rsidRDefault="00040916" w:rsidP="005A1D19"/>
    <w:p w14:paraId="2B87786F" w14:textId="64A29354" w:rsidR="005D5C77" w:rsidRPr="00485EB4" w:rsidRDefault="005D5C77" w:rsidP="00761F7D">
      <w:r w:rsidRPr="00E8215D">
        <w:rPr>
          <w:i/>
        </w:rPr>
        <w:t>Tissue process, sectioning and imaging</w:t>
      </w:r>
      <w:r w:rsidRPr="00485EB4">
        <w:t xml:space="preserve">:  The tissues and sectioning protocol was identical to </w:t>
      </w:r>
      <w:proofErr w:type="spellStart"/>
      <w:r w:rsidRPr="00485EB4">
        <w:t>histomorphology</w:t>
      </w:r>
      <w:proofErr w:type="spellEnd"/>
      <w:r w:rsidRPr="00485EB4">
        <w:t xml:space="preserve"> including the multiple rounds of imaging and staining.  The </w:t>
      </w:r>
      <w:r>
        <w:t>EYFP</w:t>
      </w:r>
      <w:r w:rsidRPr="00485EB4">
        <w:t xml:space="preserve"> signal was captured during the first imaging step using the </w:t>
      </w:r>
      <w:proofErr w:type="gramStart"/>
      <w:r w:rsidRPr="00485EB4">
        <w:t>Colibri.2  470nm</w:t>
      </w:r>
      <w:proofErr w:type="gramEnd"/>
      <w:r w:rsidRPr="00485EB4">
        <w:t xml:space="preserve"> LED and the Chroma 49003ET filter (LP 515, Emission 535/30).  The </w:t>
      </w:r>
      <w:r>
        <w:t>EYFP</w:t>
      </w:r>
      <w:r w:rsidRPr="00485EB4">
        <w:t xml:space="preserve"> signal from the </w:t>
      </w:r>
      <w:r w:rsidR="002327D7" w:rsidRPr="008F1B47">
        <w:rPr>
          <w:i/>
        </w:rPr>
        <w:t>R26</w:t>
      </w:r>
      <w:r w:rsidR="002327D7" w:rsidRPr="008F1B47">
        <w:rPr>
          <w:i/>
          <w:vertAlign w:val="superscript"/>
        </w:rPr>
        <w:t>LSL-EYFP</w:t>
      </w:r>
      <w:r w:rsidRPr="00485EB4">
        <w:t xml:space="preserve"> </w:t>
      </w:r>
      <w:r w:rsidR="00DA7F9A">
        <w:t>allele</w:t>
      </w:r>
      <w:r w:rsidR="00DA7F9A" w:rsidRPr="00485EB4">
        <w:t xml:space="preserve"> </w:t>
      </w:r>
      <w:r w:rsidRPr="00485EB4">
        <w:t>is very weak in skeletal tissues requiring significant signal enhancement.</w:t>
      </w:r>
      <w:r w:rsidR="00CC1447">
        <w:t xml:space="preserve"> (</w:t>
      </w:r>
      <w:r w:rsidR="00CC1447" w:rsidRPr="00CC1447">
        <w:rPr>
          <w:b/>
        </w:rPr>
        <w:t xml:space="preserve">Extended Data Figure </w:t>
      </w:r>
      <w:r w:rsidR="004041B0">
        <w:rPr>
          <w:b/>
        </w:rPr>
        <w:t>4</w:t>
      </w:r>
      <w:r w:rsidR="00CC1447">
        <w:t>)</w:t>
      </w:r>
    </w:p>
    <w:p w14:paraId="17C877C8" w14:textId="0E866980" w:rsidR="00D34816" w:rsidRDefault="00D34816" w:rsidP="00D34816">
      <w:pPr>
        <w:pStyle w:val="Heading3"/>
        <w:rPr>
          <w:i/>
        </w:rPr>
      </w:pPr>
      <w:r>
        <w:t xml:space="preserve">Human EN1 </w:t>
      </w:r>
      <w:r w:rsidR="002F5688">
        <w:t>E</w:t>
      </w:r>
      <w:r>
        <w:t xml:space="preserve">xpression </w:t>
      </w:r>
      <w:r w:rsidR="002F5688">
        <w:t>P</w:t>
      </w:r>
      <w:r>
        <w:t>rofiling</w:t>
      </w:r>
    </w:p>
    <w:p w14:paraId="79FB6E13" w14:textId="03F05866" w:rsidR="009150D6" w:rsidRDefault="007914DC" w:rsidP="009150D6">
      <w:r w:rsidRPr="007914DC">
        <w:t>Human CD14</w:t>
      </w:r>
      <w:r w:rsidRPr="007914DC">
        <w:rPr>
          <w:vertAlign w:val="superscript"/>
        </w:rPr>
        <w:t>+</w:t>
      </w:r>
      <w:r w:rsidRPr="007914DC">
        <w:t xml:space="preserve"> cells from healthy donors were incubated with 20 ng/ml of human M-CSF (</w:t>
      </w:r>
      <w:proofErr w:type="spellStart"/>
      <w:r w:rsidRPr="007914DC">
        <w:t>peprotech</w:t>
      </w:r>
      <w:proofErr w:type="spellEnd"/>
      <w:r w:rsidRPr="007914DC">
        <w:t xml:space="preserve">) for one day to generate OCPs. Osteoclast precursors were incubated with 20 ng/ml of M-CSF and 40 ng/ml of human soluble RANKL for five additional days in α-MEM supplemented with 10 % FBS. Cytokines were replenished every 3 days. On day 6, cells were harvested. </w:t>
      </w:r>
      <w:proofErr w:type="gramStart"/>
      <w:r w:rsidRPr="007914DC">
        <w:t>mRNA</w:t>
      </w:r>
      <w:proofErr w:type="gramEnd"/>
      <w:r w:rsidRPr="007914DC">
        <w:t xml:space="preserve"> of human osteoclasts (n=5), human </w:t>
      </w:r>
      <w:proofErr w:type="spellStart"/>
      <w:r w:rsidRPr="007914DC">
        <w:t>macrophges</w:t>
      </w:r>
      <w:proofErr w:type="spellEnd"/>
      <w:r w:rsidRPr="007914DC">
        <w:t xml:space="preserve"> (n=4), 293T cells (fi</w:t>
      </w:r>
      <w:r w:rsidR="001D22E3">
        <w:t>b</w:t>
      </w:r>
      <w:r w:rsidRPr="007914DC">
        <w:t xml:space="preserve">roblasts, n=4), and human osteoblasts (a kind gift from Dr. Jae </w:t>
      </w:r>
      <w:proofErr w:type="spellStart"/>
      <w:r w:rsidRPr="007914DC">
        <w:t>Hycuk</w:t>
      </w:r>
      <w:proofErr w:type="spellEnd"/>
      <w:r w:rsidRPr="007914DC">
        <w:t xml:space="preserve"> Shim, Weill </w:t>
      </w:r>
      <w:proofErr w:type="spellStart"/>
      <w:r w:rsidRPr="007914DC">
        <w:t>Conell</w:t>
      </w:r>
      <w:proofErr w:type="spellEnd"/>
      <w:r w:rsidRPr="007914DC">
        <w:t xml:space="preserve"> Medical College, n=3) was measured using real-time PCR. EN1 mRNA levels were normalized relative to GAPDH mRNA. Data are shown as mean ± SEM. **</w:t>
      </w:r>
      <w:proofErr w:type="gramStart"/>
      <w:r w:rsidRPr="007914DC">
        <w:t>* :</w:t>
      </w:r>
      <w:r w:rsidRPr="007914DC">
        <w:rPr>
          <w:i/>
          <w:iCs/>
        </w:rPr>
        <w:t>P</w:t>
      </w:r>
      <w:proofErr w:type="gramEnd"/>
      <w:r w:rsidRPr="007914DC">
        <w:rPr>
          <w:i/>
          <w:iCs/>
        </w:rPr>
        <w:t xml:space="preserve"> </w:t>
      </w:r>
      <w:r w:rsidRPr="007914DC">
        <w:t>&lt; 0.001 by one-way ANOVA.</w:t>
      </w:r>
      <w:r w:rsidRPr="007914DC">
        <w:rPr>
          <w:rFonts w:ascii="Arial" w:eastAsia="MS ??" w:hAnsi="Arial" w:cs="Arial"/>
          <w:b/>
          <w:bCs/>
          <w:color w:val="000000" w:themeColor="text1"/>
          <w:kern w:val="24"/>
          <w:szCs w:val="20"/>
        </w:rPr>
        <w:t xml:space="preserve"> </w:t>
      </w:r>
      <w:r w:rsidRPr="007914DC">
        <w:t xml:space="preserve">All statistical analyses were performed with </w:t>
      </w:r>
      <w:proofErr w:type="spellStart"/>
      <w:r w:rsidRPr="007914DC">
        <w:t>Graphpad</w:t>
      </w:r>
      <w:proofErr w:type="spellEnd"/>
      <w:r w:rsidRPr="007914DC">
        <w:t xml:space="preserve"> Prism 5.0 software one-way ANOVA for multiple comparisons (more than two conditions) with </w:t>
      </w:r>
      <w:proofErr w:type="spellStart"/>
      <w:r w:rsidRPr="007914DC">
        <w:t>posthoc</w:t>
      </w:r>
      <w:proofErr w:type="spellEnd"/>
      <w:r w:rsidRPr="007914DC">
        <w:t xml:space="preserve"> </w:t>
      </w:r>
      <w:proofErr w:type="spellStart"/>
      <w:r w:rsidRPr="007914DC">
        <w:t>Tukey</w:t>
      </w:r>
      <w:proofErr w:type="spellEnd"/>
      <w:r w:rsidRPr="007914DC">
        <w:t xml:space="preserve"> test.  </w:t>
      </w:r>
      <w:r w:rsidRPr="007914DC">
        <w:rPr>
          <w:i/>
          <w:iCs/>
        </w:rPr>
        <w:t>p</w:t>
      </w:r>
      <w:r w:rsidRPr="007914DC">
        <w:t>&lt;0.05 was taken as statistically significant.</w:t>
      </w:r>
      <w:r w:rsidR="009150D6">
        <w:t xml:space="preserve"> Results are presented </w:t>
      </w:r>
      <w:r w:rsidR="009150D6" w:rsidRPr="002362C2">
        <w:t xml:space="preserve">in </w:t>
      </w:r>
      <w:r w:rsidR="009150D6" w:rsidRPr="002362C2">
        <w:rPr>
          <w:b/>
        </w:rPr>
        <w:t xml:space="preserve">Extended Data Fig. </w:t>
      </w:r>
      <w:r w:rsidR="004041B0">
        <w:rPr>
          <w:b/>
        </w:rPr>
        <w:t>3</w:t>
      </w:r>
      <w:r w:rsidR="009150D6" w:rsidRPr="002362C2">
        <w:rPr>
          <w:b/>
        </w:rPr>
        <w:t>c</w:t>
      </w:r>
      <w:r w:rsidR="009150D6" w:rsidRPr="002362C2">
        <w:t>.</w:t>
      </w:r>
    </w:p>
    <w:p w14:paraId="2B01CFAA" w14:textId="08FF477B" w:rsidR="003A5581" w:rsidRPr="00430861" w:rsidRDefault="00407103" w:rsidP="00EF187A">
      <w:pPr>
        <w:pStyle w:val="Heading3"/>
        <w:rPr>
          <w:i/>
        </w:rPr>
      </w:pPr>
      <w:r w:rsidRPr="00430861">
        <w:t>Mouse and Rat Homologous Regions</w:t>
      </w:r>
    </w:p>
    <w:p w14:paraId="71ABE4AF" w14:textId="0E615E4B" w:rsidR="005342B4" w:rsidRDefault="00DA5FBB" w:rsidP="00DA5FBB">
      <w:pPr>
        <w:widowControl w:val="0"/>
        <w:autoSpaceDE w:val="0"/>
        <w:autoSpaceDN w:val="0"/>
        <w:adjustRightInd w:val="0"/>
        <w:rPr>
          <w:rFonts w:cs="Arial"/>
          <w:szCs w:val="22"/>
        </w:rPr>
      </w:pPr>
      <w:r w:rsidRPr="00046957">
        <w:rPr>
          <w:rFonts w:cs="Arial"/>
          <w:szCs w:val="22"/>
        </w:rPr>
        <w:t xml:space="preserve">To test possible conservation between human BMD-associated loci and quantitative trait loci (QTLs) linked to bone related traits in experimental mapping panels in rats and mice, comparative genome data were used. For each region of association to BMD in humans, genes flanking </w:t>
      </w:r>
      <w:r w:rsidR="00F26D05">
        <w:rPr>
          <w:rFonts w:cs="Arial"/>
          <w:szCs w:val="22"/>
        </w:rPr>
        <w:t>SNV</w:t>
      </w:r>
      <w:r w:rsidRPr="00046957">
        <w:rPr>
          <w:rFonts w:cs="Arial"/>
          <w:szCs w:val="22"/>
        </w:rPr>
        <w:t xml:space="preserve"> markers showing the strongest evidence of association were searched for homologs in the genome assemblies of the mouse (</w:t>
      </w:r>
      <w:r>
        <w:rPr>
          <w:rFonts w:cs="Arial"/>
          <w:szCs w:val="22"/>
        </w:rPr>
        <w:t>NCBI37/mm9</w:t>
      </w:r>
      <w:r w:rsidRPr="00046957">
        <w:rPr>
          <w:rFonts w:cs="Arial"/>
          <w:szCs w:val="22"/>
        </w:rPr>
        <w:t xml:space="preserve">) and rat (RGSC3.4). </w:t>
      </w:r>
      <w:r>
        <w:rPr>
          <w:rFonts w:cs="Arial"/>
          <w:szCs w:val="22"/>
        </w:rPr>
        <w:t>For the rat QTL, t</w:t>
      </w:r>
      <w:r w:rsidRPr="00046957">
        <w:rPr>
          <w:rFonts w:cs="Arial"/>
          <w:szCs w:val="22"/>
        </w:rPr>
        <w:t>he corresponding locus was tested for co-localization within boundaries of QTLs for bone related phenotypes fine mapped (circa 4Mb) from the heterogeneous stock (HS)</w:t>
      </w:r>
      <w:r>
        <w:rPr>
          <w:rFonts w:cs="Arial"/>
          <w:szCs w:val="22"/>
        </w:rPr>
        <w:t>.</w:t>
      </w:r>
      <w:r w:rsidR="009271C3">
        <w:rPr>
          <w:rFonts w:cs="Arial"/>
          <w:szCs w:val="22"/>
        </w:rPr>
        <w:fldChar w:fldCharType="begin"/>
      </w:r>
      <w:r w:rsidR="00735D55">
        <w:rPr>
          <w:rFonts w:cs="Arial"/>
          <w:szCs w:val="22"/>
        </w:rPr>
        <w:instrText xml:space="preserve"> ADDIN PAPERS2_CITATIONS &lt;citation&gt;&lt;uuid&gt;CF927C73-2800-4177-86D7-F7FD13E9875A&lt;/uuid&gt;&lt;priority&gt;34&lt;/priority&gt;&lt;publications&gt;&lt;publication&gt;&lt;uuid&gt;F3122C78-07FC-4B87-B37D-3D75A74A99FF&lt;/uuid&gt;&lt;volume&gt;45&lt;/volume&gt;&lt;doi&gt;10.1038/ng.2644&lt;/doi&gt;&lt;startpage&gt;767&lt;/startpage&gt;&lt;publication_date&gt;99201305261200000000222000&lt;/publication_date&gt;&lt;url&gt;http://www.nature.com/doifinder/10.1038/ng.2644&lt;/url&gt;&lt;citekey&gt;Baud:2013jo&lt;/citekey&gt;&lt;type&gt;400&lt;/type&gt;&lt;title&gt;Combined sequence-based and genetic mapping analysis of complex traits in outbred rats&lt;/title&gt;&lt;publisher&gt;Nature Publishing Group&lt;/publisher&gt;&lt;number&gt;7&lt;/number&gt;&lt;subtype&gt;400&lt;/subtype&gt;&lt;endpage&gt;775&lt;/endpage&gt;&lt;bundle&gt;&lt;publication&gt;&lt;publisher&gt;Nature Publishing Group&lt;/publisher&gt;&lt;url&gt;http://www.nature.com.proxy1.library.mcgill.ca&lt;/url&gt;&lt;title&gt;Nature Publishing Group&lt;/title&gt;&lt;type&gt;-100&lt;/type&gt;&lt;subtype&gt;-100&lt;/subtype&gt;&lt;uuid&gt;300C7CB8-BEB5-4099-929A-BDE617D1A268&lt;/uuid&gt;&lt;/publication&gt;&lt;/bundle&gt;&lt;authors&gt;&lt;author&gt;&lt;firstName&gt;Amelie&lt;/firstName&gt;&lt;lastName&gt;Baud&lt;/lastName&gt;&lt;/author&gt;&lt;author&gt;&lt;firstName&gt;Roel&lt;/firstName&gt;&lt;lastName&gt;Hermsen&lt;/lastName&gt;&lt;/author&gt;&lt;author&gt;&lt;firstName&gt;Victor&lt;/firstName&gt;&lt;lastName&gt;Guryev&lt;/lastName&gt;&lt;/author&gt;&lt;author&gt;&lt;firstName&gt;Pernilla&lt;/firstName&gt;&lt;lastName&gt;Stridh&lt;/lastName&gt;&lt;/author&gt;&lt;author&gt;&lt;firstName&gt;Delyth&lt;/firstName&gt;&lt;lastName&gt;Graham&lt;/lastName&gt;&lt;/author&gt;&lt;author&gt;&lt;firstName&gt;Martin&lt;/firstName&gt;&lt;middleNames&gt;W&lt;/middleNames&gt;&lt;lastName&gt;McBride&lt;/lastName&gt;&lt;/author&gt;&lt;author&gt;&lt;firstName&gt;Tatiana&lt;/firstName&gt;&lt;lastName&gt;Foroud&lt;/lastName&gt;&lt;/author&gt;&lt;author&gt;&lt;firstName&gt;Sophie&lt;/firstName&gt;&lt;lastName&gt;Calderari&lt;/lastName&gt;&lt;/author&gt;&lt;author&gt;&lt;firstName&gt;Margarita&lt;/firstName&gt;&lt;lastName&gt;Diez&lt;/lastName&gt;&lt;/author&gt;&lt;author&gt;&lt;firstName&gt;Johan&lt;/firstName&gt;&lt;lastName&gt;Ockinger&lt;/lastName&gt;&lt;/author&gt;&lt;author&gt;&lt;firstName&gt;Amennai&lt;/firstName&gt;&lt;middleNames&gt;D&lt;/middleNames&gt;&lt;lastName&gt;Beyeen&lt;/lastName&gt;&lt;/author&gt;&lt;author&gt;&lt;firstName&gt;Alan&lt;/firstName&gt;&lt;lastName&gt;Gillett&lt;/lastName&gt;&lt;/author&gt;&lt;author&gt;&lt;firstName&gt;Nada&lt;/firstName&gt;&lt;lastName&gt;Abdelmagid&lt;/lastName&gt;&lt;/author&gt;&lt;author&gt;&lt;firstName&gt;Andre&lt;/firstName&gt;&lt;middleNames&gt;Ortlieb&lt;/middleNames&gt;&lt;lastName&gt;Guerreiro-Cacais&lt;/lastName&gt;&lt;/author&gt;&lt;author&gt;&lt;firstName&gt;Maja&lt;/firstName&gt;&lt;lastName&gt;Jagodic&lt;/lastName&gt;&lt;/author&gt;&lt;author&gt;&lt;firstName&gt;Jonatan&lt;/firstName&gt;&lt;lastName&gt;Tuncel&lt;/lastName&gt;&lt;/author&gt;&lt;author&gt;&lt;firstName&gt;Ulrika&lt;/firstName&gt;&lt;lastName&gt;Norin&lt;/lastName&gt;&lt;/author&gt;&lt;author&gt;&lt;firstName&gt;Elisabeth&lt;/firstName&gt;&lt;lastName&gt;Beattie&lt;/lastName&gt;&lt;/author&gt;&lt;author&gt;&lt;firstName&gt;Ngan&lt;/firstName&gt;&lt;lastName&gt;Huynh&lt;/lastName&gt;&lt;/author&gt;&lt;author&gt;&lt;firstName&gt;William&lt;/firstName&gt;&lt;middleNames&gt;H&lt;/middleNames&gt;&lt;lastName&gt;Miller&lt;/lastName&gt;&lt;/author&gt;&lt;author&gt;&lt;firstName&gt;Daniel&lt;/firstName&gt;&lt;middleNames&gt;L&lt;/middleNames&gt;&lt;lastName&gt;Koller&lt;/lastName&gt;&lt;/author&gt;&lt;author&gt;&lt;firstName&gt;Imranul&lt;/firstName&gt;&lt;lastName&gt;Alam&lt;/lastName&gt;&lt;/author&gt;&lt;author&gt;&lt;firstName&gt;Samreen&lt;/firstName&gt;&lt;lastName&gt;Falak&lt;/lastName&gt;&lt;/author&gt;&lt;author&gt;&lt;firstName&gt;Mary&lt;/firstName&gt;&lt;lastName&gt;Osborne-Pellegrin&lt;/lastName&gt;&lt;/author&gt;&lt;author&gt;&lt;firstName&gt;Esther&lt;/firstName&gt;&lt;lastName&gt;Martinez-Membrives&lt;/lastName&gt;&lt;/author&gt;&lt;author&gt;&lt;firstName&gt;Toni&lt;/firstName&gt;&lt;lastName&gt;Canete&lt;/lastName&gt;&lt;/author&gt;&lt;author&gt;&lt;firstName&gt;Gloria&lt;/firstName&gt;&lt;lastName&gt;Blazquez&lt;/lastName&gt;&lt;/author&gt;&lt;author&gt;&lt;firstName&gt;Elia&lt;/firstName&gt;&lt;lastName&gt;Vicens-Costa&lt;/lastName&gt;&lt;/author&gt;&lt;author&gt;&lt;firstName&gt;Carme&lt;/firstName&gt;&lt;lastName&gt;Mont-Cardona&lt;/lastName&gt;&lt;/author&gt;&lt;author&gt;&lt;firstName&gt;Sira&lt;/firstName&gt;&lt;lastName&gt;Diaz-Moran&lt;/lastName&gt;&lt;/author&gt;&lt;author&gt;&lt;firstName&gt;Adolf&lt;/firstName&gt;&lt;lastName&gt;Tobena&lt;/lastName&gt;&lt;/author&gt;&lt;author&gt;&lt;firstName&gt;Oliver&lt;/firstName&gt;&lt;lastName&gt;Hummel&lt;/lastName&gt;&lt;/author&gt;&lt;author&gt;&lt;firstName&gt;Diana&lt;/firstName&gt;&lt;lastName&gt;Zelenika&lt;/lastName&gt;&lt;/author&gt;&lt;author&gt;&lt;firstName&gt;Kathrin&lt;/firstName&gt;&lt;lastName&gt;Saar&lt;/lastName&gt;&lt;/author&gt;&lt;author&gt;&lt;firstName&gt;Giannino&lt;/firstName&gt;&lt;lastName&gt;Patone&lt;/lastName&gt;&lt;/author&gt;&lt;author&gt;&lt;firstName&gt;Anja&lt;/firstName&gt;&lt;lastName&gt;Bauerfeind&lt;/lastName&gt;&lt;/author&gt;&lt;author&gt;&lt;firstName&gt;Marie-Therese&lt;/firstName&gt;&lt;lastName&gt;Bihoreau&lt;/lastName&gt;&lt;/author&gt;&lt;author&gt;&lt;firstName&gt;Matthias&lt;/firstName&gt;&lt;lastName&gt;Heinig&lt;/lastName&gt;&lt;/author&gt;&lt;author&gt;&lt;firstName&gt;Young-Ae&lt;/firstName&gt;&lt;lastName&gt;Lee&lt;/lastName&gt;&lt;/author&gt;&lt;author&gt;&lt;firstName&gt;Carola&lt;/firstName&gt;&lt;lastName&gt;Rintisch&lt;/lastName&gt;&lt;/author&gt;&lt;author&gt;&lt;firstName&gt;Herbert&lt;/firstName&gt;&lt;lastName&gt;Schulz&lt;/lastName&gt;&lt;/author&gt;&lt;author&gt;&lt;firstName&gt;David&lt;/firstName&gt;&lt;middleNames&gt;A&lt;/middleNames&gt;&lt;lastName&gt;Wheeler&lt;/lastName&gt;&lt;/author&gt;&lt;author&gt;&lt;firstName&gt;Kim&lt;/firstName&gt;&lt;middleNames&gt;C&lt;/middleNames&gt;&lt;lastName&gt;Worley&lt;/lastName&gt;&lt;/author&gt;&lt;author&gt;&lt;firstName&gt;Donna&lt;/firstName&gt;&lt;middleNames&gt;M&lt;/middleNames&gt;&lt;lastName&gt;Muzny&lt;/lastName&gt;&lt;/author&gt;&lt;author&gt;&lt;firstName&gt;Richard&lt;/firstName&gt;&lt;middleNames&gt;A&lt;/middleNames&gt;&lt;lastName&gt;Gibbs&lt;/lastName&gt;&lt;/author&gt;&lt;author&gt;&lt;firstName&gt;Mark&lt;/firstName&gt;&lt;lastName&gt;Lathrop&lt;/lastName&gt;&lt;/author&gt;&lt;author&gt;&lt;firstName&gt;Nico&lt;/firstName&gt;&lt;lastName&gt;Lansu&lt;/lastName&gt;&lt;/author&gt;&lt;author&gt;&lt;firstName&gt;Pim&lt;/firstName&gt;&lt;lastName&gt;Toonen&lt;/lastName&gt;&lt;/author&gt;&lt;author&gt;&lt;firstName&gt;Frans&lt;/firstName&gt;&lt;middleNames&gt;Paul&lt;/middleNames&gt;&lt;lastName&gt;Ruzius&lt;/lastName&gt;&lt;/author&gt;&lt;author&gt;&lt;nonDroppingParticle&gt;de&lt;/nonDroppingParticle&gt;&lt;firstName&gt;Ewart&lt;/firstName&gt;&lt;lastName&gt;Bruijn&lt;/lastName&gt;&lt;/author&gt;&lt;author&gt;&lt;firstName&gt;Heidi&lt;/firstName&gt;&lt;lastName&gt;Hauser&lt;/lastName&gt;&lt;/author&gt;&lt;author&gt;&lt;firstName&gt;David&lt;/firstName&gt;&lt;middleNames&gt;J&lt;/middleNames&gt;&lt;lastName&gt;Adams&lt;/lastName&gt;&lt;/author&gt;&lt;author&gt;&lt;firstName&gt;Thomas&lt;/firstName&gt;&lt;lastName&gt;Keane&lt;/lastName&gt;&lt;/author&gt;&lt;author&gt;&lt;firstName&gt;Santosh&lt;/firstName&gt;&lt;middleNames&gt;S&lt;/middleNames&gt;&lt;lastName&gt;Atanur&lt;/lastName&gt;&lt;/author&gt;&lt;author&gt;&lt;firstName&gt;Tim&lt;/firstName&gt;&lt;middleNames&gt;J&lt;/middleNames&gt;&lt;lastName&gt;Aitman&lt;/lastName&gt;&lt;/author&gt;&lt;author&gt;&lt;firstName&gt;Paul&lt;/firstName&gt;&lt;lastName&gt;Flicek&lt;/lastName&gt;&lt;/author&gt;&lt;author&gt;&lt;firstName&gt;Tomas&lt;/firstName&gt;&lt;lastName&gt;Malinauskas&lt;/lastName&gt;&lt;/author&gt;&lt;author&gt;&lt;firstName&gt;E&lt;/firstName&gt;&lt;middleNames&gt;Yvonne&lt;/middleNames&gt;&lt;lastName&gt;Jones&lt;/lastName&gt;&lt;/author&gt;&lt;author&gt;&lt;firstName&gt;Diana&lt;/firstName&gt;&lt;lastName&gt;Ekman&lt;/lastName&gt;&lt;/author&gt;&lt;author&gt;&lt;firstName&gt;Regina&lt;/firstName&gt;&lt;lastName&gt;Lopez-Aumatell&lt;/lastName&gt;&lt;/author&gt;&lt;author&gt;&lt;firstName&gt;Anna&lt;/firstName&gt;&lt;middleNames&gt;F&lt;/middleNames&gt;&lt;lastName&gt;Dominiczak&lt;/lastName&gt;&lt;/author&gt;&lt;author&gt;&lt;firstName&gt;Martina&lt;/firstName&gt;&lt;lastName&gt;Johannesson&lt;/lastName&gt;&lt;/author&gt;&lt;author&gt;&lt;firstName&gt;Rikard&lt;/firstName&gt;&lt;lastName&gt;Holmdahl&lt;/lastName&gt;&lt;/author&gt;&lt;author&gt;&lt;firstName&gt;Tomas&lt;/firstName&gt;&lt;lastName&gt;Olsson&lt;/lastName&gt;&lt;/author&gt;&lt;author&gt;&lt;firstName&gt;Dominique&lt;/firstName&gt;&lt;lastName&gt;Gauguier&lt;/lastName&gt;&lt;/author&gt;&lt;author&gt;&lt;firstName&gt;Norbert&lt;/firstName&gt;&lt;lastName&gt;Hubner&lt;/lastName&gt;&lt;/author&gt;&lt;author&gt;&lt;firstName&gt;Alberto&lt;/firstName&gt;&lt;lastName&gt;Fernandez-Teruel&lt;/lastName&gt;&lt;/author&gt;&lt;author&gt;&lt;firstName&gt;Edwin&lt;/firstName&gt;&lt;lastName&gt;Cuppen&lt;/lastName&gt;&lt;/author&gt;&lt;author&gt;&lt;firstName&gt;Richard&lt;/firstName&gt;&lt;lastName&gt;Mott&lt;/lastName&gt;&lt;/author&gt;&lt;author&gt;&lt;firstName&gt;Jonathan&lt;/firstName&gt;&lt;lastName&gt;Flint&lt;/lastName&gt;&lt;/author&gt;&lt;/authors&gt;&lt;/publication&gt;&lt;/publications&gt;&lt;cites&gt;&lt;/cites&gt;&lt;/citation&gt;</w:instrText>
      </w:r>
      <w:r w:rsidR="009271C3">
        <w:rPr>
          <w:rFonts w:cs="Arial"/>
          <w:szCs w:val="22"/>
        </w:rPr>
        <w:fldChar w:fldCharType="separate"/>
      </w:r>
      <w:r w:rsidR="002D628F">
        <w:rPr>
          <w:rFonts w:cs="Times New Roman"/>
          <w:szCs w:val="20"/>
          <w:vertAlign w:val="superscript"/>
        </w:rPr>
        <w:t>35</w:t>
      </w:r>
      <w:r w:rsidR="009271C3">
        <w:rPr>
          <w:rFonts w:cs="Arial"/>
          <w:szCs w:val="22"/>
        </w:rPr>
        <w:fldChar w:fldCharType="end"/>
      </w:r>
      <w:r>
        <w:rPr>
          <w:rFonts w:cs="Arial"/>
          <w:szCs w:val="22"/>
        </w:rPr>
        <w:t xml:space="preserve"> For QTL in mice, the peak </w:t>
      </w:r>
      <w:r w:rsidR="00F26D05">
        <w:rPr>
          <w:rFonts w:cs="Arial"/>
          <w:szCs w:val="22"/>
        </w:rPr>
        <w:t>SNV</w:t>
      </w:r>
      <w:r>
        <w:rPr>
          <w:rFonts w:cs="Arial"/>
          <w:szCs w:val="22"/>
        </w:rPr>
        <w:t xml:space="preserve"> location was converted to </w:t>
      </w:r>
      <w:proofErr w:type="spellStart"/>
      <w:r>
        <w:rPr>
          <w:rFonts w:cs="Arial"/>
          <w:szCs w:val="22"/>
        </w:rPr>
        <w:t>CentiMorgan</w:t>
      </w:r>
      <w:proofErr w:type="spellEnd"/>
      <w:r>
        <w:rPr>
          <w:rFonts w:cs="Arial"/>
          <w:szCs w:val="22"/>
        </w:rPr>
        <w:t xml:space="preserve"> (</w:t>
      </w:r>
      <w:proofErr w:type="spellStart"/>
      <w:r>
        <w:rPr>
          <w:rFonts w:cs="Arial"/>
          <w:szCs w:val="22"/>
        </w:rPr>
        <w:t>cM</w:t>
      </w:r>
      <w:proofErr w:type="spellEnd"/>
      <w:r>
        <w:rPr>
          <w:rFonts w:cs="Arial"/>
          <w:szCs w:val="22"/>
        </w:rPr>
        <w:t>) distance, as per the Cox-Sex-Average genetic map</w:t>
      </w:r>
      <w:r w:rsidR="009271C3">
        <w:rPr>
          <w:rFonts w:cs="Arial"/>
          <w:szCs w:val="22"/>
        </w:rPr>
        <w:fldChar w:fldCharType="begin"/>
      </w:r>
      <w:r w:rsidR="00735D55">
        <w:rPr>
          <w:rFonts w:cs="Arial"/>
          <w:szCs w:val="22"/>
        </w:rPr>
        <w:instrText xml:space="preserve"> ADDIN PAPERS2_CITATIONS &lt;citation&gt;&lt;uuid&gt;94805C13-FFBB-4841-9557-BED8636BFDEC&lt;/uuid&gt;&lt;priority&gt;35&lt;/priority&gt;&lt;publications&gt;&lt;publication&gt;&lt;uuid&gt;293FA18F-C52D-4CFA-81DD-814D676E5122&lt;/uuid&gt;&lt;volume&gt;182&lt;/volume&gt;&lt;doi&gt;10.1534/genetics.109.105486&lt;/doi&gt;&lt;startpage&gt;1335&lt;/startpage&gt;&lt;publication_date&gt;99200908201200000000222000&lt;/publication_date&gt;&lt;url&gt;http://www.genetics.org/cgi/doi/10.1534/genetics.109.105486&lt;/url&gt;&lt;citekey&gt;Cox:2009gb&lt;/citekey&gt;&lt;type&gt;400&lt;/type&gt;&lt;title&gt;A New Standard Genetic Map for the Laboratory Mouse&lt;/title&gt;&lt;number&gt;4&lt;/number&gt;&lt;subtype&gt;400&lt;/subtype&gt;&lt;endpage&gt;1344&lt;/endpage&gt;&lt;bundle&gt;&lt;publication&gt;&lt;url&gt;http://www.genetics.org&lt;/url&gt;&lt;title&gt;Genetics&lt;/title&gt;&lt;type&gt;-100&lt;/type&gt;&lt;subtype&gt;-100&lt;/subtype&gt;&lt;uuid&gt;B92813DE-0079-412A-BCC0-6513F2CA7CCD&lt;/uuid&gt;&lt;/publication&gt;&lt;/bundle&gt;&lt;authors&gt;&lt;author&gt;&lt;firstName&gt;A&lt;/firstName&gt;&lt;lastName&gt;Cox&lt;/lastName&gt;&lt;/author&gt;&lt;author&gt;&lt;firstName&gt;C&lt;/firstName&gt;&lt;middleNames&gt;L&lt;/middleNames&gt;&lt;lastName&gt;Ackert-Bicknell&lt;/lastName&gt;&lt;/author&gt;&lt;author&gt;&lt;firstName&gt;B&lt;/firstName&gt;&lt;middleNames&gt;L&lt;/middleNames&gt;&lt;lastName&gt;Dumont&lt;/lastName&gt;&lt;/author&gt;&lt;author&gt;&lt;firstName&gt;Y&lt;/firstName&gt;&lt;lastName&gt;Ding&lt;/lastName&gt;&lt;/author&gt;&lt;author&gt;&lt;firstName&gt;J. T.&lt;/firstName&gt;&lt;lastName&gt;Bell&lt;/lastName&gt;&lt;/author&gt;&lt;author&gt;&lt;firstName&gt;G&lt;/firstName&gt;&lt;middleNames&gt;A&lt;/middleNames&gt;&lt;lastName&gt;Brockmann&lt;/lastName&gt;&lt;/author&gt;&lt;author&gt;&lt;firstName&gt;J&lt;/firstName&gt;&lt;middleNames&gt;E&lt;/middleNames&gt;&lt;lastName&gt;Wergedal&lt;/lastName&gt;&lt;/author&gt;&lt;author&gt;&lt;firstName&gt;C&lt;/firstName&gt;&lt;lastName&gt;Bult&lt;/lastName&gt;&lt;/author&gt;&lt;author&gt;&lt;firstName&gt;B&lt;/firstName&gt;&lt;lastName&gt;Paigen&lt;/lastName&gt;&lt;/author&gt;&lt;author&gt;&lt;firstName&gt;J&lt;/firstName&gt;&lt;lastName&gt;Flint&lt;/lastName&gt;&lt;/author&gt;&lt;author&gt;&lt;firstName&gt;S&lt;/firstName&gt;&lt;middleNames&gt;W&lt;/middleNames&gt;&lt;lastName&gt;Tsaih&lt;/lastName&gt;&lt;/author&gt;&lt;author&gt;&lt;firstName&gt;G&lt;/firstName&gt;&lt;middleNames&gt;A&lt;/middleNames&gt;&lt;lastName&gt;Churchill&lt;/lastName&gt;&lt;/author&gt;&lt;author&gt;&lt;firstName&gt;K&lt;/firstName&gt;&lt;middleNames&gt;W&lt;/middleNames&gt;&lt;lastName&gt;Broman&lt;/lastName&gt;&lt;/author&gt;&lt;/authors&gt;&lt;/publication&gt;&lt;/publications&gt;&lt;cites&gt;&lt;/cites&gt;&lt;/citation&gt;</w:instrText>
      </w:r>
      <w:r w:rsidR="009271C3">
        <w:rPr>
          <w:rFonts w:cs="Arial"/>
          <w:szCs w:val="22"/>
        </w:rPr>
        <w:fldChar w:fldCharType="separate"/>
      </w:r>
      <w:r w:rsidR="002D628F">
        <w:rPr>
          <w:rFonts w:cs="Times New Roman"/>
          <w:szCs w:val="20"/>
          <w:vertAlign w:val="superscript"/>
        </w:rPr>
        <w:t>36</w:t>
      </w:r>
      <w:r w:rsidR="009271C3">
        <w:rPr>
          <w:rFonts w:cs="Arial"/>
          <w:szCs w:val="22"/>
        </w:rPr>
        <w:fldChar w:fldCharType="end"/>
      </w:r>
      <w:r w:rsidR="002D3FF9">
        <w:rPr>
          <w:rFonts w:cs="Arial"/>
          <w:szCs w:val="22"/>
        </w:rPr>
        <w:t xml:space="preserve"> </w:t>
      </w:r>
      <w:r>
        <w:rPr>
          <w:rFonts w:cs="Arial"/>
          <w:szCs w:val="22"/>
        </w:rPr>
        <w:t>using the freely available Mouse Map Conversion Tool (</w:t>
      </w:r>
      <w:r w:rsidRPr="00046957">
        <w:rPr>
          <w:rFonts w:cs="Arial"/>
          <w:szCs w:val="22"/>
        </w:rPr>
        <w:t>http://cgd.jax.org/mousemapconverter/</w:t>
      </w:r>
      <w:r>
        <w:rPr>
          <w:rFonts w:cs="Arial"/>
          <w:szCs w:val="22"/>
        </w:rPr>
        <w:t>).  All identified mouse QTLs</w:t>
      </w:r>
      <w:r w:rsidR="009271C3">
        <w:rPr>
          <w:rFonts w:cs="Arial"/>
          <w:szCs w:val="22"/>
        </w:rPr>
        <w:fldChar w:fldCharType="begin"/>
      </w:r>
      <w:r w:rsidR="00735D55">
        <w:rPr>
          <w:rFonts w:cs="Arial"/>
          <w:szCs w:val="22"/>
        </w:rPr>
        <w:instrText xml:space="preserve"> ADDIN PAPERS2_CITATIONS &lt;citation&gt;&lt;uuid&gt;0C4337DC-13BF-40EE-AE21-0C3D6C6F4035&lt;/uuid&gt;&lt;priority&gt;36&lt;/priority&gt;&lt;publications&gt;&lt;publication&gt;&lt;uuid&gt;6DA3A2AA-0A7E-484B-A35E-6505EEA02B44&lt;/uuid&gt;&lt;volume&gt;25&lt;/volume&gt;&lt;doi&gt;10.1002/jbmr.72&lt;/doi&gt;&lt;startpage&gt;1808&lt;/startpage&gt;&lt;publication_date&gt;99201002231200000000222000&lt;/publication_date&gt;&lt;url&gt;http://doi.wiley.com/10.1002/jbmr.72&lt;/url&gt;&lt;citekey&gt;AckertBicknell:2010hb&lt;/citekey&gt;&lt;type&gt;400&lt;/type&gt;&lt;title&gt;Mouse BMD quantitative trait loci show improved concordance with human genome-wide association loci when recalculated on a new, common mouse genetic map&lt;/title&gt;&lt;number&gt;8&lt;/number&gt;&lt;subtype&gt;400&lt;/subtype&gt;&lt;endpage&gt;1820&lt;/endpage&gt;&lt;bundle&gt;&lt;publication&gt;&lt;url&gt;http://onlinelibrary.wiley.com.proxy1.library.mcgill.ca&lt;/url&gt;&lt;title&gt;Journal of bone and mineral research : the official journal of the American Society for Bone and Mineral Research&lt;/title&gt;&lt;type&gt;-100&lt;/type&gt;&lt;subtype&gt;-100&lt;/subtype&gt;&lt;uuid&gt;3F21DE58-9AA9-4CEF-9A80-8BAF223F7767&lt;/uuid&gt;&lt;/publication&gt;&lt;/bundle&gt;&lt;authors&gt;&lt;author&gt;&lt;firstName&gt;Cheryl&lt;/firstName&gt;&lt;middleNames&gt;L&lt;/middleNames&gt;&lt;lastName&gt;Ackert-Bicknell&lt;/lastName&gt;&lt;/author&gt;&lt;author&gt;&lt;firstName&gt;David&lt;/firstName&gt;&lt;lastName&gt;Karasik&lt;/lastName&gt;&lt;/author&gt;&lt;author&gt;&lt;firstName&gt;Qian&lt;/firstName&gt;&lt;lastName&gt;Li&lt;/lastName&gt;&lt;/author&gt;&lt;author&gt;&lt;firstName&gt;Randy&lt;/firstName&gt;&lt;middleNames&gt;V&lt;/middleNames&gt;&lt;lastName&gt;Smith&lt;/lastName&gt;&lt;/author&gt;&lt;author&gt;&lt;firstName&gt;Yi-Hsiang&lt;/firstName&gt;&lt;lastName&gt;Hsu&lt;/lastName&gt;&lt;/author&gt;&lt;author&gt;&lt;firstName&gt;Gary&lt;/firstName&gt;&lt;middleNames&gt;A&lt;/middleNames&gt;&lt;lastName&gt;Churchill&lt;/lastName&gt;&lt;/author&gt;&lt;author&gt;&lt;firstName&gt;Beverly&lt;/firstName&gt;&lt;middleNames&gt;J&lt;/middleNames&gt;&lt;lastName&gt;Paigen&lt;/lastName&gt;&lt;/author&gt;&lt;author&gt;&lt;firstName&gt;Shirng-Wern&lt;/firstName&gt;&lt;lastName&gt;Tsaih&lt;/lastName&gt;&lt;/author&gt;&lt;/authors&gt;&lt;/publication&gt;&lt;/publications&gt;&lt;cites&gt;&lt;/cites&gt;&lt;/citation&gt;</w:instrText>
      </w:r>
      <w:r w:rsidR="009271C3">
        <w:rPr>
          <w:rFonts w:cs="Arial"/>
          <w:szCs w:val="22"/>
        </w:rPr>
        <w:fldChar w:fldCharType="separate"/>
      </w:r>
      <w:r w:rsidR="002D628F">
        <w:rPr>
          <w:rFonts w:cs="Times New Roman"/>
          <w:szCs w:val="20"/>
          <w:vertAlign w:val="superscript"/>
        </w:rPr>
        <w:t>37</w:t>
      </w:r>
      <w:r w:rsidR="009271C3">
        <w:rPr>
          <w:rFonts w:cs="Arial"/>
          <w:szCs w:val="22"/>
        </w:rPr>
        <w:fldChar w:fldCharType="end"/>
      </w:r>
      <w:r w:rsidR="002D3FF9">
        <w:rPr>
          <w:rFonts w:cs="Arial"/>
          <w:szCs w:val="22"/>
        </w:rPr>
        <w:t xml:space="preserve"> </w:t>
      </w:r>
      <w:r>
        <w:rPr>
          <w:rFonts w:cs="Arial"/>
          <w:szCs w:val="22"/>
        </w:rPr>
        <w:t xml:space="preserve">mapped within a peak location 5 </w:t>
      </w:r>
      <w:proofErr w:type="spellStart"/>
      <w:r>
        <w:rPr>
          <w:rFonts w:cs="Arial"/>
          <w:szCs w:val="22"/>
        </w:rPr>
        <w:t>cM</w:t>
      </w:r>
      <w:proofErr w:type="spellEnd"/>
      <w:r>
        <w:rPr>
          <w:rFonts w:cs="Arial"/>
          <w:szCs w:val="22"/>
        </w:rPr>
        <w:t xml:space="preserve"> either side of the human peak </w:t>
      </w:r>
      <w:r w:rsidR="00F26D05">
        <w:rPr>
          <w:rFonts w:cs="Arial"/>
          <w:szCs w:val="22"/>
        </w:rPr>
        <w:t>SNV</w:t>
      </w:r>
      <w:r>
        <w:rPr>
          <w:rFonts w:cs="Arial"/>
          <w:szCs w:val="22"/>
        </w:rPr>
        <w:t xml:space="preserve"> and are listed, along with the strain pair(s) used to identify the original QTL.</w:t>
      </w:r>
      <w:r w:rsidR="00DF5CC4">
        <w:rPr>
          <w:rFonts w:cs="Arial"/>
          <w:szCs w:val="22"/>
        </w:rPr>
        <w:t xml:space="preserve"> Results for these analyses are shown in</w:t>
      </w:r>
      <w:r w:rsidR="00DF5CC4" w:rsidRPr="00DF5CC4">
        <w:rPr>
          <w:rFonts w:cs="Arial"/>
          <w:b/>
          <w:szCs w:val="22"/>
        </w:rPr>
        <w:t xml:space="preserve"> </w:t>
      </w:r>
      <w:r w:rsidR="00CE6E35" w:rsidRPr="00CE6E35">
        <w:rPr>
          <w:rFonts w:cs="Arial"/>
          <w:b/>
          <w:szCs w:val="22"/>
        </w:rPr>
        <w:t xml:space="preserve">Supplementary </w:t>
      </w:r>
      <w:r w:rsidR="00DF5CC4" w:rsidRPr="00CE6E35">
        <w:rPr>
          <w:rFonts w:cs="Arial"/>
          <w:b/>
          <w:szCs w:val="22"/>
        </w:rPr>
        <w:t xml:space="preserve">Table </w:t>
      </w:r>
      <w:r w:rsidR="00D316B0">
        <w:rPr>
          <w:rFonts w:cs="Arial"/>
          <w:b/>
          <w:szCs w:val="22"/>
        </w:rPr>
        <w:t>11</w:t>
      </w:r>
      <w:r w:rsidR="00DF5CC4">
        <w:rPr>
          <w:rFonts w:cs="Arial"/>
          <w:szCs w:val="22"/>
        </w:rPr>
        <w:t>.</w:t>
      </w:r>
    </w:p>
    <w:p w14:paraId="7DBFF0E8" w14:textId="77777777" w:rsidR="00191369" w:rsidRPr="008268A7" w:rsidRDefault="00191369" w:rsidP="00EF187A">
      <w:pPr>
        <w:pStyle w:val="Heading2"/>
      </w:pPr>
      <w:r w:rsidRPr="008268A7">
        <w:t>A</w:t>
      </w:r>
      <w:r w:rsidR="006D2B9D">
        <w:t>cknowledgements</w:t>
      </w:r>
    </w:p>
    <w:p w14:paraId="4789E832" w14:textId="77777777" w:rsidR="00191369" w:rsidRDefault="00191369" w:rsidP="00EF187A">
      <w:pPr>
        <w:pStyle w:val="Heading3"/>
        <w:rPr>
          <w:b w:val="0"/>
        </w:rPr>
      </w:pPr>
      <w:r w:rsidRPr="00645BAF">
        <w:t>Funding</w:t>
      </w:r>
    </w:p>
    <w:p w14:paraId="109DA002" w14:textId="1C6929FB" w:rsidR="00191369" w:rsidRPr="00645BAF" w:rsidRDefault="00191369" w:rsidP="00191369">
      <w:pPr>
        <w:rPr>
          <w:rFonts w:cs="Arial"/>
          <w:szCs w:val="20"/>
        </w:rPr>
      </w:pPr>
      <w:r w:rsidRPr="00645BAF">
        <w:rPr>
          <w:rFonts w:cs="Arial"/>
          <w:b/>
          <w:szCs w:val="20"/>
        </w:rPr>
        <w:t>ALSPAC</w:t>
      </w:r>
      <w:r w:rsidRPr="00645BAF">
        <w:rPr>
          <w:rFonts w:cs="Arial"/>
          <w:szCs w:val="20"/>
        </w:rPr>
        <w:t xml:space="preserve">: The UK Medical Research Council (grant 74882), the Wellcome Trust (grant 076467) and the University of Bristol provide core support for ALSPAC. This work was supported by the Medical Research Council MC_UU_12013/4. </w:t>
      </w:r>
      <w:proofErr w:type="spellStart"/>
      <w:r w:rsidRPr="00645BAF">
        <w:rPr>
          <w:rFonts w:cs="Arial"/>
          <w:b/>
          <w:szCs w:val="20"/>
        </w:rPr>
        <w:t>Chitra</w:t>
      </w:r>
      <w:proofErr w:type="spellEnd"/>
      <w:r w:rsidRPr="00645BAF">
        <w:rPr>
          <w:rFonts w:cs="Arial"/>
          <w:b/>
          <w:szCs w:val="20"/>
        </w:rPr>
        <w:t xml:space="preserve"> </w:t>
      </w:r>
      <w:proofErr w:type="spellStart"/>
      <w:r w:rsidRPr="00645BAF">
        <w:rPr>
          <w:rFonts w:cs="Arial"/>
          <w:b/>
          <w:szCs w:val="20"/>
        </w:rPr>
        <w:t>Dahia</w:t>
      </w:r>
      <w:proofErr w:type="spellEnd"/>
      <w:r w:rsidRPr="00645BAF">
        <w:rPr>
          <w:rFonts w:cs="Arial"/>
          <w:szCs w:val="20"/>
        </w:rPr>
        <w:t xml:space="preserve">: </w:t>
      </w:r>
      <w:proofErr w:type="spellStart"/>
      <w:r w:rsidRPr="00645BAF">
        <w:rPr>
          <w:rFonts w:cs="Arial"/>
          <w:szCs w:val="20"/>
        </w:rPr>
        <w:t>Orthopaedic</w:t>
      </w:r>
      <w:proofErr w:type="spellEnd"/>
      <w:r w:rsidRPr="00645BAF">
        <w:rPr>
          <w:rFonts w:cs="Arial"/>
          <w:szCs w:val="20"/>
        </w:rPr>
        <w:t xml:space="preserve"> Research and Education Foundation, grant number# 11-228. </w:t>
      </w:r>
      <w:r w:rsidRPr="00645BAF">
        <w:rPr>
          <w:rFonts w:cs="Arial"/>
          <w:b/>
          <w:szCs w:val="20"/>
        </w:rPr>
        <w:t>AOGC</w:t>
      </w:r>
      <w:r w:rsidRPr="00645BAF">
        <w:rPr>
          <w:rFonts w:cs="Arial"/>
          <w:szCs w:val="20"/>
        </w:rPr>
        <w:t xml:space="preserve">: The AOGC was funded by the Australian National Health and Medical Research Council (Australia) (grant references 511132 and 1032571). Funding was also received from the Australian Cancer Research Foundation and Rebecca Cooper Foundation (Australia). MAB is funded by a National Health and Medical Research Council (Australia) Principal Research Fellowship and ELD was previously funded by a National Health and Medical Research Council (Australia) Career Development Award (569807). Ian Reid is supported by the Health Research Council of New Zealand. The Sydney Twin Study and Tasmanian Older Adult Cohort were supported by the National Health and Medical Research Council, Australia. The </w:t>
      </w:r>
      <w:proofErr w:type="spellStart"/>
      <w:r w:rsidRPr="00645BAF">
        <w:rPr>
          <w:rFonts w:cs="Arial"/>
          <w:szCs w:val="20"/>
        </w:rPr>
        <w:t>Dubbo</w:t>
      </w:r>
      <w:proofErr w:type="spellEnd"/>
      <w:r w:rsidRPr="00645BAF">
        <w:rPr>
          <w:rFonts w:cs="Arial"/>
          <w:szCs w:val="20"/>
        </w:rPr>
        <w:t xml:space="preserve"> Osteoporosis Epidemiology Study was supported by the Australian National Health and Medical Research Council, MBF Living Well foundation, the Ernst Heine Family Foundation and from untied educational grants from Amgen, Eli Lilly International, GE-Lunar, Merck Australia, Novartis, Sanofi-Aventis Australia and </w:t>
      </w:r>
      <w:proofErr w:type="spellStart"/>
      <w:r w:rsidRPr="00645BAF">
        <w:rPr>
          <w:rFonts w:cs="Arial"/>
          <w:szCs w:val="20"/>
        </w:rPr>
        <w:t>Servier</w:t>
      </w:r>
      <w:proofErr w:type="spellEnd"/>
      <w:r w:rsidRPr="00645BAF">
        <w:rPr>
          <w:rFonts w:cs="Arial"/>
          <w:szCs w:val="20"/>
        </w:rPr>
        <w:t xml:space="preserve">. The OPUS study was supported by Sanofi-Aventis, Eli Lilly, Novartis, Pfizer, </w:t>
      </w:r>
      <w:proofErr w:type="spellStart"/>
      <w:r w:rsidRPr="00645BAF">
        <w:rPr>
          <w:rFonts w:cs="Arial"/>
          <w:szCs w:val="20"/>
        </w:rPr>
        <w:t>Proctor&amp;Gamble</w:t>
      </w:r>
      <w:proofErr w:type="spellEnd"/>
      <w:r w:rsidRPr="00645BAF">
        <w:rPr>
          <w:rFonts w:cs="Arial"/>
          <w:szCs w:val="20"/>
        </w:rPr>
        <w:t xml:space="preserve"> Pharmaceuticals and Roche. The Hertfordshire Cohort Study was supported by grants from the Medical research Council UK &amp; Arthritis Research UK. The Oxford Osteoporosis Study was funded by Action Research, UK. The UK HBM study was supported by The Wellcome Trust and the NIHR CRN (portfolio number 5163); supporting CLRNs included Birmingham and the Black Country, North and </w:t>
      </w:r>
      <w:r w:rsidRPr="00645BAF">
        <w:rPr>
          <w:rFonts w:cs="Arial"/>
          <w:szCs w:val="20"/>
        </w:rPr>
        <w:lastRenderedPageBreak/>
        <w:t xml:space="preserve">East Yorkshire and Northern Lincolnshire, South Yorkshire, West Anglia and Western. CLG was funded through a Wellcome Trust Clinical Research Training Fellowship (080280/Z/06/Z) and is now funded by Arthritis Research UK (grant ref 20000). </w:t>
      </w:r>
      <w:r w:rsidRPr="00645BAF">
        <w:rPr>
          <w:rFonts w:cs="Arial"/>
          <w:b/>
          <w:szCs w:val="20"/>
        </w:rPr>
        <w:t xml:space="preserve">Bristol HBM Team: </w:t>
      </w:r>
      <w:r w:rsidRPr="00645BAF">
        <w:rPr>
          <w:rFonts w:cs="Arial"/>
          <w:szCs w:val="20"/>
        </w:rPr>
        <w:t xml:space="preserve">The Wellcome Trust and the NIHR CRN (portfolio number 5163); supporting CLRNs included Birmingham and the Black Country, North and East Yorkshire and Northern Lincolnshire, South Yorkshire, West Anglia and Western. CLG was funded through a Wellcome Trust Clinical Research, Training Fellowship (080280/Z/06/Z) and is now funded by Arthritis Research UK (grant ref 20000). KESP acknowledges the support of Cambridge NIHR Biomedical Research Centre and the MRC Human Nutrition Research unit, Cambridge. </w:t>
      </w:r>
      <w:r w:rsidRPr="00645BAF">
        <w:rPr>
          <w:rFonts w:cs="Arial"/>
          <w:b/>
          <w:szCs w:val="20"/>
        </w:rPr>
        <w:t>WHI</w:t>
      </w:r>
      <w:r w:rsidRPr="00645BAF">
        <w:rPr>
          <w:rFonts w:cs="Arial"/>
          <w:szCs w:val="20"/>
        </w:rPr>
        <w:t>: Funding for GO ESP was provided by NHLBI grants RC2 HL-103010 (</w:t>
      </w:r>
      <w:proofErr w:type="spellStart"/>
      <w:r w:rsidRPr="00645BAF">
        <w:rPr>
          <w:rFonts w:cs="Arial"/>
          <w:szCs w:val="20"/>
        </w:rPr>
        <w:t>HeartGO</w:t>
      </w:r>
      <w:proofErr w:type="spellEnd"/>
      <w:r w:rsidRPr="00645BAF">
        <w:rPr>
          <w:rFonts w:cs="Arial"/>
          <w:szCs w:val="20"/>
        </w:rPr>
        <w:t>), RC2 HL-102923 (</w:t>
      </w:r>
      <w:proofErr w:type="spellStart"/>
      <w:r w:rsidRPr="00645BAF">
        <w:rPr>
          <w:rFonts w:cs="Arial"/>
          <w:szCs w:val="20"/>
        </w:rPr>
        <w:t>LungGO</w:t>
      </w:r>
      <w:proofErr w:type="spellEnd"/>
      <w:r w:rsidRPr="00645BAF">
        <w:rPr>
          <w:rFonts w:cs="Arial"/>
          <w:szCs w:val="20"/>
        </w:rPr>
        <w:t>), and RC2 HL-102924 (WHISP). The exome sequencing was performed through NHLBI grants RC2 HL-102925 (</w:t>
      </w:r>
      <w:proofErr w:type="spellStart"/>
      <w:r w:rsidRPr="00645BAF">
        <w:rPr>
          <w:rFonts w:cs="Arial"/>
          <w:szCs w:val="20"/>
        </w:rPr>
        <w:t>BroadGO</w:t>
      </w:r>
      <w:proofErr w:type="spellEnd"/>
      <w:r w:rsidRPr="00645BAF">
        <w:rPr>
          <w:rFonts w:cs="Arial"/>
          <w:szCs w:val="20"/>
        </w:rPr>
        <w:t>) and RC2 HL-102926 (</w:t>
      </w:r>
      <w:proofErr w:type="spellStart"/>
      <w:r w:rsidRPr="00645BAF">
        <w:rPr>
          <w:rFonts w:cs="Arial"/>
          <w:szCs w:val="20"/>
        </w:rPr>
        <w:t>SeattleGO</w:t>
      </w:r>
      <w:proofErr w:type="spellEnd"/>
      <w:r w:rsidRPr="00645BAF">
        <w:rPr>
          <w:rFonts w:cs="Arial"/>
          <w:szCs w:val="20"/>
        </w:rPr>
        <w:t xml:space="preserve">). Funding for WHI was provided by NHLBI grants The Women's Health Initiative (WHI) was funded by the National Heart, Lung, and Blood Institute through contracts N01WH22110, N01WH24152, N01WH32100–N01WH32102, N01WH32105, N01WH32106, N01WH32108, N01WH32109, N01WH32111–N01WH32113, N01WH32115, N01WH32118, N01WH32119, N01WH32122, N01WH42107–N01WH42126, N01WH42129–N01WH42132, and N01WH44221. </w:t>
      </w:r>
      <w:r w:rsidRPr="00645BAF">
        <w:rPr>
          <w:rFonts w:cs="Arial"/>
          <w:b/>
          <w:szCs w:val="20"/>
        </w:rPr>
        <w:t xml:space="preserve">RSI: </w:t>
      </w:r>
      <w:r w:rsidRPr="00645BAF">
        <w:rPr>
          <w:rFonts w:cs="Arial"/>
          <w:szCs w:val="20"/>
        </w:rPr>
        <w:t xml:space="preserve">Netherlands </w:t>
      </w:r>
      <w:proofErr w:type="spellStart"/>
      <w:r w:rsidRPr="00645BAF">
        <w:rPr>
          <w:rFonts w:cs="Arial"/>
          <w:szCs w:val="20"/>
        </w:rPr>
        <w:t>Organisation</w:t>
      </w:r>
      <w:proofErr w:type="spellEnd"/>
      <w:r w:rsidRPr="00645BAF">
        <w:rPr>
          <w:rFonts w:cs="Arial"/>
          <w:szCs w:val="20"/>
        </w:rPr>
        <w:t xml:space="preserve"> of Scientific Research NWO Investments (nr. 175.010.2005.011, 911-03-012), NWO Rubicon Fellowship 825.12.023 ; Research Institute for Diseases in the Elderly (014-93-015; RIDE2);  Netherlands Genomics Initiative/Netherlands Consortium for Healthy Aging (050-060-810); German </w:t>
      </w:r>
      <w:proofErr w:type="spellStart"/>
      <w:r w:rsidRPr="00645BAF">
        <w:rPr>
          <w:rFonts w:cs="Arial"/>
          <w:szCs w:val="20"/>
        </w:rPr>
        <w:t>Bundesministerium</w:t>
      </w:r>
      <w:proofErr w:type="spellEnd"/>
      <w:r w:rsidRPr="00645BAF">
        <w:rPr>
          <w:rFonts w:cs="Arial"/>
          <w:szCs w:val="20"/>
        </w:rPr>
        <w:t xml:space="preserve"> </w:t>
      </w:r>
      <w:proofErr w:type="spellStart"/>
      <w:r w:rsidRPr="00645BAF">
        <w:rPr>
          <w:rFonts w:cs="Arial"/>
          <w:szCs w:val="20"/>
        </w:rPr>
        <w:t>fuer</w:t>
      </w:r>
      <w:proofErr w:type="spellEnd"/>
      <w:r w:rsidRPr="00645BAF">
        <w:rPr>
          <w:rFonts w:cs="Arial"/>
          <w:szCs w:val="20"/>
        </w:rPr>
        <w:t xml:space="preserve"> </w:t>
      </w:r>
      <w:proofErr w:type="spellStart"/>
      <w:r w:rsidRPr="00645BAF">
        <w:rPr>
          <w:rFonts w:cs="Arial"/>
          <w:szCs w:val="20"/>
        </w:rPr>
        <w:t>Forschung</w:t>
      </w:r>
      <w:proofErr w:type="spellEnd"/>
      <w:r w:rsidRPr="00645BAF">
        <w:rPr>
          <w:rFonts w:cs="Arial"/>
          <w:szCs w:val="20"/>
        </w:rPr>
        <w:t xml:space="preserve"> und Technology under grants #01 AK 803 A-H and # 01 IG 07015 G. </w:t>
      </w:r>
      <w:r w:rsidRPr="00645BAF">
        <w:rPr>
          <w:rFonts w:cs="Arial"/>
          <w:b/>
          <w:szCs w:val="20"/>
        </w:rPr>
        <w:t>Framingham</w:t>
      </w:r>
      <w:r w:rsidRPr="00645BAF">
        <w:rPr>
          <w:rFonts w:cs="Arial"/>
          <w:szCs w:val="20"/>
        </w:rPr>
        <w:t xml:space="preserve">: </w:t>
      </w:r>
      <w:proofErr w:type="spellStart"/>
      <w:r w:rsidRPr="00645BAF">
        <w:rPr>
          <w:rFonts w:cs="Arial"/>
          <w:szCs w:val="20"/>
        </w:rPr>
        <w:t>Tthe</w:t>
      </w:r>
      <w:proofErr w:type="spellEnd"/>
      <w:r w:rsidRPr="00645BAF">
        <w:rPr>
          <w:rFonts w:cs="Arial"/>
          <w:szCs w:val="20"/>
        </w:rPr>
        <w:t xml:space="preserve"> project described was supported by grant numbers R01AR061162 and R0141398 from NIAMS/NIH” and is solely the responsibility of the authors and do not necessarily represent the official views of the NIAMS or NIH. This work was partially supported by the National Heart, Lung and Blood Institute's Framingham Heart Study (Contract No. N01-HC-25195) and its contract with </w:t>
      </w:r>
      <w:proofErr w:type="spellStart"/>
      <w:r w:rsidRPr="00645BAF">
        <w:rPr>
          <w:rFonts w:cs="Arial"/>
          <w:szCs w:val="20"/>
        </w:rPr>
        <w:t>Affymetrix</w:t>
      </w:r>
      <w:proofErr w:type="spellEnd"/>
      <w:r w:rsidRPr="00645BAF">
        <w:rPr>
          <w:rFonts w:cs="Arial"/>
          <w:szCs w:val="20"/>
        </w:rPr>
        <w:t xml:space="preserve">, </w:t>
      </w:r>
      <w:proofErr w:type="spellStart"/>
      <w:r w:rsidRPr="00645BAF">
        <w:rPr>
          <w:rFonts w:cs="Arial"/>
          <w:szCs w:val="20"/>
        </w:rPr>
        <w:t>Inc</w:t>
      </w:r>
      <w:proofErr w:type="spellEnd"/>
      <w:r w:rsidRPr="00645BAF">
        <w:rPr>
          <w:rFonts w:cs="Arial"/>
          <w:szCs w:val="20"/>
        </w:rPr>
        <w:t xml:space="preserve"> for genotyping services (Contract No. N02-HL-6-4278).  Funding for sequencing was supported by NHLBI grant 5RC2HL102419 through the American Recovery and Reinvestment Act of 2009 (ARRA) for the project, ""Building on GWAS for NHLBI-diseases: the U.S. CHARGE consortium (CHARGE-S). </w:t>
      </w:r>
      <w:r w:rsidRPr="00645BAF">
        <w:rPr>
          <w:rFonts w:cs="Arial"/>
          <w:b/>
          <w:szCs w:val="20"/>
        </w:rPr>
        <w:t xml:space="preserve">D. </w:t>
      </w:r>
      <w:proofErr w:type="spellStart"/>
      <w:r w:rsidRPr="00645BAF">
        <w:rPr>
          <w:rFonts w:cs="Arial"/>
          <w:b/>
          <w:szCs w:val="20"/>
        </w:rPr>
        <w:t>Gauguier</w:t>
      </w:r>
      <w:proofErr w:type="spellEnd"/>
      <w:r w:rsidRPr="00645BAF">
        <w:rPr>
          <w:rFonts w:cs="Arial"/>
          <w:b/>
          <w:szCs w:val="20"/>
        </w:rPr>
        <w:t xml:space="preserve">: </w:t>
      </w:r>
      <w:r w:rsidRPr="00645BAF">
        <w:rPr>
          <w:rFonts w:cs="Arial"/>
          <w:szCs w:val="20"/>
        </w:rPr>
        <w:t xml:space="preserve">European Commission European FP7 grant EURATRANS (HEALTH-F4-2010-241504). </w:t>
      </w:r>
      <w:proofErr w:type="spellStart"/>
      <w:r w:rsidRPr="00645BAF">
        <w:rPr>
          <w:rFonts w:cs="Arial"/>
          <w:b/>
          <w:szCs w:val="20"/>
        </w:rPr>
        <w:t>MrOS</w:t>
      </w:r>
      <w:proofErr w:type="spellEnd"/>
      <w:r w:rsidRPr="00645BAF">
        <w:rPr>
          <w:rFonts w:cs="Arial"/>
          <w:b/>
          <w:szCs w:val="20"/>
        </w:rPr>
        <w:t>-USA:</w:t>
      </w:r>
      <w:r>
        <w:rPr>
          <w:rFonts w:cs="Arial"/>
          <w:szCs w:val="20"/>
        </w:rPr>
        <w:t xml:space="preserve"> </w:t>
      </w:r>
      <w:r w:rsidRPr="00645BAF">
        <w:rPr>
          <w:rFonts w:cs="Arial"/>
          <w:szCs w:val="20"/>
        </w:rPr>
        <w:t>The Osteoporotic Fractures in Men (</w:t>
      </w:r>
      <w:proofErr w:type="spellStart"/>
      <w:r w:rsidRPr="00645BAF">
        <w:rPr>
          <w:rFonts w:cs="Arial"/>
          <w:szCs w:val="20"/>
        </w:rPr>
        <w:t>MrOS</w:t>
      </w:r>
      <w:proofErr w:type="spellEnd"/>
      <w:r w:rsidRPr="00645BAF">
        <w:rPr>
          <w:rFonts w:cs="Arial"/>
          <w:szCs w:val="20"/>
        </w:rPr>
        <w:t xml:space="preserve">) Study is supported by National Institutes of Health funding. The following institutes provide support: the National Institute on Aging (NIA), the National Institute of Arthritis and Musculoskeletal and Skin Diseases (NIAMS), the National Center for Advancing Translational Sciences (NCATS), and NIH Roadmap for Medical Research under the following grant numbers: U01 AG027810, U01 AG042124, U01 AG042139, U01 AG042140, U01 AG042143, U01 AG042145, U01 AG042168, U01 AR066160, and UL1 TR000128. </w:t>
      </w:r>
      <w:r w:rsidRPr="00645BAF">
        <w:rPr>
          <w:rFonts w:cs="Arial"/>
          <w:b/>
          <w:szCs w:val="20"/>
        </w:rPr>
        <w:t>SOF</w:t>
      </w:r>
      <w:r w:rsidRPr="00645BAF">
        <w:rPr>
          <w:rFonts w:cs="Arial"/>
          <w:szCs w:val="20"/>
        </w:rPr>
        <w:t xml:space="preserve">: The Study of Osteoporotic Fractures (SOF) is supported by National Institutes of Health funding. The National Institute on Aging (NIA) provides support under the following grant numbers: R01 AG005407, R01 AR35582, R01 AR35583, R01 AR35584, R01 AG005394, R01 AG027574, and R01 AG027576. The National Institute of Arthritis and Musculoskeletal and Skin Diseases (NIAMS) provides funding for the </w:t>
      </w:r>
      <w:proofErr w:type="spellStart"/>
      <w:r w:rsidRPr="00645BAF">
        <w:rPr>
          <w:rFonts w:cs="Arial"/>
          <w:szCs w:val="20"/>
        </w:rPr>
        <w:t>MrOS</w:t>
      </w:r>
      <w:proofErr w:type="spellEnd"/>
      <w:r w:rsidRPr="00645BAF">
        <w:rPr>
          <w:rFonts w:cs="Arial"/>
          <w:szCs w:val="20"/>
        </w:rPr>
        <w:t xml:space="preserve"> ancillary study ‘GWAS in </w:t>
      </w:r>
      <w:proofErr w:type="spellStart"/>
      <w:r w:rsidRPr="00645BAF">
        <w:rPr>
          <w:rFonts w:cs="Arial"/>
          <w:szCs w:val="20"/>
        </w:rPr>
        <w:t>MrOS</w:t>
      </w:r>
      <w:proofErr w:type="spellEnd"/>
      <w:r w:rsidRPr="00645BAF">
        <w:rPr>
          <w:rFonts w:cs="Arial"/>
          <w:szCs w:val="20"/>
        </w:rPr>
        <w:t xml:space="preserve"> and SOF’ under the grant number RC2ARO58973. </w:t>
      </w:r>
      <w:r w:rsidRPr="00645BAF">
        <w:rPr>
          <w:rFonts w:cs="Arial"/>
          <w:b/>
          <w:szCs w:val="20"/>
        </w:rPr>
        <w:t>UFO:</w:t>
      </w:r>
      <w:r w:rsidRPr="00645BAF">
        <w:rPr>
          <w:rFonts w:cs="Arial"/>
          <w:szCs w:val="20"/>
        </w:rPr>
        <w:t xml:space="preserve"> </w:t>
      </w:r>
      <w:r w:rsidR="007C2768">
        <w:t xml:space="preserve">The Swedish Research Council, the Swedish Foundation for Strategic Research, the ALF/LUA research grant in Gothenburg and </w:t>
      </w:r>
      <w:proofErr w:type="spellStart"/>
      <w:r w:rsidR="007C2768">
        <w:t>Umeå</w:t>
      </w:r>
      <w:proofErr w:type="spellEnd"/>
      <w:r w:rsidR="007C2768">
        <w:t xml:space="preserve">, The Lundberg Foundation, the </w:t>
      </w:r>
      <w:proofErr w:type="spellStart"/>
      <w:r w:rsidR="007C2768">
        <w:t>Torsten</w:t>
      </w:r>
      <w:proofErr w:type="spellEnd"/>
      <w:r w:rsidR="007C2768">
        <w:t xml:space="preserve"> and Ragnar </w:t>
      </w:r>
      <w:proofErr w:type="spellStart"/>
      <w:r w:rsidR="007C2768">
        <w:t>Söderberg's</w:t>
      </w:r>
      <w:proofErr w:type="spellEnd"/>
      <w:r w:rsidR="007C2768">
        <w:t xml:space="preserve"> Foundation, the Novo Nordisk Foundation, and the European Commission grant HEALTH-F2-2008-201865-GEFOS, BBMRI.se, the Swedish Society of Medicine, the </w:t>
      </w:r>
      <w:proofErr w:type="spellStart"/>
      <w:r w:rsidR="007C2768">
        <w:t>Kempe</w:t>
      </w:r>
      <w:proofErr w:type="spellEnd"/>
      <w:r w:rsidR="007C2768">
        <w:t xml:space="preserve">-Foundation (JCK-1021), the Medical Faculty of </w:t>
      </w:r>
      <w:proofErr w:type="spellStart"/>
      <w:r w:rsidR="007C2768">
        <w:t>Umeå</w:t>
      </w:r>
      <w:proofErr w:type="spellEnd"/>
      <w:r w:rsidR="007C2768">
        <w:t xml:space="preserve"> University, the County Council of </w:t>
      </w:r>
      <w:proofErr w:type="spellStart"/>
      <w:r w:rsidR="007C2768">
        <w:t>Västerbotten</w:t>
      </w:r>
      <w:proofErr w:type="spellEnd"/>
      <w:r w:rsidR="007C2768">
        <w:t xml:space="preserve"> (</w:t>
      </w:r>
      <w:proofErr w:type="spellStart"/>
      <w:r w:rsidR="007C2768">
        <w:t>Spjutspetsanslag</w:t>
      </w:r>
      <w:proofErr w:type="spellEnd"/>
      <w:r w:rsidR="007C2768">
        <w:t xml:space="preserve"> VLL</w:t>
      </w:r>
      <w:proofErr w:type="gramStart"/>
      <w:r w:rsidR="007C2768">
        <w:t>:159:33</w:t>
      </w:r>
      <w:proofErr w:type="gramEnd"/>
      <w:r w:rsidR="007C2768">
        <w:t>-2007).</w:t>
      </w:r>
      <w:r w:rsidRPr="00645BAF">
        <w:rPr>
          <w:rFonts w:cs="Arial"/>
          <w:szCs w:val="20"/>
        </w:rPr>
        <w:t xml:space="preserve"> </w:t>
      </w:r>
      <w:r w:rsidRPr="00645BAF">
        <w:rPr>
          <w:rFonts w:cs="Arial"/>
          <w:b/>
          <w:szCs w:val="20"/>
        </w:rPr>
        <w:t>B-Proof</w:t>
      </w:r>
      <w:r w:rsidRPr="00645BAF">
        <w:rPr>
          <w:rFonts w:cs="Arial"/>
          <w:szCs w:val="20"/>
        </w:rPr>
        <w:t>: B-PROOF is supported and funded by The Netherlands Organization for Health Research and Development (</w:t>
      </w:r>
      <w:proofErr w:type="spellStart"/>
      <w:r w:rsidRPr="00645BAF">
        <w:rPr>
          <w:rFonts w:cs="Arial"/>
          <w:szCs w:val="20"/>
        </w:rPr>
        <w:t>ZonMw</w:t>
      </w:r>
      <w:proofErr w:type="spellEnd"/>
      <w:r w:rsidRPr="00645BAF">
        <w:rPr>
          <w:rFonts w:cs="Arial"/>
          <w:szCs w:val="20"/>
        </w:rPr>
        <w:t xml:space="preserve">, Grant 6130.0031), the Hague; unrestricted grant from NZO (Dutch Dairy Association), Zoetermeer; NCHA (Netherlands Consortium Healthy Ageing) Leiden/ Rotterdam; Ministry of Economic Affairs, Agriculture and Innovation (project KB-15-004-003), the Hague; </w:t>
      </w:r>
      <w:proofErr w:type="spellStart"/>
      <w:r w:rsidRPr="00645BAF">
        <w:rPr>
          <w:rFonts w:cs="Arial"/>
          <w:szCs w:val="20"/>
        </w:rPr>
        <w:t>Wageningen</w:t>
      </w:r>
      <w:proofErr w:type="spellEnd"/>
      <w:r w:rsidRPr="00645BAF">
        <w:rPr>
          <w:rFonts w:cs="Arial"/>
          <w:szCs w:val="20"/>
        </w:rPr>
        <w:t xml:space="preserve"> University, </w:t>
      </w:r>
      <w:proofErr w:type="spellStart"/>
      <w:r w:rsidRPr="00645BAF">
        <w:rPr>
          <w:rFonts w:cs="Arial"/>
          <w:szCs w:val="20"/>
        </w:rPr>
        <w:t>Wageningen</w:t>
      </w:r>
      <w:proofErr w:type="spellEnd"/>
      <w:r w:rsidRPr="00645BAF">
        <w:rPr>
          <w:rFonts w:cs="Arial"/>
          <w:szCs w:val="20"/>
        </w:rPr>
        <w:t xml:space="preserve">; VU University Medical Center, Amsterdam; Erasmus MC, Rotterdam. </w:t>
      </w:r>
      <w:r w:rsidRPr="00645BAF">
        <w:rPr>
          <w:rFonts w:cs="Arial"/>
          <w:b/>
          <w:szCs w:val="20"/>
        </w:rPr>
        <w:t>TUK</w:t>
      </w:r>
      <w:r w:rsidRPr="00645BAF">
        <w:rPr>
          <w:rFonts w:cs="Arial"/>
          <w:szCs w:val="20"/>
        </w:rPr>
        <w:t xml:space="preserve">: </w:t>
      </w:r>
      <w:r w:rsidRPr="00700BFE">
        <w:rPr>
          <w:rFonts w:cs="Arial"/>
          <w:szCs w:val="20"/>
        </w:rPr>
        <w:t xml:space="preserve">The TwinsUK study was funded by the Wellcome Trust; European Community’s Seventh Framework </w:t>
      </w:r>
      <w:proofErr w:type="spellStart"/>
      <w:r w:rsidRPr="00700BFE">
        <w:rPr>
          <w:rFonts w:cs="Arial"/>
          <w:szCs w:val="20"/>
        </w:rPr>
        <w:t>Programme</w:t>
      </w:r>
      <w:proofErr w:type="spellEnd"/>
      <w:r w:rsidRPr="00700BFE">
        <w:rPr>
          <w:rFonts w:cs="Arial"/>
          <w:szCs w:val="20"/>
        </w:rPr>
        <w:t xml:space="preserve"> (FP7/2007-2013). The study also receives support from the National Institute for Health Research (NIHR) </w:t>
      </w:r>
      <w:proofErr w:type="spellStart"/>
      <w:r w:rsidRPr="00700BFE">
        <w:rPr>
          <w:rFonts w:cs="Arial"/>
          <w:szCs w:val="20"/>
        </w:rPr>
        <w:t>BioResource</w:t>
      </w:r>
      <w:proofErr w:type="spellEnd"/>
      <w:r w:rsidRPr="00700BFE">
        <w:rPr>
          <w:rFonts w:cs="Arial"/>
          <w:szCs w:val="20"/>
        </w:rPr>
        <w:t xml:space="preserve"> Clinical Research Facility and Biomedical Research Centre based at Guy's and St Thomas' NHS Foundation Trust and King's College London. </w:t>
      </w:r>
      <w:r>
        <w:rPr>
          <w:rFonts w:cs="Arial"/>
          <w:szCs w:val="20"/>
        </w:rPr>
        <w:t>TDS</w:t>
      </w:r>
      <w:r w:rsidRPr="00700BFE">
        <w:rPr>
          <w:rFonts w:cs="Arial"/>
          <w:szCs w:val="20"/>
        </w:rPr>
        <w:t xml:space="preserve"> is holder of an ERC Advanced Principal Investigator award. SNP Genotyping was performed by The Wellcome Trust Sanger Institute and National Eye Institute via NIH/CIDR for TwinsUK. </w:t>
      </w:r>
      <w:r w:rsidRPr="00645BAF">
        <w:rPr>
          <w:rFonts w:cs="Arial"/>
          <w:szCs w:val="20"/>
        </w:rPr>
        <w:t>The Australian National Health and Medical Research Council (Project Grants 1010494 and 1048216).</w:t>
      </w:r>
      <w:r>
        <w:rPr>
          <w:rFonts w:cs="Arial"/>
          <w:szCs w:val="20"/>
        </w:rPr>
        <w:t xml:space="preserve"> </w:t>
      </w:r>
      <w:r w:rsidR="00966AC1" w:rsidRPr="00966AC1">
        <w:rPr>
          <w:rFonts w:cs="Arial"/>
          <w:b/>
          <w:szCs w:val="20"/>
        </w:rPr>
        <w:t>Study Coordinating Centre:</w:t>
      </w:r>
      <w:r w:rsidR="00966AC1">
        <w:rPr>
          <w:rFonts w:cs="Arial"/>
          <w:szCs w:val="20"/>
        </w:rPr>
        <w:t xml:space="preserve"> </w:t>
      </w:r>
      <w:r>
        <w:rPr>
          <w:rFonts w:cs="Arial"/>
          <w:szCs w:val="20"/>
        </w:rPr>
        <w:t xml:space="preserve">JBR and his team are supported by the </w:t>
      </w:r>
      <w:proofErr w:type="spellStart"/>
      <w:r>
        <w:rPr>
          <w:rFonts w:cs="Arial"/>
          <w:szCs w:val="20"/>
        </w:rPr>
        <w:t>Fonds</w:t>
      </w:r>
      <w:proofErr w:type="spellEnd"/>
      <w:r>
        <w:rPr>
          <w:rFonts w:cs="Arial"/>
          <w:szCs w:val="20"/>
        </w:rPr>
        <w:t xml:space="preserve"> de </w:t>
      </w:r>
      <w:proofErr w:type="spellStart"/>
      <w:r>
        <w:rPr>
          <w:rFonts w:cs="Arial"/>
          <w:szCs w:val="20"/>
        </w:rPr>
        <w:t>Recherche</w:t>
      </w:r>
      <w:proofErr w:type="spellEnd"/>
      <w:r>
        <w:rPr>
          <w:rFonts w:cs="Arial"/>
          <w:szCs w:val="20"/>
        </w:rPr>
        <w:t xml:space="preserve"> Santé Québec, Canadian Institutes of Health Research, the Lady Davis Institute, the Jewish General Hospital </w:t>
      </w:r>
      <w:r>
        <w:rPr>
          <w:rFonts w:cs="Arial"/>
          <w:szCs w:val="20"/>
        </w:rPr>
        <w:lastRenderedPageBreak/>
        <w:t>and the Canadian Foundation for Innovatio</w:t>
      </w:r>
      <w:r w:rsidRPr="004B5C11">
        <w:rPr>
          <w:rFonts w:cs="Arial"/>
          <w:szCs w:val="20"/>
        </w:rPr>
        <w:t>n.</w:t>
      </w:r>
      <w:r w:rsidRPr="000A253D">
        <w:rPr>
          <w:rFonts w:cs="Arial"/>
          <w:szCs w:val="20"/>
        </w:rPr>
        <w:t xml:space="preserve"> </w:t>
      </w:r>
      <w:r w:rsidRPr="00C1492A">
        <w:rPr>
          <w:rFonts w:cs="Arial"/>
          <w:color w:val="000000"/>
        </w:rPr>
        <w:t xml:space="preserve">We acknowledge the assistance given by </w:t>
      </w:r>
      <w:proofErr w:type="spellStart"/>
      <w:r w:rsidRPr="00C1492A">
        <w:rPr>
          <w:rFonts w:cs="Arial"/>
          <w:color w:val="000000"/>
        </w:rPr>
        <w:t>Arend</w:t>
      </w:r>
      <w:proofErr w:type="spellEnd"/>
      <w:r w:rsidRPr="00C1492A">
        <w:rPr>
          <w:rFonts w:cs="Arial"/>
          <w:color w:val="000000"/>
        </w:rPr>
        <w:t xml:space="preserve"> </w:t>
      </w:r>
      <w:proofErr w:type="spellStart"/>
      <w:r w:rsidRPr="00C1492A">
        <w:rPr>
          <w:rFonts w:cs="Arial"/>
          <w:color w:val="000000"/>
        </w:rPr>
        <w:t>Voorman</w:t>
      </w:r>
      <w:proofErr w:type="spellEnd"/>
      <w:r w:rsidRPr="00C1492A">
        <w:rPr>
          <w:rFonts w:cs="Arial"/>
          <w:color w:val="000000"/>
        </w:rPr>
        <w:t xml:space="preserve"> for meta-analysis of region</w:t>
      </w:r>
      <w:r>
        <w:rPr>
          <w:rFonts w:cs="Arial"/>
          <w:color w:val="000000"/>
        </w:rPr>
        <w:t>-</w:t>
      </w:r>
      <w:r w:rsidRPr="00C1492A">
        <w:rPr>
          <w:rFonts w:cs="Arial"/>
          <w:color w:val="000000"/>
        </w:rPr>
        <w:t xml:space="preserve">based tests using </w:t>
      </w:r>
      <w:proofErr w:type="spellStart"/>
      <w:r w:rsidRPr="00C1492A">
        <w:rPr>
          <w:rFonts w:cs="Arial"/>
          <w:color w:val="000000"/>
        </w:rPr>
        <w:t>skatMeta</w:t>
      </w:r>
      <w:proofErr w:type="spellEnd"/>
      <w:r w:rsidRPr="00C1492A">
        <w:rPr>
          <w:rFonts w:cs="Arial"/>
          <w:color w:val="000000"/>
        </w:rPr>
        <w:t>.</w:t>
      </w:r>
    </w:p>
    <w:p w14:paraId="2676EAA9" w14:textId="77777777" w:rsidR="00191369" w:rsidRPr="00645BAF" w:rsidRDefault="00191369" w:rsidP="00EF187A">
      <w:pPr>
        <w:pStyle w:val="Heading3"/>
        <w:rPr>
          <w:b w:val="0"/>
        </w:rPr>
      </w:pPr>
      <w:r w:rsidRPr="00645BAF">
        <w:t>Other Acknowledgments</w:t>
      </w:r>
    </w:p>
    <w:p w14:paraId="35045684" w14:textId="23E53F79" w:rsidR="00191369" w:rsidRPr="00372028" w:rsidRDefault="005E1F46" w:rsidP="00191369">
      <w:pPr>
        <w:rPr>
          <w:rFonts w:cs="Arial"/>
          <w:szCs w:val="20"/>
        </w:rPr>
      </w:pPr>
      <w:r>
        <w:rPr>
          <w:rFonts w:cs="Arial"/>
          <w:b/>
          <w:szCs w:val="20"/>
        </w:rPr>
        <w:t xml:space="preserve">We thank all participants for their cooperation in this study. </w:t>
      </w:r>
      <w:r w:rsidR="00191369" w:rsidRPr="00645BAF">
        <w:rPr>
          <w:rFonts w:cs="Arial"/>
          <w:b/>
          <w:szCs w:val="20"/>
        </w:rPr>
        <w:t>ALSPAC</w:t>
      </w:r>
      <w:r w:rsidR="00191369" w:rsidRPr="00645BAF">
        <w:rPr>
          <w:rFonts w:cs="Arial"/>
          <w:szCs w:val="20"/>
        </w:rPr>
        <w:t xml:space="preserve">: We are extremely grateful to all the families who took part in this study, the midwives for their help in recruiting them and the whole ALSPAC team, which includes interviewers, computer and laboratory technicians, clerical workers, research scientists, volunteers, managers, receptionists and nurses. We thank 23andMe for funding the generation of the ALSPAC GWAS data. We thank the UK10K Consortium for the sequencing of ALSPAC individuals. This publication is the work of the authors, and they will serve as guarantors for the contents of this paper. </w:t>
      </w:r>
      <w:r w:rsidR="00252E8B">
        <w:rPr>
          <w:rFonts w:cs="Arial"/>
          <w:szCs w:val="20"/>
        </w:rPr>
        <w:t>JT</w:t>
      </w:r>
      <w:r w:rsidR="00E4774E">
        <w:rPr>
          <w:rFonts w:cs="Arial"/>
          <w:szCs w:val="20"/>
        </w:rPr>
        <w:t xml:space="preserve"> </w:t>
      </w:r>
      <w:r w:rsidR="00252E8B">
        <w:rPr>
          <w:rFonts w:cs="Arial"/>
          <w:szCs w:val="20"/>
        </w:rPr>
        <w:t xml:space="preserve">works within the MRC integrative epidemiology unit at the University of Bristol (MRC grant reference – Medical Research Council MC_II_12013/1-9) </w:t>
      </w:r>
      <w:r w:rsidR="00191369" w:rsidRPr="00645BAF">
        <w:rPr>
          <w:rFonts w:cs="Arial"/>
          <w:b/>
          <w:szCs w:val="20"/>
        </w:rPr>
        <w:t>Sloan Kettering Group</w:t>
      </w:r>
      <w:r w:rsidR="00191369" w:rsidRPr="00645BAF">
        <w:rPr>
          <w:rFonts w:cs="Arial"/>
          <w:szCs w:val="20"/>
        </w:rPr>
        <w:t xml:space="preserve">: Thanks Daniel Stephen for exceptional technical assistance with analyzing the En1 mutant phenotype. </w:t>
      </w:r>
      <w:r w:rsidR="00191369" w:rsidRPr="00645BAF">
        <w:rPr>
          <w:rFonts w:cs="Arial"/>
          <w:b/>
          <w:szCs w:val="20"/>
        </w:rPr>
        <w:t>AOGC</w:t>
      </w:r>
      <w:r w:rsidR="00191369" w:rsidRPr="00645BAF">
        <w:rPr>
          <w:rFonts w:cs="Arial"/>
          <w:szCs w:val="20"/>
        </w:rPr>
        <w:t xml:space="preserve">: AOGC Consortium: Geoffrey C Nicholson (Rural Clinical School, The University of Queensland, Toowoomba, Australia), Eugene McCloskey (Academic Unit of Bone Metabolism, Metabolic Bone Centre, University of Sheffield, Sheffield, UK&amp;  NIHR Musculoskeletal Biomedical Research Unit, Sheffield Teaching Hospitals Trust, Sheffield, UK), Richard </w:t>
      </w:r>
      <w:proofErr w:type="spellStart"/>
      <w:r w:rsidR="00191369" w:rsidRPr="00645BAF">
        <w:rPr>
          <w:rFonts w:cs="Arial"/>
          <w:szCs w:val="20"/>
        </w:rPr>
        <w:t>Eastell</w:t>
      </w:r>
      <w:proofErr w:type="spellEnd"/>
      <w:r w:rsidR="00191369" w:rsidRPr="00645BAF">
        <w:rPr>
          <w:rFonts w:cs="Arial"/>
          <w:szCs w:val="20"/>
        </w:rPr>
        <w:t xml:space="preserve"> (Academic Unit of Bone Metabolism, Metabolic Bone Centre, University of Sheffield, Sheffield, UK) Richard L Price (School of Medicine and Pharmacology, University of Western Australia, Perth, Australia &amp; Department of Endocrinology and Diabetes, Sir Charles </w:t>
      </w:r>
      <w:proofErr w:type="spellStart"/>
      <w:r w:rsidR="00191369" w:rsidRPr="00645BAF">
        <w:rPr>
          <w:rFonts w:cs="Arial"/>
          <w:szCs w:val="20"/>
        </w:rPr>
        <w:t>Gairdner</w:t>
      </w:r>
      <w:proofErr w:type="spellEnd"/>
      <w:r w:rsidR="00191369" w:rsidRPr="00645BAF">
        <w:rPr>
          <w:rFonts w:cs="Arial"/>
          <w:szCs w:val="20"/>
        </w:rPr>
        <w:t xml:space="preserve"> Hospital,  Perth, Australia) John A </w:t>
      </w:r>
      <w:proofErr w:type="spellStart"/>
      <w:r w:rsidR="00191369" w:rsidRPr="00645BAF">
        <w:rPr>
          <w:rFonts w:cs="Arial"/>
          <w:szCs w:val="20"/>
        </w:rPr>
        <w:t>Eisman</w:t>
      </w:r>
      <w:proofErr w:type="spellEnd"/>
      <w:r w:rsidR="00191369" w:rsidRPr="00645BAF">
        <w:rPr>
          <w:rFonts w:cs="Arial"/>
          <w:szCs w:val="20"/>
        </w:rPr>
        <w:t xml:space="preserve"> (</w:t>
      </w:r>
      <w:proofErr w:type="spellStart"/>
      <w:r w:rsidR="00191369" w:rsidRPr="00645BAF">
        <w:rPr>
          <w:rFonts w:cs="Arial"/>
          <w:szCs w:val="20"/>
        </w:rPr>
        <w:t>Garvan</w:t>
      </w:r>
      <w:proofErr w:type="spellEnd"/>
      <w:r w:rsidR="00191369" w:rsidRPr="00645BAF">
        <w:rPr>
          <w:rFonts w:cs="Arial"/>
          <w:szCs w:val="20"/>
        </w:rPr>
        <w:t xml:space="preserve"> Institute of Medical Research, University of New South Wales, Sydney, Australia) Graeme Jones (</w:t>
      </w:r>
      <w:proofErr w:type="spellStart"/>
      <w:r w:rsidR="00191369" w:rsidRPr="00645BAF">
        <w:rPr>
          <w:rFonts w:cs="Arial"/>
          <w:szCs w:val="20"/>
        </w:rPr>
        <w:t>Menzies</w:t>
      </w:r>
      <w:proofErr w:type="spellEnd"/>
      <w:r w:rsidR="00191369" w:rsidRPr="00645BAF">
        <w:rPr>
          <w:rFonts w:cs="Arial"/>
          <w:szCs w:val="20"/>
        </w:rPr>
        <w:t xml:space="preserve"> Research Institute, University of Tasmania, Hobart, Australia) Ian R Reid (Department of Medicine, University of Auckland, Auckland, New Zealand) Philip N </w:t>
      </w:r>
      <w:proofErr w:type="spellStart"/>
      <w:r w:rsidR="00191369" w:rsidRPr="00645BAF">
        <w:rPr>
          <w:rFonts w:cs="Arial"/>
          <w:szCs w:val="20"/>
        </w:rPr>
        <w:t>Sambrook</w:t>
      </w:r>
      <w:proofErr w:type="spellEnd"/>
      <w:r w:rsidR="00191369" w:rsidRPr="00645BAF">
        <w:rPr>
          <w:rFonts w:cs="Arial"/>
          <w:szCs w:val="20"/>
        </w:rPr>
        <w:t xml:space="preserve"> (</w:t>
      </w:r>
      <w:proofErr w:type="spellStart"/>
      <w:r w:rsidR="00191369" w:rsidRPr="00645BAF">
        <w:rPr>
          <w:rFonts w:cs="Arial"/>
          <w:szCs w:val="20"/>
        </w:rPr>
        <w:t>Kolling</w:t>
      </w:r>
      <w:proofErr w:type="spellEnd"/>
      <w:r w:rsidR="00191369" w:rsidRPr="00645BAF">
        <w:rPr>
          <w:rFonts w:cs="Arial"/>
          <w:szCs w:val="20"/>
        </w:rPr>
        <w:t xml:space="preserve"> Institute, Royal North Shore Hospital, University of Sydney, Sydney, Australia) Elaine M Dennison (Medical Research Council </w:t>
      </w:r>
      <w:proofErr w:type="spellStart"/>
      <w:r w:rsidR="00191369" w:rsidRPr="00645BAF">
        <w:rPr>
          <w:rFonts w:cs="Arial"/>
          <w:szCs w:val="20"/>
        </w:rPr>
        <w:t>Lifecourse</w:t>
      </w:r>
      <w:proofErr w:type="spellEnd"/>
      <w:r w:rsidR="00191369" w:rsidRPr="00645BAF">
        <w:rPr>
          <w:rFonts w:cs="Arial"/>
          <w:szCs w:val="20"/>
        </w:rPr>
        <w:t xml:space="preserve"> Epidemiology Unit, University of Southampton, </w:t>
      </w:r>
      <w:proofErr w:type="spellStart"/>
      <w:r w:rsidR="00191369" w:rsidRPr="00645BAF">
        <w:rPr>
          <w:rFonts w:cs="Arial"/>
          <w:szCs w:val="20"/>
        </w:rPr>
        <w:t>Southhampton</w:t>
      </w:r>
      <w:proofErr w:type="spellEnd"/>
      <w:r w:rsidR="00191369" w:rsidRPr="00645BAF">
        <w:rPr>
          <w:rFonts w:cs="Arial"/>
          <w:szCs w:val="20"/>
        </w:rPr>
        <w:t xml:space="preserve">, UK) John </w:t>
      </w:r>
      <w:proofErr w:type="spellStart"/>
      <w:r w:rsidR="00191369" w:rsidRPr="00645BAF">
        <w:rPr>
          <w:rFonts w:cs="Arial"/>
          <w:szCs w:val="20"/>
        </w:rPr>
        <w:t>Wark</w:t>
      </w:r>
      <w:proofErr w:type="spellEnd"/>
      <w:r w:rsidR="00191369" w:rsidRPr="00645BAF">
        <w:rPr>
          <w:rFonts w:cs="Arial"/>
          <w:szCs w:val="20"/>
        </w:rPr>
        <w:t xml:space="preserve"> (Departments of Medicine and Endocrinology, University of Melbourne, Melbourne, Australia) AOGC cohort and Brisbane Sequencing team: We acknowledge gratefully the laboratory assistance given by Jessica Harris, Graeme Clark, Sharon Song and Marina </w:t>
      </w:r>
      <w:proofErr w:type="spellStart"/>
      <w:r w:rsidR="00191369" w:rsidRPr="00645BAF">
        <w:rPr>
          <w:rFonts w:cs="Arial"/>
          <w:szCs w:val="20"/>
        </w:rPr>
        <w:t>Donskoi</w:t>
      </w:r>
      <w:proofErr w:type="spellEnd"/>
      <w:r w:rsidR="00191369" w:rsidRPr="00645BAF">
        <w:rPr>
          <w:rFonts w:cs="Arial"/>
          <w:szCs w:val="20"/>
        </w:rPr>
        <w:t xml:space="preserve">. We would like to thank all participants who provided DNA and clinical information for the Anglo-Australasian Osteoporosis Genetics Consortium.  The AOGC was funded by the Australian National Health and Medical Research Council (Australia) (grant references 511132 and 1032571). Funding was also received from the Australian Cancer Research Foundation and Rebecca Cooper Foundation (Australia).  MAB is funded by a National Health and Medical Research Council (Australia) Principal Research Fellowship and ELD was previously funded by a National Health and Medical Research Council (Australia) Career Development Award (569807).  IR is supported by the Health Research Council of New Zealand. The Sydney Twin Study and Tasmanian Older Adult Cohort were supported by the National Health and Medical Research Council, Australia.  The help of Dr Joanna </w:t>
      </w:r>
      <w:proofErr w:type="spellStart"/>
      <w:r w:rsidR="00191369" w:rsidRPr="00645BAF">
        <w:rPr>
          <w:rFonts w:cs="Arial"/>
          <w:szCs w:val="20"/>
        </w:rPr>
        <w:t>Makovey</w:t>
      </w:r>
      <w:proofErr w:type="spellEnd"/>
      <w:r w:rsidR="00191369" w:rsidRPr="00645BAF">
        <w:rPr>
          <w:rFonts w:cs="Arial"/>
          <w:szCs w:val="20"/>
        </w:rPr>
        <w:t xml:space="preserve"> from the Sydney Twin Study is gratefully acknowledged.  The OPUS study was supported by Sanofi-Aventis, Eli Lilly, Novartis, Pfizer, </w:t>
      </w:r>
      <w:proofErr w:type="spellStart"/>
      <w:r w:rsidR="00191369" w:rsidRPr="00645BAF">
        <w:rPr>
          <w:rFonts w:cs="Arial"/>
          <w:szCs w:val="20"/>
        </w:rPr>
        <w:t>Proctor&amp;Gamble</w:t>
      </w:r>
      <w:proofErr w:type="spellEnd"/>
      <w:r w:rsidR="00191369" w:rsidRPr="00645BAF">
        <w:rPr>
          <w:rFonts w:cs="Arial"/>
          <w:szCs w:val="20"/>
        </w:rPr>
        <w:t xml:space="preserve"> Pharmaceuticals and Roche.   We thank the co-principal investigators from OPUS (Dr Christian Roux, Dr David Reid, Dr Claus </w:t>
      </w:r>
      <w:proofErr w:type="spellStart"/>
      <w:r w:rsidR="00191369" w:rsidRPr="00645BAF">
        <w:rPr>
          <w:rFonts w:cs="Arial"/>
          <w:szCs w:val="20"/>
        </w:rPr>
        <w:t>Glüer</w:t>
      </w:r>
      <w:proofErr w:type="spellEnd"/>
      <w:r w:rsidR="00191369" w:rsidRPr="00645BAF">
        <w:rPr>
          <w:rFonts w:cs="Arial"/>
          <w:szCs w:val="20"/>
        </w:rPr>
        <w:t xml:space="preserve">, and Dr Dieter </w:t>
      </w:r>
      <w:proofErr w:type="spellStart"/>
      <w:r w:rsidR="00191369" w:rsidRPr="00645BAF">
        <w:rPr>
          <w:rFonts w:cs="Arial"/>
          <w:szCs w:val="20"/>
        </w:rPr>
        <w:t>Felsenber</w:t>
      </w:r>
      <w:proofErr w:type="spellEnd"/>
      <w:r w:rsidR="00191369" w:rsidRPr="00645BAF">
        <w:rPr>
          <w:rFonts w:cs="Arial"/>
          <w:szCs w:val="20"/>
        </w:rPr>
        <w:t xml:space="preserve">); Ms Judith </w:t>
      </w:r>
      <w:proofErr w:type="spellStart"/>
      <w:r w:rsidR="00191369" w:rsidRPr="00645BAF">
        <w:rPr>
          <w:rFonts w:cs="Arial"/>
          <w:szCs w:val="20"/>
        </w:rPr>
        <w:t>Finigan</w:t>
      </w:r>
      <w:proofErr w:type="spellEnd"/>
      <w:r w:rsidR="00191369" w:rsidRPr="00645BAF">
        <w:rPr>
          <w:rFonts w:cs="Arial"/>
          <w:szCs w:val="20"/>
        </w:rPr>
        <w:t xml:space="preserve"> and Ms Selina Simpson. The </w:t>
      </w:r>
      <w:proofErr w:type="spellStart"/>
      <w:r w:rsidR="00191369" w:rsidRPr="00645BAF">
        <w:rPr>
          <w:rFonts w:cs="Arial"/>
          <w:szCs w:val="20"/>
        </w:rPr>
        <w:t>Dubbo</w:t>
      </w:r>
      <w:proofErr w:type="spellEnd"/>
      <w:r w:rsidR="00191369" w:rsidRPr="00645BAF">
        <w:rPr>
          <w:rFonts w:cs="Arial"/>
          <w:szCs w:val="20"/>
        </w:rPr>
        <w:t xml:space="preserve"> Osteoporosis Epidemiology Study was supported by the Australian National Health and Medical Research Council, MBF Living Well foundation, the Ernst Heine Family Foundation and from untied educational grants from Amgen, Eli Lilly International, GE-Lunar, Merck Australia, Novartis, Sanofi-Aventis Australia and </w:t>
      </w:r>
      <w:proofErr w:type="spellStart"/>
      <w:r w:rsidR="00191369" w:rsidRPr="00645BAF">
        <w:rPr>
          <w:rFonts w:cs="Arial"/>
          <w:szCs w:val="20"/>
        </w:rPr>
        <w:t>Servier</w:t>
      </w:r>
      <w:proofErr w:type="spellEnd"/>
      <w:r w:rsidR="00191369" w:rsidRPr="00645BAF">
        <w:rPr>
          <w:rFonts w:cs="Arial"/>
          <w:szCs w:val="20"/>
        </w:rPr>
        <w:t xml:space="preserve">.   The contribution from A/Prof Jacqueline R Center, A/Prof Tuan V Nguyen, Mr Sing C Nguyen, Ms </w:t>
      </w:r>
      <w:proofErr w:type="spellStart"/>
      <w:r w:rsidR="00191369" w:rsidRPr="00645BAF">
        <w:rPr>
          <w:rFonts w:cs="Arial"/>
          <w:szCs w:val="20"/>
        </w:rPr>
        <w:t>Denia</w:t>
      </w:r>
      <w:proofErr w:type="spellEnd"/>
      <w:r w:rsidR="00191369" w:rsidRPr="00645BAF">
        <w:rPr>
          <w:rFonts w:cs="Arial"/>
          <w:szCs w:val="20"/>
        </w:rPr>
        <w:t xml:space="preserve"> </w:t>
      </w:r>
      <w:proofErr w:type="spellStart"/>
      <w:r w:rsidR="00191369" w:rsidRPr="00645BAF">
        <w:rPr>
          <w:rFonts w:cs="Arial"/>
          <w:szCs w:val="20"/>
        </w:rPr>
        <w:t>Mang</w:t>
      </w:r>
      <w:proofErr w:type="spellEnd"/>
      <w:r w:rsidR="00191369" w:rsidRPr="00645BAF">
        <w:rPr>
          <w:rFonts w:cs="Arial"/>
          <w:szCs w:val="20"/>
        </w:rPr>
        <w:t xml:space="preserve">, and Ms Ruth </w:t>
      </w:r>
      <w:proofErr w:type="spellStart"/>
      <w:r w:rsidR="00191369" w:rsidRPr="00645BAF">
        <w:rPr>
          <w:rFonts w:cs="Arial"/>
          <w:szCs w:val="20"/>
        </w:rPr>
        <w:t>Toppler</w:t>
      </w:r>
      <w:proofErr w:type="spellEnd"/>
      <w:r w:rsidR="00191369" w:rsidRPr="00645BAF">
        <w:rPr>
          <w:rFonts w:cs="Arial"/>
          <w:szCs w:val="20"/>
        </w:rPr>
        <w:t xml:space="preserve"> is gratefully acknowledged. The assistance of Ms </w:t>
      </w:r>
      <w:proofErr w:type="spellStart"/>
      <w:r w:rsidR="00191369" w:rsidRPr="00645BAF">
        <w:rPr>
          <w:rFonts w:cs="Arial"/>
          <w:szCs w:val="20"/>
        </w:rPr>
        <w:t>Fatma</w:t>
      </w:r>
      <w:proofErr w:type="spellEnd"/>
      <w:r w:rsidR="00191369" w:rsidRPr="00645BAF">
        <w:rPr>
          <w:rFonts w:cs="Arial"/>
          <w:szCs w:val="20"/>
        </w:rPr>
        <w:t xml:space="preserve"> </w:t>
      </w:r>
      <w:proofErr w:type="spellStart"/>
      <w:r w:rsidR="00191369" w:rsidRPr="00645BAF">
        <w:rPr>
          <w:rFonts w:cs="Arial"/>
          <w:szCs w:val="20"/>
        </w:rPr>
        <w:t>Gossiel</w:t>
      </w:r>
      <w:proofErr w:type="spellEnd"/>
      <w:r w:rsidR="00191369" w:rsidRPr="00645BAF">
        <w:rPr>
          <w:rFonts w:cs="Arial"/>
          <w:szCs w:val="20"/>
        </w:rPr>
        <w:t xml:space="preserve"> (Sheffield) is gratefully acknowledged. The Hertfordshire Cohort Study was supported by grants from the Medical research Council UK &amp; Arthritis Research UK.   We thank the men and women who participated; Prof Cyrus Cooper; and the </w:t>
      </w:r>
      <w:proofErr w:type="spellStart"/>
      <w:r w:rsidR="00191369" w:rsidRPr="00645BAF">
        <w:rPr>
          <w:rFonts w:cs="Arial"/>
          <w:szCs w:val="20"/>
        </w:rPr>
        <w:t>Herfordshire</w:t>
      </w:r>
      <w:proofErr w:type="spellEnd"/>
      <w:r w:rsidR="00191369" w:rsidRPr="00645BAF">
        <w:rPr>
          <w:rFonts w:cs="Arial"/>
          <w:szCs w:val="20"/>
        </w:rPr>
        <w:t xml:space="preserve"> GPs who supported the study.  The Oxford Osteoporosis Study was funded by Action Research, UK. The AOGC thanks the research nurses involved in this study (Ms Barbara Mason and Ms Amanda Horne (Auckland), Ms Linda Bradbury and Ms Kate </w:t>
      </w:r>
      <w:proofErr w:type="spellStart"/>
      <w:r w:rsidR="00191369" w:rsidRPr="00645BAF">
        <w:rPr>
          <w:rFonts w:cs="Arial"/>
          <w:szCs w:val="20"/>
        </w:rPr>
        <w:t>Lowings</w:t>
      </w:r>
      <w:proofErr w:type="spellEnd"/>
      <w:r w:rsidR="00191369" w:rsidRPr="00645BAF">
        <w:rPr>
          <w:rFonts w:cs="Arial"/>
          <w:szCs w:val="20"/>
        </w:rPr>
        <w:t xml:space="preserve"> (Brisbane), Ms Katherine </w:t>
      </w:r>
      <w:proofErr w:type="spellStart"/>
      <w:r w:rsidR="00191369" w:rsidRPr="00645BAF">
        <w:rPr>
          <w:rFonts w:cs="Arial"/>
          <w:szCs w:val="20"/>
        </w:rPr>
        <w:t>Kolk</w:t>
      </w:r>
      <w:proofErr w:type="spellEnd"/>
      <w:r w:rsidR="00191369" w:rsidRPr="00645BAF">
        <w:rPr>
          <w:rFonts w:cs="Arial"/>
          <w:szCs w:val="20"/>
        </w:rPr>
        <w:t xml:space="preserve"> and Ms </w:t>
      </w:r>
      <w:proofErr w:type="spellStart"/>
      <w:r w:rsidR="00191369" w:rsidRPr="00645BAF">
        <w:rPr>
          <w:rFonts w:cs="Arial"/>
          <w:szCs w:val="20"/>
        </w:rPr>
        <w:t>Rumbidzai</w:t>
      </w:r>
      <w:proofErr w:type="spellEnd"/>
      <w:r w:rsidR="00191369" w:rsidRPr="00645BAF">
        <w:rPr>
          <w:rFonts w:cs="Arial"/>
          <w:szCs w:val="20"/>
        </w:rPr>
        <w:t xml:space="preserve"> </w:t>
      </w:r>
      <w:proofErr w:type="spellStart"/>
      <w:r w:rsidR="00191369" w:rsidRPr="00645BAF">
        <w:rPr>
          <w:rFonts w:cs="Arial"/>
          <w:szCs w:val="20"/>
        </w:rPr>
        <w:t>Tichawangana</w:t>
      </w:r>
      <w:proofErr w:type="spellEnd"/>
      <w:r w:rsidR="00191369" w:rsidRPr="00645BAF">
        <w:rPr>
          <w:rFonts w:cs="Arial"/>
          <w:szCs w:val="20"/>
        </w:rPr>
        <w:t xml:space="preserve"> (Geelong); Ms Helen </w:t>
      </w:r>
      <w:proofErr w:type="spellStart"/>
      <w:r w:rsidR="00191369" w:rsidRPr="00645BAF">
        <w:rPr>
          <w:rFonts w:cs="Arial"/>
          <w:szCs w:val="20"/>
        </w:rPr>
        <w:t>Steane</w:t>
      </w:r>
      <w:proofErr w:type="spellEnd"/>
      <w:r w:rsidR="00191369" w:rsidRPr="00645BAF">
        <w:rPr>
          <w:rFonts w:cs="Arial"/>
          <w:szCs w:val="20"/>
        </w:rPr>
        <w:t xml:space="preserve"> (Hobart); Ms Jemma Christie (Melbourne); and Ms Janelle </w:t>
      </w:r>
      <w:proofErr w:type="spellStart"/>
      <w:r w:rsidR="00191369" w:rsidRPr="00645BAF">
        <w:rPr>
          <w:rFonts w:cs="Arial"/>
          <w:szCs w:val="20"/>
        </w:rPr>
        <w:t>Rampellini</w:t>
      </w:r>
      <w:proofErr w:type="spellEnd"/>
      <w:r w:rsidR="00191369" w:rsidRPr="00645BAF">
        <w:rPr>
          <w:rFonts w:cs="Arial"/>
          <w:szCs w:val="20"/>
        </w:rPr>
        <w:t xml:space="preserve"> (Perth)).  The AOGC also acknowledges gratefully technical support from Ms Kathryn Addison, Ms </w:t>
      </w:r>
      <w:proofErr w:type="spellStart"/>
      <w:r w:rsidR="00191369" w:rsidRPr="00645BAF">
        <w:rPr>
          <w:rFonts w:cs="Arial"/>
          <w:szCs w:val="20"/>
        </w:rPr>
        <w:t>Marieke</w:t>
      </w:r>
      <w:proofErr w:type="spellEnd"/>
      <w:r w:rsidR="00191369" w:rsidRPr="00645BAF">
        <w:rPr>
          <w:rFonts w:cs="Arial"/>
          <w:szCs w:val="20"/>
        </w:rPr>
        <w:t xml:space="preserve"> </w:t>
      </w:r>
      <w:proofErr w:type="spellStart"/>
      <w:r w:rsidR="00191369" w:rsidRPr="00645BAF">
        <w:rPr>
          <w:rFonts w:cs="Arial"/>
          <w:szCs w:val="20"/>
        </w:rPr>
        <w:t>Brugmans</w:t>
      </w:r>
      <w:proofErr w:type="spellEnd"/>
      <w:r w:rsidR="00191369" w:rsidRPr="00645BAF">
        <w:rPr>
          <w:rFonts w:cs="Arial"/>
          <w:szCs w:val="20"/>
        </w:rPr>
        <w:t xml:space="preserve">, Ms Catherine </w:t>
      </w:r>
      <w:proofErr w:type="spellStart"/>
      <w:r w:rsidR="00191369" w:rsidRPr="00645BAF">
        <w:rPr>
          <w:rFonts w:cs="Arial"/>
          <w:szCs w:val="20"/>
        </w:rPr>
        <w:t>Cremen</w:t>
      </w:r>
      <w:proofErr w:type="spellEnd"/>
      <w:r w:rsidR="00191369" w:rsidRPr="00645BAF">
        <w:rPr>
          <w:rFonts w:cs="Arial"/>
          <w:szCs w:val="20"/>
        </w:rPr>
        <w:t xml:space="preserve">, Ms Johanna </w:t>
      </w:r>
      <w:proofErr w:type="spellStart"/>
      <w:r w:rsidR="00191369" w:rsidRPr="00645BAF">
        <w:rPr>
          <w:rFonts w:cs="Arial"/>
          <w:szCs w:val="20"/>
        </w:rPr>
        <w:t>Hadler</w:t>
      </w:r>
      <w:proofErr w:type="spellEnd"/>
      <w:r w:rsidR="00191369" w:rsidRPr="00645BAF">
        <w:rPr>
          <w:rFonts w:cs="Arial"/>
          <w:szCs w:val="20"/>
        </w:rPr>
        <w:t xml:space="preserve">, and Ms </w:t>
      </w:r>
      <w:proofErr w:type="spellStart"/>
      <w:r w:rsidR="00191369" w:rsidRPr="00645BAF">
        <w:rPr>
          <w:rFonts w:cs="Arial"/>
          <w:szCs w:val="20"/>
        </w:rPr>
        <w:t>Karena</w:t>
      </w:r>
      <w:proofErr w:type="spellEnd"/>
      <w:r w:rsidR="00191369" w:rsidRPr="00645BAF">
        <w:rPr>
          <w:rFonts w:cs="Arial"/>
          <w:szCs w:val="20"/>
        </w:rPr>
        <w:t xml:space="preserve"> Pryce. </w:t>
      </w:r>
      <w:r w:rsidR="00191369" w:rsidRPr="00645BAF">
        <w:rPr>
          <w:rFonts w:cs="Arial"/>
          <w:b/>
          <w:szCs w:val="20"/>
        </w:rPr>
        <w:t xml:space="preserve">Bristol HBM Team: </w:t>
      </w:r>
      <w:r w:rsidR="00191369" w:rsidRPr="00645BAF">
        <w:rPr>
          <w:rFonts w:cs="Arial"/>
          <w:szCs w:val="20"/>
        </w:rPr>
        <w:t xml:space="preserve">We would like to thank all our study participants and the staff at our collaborating centers particularly the Wellcome Trust Clinical Research Facility in Birmingham with Dr John </w:t>
      </w:r>
      <w:proofErr w:type="spellStart"/>
      <w:r w:rsidR="00191369" w:rsidRPr="00645BAF">
        <w:rPr>
          <w:rFonts w:cs="Arial"/>
          <w:szCs w:val="20"/>
        </w:rPr>
        <w:t>Ayuk</w:t>
      </w:r>
      <w:proofErr w:type="spellEnd"/>
      <w:r w:rsidR="00191369" w:rsidRPr="00645BAF">
        <w:rPr>
          <w:rFonts w:cs="Arial"/>
          <w:szCs w:val="20"/>
        </w:rPr>
        <w:t xml:space="preserve">, Cambridge, NIHR Biomedical Research Centre and </w:t>
      </w:r>
      <w:proofErr w:type="spellStart"/>
      <w:r w:rsidR="00191369" w:rsidRPr="00645BAF">
        <w:rPr>
          <w:rFonts w:cs="Arial"/>
          <w:szCs w:val="20"/>
        </w:rPr>
        <w:t>Addenbrooke’s</w:t>
      </w:r>
      <w:proofErr w:type="spellEnd"/>
      <w:r w:rsidR="00191369" w:rsidRPr="00645BAF">
        <w:rPr>
          <w:rFonts w:cs="Arial"/>
          <w:szCs w:val="20"/>
        </w:rPr>
        <w:t xml:space="preserve"> Wellcome Trust Clinical Research Facility, NIHR Bone Biomedical Research Unit in Sheffield and the Centre for Metabolic Bone Disease in Hull with Dr Sue Steel. </w:t>
      </w:r>
      <w:r w:rsidR="00191369" w:rsidRPr="00645BAF">
        <w:rPr>
          <w:rFonts w:cs="Arial"/>
          <w:b/>
          <w:szCs w:val="20"/>
        </w:rPr>
        <w:t>RSI</w:t>
      </w:r>
      <w:r w:rsidR="00191369" w:rsidRPr="00645BAF">
        <w:rPr>
          <w:rFonts w:cs="Arial"/>
          <w:szCs w:val="20"/>
        </w:rPr>
        <w:t xml:space="preserve">: The GWA study was funded by the Netherlands </w:t>
      </w:r>
      <w:proofErr w:type="spellStart"/>
      <w:r w:rsidR="00191369" w:rsidRPr="00645BAF">
        <w:rPr>
          <w:rFonts w:cs="Arial"/>
          <w:szCs w:val="20"/>
        </w:rPr>
        <w:t>Organisation</w:t>
      </w:r>
      <w:proofErr w:type="spellEnd"/>
      <w:r w:rsidR="00191369" w:rsidRPr="00645BAF">
        <w:rPr>
          <w:rFonts w:cs="Arial"/>
          <w:szCs w:val="20"/>
        </w:rPr>
        <w:t xml:space="preserve"> </w:t>
      </w:r>
      <w:r w:rsidR="00191369" w:rsidRPr="00645BAF">
        <w:rPr>
          <w:rFonts w:cs="Arial"/>
          <w:szCs w:val="20"/>
        </w:rPr>
        <w:lastRenderedPageBreak/>
        <w:t xml:space="preserve">of Scientific Research NWO Investments (nr. 175.010.2005.011, 911-03-012), the Research Institute for Diseases in the Elderly (014-93-015; RIDE2), the Netherlands Genomics Initiative (NGI)/Netherlands Consortium for Healthy Aging (NCHA) project nr. 050-060-810. We thank Pascal Arp, Mila </w:t>
      </w:r>
      <w:proofErr w:type="spellStart"/>
      <w:r w:rsidR="00191369" w:rsidRPr="00645BAF">
        <w:rPr>
          <w:rFonts w:cs="Arial"/>
          <w:szCs w:val="20"/>
        </w:rPr>
        <w:t>Jhamai</w:t>
      </w:r>
      <w:proofErr w:type="spellEnd"/>
      <w:r w:rsidR="00191369" w:rsidRPr="00645BAF">
        <w:rPr>
          <w:rFonts w:cs="Arial"/>
          <w:szCs w:val="20"/>
        </w:rPr>
        <w:t xml:space="preserve">, Dr Michael </w:t>
      </w:r>
      <w:proofErr w:type="spellStart"/>
      <w:r w:rsidR="00191369" w:rsidRPr="00645BAF">
        <w:rPr>
          <w:rFonts w:cs="Arial"/>
          <w:szCs w:val="20"/>
        </w:rPr>
        <w:t>Moorhouse</w:t>
      </w:r>
      <w:proofErr w:type="spellEnd"/>
      <w:r w:rsidR="00191369" w:rsidRPr="00645BAF">
        <w:rPr>
          <w:rFonts w:cs="Arial"/>
          <w:szCs w:val="20"/>
        </w:rPr>
        <w:t xml:space="preserve">, </w:t>
      </w:r>
      <w:proofErr w:type="spellStart"/>
      <w:r w:rsidR="00191369" w:rsidRPr="00645BAF">
        <w:rPr>
          <w:rFonts w:cs="Arial"/>
          <w:szCs w:val="20"/>
        </w:rPr>
        <w:t>Marijn</w:t>
      </w:r>
      <w:proofErr w:type="spellEnd"/>
      <w:r w:rsidR="00191369" w:rsidRPr="00645BAF">
        <w:rPr>
          <w:rFonts w:cs="Arial"/>
          <w:szCs w:val="20"/>
        </w:rPr>
        <w:t xml:space="preserve"> </w:t>
      </w:r>
      <w:proofErr w:type="spellStart"/>
      <w:r w:rsidR="00191369" w:rsidRPr="00645BAF">
        <w:rPr>
          <w:rFonts w:cs="Arial"/>
          <w:szCs w:val="20"/>
        </w:rPr>
        <w:t>Verkerk</w:t>
      </w:r>
      <w:proofErr w:type="spellEnd"/>
      <w:r w:rsidR="00191369" w:rsidRPr="00645BAF">
        <w:rPr>
          <w:rFonts w:cs="Arial"/>
          <w:szCs w:val="20"/>
        </w:rPr>
        <w:t xml:space="preserve">, and Lisbeth Herrera for their help in creating the GWAS database. We also thank Lisette </w:t>
      </w:r>
      <w:proofErr w:type="spellStart"/>
      <w:r w:rsidR="00191369" w:rsidRPr="00645BAF">
        <w:rPr>
          <w:rFonts w:cs="Arial"/>
          <w:szCs w:val="20"/>
        </w:rPr>
        <w:t>Stolk</w:t>
      </w:r>
      <w:proofErr w:type="spellEnd"/>
      <w:r w:rsidR="00191369" w:rsidRPr="00645BAF">
        <w:rPr>
          <w:rFonts w:cs="Arial"/>
          <w:szCs w:val="20"/>
        </w:rPr>
        <w:t xml:space="preserve"> for her support creating the fracture dataset and members of the GIANT consortium for sharing scripts used in this study. The Rotterdam Study is funded by Erasmus Medical Center and Erasmus University, Rotterdam, Netherlands Organization for the Health Research and Development (</w:t>
      </w:r>
      <w:proofErr w:type="spellStart"/>
      <w:r w:rsidR="00191369" w:rsidRPr="00645BAF">
        <w:rPr>
          <w:rFonts w:cs="Arial"/>
          <w:szCs w:val="20"/>
        </w:rPr>
        <w:t>ZonMw</w:t>
      </w:r>
      <w:proofErr w:type="spellEnd"/>
      <w:r w:rsidR="00191369" w:rsidRPr="00645BAF">
        <w:rPr>
          <w:rFonts w:cs="Arial"/>
          <w:szCs w:val="20"/>
        </w:rPr>
        <w:t xml:space="preserve">), the Research Institute for Diseases in the Elderly (RIDE), the Ministry of Education, Culture and Science, the Ministry for Health, Welfare and Sports, the European Commission (DG XII), and the Municipality of Rotterdam. The authors are very grateful to the participants and staff from the Rotterdam Study, particularly L. </w:t>
      </w:r>
      <w:proofErr w:type="spellStart"/>
      <w:r w:rsidR="00191369" w:rsidRPr="00645BAF">
        <w:rPr>
          <w:rFonts w:cs="Arial"/>
          <w:szCs w:val="20"/>
        </w:rPr>
        <w:t>Buist</w:t>
      </w:r>
      <w:proofErr w:type="spellEnd"/>
      <w:r w:rsidR="00191369" w:rsidRPr="00645BAF">
        <w:rPr>
          <w:rFonts w:cs="Arial"/>
          <w:szCs w:val="20"/>
        </w:rPr>
        <w:t xml:space="preserve"> and J.H. van den </w:t>
      </w:r>
      <w:proofErr w:type="spellStart"/>
      <w:r w:rsidR="00191369" w:rsidRPr="00645BAF">
        <w:rPr>
          <w:rFonts w:cs="Arial"/>
          <w:szCs w:val="20"/>
        </w:rPr>
        <w:t>Boogert</w:t>
      </w:r>
      <w:proofErr w:type="spellEnd"/>
      <w:r w:rsidR="00191369" w:rsidRPr="00645BAF">
        <w:rPr>
          <w:rFonts w:cs="Arial"/>
          <w:szCs w:val="20"/>
        </w:rPr>
        <w:t xml:space="preserve"> and also the participating general practitioners and pharmacists. We would like to thank Dr. Tobias A. </w:t>
      </w:r>
      <w:proofErr w:type="spellStart"/>
      <w:r w:rsidR="00191369" w:rsidRPr="00645BAF">
        <w:rPr>
          <w:rFonts w:cs="Arial"/>
          <w:szCs w:val="20"/>
        </w:rPr>
        <w:t>Knoch</w:t>
      </w:r>
      <w:proofErr w:type="spellEnd"/>
      <w:r w:rsidR="00191369" w:rsidRPr="00645BAF">
        <w:rPr>
          <w:rFonts w:cs="Arial"/>
          <w:szCs w:val="20"/>
        </w:rPr>
        <w:t xml:space="preserve">, Luc V. de </w:t>
      </w:r>
      <w:proofErr w:type="spellStart"/>
      <w:r w:rsidR="00191369" w:rsidRPr="00645BAF">
        <w:rPr>
          <w:rFonts w:cs="Arial"/>
          <w:szCs w:val="20"/>
        </w:rPr>
        <w:t>Zeeuw</w:t>
      </w:r>
      <w:proofErr w:type="spellEnd"/>
      <w:r w:rsidR="00191369" w:rsidRPr="00645BAF">
        <w:rPr>
          <w:rFonts w:cs="Arial"/>
          <w:szCs w:val="20"/>
        </w:rPr>
        <w:t xml:space="preserve">, </w:t>
      </w:r>
      <w:proofErr w:type="spellStart"/>
      <w:r w:rsidR="00191369" w:rsidRPr="00645BAF">
        <w:rPr>
          <w:rFonts w:cs="Arial"/>
          <w:szCs w:val="20"/>
        </w:rPr>
        <w:t>Anis</w:t>
      </w:r>
      <w:proofErr w:type="spellEnd"/>
      <w:r w:rsidR="00191369" w:rsidRPr="00645BAF">
        <w:rPr>
          <w:rFonts w:cs="Arial"/>
          <w:szCs w:val="20"/>
        </w:rPr>
        <w:t xml:space="preserve"> </w:t>
      </w:r>
      <w:proofErr w:type="spellStart"/>
      <w:r w:rsidR="00191369" w:rsidRPr="00645BAF">
        <w:rPr>
          <w:rFonts w:cs="Arial"/>
          <w:szCs w:val="20"/>
        </w:rPr>
        <w:t>Abuseiris</w:t>
      </w:r>
      <w:proofErr w:type="spellEnd"/>
      <w:r w:rsidR="00191369" w:rsidRPr="00645BAF">
        <w:rPr>
          <w:rFonts w:cs="Arial"/>
          <w:szCs w:val="20"/>
        </w:rPr>
        <w:t xml:space="preserve">, and Rob de </w:t>
      </w:r>
      <w:proofErr w:type="spellStart"/>
      <w:r w:rsidR="00191369" w:rsidRPr="00645BAF">
        <w:rPr>
          <w:rFonts w:cs="Arial"/>
          <w:szCs w:val="20"/>
        </w:rPr>
        <w:t>Graaf</w:t>
      </w:r>
      <w:proofErr w:type="spellEnd"/>
      <w:r w:rsidR="00191369" w:rsidRPr="00645BAF">
        <w:rPr>
          <w:rFonts w:cs="Arial"/>
          <w:szCs w:val="20"/>
        </w:rPr>
        <w:t xml:space="preserve"> as well as their institutions the Erasmus Computing Grid, Rotterdam, The Netherlands, and especially the national German </w:t>
      </w:r>
      <w:proofErr w:type="spellStart"/>
      <w:r w:rsidR="00191369" w:rsidRPr="00645BAF">
        <w:rPr>
          <w:rFonts w:cs="Arial"/>
          <w:szCs w:val="20"/>
        </w:rPr>
        <w:t>MediGRID</w:t>
      </w:r>
      <w:proofErr w:type="spellEnd"/>
      <w:r w:rsidR="00191369" w:rsidRPr="00645BAF">
        <w:rPr>
          <w:rFonts w:cs="Arial"/>
          <w:szCs w:val="20"/>
        </w:rPr>
        <w:t xml:space="preserve"> and </w:t>
      </w:r>
      <w:proofErr w:type="spellStart"/>
      <w:r w:rsidR="00191369" w:rsidRPr="00645BAF">
        <w:rPr>
          <w:rFonts w:cs="Arial"/>
          <w:szCs w:val="20"/>
        </w:rPr>
        <w:t>Services@MediGRID</w:t>
      </w:r>
      <w:proofErr w:type="spellEnd"/>
      <w:r w:rsidR="00191369" w:rsidRPr="00645BAF">
        <w:rPr>
          <w:rFonts w:cs="Arial"/>
          <w:szCs w:val="20"/>
        </w:rPr>
        <w:t xml:space="preserve"> part of the German D-Grid, both funded by the German </w:t>
      </w:r>
      <w:proofErr w:type="spellStart"/>
      <w:r w:rsidR="00191369" w:rsidRPr="00645BAF">
        <w:rPr>
          <w:rFonts w:cs="Arial"/>
          <w:szCs w:val="20"/>
        </w:rPr>
        <w:t>Bundesministerium</w:t>
      </w:r>
      <w:proofErr w:type="spellEnd"/>
      <w:r w:rsidR="00191369" w:rsidRPr="00645BAF">
        <w:rPr>
          <w:rFonts w:cs="Arial"/>
          <w:szCs w:val="20"/>
        </w:rPr>
        <w:t xml:space="preserve"> </w:t>
      </w:r>
      <w:proofErr w:type="spellStart"/>
      <w:r w:rsidR="00191369" w:rsidRPr="00645BAF">
        <w:rPr>
          <w:rFonts w:cs="Arial"/>
          <w:szCs w:val="20"/>
        </w:rPr>
        <w:t>fuer</w:t>
      </w:r>
      <w:proofErr w:type="spellEnd"/>
      <w:r w:rsidR="00191369" w:rsidRPr="00645BAF">
        <w:rPr>
          <w:rFonts w:cs="Arial"/>
          <w:szCs w:val="20"/>
        </w:rPr>
        <w:t xml:space="preserve"> </w:t>
      </w:r>
      <w:proofErr w:type="spellStart"/>
      <w:r w:rsidR="00191369" w:rsidRPr="00645BAF">
        <w:rPr>
          <w:rFonts w:cs="Arial"/>
          <w:szCs w:val="20"/>
        </w:rPr>
        <w:t>Forschung</w:t>
      </w:r>
      <w:proofErr w:type="spellEnd"/>
      <w:r w:rsidR="00191369" w:rsidRPr="00645BAF">
        <w:rPr>
          <w:rFonts w:cs="Arial"/>
          <w:szCs w:val="20"/>
        </w:rPr>
        <w:t xml:space="preserve"> und Technology under grants #01 AK 803 A-H and # 01 IG 07015 G for access to their grid resources. </w:t>
      </w:r>
      <w:r w:rsidR="00191369" w:rsidRPr="00645BAF">
        <w:rPr>
          <w:rFonts w:cs="Arial"/>
          <w:b/>
          <w:szCs w:val="20"/>
        </w:rPr>
        <w:t>UFO</w:t>
      </w:r>
      <w:r w:rsidR="00191369" w:rsidRPr="00645BAF">
        <w:rPr>
          <w:rFonts w:cs="Arial"/>
          <w:szCs w:val="20"/>
        </w:rPr>
        <w:t xml:space="preserve">: We thank the Bioinformatics Core Facility, at the </w:t>
      </w:r>
      <w:proofErr w:type="spellStart"/>
      <w:r w:rsidR="00191369" w:rsidRPr="00645BAF">
        <w:rPr>
          <w:rFonts w:cs="Arial"/>
          <w:szCs w:val="20"/>
        </w:rPr>
        <w:t>Sahlgrenska</w:t>
      </w:r>
      <w:proofErr w:type="spellEnd"/>
      <w:r w:rsidR="00191369" w:rsidRPr="00645BAF">
        <w:rPr>
          <w:rFonts w:cs="Arial"/>
          <w:szCs w:val="20"/>
        </w:rPr>
        <w:t xml:space="preserve"> Academy, University of Gothenburg and the Department of </w:t>
      </w:r>
      <w:proofErr w:type="spellStart"/>
      <w:r w:rsidR="00191369" w:rsidRPr="00645BAF">
        <w:rPr>
          <w:rFonts w:cs="Arial"/>
          <w:szCs w:val="20"/>
        </w:rPr>
        <w:t>Biobank</w:t>
      </w:r>
      <w:proofErr w:type="spellEnd"/>
      <w:r w:rsidR="00191369" w:rsidRPr="00645BAF">
        <w:rPr>
          <w:rFonts w:cs="Arial"/>
          <w:szCs w:val="20"/>
        </w:rPr>
        <w:t xml:space="preserve"> Research at </w:t>
      </w:r>
      <w:proofErr w:type="spellStart"/>
      <w:r w:rsidR="00191369" w:rsidRPr="00645BAF">
        <w:rPr>
          <w:rFonts w:cs="Arial"/>
          <w:szCs w:val="20"/>
        </w:rPr>
        <w:t>Umeå</w:t>
      </w:r>
      <w:proofErr w:type="spellEnd"/>
      <w:r w:rsidR="00191369" w:rsidRPr="00645BAF">
        <w:rPr>
          <w:rFonts w:cs="Arial"/>
          <w:szCs w:val="20"/>
        </w:rPr>
        <w:t xml:space="preserve"> University for assistance with data analysis and clinical data management. </w:t>
      </w:r>
      <w:r w:rsidR="00191369" w:rsidRPr="00645BAF">
        <w:rPr>
          <w:rFonts w:cs="Arial"/>
          <w:b/>
          <w:szCs w:val="20"/>
        </w:rPr>
        <w:t>B-Proof</w:t>
      </w:r>
      <w:r w:rsidR="00191369" w:rsidRPr="00645BAF">
        <w:rPr>
          <w:rFonts w:cs="Arial"/>
          <w:szCs w:val="20"/>
        </w:rPr>
        <w:t xml:space="preserve">: The authors gratefully thank all study participants, and all co-workers who helped to succeed this trial, especially P.H. in ‘t Veld, M. </w:t>
      </w:r>
      <w:proofErr w:type="spellStart"/>
      <w:r w:rsidR="00191369" w:rsidRPr="00645BAF">
        <w:rPr>
          <w:rFonts w:cs="Arial"/>
          <w:szCs w:val="20"/>
        </w:rPr>
        <w:t>Hillen-Tijdink</w:t>
      </w:r>
      <w:proofErr w:type="spellEnd"/>
      <w:r w:rsidR="00191369" w:rsidRPr="00645BAF">
        <w:rPr>
          <w:rFonts w:cs="Arial"/>
          <w:szCs w:val="20"/>
        </w:rPr>
        <w:t xml:space="preserve">, A. </w:t>
      </w:r>
      <w:proofErr w:type="spellStart"/>
      <w:r w:rsidR="00191369" w:rsidRPr="00645BAF">
        <w:rPr>
          <w:rFonts w:cs="Arial"/>
          <w:szCs w:val="20"/>
        </w:rPr>
        <w:t>Nicolaas-Merkus</w:t>
      </w:r>
      <w:proofErr w:type="spellEnd"/>
      <w:r w:rsidR="00191369" w:rsidRPr="00645BAF">
        <w:rPr>
          <w:rFonts w:cs="Arial"/>
          <w:szCs w:val="20"/>
        </w:rPr>
        <w:t xml:space="preserve">, N. </w:t>
      </w:r>
      <w:proofErr w:type="spellStart"/>
      <w:r w:rsidR="00191369" w:rsidRPr="00645BAF">
        <w:rPr>
          <w:rFonts w:cs="Arial"/>
          <w:szCs w:val="20"/>
        </w:rPr>
        <w:t>Pliester</w:t>
      </w:r>
      <w:proofErr w:type="spellEnd"/>
      <w:r w:rsidR="00191369" w:rsidRPr="00645BAF">
        <w:rPr>
          <w:rFonts w:cs="Arial"/>
          <w:szCs w:val="20"/>
        </w:rPr>
        <w:t xml:space="preserve">, S. </w:t>
      </w:r>
      <w:proofErr w:type="spellStart"/>
      <w:r w:rsidR="00191369" w:rsidRPr="00645BAF">
        <w:rPr>
          <w:rFonts w:cs="Arial"/>
          <w:szCs w:val="20"/>
        </w:rPr>
        <w:t>Oliai</w:t>
      </w:r>
      <w:proofErr w:type="spellEnd"/>
      <w:r w:rsidR="00191369" w:rsidRPr="00645BAF">
        <w:rPr>
          <w:rFonts w:cs="Arial"/>
          <w:szCs w:val="20"/>
        </w:rPr>
        <w:t xml:space="preserve"> </w:t>
      </w:r>
      <w:proofErr w:type="spellStart"/>
      <w:r w:rsidR="00191369" w:rsidRPr="00645BAF">
        <w:rPr>
          <w:rFonts w:cs="Arial"/>
          <w:szCs w:val="20"/>
        </w:rPr>
        <w:t>Araghi</w:t>
      </w:r>
      <w:proofErr w:type="spellEnd"/>
      <w:r w:rsidR="00191369" w:rsidRPr="00645BAF">
        <w:rPr>
          <w:rFonts w:cs="Arial"/>
          <w:szCs w:val="20"/>
        </w:rPr>
        <w:t xml:space="preserve">, and S. Smits. They also thank Prof. Dr. H.A.P. Pols for obtaining funding. </w:t>
      </w:r>
      <w:r w:rsidR="00191369" w:rsidRPr="00645BAF">
        <w:rPr>
          <w:rFonts w:cs="Arial"/>
          <w:b/>
          <w:szCs w:val="20"/>
        </w:rPr>
        <w:t>TUK:</w:t>
      </w:r>
      <w:r w:rsidR="004D6280">
        <w:rPr>
          <w:rFonts w:cs="Arial"/>
          <w:b/>
          <w:szCs w:val="20"/>
        </w:rPr>
        <w:t xml:space="preserve"> </w:t>
      </w:r>
      <w:r w:rsidR="00191369" w:rsidRPr="00645BAF">
        <w:rPr>
          <w:rFonts w:cs="Arial"/>
          <w:szCs w:val="20"/>
        </w:rPr>
        <w:t xml:space="preserve">The </w:t>
      </w:r>
      <w:proofErr w:type="spellStart"/>
      <w:r w:rsidR="00191369" w:rsidRPr="00645BAF">
        <w:rPr>
          <w:rFonts w:cs="Arial"/>
          <w:szCs w:val="20"/>
        </w:rPr>
        <w:t>iVEC</w:t>
      </w:r>
      <w:proofErr w:type="spellEnd"/>
      <w:r w:rsidR="00191369" w:rsidRPr="00645BAF">
        <w:rPr>
          <w:rFonts w:cs="Arial"/>
          <w:szCs w:val="20"/>
        </w:rPr>
        <w:t xml:space="preserve"> supercomputing facilities (EPIC, Murdoch University, Western Australia)</w:t>
      </w:r>
      <w:r w:rsidR="00191369">
        <w:rPr>
          <w:rFonts w:cs="Arial"/>
          <w:szCs w:val="20"/>
        </w:rPr>
        <w:t xml:space="preserve">. </w:t>
      </w:r>
      <w:r w:rsidR="00191369" w:rsidRPr="00700BFE">
        <w:rPr>
          <w:rFonts w:cs="Arial"/>
          <w:szCs w:val="20"/>
        </w:rPr>
        <w:t>We acknowledge the help and support of the twin volunteers.</w:t>
      </w:r>
      <w:r w:rsidR="00EF253D">
        <w:rPr>
          <w:rFonts w:cs="Arial"/>
          <w:szCs w:val="20"/>
        </w:rPr>
        <w:t xml:space="preserve"> </w:t>
      </w:r>
      <w:r w:rsidR="00372028" w:rsidRPr="00A57FFA">
        <w:rPr>
          <w:rFonts w:cs="Arial"/>
          <w:b/>
          <w:szCs w:val="20"/>
        </w:rPr>
        <w:t>SOF:</w:t>
      </w:r>
      <w:r w:rsidR="00372028">
        <w:rPr>
          <w:rFonts w:cs="Arial"/>
          <w:b/>
          <w:szCs w:val="20"/>
        </w:rPr>
        <w:t xml:space="preserve"> </w:t>
      </w:r>
      <w:r w:rsidR="00372028" w:rsidRPr="00A57FFA">
        <w:rPr>
          <w:rFonts w:cs="Arial"/>
          <w:szCs w:val="20"/>
        </w:rPr>
        <w:t>National Institute on Aging (NIA): R01 AG005407, R01 AR35582, R01 AR35583, R01 AR35584, R01 AG005394, R01 AG027574, and R01 AG027576. National Institute of Arthrit</w:t>
      </w:r>
      <w:r w:rsidR="00372028" w:rsidRPr="009C5305">
        <w:t>is and Musculoskeletal and Skin Diseases (NIAMS): RC2ARO58973, K01AR062655.</w:t>
      </w:r>
      <w:r w:rsidR="005A4B67" w:rsidRPr="009C5305">
        <w:t xml:space="preserve"> </w:t>
      </w:r>
      <w:proofErr w:type="spellStart"/>
      <w:proofErr w:type="gramStart"/>
      <w:r w:rsidR="005A4B67" w:rsidRPr="000A069B">
        <w:rPr>
          <w:b/>
        </w:rPr>
        <w:t>μCT</w:t>
      </w:r>
      <w:proofErr w:type="spellEnd"/>
      <w:proofErr w:type="gramEnd"/>
      <w:r w:rsidR="005A4B67" w:rsidRPr="000A069B">
        <w:rPr>
          <w:b/>
        </w:rPr>
        <w:t>:</w:t>
      </w:r>
      <w:r w:rsidR="005A4B67" w:rsidRPr="009C5305">
        <w:t xml:space="preserve"> Musculoskeletal imaging Core Facility at Hospital for Special Surgery supported by NIH AR046121.</w:t>
      </w:r>
      <w:r w:rsidR="00772C59">
        <w:t xml:space="preserve"> </w:t>
      </w:r>
      <w:r w:rsidR="00772C59" w:rsidRPr="00457F35">
        <w:rPr>
          <w:b/>
        </w:rPr>
        <w:t>McGill Coordinating Centre</w:t>
      </w:r>
      <w:r w:rsidR="00772C59">
        <w:t xml:space="preserve">: We acknowledge our funding partners: Canadian Institutes of Health Research, </w:t>
      </w:r>
      <w:proofErr w:type="spellStart"/>
      <w:r w:rsidR="00772C59">
        <w:t>Fonds</w:t>
      </w:r>
      <w:proofErr w:type="spellEnd"/>
      <w:r w:rsidR="00772C59">
        <w:t xml:space="preserve"> du </w:t>
      </w:r>
      <w:proofErr w:type="spellStart"/>
      <w:r w:rsidR="00772C59">
        <w:t>Recherche</w:t>
      </w:r>
      <w:proofErr w:type="spellEnd"/>
      <w:r w:rsidR="00772C59">
        <w:t xml:space="preserve"> </w:t>
      </w:r>
      <w:proofErr w:type="spellStart"/>
      <w:r w:rsidR="00840760">
        <w:t>en</w:t>
      </w:r>
      <w:proofErr w:type="spellEnd"/>
      <w:r w:rsidR="00840760">
        <w:t xml:space="preserve"> Santé</w:t>
      </w:r>
      <w:r w:rsidR="00772C59">
        <w:t xml:space="preserve"> du Quebec, </w:t>
      </w:r>
      <w:r w:rsidR="00840760">
        <w:t>Canadian Foundation for Innovation, The Lady Davis Institute for Medical Research, Osteoporosis Canada, RMGA: Network for Applied Genetic Medicine.</w:t>
      </w:r>
    </w:p>
    <w:p w14:paraId="450DD1B2" w14:textId="06622CEC" w:rsidR="00BE75B0" w:rsidRPr="00372A73" w:rsidRDefault="00FA2820" w:rsidP="00EF187A">
      <w:pPr>
        <w:pStyle w:val="Heading2"/>
      </w:pPr>
      <w:r w:rsidRPr="00372A73">
        <w:t>R</w:t>
      </w:r>
      <w:r w:rsidR="008661DB" w:rsidRPr="00372A73">
        <w:t>eferences</w:t>
      </w:r>
    </w:p>
    <w:p w14:paraId="13CE74F8" w14:textId="77777777" w:rsidR="00BE4984" w:rsidRPr="00BE75B0" w:rsidRDefault="00BE4984" w:rsidP="00BE75B0">
      <w:pPr>
        <w:rPr>
          <w:rFonts w:cs="Arial"/>
          <w:b/>
          <w:szCs w:val="20"/>
        </w:rPr>
      </w:pPr>
    </w:p>
    <w:p w14:paraId="08B7D626" w14:textId="77777777" w:rsidR="00735D55" w:rsidRDefault="00BE75B0" w:rsidP="00735D55">
      <w:pPr>
        <w:widowControl w:val="0"/>
        <w:tabs>
          <w:tab w:val="left" w:pos="640"/>
        </w:tabs>
        <w:autoSpaceDE w:val="0"/>
        <w:autoSpaceDN w:val="0"/>
        <w:adjustRightInd w:val="0"/>
        <w:ind w:left="640" w:hanging="640"/>
        <w:rPr>
          <w:rFonts w:cs="Times New Roman"/>
          <w:szCs w:val="20"/>
        </w:rPr>
      </w:pPr>
      <w:r w:rsidRPr="00BE75B0">
        <w:rPr>
          <w:rFonts w:cs="Arial"/>
          <w:b/>
          <w:szCs w:val="20"/>
        </w:rPr>
        <w:fldChar w:fldCharType="begin"/>
      </w:r>
      <w:r w:rsidRPr="00BE75B0">
        <w:rPr>
          <w:rFonts w:cs="Arial"/>
          <w:b/>
          <w:szCs w:val="20"/>
        </w:rPr>
        <w:instrText xml:space="preserve"> ADDIN PAPERS2_CITATIONS &lt;papers2_bibliography/&gt;</w:instrText>
      </w:r>
      <w:r w:rsidRPr="00BE75B0">
        <w:rPr>
          <w:rFonts w:cs="Arial"/>
          <w:b/>
          <w:szCs w:val="20"/>
        </w:rPr>
        <w:fldChar w:fldCharType="separate"/>
      </w:r>
      <w:r w:rsidR="00735D55">
        <w:rPr>
          <w:rFonts w:cs="Times New Roman"/>
          <w:szCs w:val="20"/>
        </w:rPr>
        <w:t>1.</w:t>
      </w:r>
      <w:r w:rsidR="00735D55">
        <w:rPr>
          <w:rFonts w:cs="Times New Roman"/>
          <w:szCs w:val="20"/>
        </w:rPr>
        <w:tab/>
        <w:t xml:space="preserve">Li, H. &amp; Durbin, R. Fast and accurate short read alignment with Burrows-Wheeler transform. </w:t>
      </w:r>
      <w:r w:rsidR="00735D55">
        <w:rPr>
          <w:rFonts w:cs="Times New Roman"/>
          <w:i/>
          <w:iCs/>
          <w:szCs w:val="20"/>
        </w:rPr>
        <w:t>Bioinformatics</w:t>
      </w:r>
      <w:r w:rsidR="00735D55">
        <w:rPr>
          <w:rFonts w:cs="Times New Roman"/>
          <w:szCs w:val="20"/>
        </w:rPr>
        <w:t xml:space="preserve"> </w:t>
      </w:r>
      <w:r w:rsidR="00735D55">
        <w:rPr>
          <w:rFonts w:cs="Times New Roman"/>
          <w:b/>
          <w:bCs/>
          <w:szCs w:val="20"/>
        </w:rPr>
        <w:t>25,</w:t>
      </w:r>
      <w:r w:rsidR="00735D55">
        <w:rPr>
          <w:rFonts w:cs="Times New Roman"/>
          <w:szCs w:val="20"/>
        </w:rPr>
        <w:t xml:space="preserve"> 1754–1760 (2009).</w:t>
      </w:r>
    </w:p>
    <w:p w14:paraId="0F9F14E6" w14:textId="77777777" w:rsidR="00735D55" w:rsidRDefault="00735D55" w:rsidP="00735D55">
      <w:pPr>
        <w:widowControl w:val="0"/>
        <w:tabs>
          <w:tab w:val="left" w:pos="640"/>
        </w:tabs>
        <w:autoSpaceDE w:val="0"/>
        <w:autoSpaceDN w:val="0"/>
        <w:adjustRightInd w:val="0"/>
        <w:ind w:left="640" w:hanging="640"/>
        <w:rPr>
          <w:rFonts w:cs="Times New Roman"/>
          <w:szCs w:val="20"/>
        </w:rPr>
      </w:pPr>
      <w:r>
        <w:rPr>
          <w:rFonts w:cs="Times New Roman"/>
          <w:szCs w:val="20"/>
        </w:rPr>
        <w:t>2.</w:t>
      </w:r>
      <w:r>
        <w:rPr>
          <w:rFonts w:cs="Times New Roman"/>
          <w:szCs w:val="20"/>
        </w:rPr>
        <w:tab/>
        <w:t xml:space="preserve">Li, H. A statistical framework for SNP calling, mutation discovery, association mapping and population genetical parameter estimation from sequencing data. </w:t>
      </w:r>
      <w:r>
        <w:rPr>
          <w:rFonts w:cs="Times New Roman"/>
          <w:i/>
          <w:iCs/>
          <w:szCs w:val="20"/>
        </w:rPr>
        <w:t>Bioinformatics</w:t>
      </w:r>
      <w:r>
        <w:rPr>
          <w:rFonts w:cs="Times New Roman"/>
          <w:szCs w:val="20"/>
        </w:rPr>
        <w:t xml:space="preserve"> </w:t>
      </w:r>
      <w:r>
        <w:rPr>
          <w:rFonts w:cs="Times New Roman"/>
          <w:b/>
          <w:bCs/>
          <w:szCs w:val="20"/>
        </w:rPr>
        <w:t>27,</w:t>
      </w:r>
      <w:r>
        <w:rPr>
          <w:rFonts w:cs="Times New Roman"/>
          <w:szCs w:val="20"/>
        </w:rPr>
        <w:t xml:space="preserve"> 2987–2993 (2011).</w:t>
      </w:r>
    </w:p>
    <w:p w14:paraId="64F16BA8" w14:textId="77777777" w:rsidR="00735D55" w:rsidRDefault="00735D55" w:rsidP="00735D55">
      <w:pPr>
        <w:widowControl w:val="0"/>
        <w:tabs>
          <w:tab w:val="left" w:pos="640"/>
        </w:tabs>
        <w:autoSpaceDE w:val="0"/>
        <w:autoSpaceDN w:val="0"/>
        <w:adjustRightInd w:val="0"/>
        <w:ind w:left="640" w:hanging="640"/>
        <w:rPr>
          <w:rFonts w:cs="Times New Roman"/>
          <w:szCs w:val="20"/>
        </w:rPr>
      </w:pPr>
      <w:r>
        <w:rPr>
          <w:rFonts w:cs="Times New Roman"/>
          <w:szCs w:val="20"/>
        </w:rPr>
        <w:t>3.</w:t>
      </w:r>
      <w:r>
        <w:rPr>
          <w:rFonts w:cs="Times New Roman"/>
          <w:szCs w:val="20"/>
        </w:rPr>
        <w:tab/>
        <w:t xml:space="preserve">Danecek, P. </w:t>
      </w:r>
      <w:r>
        <w:rPr>
          <w:rFonts w:cs="Times New Roman"/>
          <w:i/>
          <w:iCs/>
          <w:szCs w:val="20"/>
        </w:rPr>
        <w:t>et al.</w:t>
      </w:r>
      <w:r>
        <w:rPr>
          <w:rFonts w:cs="Times New Roman"/>
          <w:szCs w:val="20"/>
        </w:rPr>
        <w:t xml:space="preserve"> The variant call format and VCFtools. </w:t>
      </w:r>
      <w:r>
        <w:rPr>
          <w:rFonts w:cs="Times New Roman"/>
          <w:i/>
          <w:iCs/>
          <w:szCs w:val="20"/>
        </w:rPr>
        <w:t>Bioinformatics</w:t>
      </w:r>
      <w:r>
        <w:rPr>
          <w:rFonts w:cs="Times New Roman"/>
          <w:szCs w:val="20"/>
        </w:rPr>
        <w:t xml:space="preserve"> </w:t>
      </w:r>
      <w:r>
        <w:rPr>
          <w:rFonts w:cs="Times New Roman"/>
          <w:b/>
          <w:bCs/>
          <w:szCs w:val="20"/>
        </w:rPr>
        <w:t>27,</w:t>
      </w:r>
      <w:r>
        <w:rPr>
          <w:rFonts w:cs="Times New Roman"/>
          <w:szCs w:val="20"/>
        </w:rPr>
        <w:t xml:space="preserve"> 2156–2158 (2011).</w:t>
      </w:r>
    </w:p>
    <w:p w14:paraId="1CBBFD66" w14:textId="77777777" w:rsidR="00735D55" w:rsidRDefault="00735D55" w:rsidP="00735D55">
      <w:pPr>
        <w:widowControl w:val="0"/>
        <w:tabs>
          <w:tab w:val="left" w:pos="640"/>
        </w:tabs>
        <w:autoSpaceDE w:val="0"/>
        <w:autoSpaceDN w:val="0"/>
        <w:adjustRightInd w:val="0"/>
        <w:ind w:left="640" w:hanging="640"/>
        <w:rPr>
          <w:rFonts w:cs="Times New Roman"/>
          <w:szCs w:val="20"/>
        </w:rPr>
      </w:pPr>
      <w:r>
        <w:rPr>
          <w:rFonts w:cs="Times New Roman"/>
          <w:szCs w:val="20"/>
        </w:rPr>
        <w:t>4.</w:t>
      </w:r>
      <w:r>
        <w:rPr>
          <w:rFonts w:cs="Times New Roman"/>
          <w:szCs w:val="20"/>
        </w:rPr>
        <w:tab/>
        <w:t xml:space="preserve">DePristo, M. A. </w:t>
      </w:r>
      <w:r>
        <w:rPr>
          <w:rFonts w:cs="Times New Roman"/>
          <w:i/>
          <w:iCs/>
          <w:szCs w:val="20"/>
        </w:rPr>
        <w:t>et al.</w:t>
      </w:r>
      <w:r>
        <w:rPr>
          <w:rFonts w:cs="Times New Roman"/>
          <w:szCs w:val="20"/>
        </w:rPr>
        <w:t xml:space="preserve"> A framework for variation discovery and genotyping using next-generation DNA sequencing data. </w:t>
      </w:r>
      <w:r>
        <w:rPr>
          <w:rFonts w:cs="Times New Roman"/>
          <w:i/>
          <w:iCs/>
          <w:szCs w:val="20"/>
        </w:rPr>
        <w:t>Nature Genetics</w:t>
      </w:r>
      <w:r>
        <w:rPr>
          <w:rFonts w:cs="Times New Roman"/>
          <w:szCs w:val="20"/>
        </w:rPr>
        <w:t xml:space="preserve"> </w:t>
      </w:r>
      <w:r>
        <w:rPr>
          <w:rFonts w:cs="Times New Roman"/>
          <w:b/>
          <w:bCs/>
          <w:szCs w:val="20"/>
        </w:rPr>
        <w:t>43,</w:t>
      </w:r>
      <w:r>
        <w:rPr>
          <w:rFonts w:cs="Times New Roman"/>
          <w:szCs w:val="20"/>
        </w:rPr>
        <w:t xml:space="preserve"> 491–498 (2011).</w:t>
      </w:r>
    </w:p>
    <w:p w14:paraId="72F50513" w14:textId="77777777" w:rsidR="00735D55" w:rsidRDefault="00735D55" w:rsidP="00735D55">
      <w:pPr>
        <w:widowControl w:val="0"/>
        <w:tabs>
          <w:tab w:val="left" w:pos="640"/>
        </w:tabs>
        <w:autoSpaceDE w:val="0"/>
        <w:autoSpaceDN w:val="0"/>
        <w:adjustRightInd w:val="0"/>
        <w:ind w:left="640" w:hanging="640"/>
        <w:rPr>
          <w:rFonts w:cs="Times New Roman"/>
          <w:szCs w:val="20"/>
        </w:rPr>
      </w:pPr>
      <w:r>
        <w:rPr>
          <w:rFonts w:cs="Times New Roman"/>
          <w:szCs w:val="20"/>
        </w:rPr>
        <w:t>5.</w:t>
      </w:r>
      <w:r>
        <w:rPr>
          <w:rFonts w:cs="Times New Roman"/>
          <w:szCs w:val="20"/>
        </w:rPr>
        <w:tab/>
        <w:t xml:space="preserve">Williams, F. M. K. </w:t>
      </w:r>
      <w:r>
        <w:rPr>
          <w:rFonts w:cs="Times New Roman"/>
          <w:i/>
          <w:iCs/>
          <w:szCs w:val="20"/>
        </w:rPr>
        <w:t>et al.</w:t>
      </w:r>
      <w:r>
        <w:rPr>
          <w:rFonts w:cs="Times New Roman"/>
          <w:szCs w:val="20"/>
        </w:rPr>
        <w:t xml:space="preserve"> Genes contributing to pain sensitivity in the normal population: an exome sequencing study. </w:t>
      </w:r>
      <w:r>
        <w:rPr>
          <w:rFonts w:cs="Times New Roman"/>
          <w:i/>
          <w:iCs/>
          <w:szCs w:val="20"/>
        </w:rPr>
        <w:t>PLoS Genet.</w:t>
      </w:r>
      <w:r>
        <w:rPr>
          <w:rFonts w:cs="Times New Roman"/>
          <w:szCs w:val="20"/>
        </w:rPr>
        <w:t xml:space="preserve"> </w:t>
      </w:r>
      <w:r>
        <w:rPr>
          <w:rFonts w:cs="Times New Roman"/>
          <w:b/>
          <w:bCs/>
          <w:szCs w:val="20"/>
        </w:rPr>
        <w:t>8,</w:t>
      </w:r>
      <w:r>
        <w:rPr>
          <w:rFonts w:cs="Times New Roman"/>
          <w:szCs w:val="20"/>
        </w:rPr>
        <w:t xml:space="preserve"> e1003095 (2012).</w:t>
      </w:r>
    </w:p>
    <w:p w14:paraId="3CD08DA2" w14:textId="77777777" w:rsidR="00735D55" w:rsidRDefault="00735D55" w:rsidP="00735D55">
      <w:pPr>
        <w:widowControl w:val="0"/>
        <w:tabs>
          <w:tab w:val="left" w:pos="640"/>
        </w:tabs>
        <w:autoSpaceDE w:val="0"/>
        <w:autoSpaceDN w:val="0"/>
        <w:adjustRightInd w:val="0"/>
        <w:ind w:left="640" w:hanging="640"/>
        <w:rPr>
          <w:rFonts w:cs="Times New Roman"/>
          <w:szCs w:val="20"/>
        </w:rPr>
      </w:pPr>
      <w:r>
        <w:rPr>
          <w:rFonts w:cs="Times New Roman"/>
          <w:szCs w:val="20"/>
        </w:rPr>
        <w:t>6.</w:t>
      </w:r>
      <w:r>
        <w:rPr>
          <w:rFonts w:cs="Times New Roman"/>
          <w:szCs w:val="20"/>
        </w:rPr>
        <w:tab/>
        <w:t xml:space="preserve">McKenna, A. </w:t>
      </w:r>
      <w:r>
        <w:rPr>
          <w:rFonts w:cs="Times New Roman"/>
          <w:i/>
          <w:iCs/>
          <w:szCs w:val="20"/>
        </w:rPr>
        <w:t>et al.</w:t>
      </w:r>
      <w:r>
        <w:rPr>
          <w:rFonts w:cs="Times New Roman"/>
          <w:szCs w:val="20"/>
        </w:rPr>
        <w:t xml:space="preserve"> The Genome Analysis Toolkit: a MapReduce framework for analyzing next-generation DNA sequencing data. </w:t>
      </w:r>
      <w:r>
        <w:rPr>
          <w:rFonts w:cs="Times New Roman"/>
          <w:i/>
          <w:iCs/>
          <w:szCs w:val="20"/>
        </w:rPr>
        <w:t>Genome Research</w:t>
      </w:r>
      <w:r>
        <w:rPr>
          <w:rFonts w:cs="Times New Roman"/>
          <w:szCs w:val="20"/>
        </w:rPr>
        <w:t xml:space="preserve"> </w:t>
      </w:r>
      <w:r>
        <w:rPr>
          <w:rFonts w:cs="Times New Roman"/>
          <w:b/>
          <w:bCs/>
          <w:szCs w:val="20"/>
        </w:rPr>
        <w:t>20,</w:t>
      </w:r>
      <w:r>
        <w:rPr>
          <w:rFonts w:cs="Times New Roman"/>
          <w:szCs w:val="20"/>
        </w:rPr>
        <w:t xml:space="preserve"> 1297–1303</w:t>
      </w:r>
    </w:p>
    <w:p w14:paraId="27D650B3" w14:textId="77777777" w:rsidR="00735D55" w:rsidRDefault="00735D55" w:rsidP="00735D55">
      <w:pPr>
        <w:widowControl w:val="0"/>
        <w:tabs>
          <w:tab w:val="left" w:pos="640"/>
        </w:tabs>
        <w:autoSpaceDE w:val="0"/>
        <w:autoSpaceDN w:val="0"/>
        <w:adjustRightInd w:val="0"/>
        <w:ind w:left="640" w:hanging="640"/>
        <w:rPr>
          <w:rFonts w:cs="Times New Roman"/>
          <w:szCs w:val="20"/>
        </w:rPr>
      </w:pPr>
      <w:r>
        <w:rPr>
          <w:rFonts w:cs="Times New Roman"/>
          <w:szCs w:val="20"/>
        </w:rPr>
        <w:t>7.</w:t>
      </w:r>
      <w:r>
        <w:rPr>
          <w:rFonts w:cs="Times New Roman"/>
          <w:szCs w:val="20"/>
        </w:rPr>
        <w:tab/>
        <w:t xml:space="preserve">McLaren, W. </w:t>
      </w:r>
      <w:r>
        <w:rPr>
          <w:rFonts w:cs="Times New Roman"/>
          <w:i/>
          <w:iCs/>
          <w:szCs w:val="20"/>
        </w:rPr>
        <w:t>et al.</w:t>
      </w:r>
      <w:r>
        <w:rPr>
          <w:rFonts w:cs="Times New Roman"/>
          <w:szCs w:val="20"/>
        </w:rPr>
        <w:t xml:space="preserve"> Deriving the consequences of genomic variants with the Ensembl API and SNP Effect Predictor. </w:t>
      </w:r>
      <w:r>
        <w:rPr>
          <w:rFonts w:cs="Times New Roman"/>
          <w:i/>
          <w:iCs/>
          <w:szCs w:val="20"/>
        </w:rPr>
        <w:t>Bioinformatics</w:t>
      </w:r>
      <w:r>
        <w:rPr>
          <w:rFonts w:cs="Times New Roman"/>
          <w:szCs w:val="20"/>
        </w:rPr>
        <w:t xml:space="preserve"> </w:t>
      </w:r>
      <w:r>
        <w:rPr>
          <w:rFonts w:cs="Times New Roman"/>
          <w:b/>
          <w:bCs/>
          <w:szCs w:val="20"/>
        </w:rPr>
        <w:t>26,</w:t>
      </w:r>
      <w:r>
        <w:rPr>
          <w:rFonts w:cs="Times New Roman"/>
          <w:szCs w:val="20"/>
        </w:rPr>
        <w:t xml:space="preserve"> 2069–2070 (2010).</w:t>
      </w:r>
    </w:p>
    <w:p w14:paraId="63E2BC7D" w14:textId="77777777" w:rsidR="00735D55" w:rsidRDefault="00735D55" w:rsidP="00735D55">
      <w:pPr>
        <w:widowControl w:val="0"/>
        <w:tabs>
          <w:tab w:val="left" w:pos="640"/>
        </w:tabs>
        <w:autoSpaceDE w:val="0"/>
        <w:autoSpaceDN w:val="0"/>
        <w:adjustRightInd w:val="0"/>
        <w:ind w:left="640" w:hanging="640"/>
        <w:rPr>
          <w:rFonts w:cs="Times New Roman"/>
          <w:szCs w:val="20"/>
        </w:rPr>
      </w:pPr>
      <w:r>
        <w:rPr>
          <w:rFonts w:cs="Times New Roman"/>
          <w:szCs w:val="20"/>
        </w:rPr>
        <w:t>8.</w:t>
      </w:r>
      <w:r>
        <w:rPr>
          <w:rFonts w:cs="Times New Roman"/>
          <w:szCs w:val="20"/>
        </w:rPr>
        <w:tab/>
        <w:t xml:space="preserve">Davydov, E. V. </w:t>
      </w:r>
      <w:r>
        <w:rPr>
          <w:rFonts w:cs="Times New Roman"/>
          <w:i/>
          <w:iCs/>
          <w:szCs w:val="20"/>
        </w:rPr>
        <w:t>et al.</w:t>
      </w:r>
      <w:r>
        <w:rPr>
          <w:rFonts w:cs="Times New Roman"/>
          <w:szCs w:val="20"/>
        </w:rPr>
        <w:t xml:space="preserve"> Identifying a high fraction of the human genome to be under selective constraint using GERP. </w:t>
      </w:r>
      <w:r>
        <w:rPr>
          <w:rFonts w:cs="Times New Roman"/>
          <w:i/>
          <w:iCs/>
          <w:szCs w:val="20"/>
        </w:rPr>
        <w:t>PLoS Comput Biol</w:t>
      </w:r>
      <w:r>
        <w:rPr>
          <w:rFonts w:cs="Times New Roman"/>
          <w:szCs w:val="20"/>
        </w:rPr>
        <w:t xml:space="preserve"> </w:t>
      </w:r>
      <w:r>
        <w:rPr>
          <w:rFonts w:cs="Times New Roman"/>
          <w:b/>
          <w:bCs/>
          <w:szCs w:val="20"/>
        </w:rPr>
        <w:t>6,</w:t>
      </w:r>
      <w:r>
        <w:rPr>
          <w:rFonts w:cs="Times New Roman"/>
          <w:szCs w:val="20"/>
        </w:rPr>
        <w:t xml:space="preserve"> e1001025 (2010).</w:t>
      </w:r>
    </w:p>
    <w:p w14:paraId="0C6602F8" w14:textId="77777777" w:rsidR="00735D55" w:rsidRDefault="00735D55" w:rsidP="00735D55">
      <w:pPr>
        <w:widowControl w:val="0"/>
        <w:tabs>
          <w:tab w:val="left" w:pos="640"/>
        </w:tabs>
        <w:autoSpaceDE w:val="0"/>
        <w:autoSpaceDN w:val="0"/>
        <w:adjustRightInd w:val="0"/>
        <w:ind w:left="640" w:hanging="640"/>
        <w:rPr>
          <w:rFonts w:cs="Times New Roman"/>
          <w:szCs w:val="20"/>
        </w:rPr>
      </w:pPr>
      <w:r>
        <w:rPr>
          <w:rFonts w:cs="Times New Roman"/>
          <w:szCs w:val="20"/>
        </w:rPr>
        <w:t>9.</w:t>
      </w:r>
      <w:r>
        <w:rPr>
          <w:rFonts w:cs="Times New Roman"/>
          <w:szCs w:val="20"/>
        </w:rPr>
        <w:tab/>
        <w:t xml:space="preserve">Li, H. </w:t>
      </w:r>
      <w:r>
        <w:rPr>
          <w:rFonts w:cs="Times New Roman"/>
          <w:i/>
          <w:iCs/>
          <w:szCs w:val="20"/>
        </w:rPr>
        <w:t>et al.</w:t>
      </w:r>
      <w:r>
        <w:rPr>
          <w:rFonts w:cs="Times New Roman"/>
          <w:szCs w:val="20"/>
        </w:rPr>
        <w:t xml:space="preserve"> The Sequence Alignment/Map format and SAMtools. </w:t>
      </w:r>
      <w:r>
        <w:rPr>
          <w:rFonts w:cs="Times New Roman"/>
          <w:i/>
          <w:iCs/>
          <w:szCs w:val="20"/>
        </w:rPr>
        <w:t>Bioinformatics</w:t>
      </w:r>
      <w:r>
        <w:rPr>
          <w:rFonts w:cs="Times New Roman"/>
          <w:szCs w:val="20"/>
        </w:rPr>
        <w:t xml:space="preserve"> </w:t>
      </w:r>
      <w:r>
        <w:rPr>
          <w:rFonts w:cs="Times New Roman"/>
          <w:b/>
          <w:bCs/>
          <w:szCs w:val="20"/>
        </w:rPr>
        <w:t>25,</w:t>
      </w:r>
      <w:r>
        <w:rPr>
          <w:rFonts w:cs="Times New Roman"/>
          <w:szCs w:val="20"/>
        </w:rPr>
        <w:t xml:space="preserve"> 2078–2079 (2009).</w:t>
      </w:r>
    </w:p>
    <w:p w14:paraId="408CABBA" w14:textId="77777777" w:rsidR="00735D55" w:rsidRDefault="00735D55" w:rsidP="00735D55">
      <w:pPr>
        <w:widowControl w:val="0"/>
        <w:tabs>
          <w:tab w:val="left" w:pos="640"/>
        </w:tabs>
        <w:autoSpaceDE w:val="0"/>
        <w:autoSpaceDN w:val="0"/>
        <w:adjustRightInd w:val="0"/>
        <w:ind w:left="640" w:hanging="640"/>
        <w:rPr>
          <w:rFonts w:cs="Times New Roman"/>
          <w:szCs w:val="20"/>
        </w:rPr>
      </w:pPr>
      <w:r>
        <w:rPr>
          <w:rFonts w:cs="Times New Roman"/>
          <w:szCs w:val="20"/>
        </w:rPr>
        <w:t>10.</w:t>
      </w:r>
      <w:r>
        <w:rPr>
          <w:rFonts w:cs="Times New Roman"/>
          <w:szCs w:val="20"/>
        </w:rPr>
        <w:tab/>
        <w:t xml:space="preserve">Li, H., Ruan, J. &amp; Durbin, R. Mapping short DNA sequencing reads and calling variants using mapping quality scores. </w:t>
      </w:r>
      <w:r>
        <w:rPr>
          <w:rFonts w:cs="Times New Roman"/>
          <w:i/>
          <w:iCs/>
          <w:szCs w:val="20"/>
        </w:rPr>
        <w:t>Genome Research</w:t>
      </w:r>
      <w:r>
        <w:rPr>
          <w:rFonts w:cs="Times New Roman"/>
          <w:szCs w:val="20"/>
        </w:rPr>
        <w:t xml:space="preserve"> </w:t>
      </w:r>
      <w:r>
        <w:rPr>
          <w:rFonts w:cs="Times New Roman"/>
          <w:b/>
          <w:bCs/>
          <w:szCs w:val="20"/>
        </w:rPr>
        <w:t>18,</w:t>
      </w:r>
      <w:r>
        <w:rPr>
          <w:rFonts w:cs="Times New Roman"/>
          <w:szCs w:val="20"/>
        </w:rPr>
        <w:t xml:space="preserve"> 1851–1858 (2008).</w:t>
      </w:r>
    </w:p>
    <w:p w14:paraId="6FA4CAEB" w14:textId="77777777" w:rsidR="00735D55" w:rsidRDefault="00735D55" w:rsidP="00735D55">
      <w:pPr>
        <w:widowControl w:val="0"/>
        <w:tabs>
          <w:tab w:val="left" w:pos="640"/>
        </w:tabs>
        <w:autoSpaceDE w:val="0"/>
        <w:autoSpaceDN w:val="0"/>
        <w:adjustRightInd w:val="0"/>
        <w:ind w:left="640" w:hanging="640"/>
        <w:rPr>
          <w:rFonts w:cs="Times New Roman"/>
          <w:szCs w:val="20"/>
        </w:rPr>
      </w:pPr>
      <w:r>
        <w:rPr>
          <w:rFonts w:cs="Times New Roman"/>
          <w:szCs w:val="20"/>
        </w:rPr>
        <w:t>11.</w:t>
      </w:r>
      <w:r>
        <w:rPr>
          <w:rFonts w:cs="Times New Roman"/>
          <w:szCs w:val="20"/>
        </w:rPr>
        <w:tab/>
        <w:t xml:space="preserve">NARWHAL, a primary analysis pipeline for NGS data. </w:t>
      </w:r>
      <w:r>
        <w:rPr>
          <w:rFonts w:cs="Times New Roman"/>
          <w:b/>
          <w:bCs/>
          <w:szCs w:val="20"/>
        </w:rPr>
        <w:t>28,</w:t>
      </w:r>
      <w:r>
        <w:rPr>
          <w:rFonts w:cs="Times New Roman"/>
          <w:szCs w:val="20"/>
        </w:rPr>
        <w:t xml:space="preserve"> 284–285 (2012).</w:t>
      </w:r>
    </w:p>
    <w:p w14:paraId="20099D19" w14:textId="77777777" w:rsidR="00735D55" w:rsidRDefault="00735D55" w:rsidP="00735D55">
      <w:pPr>
        <w:widowControl w:val="0"/>
        <w:tabs>
          <w:tab w:val="left" w:pos="640"/>
        </w:tabs>
        <w:autoSpaceDE w:val="0"/>
        <w:autoSpaceDN w:val="0"/>
        <w:adjustRightInd w:val="0"/>
        <w:ind w:left="640" w:hanging="640"/>
        <w:rPr>
          <w:rFonts w:cs="Times New Roman"/>
          <w:szCs w:val="20"/>
        </w:rPr>
      </w:pPr>
      <w:r>
        <w:rPr>
          <w:rFonts w:cs="Times New Roman"/>
          <w:szCs w:val="20"/>
        </w:rPr>
        <w:t>12.</w:t>
      </w:r>
      <w:r>
        <w:rPr>
          <w:rFonts w:cs="Times New Roman"/>
          <w:szCs w:val="20"/>
        </w:rPr>
        <w:tab/>
        <w:t xml:space="preserve">zCall: a rare variant caller for array-based genotyping: genetics and population analysis. </w:t>
      </w:r>
      <w:r>
        <w:rPr>
          <w:rFonts w:cs="Times New Roman"/>
          <w:b/>
          <w:bCs/>
          <w:szCs w:val="20"/>
        </w:rPr>
        <w:t>28,</w:t>
      </w:r>
      <w:r>
        <w:rPr>
          <w:rFonts w:cs="Times New Roman"/>
          <w:szCs w:val="20"/>
        </w:rPr>
        <w:t xml:space="preserve"> 2543–2545 (2012).</w:t>
      </w:r>
    </w:p>
    <w:p w14:paraId="2BDC8826" w14:textId="77777777" w:rsidR="00735D55" w:rsidRDefault="00735D55" w:rsidP="00735D55">
      <w:pPr>
        <w:widowControl w:val="0"/>
        <w:tabs>
          <w:tab w:val="left" w:pos="640"/>
        </w:tabs>
        <w:autoSpaceDE w:val="0"/>
        <w:autoSpaceDN w:val="0"/>
        <w:adjustRightInd w:val="0"/>
        <w:ind w:left="640" w:hanging="640"/>
        <w:rPr>
          <w:rFonts w:cs="Times New Roman"/>
          <w:szCs w:val="20"/>
        </w:rPr>
      </w:pPr>
      <w:r>
        <w:rPr>
          <w:rFonts w:cs="Times New Roman"/>
          <w:szCs w:val="20"/>
        </w:rPr>
        <w:t>13.</w:t>
      </w:r>
      <w:r>
        <w:rPr>
          <w:rFonts w:cs="Times New Roman"/>
          <w:szCs w:val="20"/>
        </w:rPr>
        <w:tab/>
        <w:t xml:space="preserve">Estrada, K. </w:t>
      </w:r>
      <w:r>
        <w:rPr>
          <w:rFonts w:cs="Times New Roman"/>
          <w:i/>
          <w:iCs/>
          <w:szCs w:val="20"/>
        </w:rPr>
        <w:t>et al.</w:t>
      </w:r>
      <w:r>
        <w:rPr>
          <w:rFonts w:cs="Times New Roman"/>
          <w:szCs w:val="20"/>
        </w:rPr>
        <w:t xml:space="preserve"> Genome-wide meta-analysis identifies 56 bone mineral density loci and reveals 14 loci associated with risk of fracture. </w:t>
      </w:r>
      <w:r>
        <w:rPr>
          <w:rFonts w:cs="Times New Roman"/>
          <w:i/>
          <w:iCs/>
          <w:szCs w:val="20"/>
        </w:rPr>
        <w:t>Nature Genetics</w:t>
      </w:r>
      <w:r>
        <w:rPr>
          <w:rFonts w:cs="Times New Roman"/>
          <w:szCs w:val="20"/>
        </w:rPr>
        <w:t xml:space="preserve"> 1–13 (2012). doi:10.1038/ng.2249</w:t>
      </w:r>
    </w:p>
    <w:p w14:paraId="465FD8E5" w14:textId="77777777" w:rsidR="00735D55" w:rsidRDefault="00735D55" w:rsidP="00735D55">
      <w:pPr>
        <w:widowControl w:val="0"/>
        <w:tabs>
          <w:tab w:val="left" w:pos="640"/>
        </w:tabs>
        <w:autoSpaceDE w:val="0"/>
        <w:autoSpaceDN w:val="0"/>
        <w:adjustRightInd w:val="0"/>
        <w:ind w:left="640" w:hanging="640"/>
        <w:rPr>
          <w:rFonts w:cs="Times New Roman"/>
          <w:szCs w:val="20"/>
        </w:rPr>
      </w:pPr>
      <w:r>
        <w:rPr>
          <w:rFonts w:cs="Times New Roman"/>
          <w:szCs w:val="20"/>
        </w:rPr>
        <w:t>14.</w:t>
      </w:r>
      <w:r>
        <w:rPr>
          <w:rFonts w:cs="Times New Roman"/>
          <w:szCs w:val="20"/>
        </w:rPr>
        <w:tab/>
        <w:t xml:space="preserve">Howie, B. N., Donnelly, P. &amp; Marchini, J. A flexible and accurate genotype imputation method </w:t>
      </w:r>
      <w:r>
        <w:rPr>
          <w:rFonts w:cs="Times New Roman"/>
          <w:szCs w:val="20"/>
        </w:rPr>
        <w:lastRenderedPageBreak/>
        <w:t xml:space="preserve">for the next generation of genome-wide association studies. </w:t>
      </w:r>
      <w:r>
        <w:rPr>
          <w:rFonts w:cs="Times New Roman"/>
          <w:i/>
          <w:iCs/>
          <w:szCs w:val="20"/>
        </w:rPr>
        <w:t>PLoS Genet.</w:t>
      </w:r>
      <w:r>
        <w:rPr>
          <w:rFonts w:cs="Times New Roman"/>
          <w:szCs w:val="20"/>
        </w:rPr>
        <w:t xml:space="preserve"> </w:t>
      </w:r>
      <w:r>
        <w:rPr>
          <w:rFonts w:cs="Times New Roman"/>
          <w:b/>
          <w:bCs/>
          <w:szCs w:val="20"/>
        </w:rPr>
        <w:t>5,</w:t>
      </w:r>
      <w:r>
        <w:rPr>
          <w:rFonts w:cs="Times New Roman"/>
          <w:szCs w:val="20"/>
        </w:rPr>
        <w:t xml:space="preserve"> e1000529 (2009).</w:t>
      </w:r>
    </w:p>
    <w:p w14:paraId="6610A0C8" w14:textId="77777777" w:rsidR="00735D55" w:rsidRDefault="00735D55" w:rsidP="00735D55">
      <w:pPr>
        <w:widowControl w:val="0"/>
        <w:tabs>
          <w:tab w:val="left" w:pos="640"/>
        </w:tabs>
        <w:autoSpaceDE w:val="0"/>
        <w:autoSpaceDN w:val="0"/>
        <w:adjustRightInd w:val="0"/>
        <w:ind w:left="640" w:hanging="640"/>
        <w:rPr>
          <w:rFonts w:cs="Times New Roman"/>
          <w:szCs w:val="20"/>
        </w:rPr>
      </w:pPr>
      <w:r>
        <w:rPr>
          <w:rFonts w:cs="Times New Roman"/>
          <w:szCs w:val="20"/>
        </w:rPr>
        <w:t>15.</w:t>
      </w:r>
      <w:r>
        <w:rPr>
          <w:rFonts w:cs="Times New Roman"/>
          <w:szCs w:val="20"/>
        </w:rPr>
        <w:tab/>
        <w:t xml:space="preserve">Huang, J., Howie, B. &amp; Marchini, J. Imputation Performance of ~4,000 genomes from the UK10K Project. in </w:t>
      </w:r>
      <w:r>
        <w:rPr>
          <w:rFonts w:cs="Times New Roman"/>
          <w:i/>
          <w:iCs/>
          <w:szCs w:val="20"/>
        </w:rPr>
        <w:t>American Society of Human Genetics Annual Meeting</w:t>
      </w:r>
      <w:r>
        <w:rPr>
          <w:rFonts w:cs="Times New Roman"/>
          <w:szCs w:val="20"/>
        </w:rPr>
        <w:t xml:space="preserve"> (2013).</w:t>
      </w:r>
    </w:p>
    <w:p w14:paraId="26F4FF76" w14:textId="77777777" w:rsidR="00735D55" w:rsidRDefault="00735D55" w:rsidP="00735D55">
      <w:pPr>
        <w:widowControl w:val="0"/>
        <w:tabs>
          <w:tab w:val="left" w:pos="640"/>
        </w:tabs>
        <w:autoSpaceDE w:val="0"/>
        <w:autoSpaceDN w:val="0"/>
        <w:adjustRightInd w:val="0"/>
        <w:ind w:left="640" w:hanging="640"/>
        <w:rPr>
          <w:rFonts w:cs="Times New Roman"/>
          <w:szCs w:val="20"/>
        </w:rPr>
      </w:pPr>
      <w:r>
        <w:rPr>
          <w:rFonts w:cs="Times New Roman"/>
          <w:szCs w:val="20"/>
        </w:rPr>
        <w:t>16.</w:t>
      </w:r>
      <w:r>
        <w:rPr>
          <w:rFonts w:cs="Times New Roman"/>
          <w:szCs w:val="20"/>
        </w:rPr>
        <w:tab/>
        <w:t xml:space="preserve">Howie, B., Fuchsberger, C., Stephens, M., Marchini, J. &amp; Abecasis, G. R. Fast and accurate genotype imputation in genome-wide association studies through pre-phasing. </w:t>
      </w:r>
      <w:r>
        <w:rPr>
          <w:rFonts w:cs="Times New Roman"/>
          <w:i/>
          <w:iCs/>
          <w:szCs w:val="20"/>
        </w:rPr>
        <w:t>Nature Genetics</w:t>
      </w:r>
      <w:r>
        <w:rPr>
          <w:rFonts w:cs="Times New Roman"/>
          <w:szCs w:val="20"/>
        </w:rPr>
        <w:t xml:space="preserve"> </w:t>
      </w:r>
      <w:r>
        <w:rPr>
          <w:rFonts w:cs="Times New Roman"/>
          <w:b/>
          <w:bCs/>
          <w:szCs w:val="20"/>
        </w:rPr>
        <w:t>44,</w:t>
      </w:r>
      <w:r>
        <w:rPr>
          <w:rFonts w:cs="Times New Roman"/>
          <w:szCs w:val="20"/>
        </w:rPr>
        <w:t xml:space="preserve"> 955–959 (2012).</w:t>
      </w:r>
    </w:p>
    <w:p w14:paraId="1FF90D70" w14:textId="77777777" w:rsidR="00735D55" w:rsidRDefault="00735D55" w:rsidP="00735D55">
      <w:pPr>
        <w:widowControl w:val="0"/>
        <w:tabs>
          <w:tab w:val="left" w:pos="640"/>
        </w:tabs>
        <w:autoSpaceDE w:val="0"/>
        <w:autoSpaceDN w:val="0"/>
        <w:adjustRightInd w:val="0"/>
        <w:ind w:left="640" w:hanging="640"/>
        <w:rPr>
          <w:rFonts w:cs="Times New Roman"/>
          <w:szCs w:val="20"/>
        </w:rPr>
      </w:pPr>
      <w:r>
        <w:rPr>
          <w:rFonts w:cs="Times New Roman"/>
          <w:szCs w:val="20"/>
        </w:rPr>
        <w:t>17.</w:t>
      </w:r>
      <w:r>
        <w:rPr>
          <w:rFonts w:cs="Times New Roman"/>
          <w:szCs w:val="20"/>
        </w:rPr>
        <w:tab/>
        <w:t xml:space="preserve">Xu, C. </w:t>
      </w:r>
      <w:r>
        <w:rPr>
          <w:rFonts w:cs="Times New Roman"/>
          <w:i/>
          <w:iCs/>
          <w:szCs w:val="20"/>
        </w:rPr>
        <w:t>et al.</w:t>
      </w:r>
      <w:r>
        <w:rPr>
          <w:rFonts w:cs="Times New Roman"/>
          <w:szCs w:val="20"/>
        </w:rPr>
        <w:t xml:space="preserve"> Estimating genome-wide significance for whole-genome sequencing studies. </w:t>
      </w:r>
      <w:r>
        <w:rPr>
          <w:rFonts w:cs="Times New Roman"/>
          <w:i/>
          <w:iCs/>
          <w:szCs w:val="20"/>
        </w:rPr>
        <w:t>Genet. Epidemiol.</w:t>
      </w:r>
      <w:r>
        <w:rPr>
          <w:rFonts w:cs="Times New Roman"/>
          <w:szCs w:val="20"/>
        </w:rPr>
        <w:t xml:space="preserve"> </w:t>
      </w:r>
      <w:r>
        <w:rPr>
          <w:rFonts w:cs="Times New Roman"/>
          <w:b/>
          <w:bCs/>
          <w:szCs w:val="20"/>
        </w:rPr>
        <w:t>38,</w:t>
      </w:r>
      <w:r>
        <w:rPr>
          <w:rFonts w:cs="Times New Roman"/>
          <w:szCs w:val="20"/>
        </w:rPr>
        <w:t xml:space="preserve"> 281–290 (2014).</w:t>
      </w:r>
    </w:p>
    <w:p w14:paraId="308544AD" w14:textId="77777777" w:rsidR="00735D55" w:rsidRDefault="00735D55" w:rsidP="00735D55">
      <w:pPr>
        <w:widowControl w:val="0"/>
        <w:tabs>
          <w:tab w:val="left" w:pos="640"/>
        </w:tabs>
        <w:autoSpaceDE w:val="0"/>
        <w:autoSpaceDN w:val="0"/>
        <w:adjustRightInd w:val="0"/>
        <w:ind w:left="640" w:hanging="640"/>
        <w:rPr>
          <w:rFonts w:cs="Times New Roman"/>
          <w:szCs w:val="20"/>
        </w:rPr>
      </w:pPr>
      <w:r>
        <w:rPr>
          <w:rFonts w:cs="Times New Roman"/>
          <w:szCs w:val="20"/>
        </w:rPr>
        <w:t>18.</w:t>
      </w:r>
      <w:r>
        <w:rPr>
          <w:rFonts w:cs="Times New Roman"/>
          <w:szCs w:val="20"/>
        </w:rPr>
        <w:tab/>
        <w:t xml:space="preserve">Magi, R. &amp; Morris, A. P. GWAMA: software for genome-wide association meta-analysis. </w:t>
      </w:r>
      <w:r>
        <w:rPr>
          <w:rFonts w:cs="Times New Roman"/>
          <w:i/>
          <w:iCs/>
          <w:szCs w:val="20"/>
        </w:rPr>
        <w:t>BMC Bioinformatics</w:t>
      </w:r>
      <w:r>
        <w:rPr>
          <w:rFonts w:cs="Times New Roman"/>
          <w:szCs w:val="20"/>
        </w:rPr>
        <w:t xml:space="preserve"> </w:t>
      </w:r>
      <w:r>
        <w:rPr>
          <w:rFonts w:cs="Times New Roman"/>
          <w:b/>
          <w:bCs/>
          <w:szCs w:val="20"/>
        </w:rPr>
        <w:t>11,</w:t>
      </w:r>
      <w:r>
        <w:rPr>
          <w:rFonts w:cs="Times New Roman"/>
          <w:szCs w:val="20"/>
        </w:rPr>
        <w:t xml:space="preserve"> 288 (2010).</w:t>
      </w:r>
    </w:p>
    <w:p w14:paraId="03A8632A" w14:textId="77777777" w:rsidR="00735D55" w:rsidRDefault="00735D55" w:rsidP="00735D55">
      <w:pPr>
        <w:widowControl w:val="0"/>
        <w:tabs>
          <w:tab w:val="left" w:pos="640"/>
        </w:tabs>
        <w:autoSpaceDE w:val="0"/>
        <w:autoSpaceDN w:val="0"/>
        <w:adjustRightInd w:val="0"/>
        <w:ind w:left="640" w:hanging="640"/>
        <w:rPr>
          <w:rFonts w:cs="Times New Roman"/>
          <w:szCs w:val="20"/>
        </w:rPr>
      </w:pPr>
      <w:r>
        <w:rPr>
          <w:rFonts w:cs="Times New Roman"/>
          <w:szCs w:val="20"/>
        </w:rPr>
        <w:t>19.</w:t>
      </w:r>
      <w:r>
        <w:rPr>
          <w:rFonts w:cs="Times New Roman"/>
          <w:szCs w:val="20"/>
        </w:rPr>
        <w:tab/>
        <w:t>Voorman, A., Brody, J., Lumley, T. &amp; Voorman, M. A. R Package ‘skatMeta’. at &lt;http://cran.cc.uoc.gr/web/packages/skatMeta/skatMeta.pdf&gt;</w:t>
      </w:r>
    </w:p>
    <w:p w14:paraId="6DF0EC37" w14:textId="77777777" w:rsidR="00735D55" w:rsidRDefault="00735D55" w:rsidP="00735D55">
      <w:pPr>
        <w:widowControl w:val="0"/>
        <w:tabs>
          <w:tab w:val="left" w:pos="640"/>
        </w:tabs>
        <w:autoSpaceDE w:val="0"/>
        <w:autoSpaceDN w:val="0"/>
        <w:adjustRightInd w:val="0"/>
        <w:ind w:left="640" w:hanging="640"/>
        <w:rPr>
          <w:rFonts w:cs="Times New Roman"/>
          <w:szCs w:val="20"/>
        </w:rPr>
      </w:pPr>
      <w:r>
        <w:rPr>
          <w:rFonts w:cs="Times New Roman"/>
          <w:szCs w:val="20"/>
        </w:rPr>
        <w:t>20.</w:t>
      </w:r>
      <w:r>
        <w:rPr>
          <w:rFonts w:cs="Times New Roman"/>
          <w:szCs w:val="20"/>
        </w:rPr>
        <w:tab/>
        <w:t xml:space="preserve">Yang, J. </w:t>
      </w:r>
      <w:r>
        <w:rPr>
          <w:rFonts w:cs="Times New Roman"/>
          <w:i/>
          <w:iCs/>
          <w:szCs w:val="20"/>
        </w:rPr>
        <w:t>et al.</w:t>
      </w:r>
      <w:r>
        <w:rPr>
          <w:rFonts w:cs="Times New Roman"/>
          <w:szCs w:val="20"/>
        </w:rPr>
        <w:t xml:space="preserve"> Conditional and joint multiple-SNP analysis of GWAS summary statistics identifies additional variants influencing complex traits. </w:t>
      </w:r>
      <w:r>
        <w:rPr>
          <w:rFonts w:cs="Times New Roman"/>
          <w:i/>
          <w:iCs/>
          <w:szCs w:val="20"/>
        </w:rPr>
        <w:t>Nature Genetics</w:t>
      </w:r>
      <w:r>
        <w:rPr>
          <w:rFonts w:cs="Times New Roman"/>
          <w:szCs w:val="20"/>
        </w:rPr>
        <w:t xml:space="preserve"> </w:t>
      </w:r>
      <w:r>
        <w:rPr>
          <w:rFonts w:cs="Times New Roman"/>
          <w:b/>
          <w:bCs/>
          <w:szCs w:val="20"/>
        </w:rPr>
        <w:t>44,</w:t>
      </w:r>
      <w:r>
        <w:rPr>
          <w:rFonts w:cs="Times New Roman"/>
          <w:szCs w:val="20"/>
        </w:rPr>
        <w:t xml:space="preserve"> 369–375 (2012).</w:t>
      </w:r>
    </w:p>
    <w:p w14:paraId="4EA2EF64" w14:textId="77777777" w:rsidR="00735D55" w:rsidRDefault="00735D55" w:rsidP="00735D55">
      <w:pPr>
        <w:widowControl w:val="0"/>
        <w:tabs>
          <w:tab w:val="left" w:pos="640"/>
        </w:tabs>
        <w:autoSpaceDE w:val="0"/>
        <w:autoSpaceDN w:val="0"/>
        <w:adjustRightInd w:val="0"/>
        <w:ind w:left="640" w:hanging="640"/>
        <w:rPr>
          <w:rFonts w:cs="Times New Roman"/>
          <w:szCs w:val="20"/>
        </w:rPr>
      </w:pPr>
      <w:r>
        <w:rPr>
          <w:rFonts w:cs="Times New Roman"/>
          <w:szCs w:val="20"/>
        </w:rPr>
        <w:t>21.</w:t>
      </w:r>
      <w:r>
        <w:rPr>
          <w:rFonts w:cs="Times New Roman"/>
          <w:szCs w:val="20"/>
        </w:rPr>
        <w:tab/>
        <w:t xml:space="preserve">Johnson, A. D. </w:t>
      </w:r>
      <w:r>
        <w:rPr>
          <w:rFonts w:cs="Times New Roman"/>
          <w:i/>
          <w:iCs/>
          <w:szCs w:val="20"/>
        </w:rPr>
        <w:t>et al.</w:t>
      </w:r>
      <w:r>
        <w:rPr>
          <w:rFonts w:cs="Times New Roman"/>
          <w:szCs w:val="20"/>
        </w:rPr>
        <w:t xml:space="preserve"> SNAP: a web-based tool for identification and annotation of proxy SNPs using HapMap. </w:t>
      </w:r>
      <w:r>
        <w:rPr>
          <w:rFonts w:cs="Times New Roman"/>
          <w:i/>
          <w:iCs/>
          <w:szCs w:val="20"/>
        </w:rPr>
        <w:t>Bioinformatics</w:t>
      </w:r>
      <w:r>
        <w:rPr>
          <w:rFonts w:cs="Times New Roman"/>
          <w:szCs w:val="20"/>
        </w:rPr>
        <w:t xml:space="preserve"> </w:t>
      </w:r>
      <w:r>
        <w:rPr>
          <w:rFonts w:cs="Times New Roman"/>
          <w:b/>
          <w:bCs/>
          <w:szCs w:val="20"/>
        </w:rPr>
        <w:t>24,</w:t>
      </w:r>
      <w:r>
        <w:rPr>
          <w:rFonts w:cs="Times New Roman"/>
          <w:szCs w:val="20"/>
        </w:rPr>
        <w:t xml:space="preserve"> 2938–2939 (2008).</w:t>
      </w:r>
    </w:p>
    <w:p w14:paraId="5BC6C171" w14:textId="77777777" w:rsidR="00735D55" w:rsidRDefault="00735D55" w:rsidP="00735D55">
      <w:pPr>
        <w:widowControl w:val="0"/>
        <w:tabs>
          <w:tab w:val="left" w:pos="640"/>
        </w:tabs>
        <w:autoSpaceDE w:val="0"/>
        <w:autoSpaceDN w:val="0"/>
        <w:adjustRightInd w:val="0"/>
        <w:ind w:left="640" w:hanging="640"/>
        <w:rPr>
          <w:rFonts w:cs="Times New Roman"/>
          <w:szCs w:val="20"/>
        </w:rPr>
      </w:pPr>
      <w:r>
        <w:rPr>
          <w:rFonts w:cs="Times New Roman"/>
          <w:szCs w:val="20"/>
        </w:rPr>
        <w:t>22.</w:t>
      </w:r>
      <w:r>
        <w:rPr>
          <w:rFonts w:cs="Times New Roman"/>
          <w:szCs w:val="20"/>
        </w:rPr>
        <w:tab/>
        <w:t xml:space="preserve">Chapman, J. M., Cooper, J. D., Todd, J. A. &amp; Clayton, D. G. Detecting disease associations due to linkage disequilibrium using haplotype tags: a class of tests and the determinants of statistical power. </w:t>
      </w:r>
      <w:r>
        <w:rPr>
          <w:rFonts w:cs="Times New Roman"/>
          <w:i/>
          <w:iCs/>
          <w:szCs w:val="20"/>
        </w:rPr>
        <w:t>Hum Hered</w:t>
      </w:r>
      <w:r>
        <w:rPr>
          <w:rFonts w:cs="Times New Roman"/>
          <w:szCs w:val="20"/>
        </w:rPr>
        <w:t xml:space="preserve"> </w:t>
      </w:r>
      <w:r>
        <w:rPr>
          <w:rFonts w:cs="Times New Roman"/>
          <w:b/>
          <w:bCs/>
          <w:szCs w:val="20"/>
        </w:rPr>
        <w:t>56,</w:t>
      </w:r>
      <w:r>
        <w:rPr>
          <w:rFonts w:cs="Times New Roman"/>
          <w:szCs w:val="20"/>
        </w:rPr>
        <w:t xml:space="preserve"> 18–31 (2003).</w:t>
      </w:r>
    </w:p>
    <w:p w14:paraId="72F7FE63" w14:textId="77777777" w:rsidR="00735D55" w:rsidRDefault="00735D55" w:rsidP="00735D55">
      <w:pPr>
        <w:widowControl w:val="0"/>
        <w:tabs>
          <w:tab w:val="left" w:pos="640"/>
        </w:tabs>
        <w:autoSpaceDE w:val="0"/>
        <w:autoSpaceDN w:val="0"/>
        <w:adjustRightInd w:val="0"/>
        <w:ind w:left="640" w:hanging="640"/>
        <w:rPr>
          <w:rFonts w:cs="Times New Roman"/>
          <w:szCs w:val="20"/>
        </w:rPr>
      </w:pPr>
      <w:r>
        <w:rPr>
          <w:rFonts w:cs="Times New Roman"/>
          <w:szCs w:val="20"/>
        </w:rPr>
        <w:t>23.</w:t>
      </w:r>
      <w:r>
        <w:rPr>
          <w:rFonts w:cs="Times New Roman"/>
          <w:szCs w:val="20"/>
        </w:rPr>
        <w:tab/>
        <w:t xml:space="preserve">Mackey, D. C. </w:t>
      </w:r>
      <w:r>
        <w:rPr>
          <w:rFonts w:cs="Times New Roman"/>
          <w:i/>
          <w:iCs/>
          <w:szCs w:val="20"/>
        </w:rPr>
        <w:t>et al.</w:t>
      </w:r>
      <w:r>
        <w:rPr>
          <w:rFonts w:cs="Times New Roman"/>
          <w:szCs w:val="20"/>
        </w:rPr>
        <w:t xml:space="preserve"> High-trauma fractures and low bone mineral density in older women and men. </w:t>
      </w:r>
      <w:r>
        <w:rPr>
          <w:rFonts w:cs="Times New Roman"/>
          <w:i/>
          <w:iCs/>
          <w:szCs w:val="20"/>
        </w:rPr>
        <w:t>JAMA</w:t>
      </w:r>
      <w:r>
        <w:rPr>
          <w:rFonts w:cs="Times New Roman"/>
          <w:szCs w:val="20"/>
        </w:rPr>
        <w:t xml:space="preserve"> </w:t>
      </w:r>
      <w:r>
        <w:rPr>
          <w:rFonts w:cs="Times New Roman"/>
          <w:b/>
          <w:bCs/>
          <w:szCs w:val="20"/>
        </w:rPr>
        <w:t>298,</w:t>
      </w:r>
      <w:r>
        <w:rPr>
          <w:rFonts w:cs="Times New Roman"/>
          <w:szCs w:val="20"/>
        </w:rPr>
        <w:t xml:space="preserve"> 2381–2388 (2007).</w:t>
      </w:r>
    </w:p>
    <w:p w14:paraId="2EE72336" w14:textId="77777777" w:rsidR="00735D55" w:rsidRDefault="00735D55" w:rsidP="00735D55">
      <w:pPr>
        <w:widowControl w:val="0"/>
        <w:tabs>
          <w:tab w:val="left" w:pos="640"/>
        </w:tabs>
        <w:autoSpaceDE w:val="0"/>
        <w:autoSpaceDN w:val="0"/>
        <w:adjustRightInd w:val="0"/>
        <w:ind w:left="640" w:hanging="640"/>
        <w:rPr>
          <w:rFonts w:cs="Times New Roman"/>
          <w:szCs w:val="20"/>
        </w:rPr>
      </w:pPr>
      <w:r>
        <w:rPr>
          <w:rFonts w:cs="Times New Roman"/>
          <w:szCs w:val="20"/>
        </w:rPr>
        <w:t>24.</w:t>
      </w:r>
      <w:r>
        <w:rPr>
          <w:rFonts w:cs="Times New Roman"/>
          <w:szCs w:val="20"/>
        </w:rPr>
        <w:tab/>
        <w:t xml:space="preserve">Zheng, H.-F. </w:t>
      </w:r>
      <w:r>
        <w:rPr>
          <w:rFonts w:cs="Times New Roman"/>
          <w:i/>
          <w:iCs/>
          <w:szCs w:val="20"/>
        </w:rPr>
        <w:t>et al.</w:t>
      </w:r>
      <w:r>
        <w:rPr>
          <w:rFonts w:cs="Times New Roman"/>
          <w:szCs w:val="20"/>
        </w:rPr>
        <w:t xml:space="preserve"> WNT16 Influences Bone Mineral Density, Cortical Bone Thickness, Bone Strength, and Osteoporotic Fracture Risk. </w:t>
      </w:r>
      <w:r>
        <w:rPr>
          <w:rFonts w:cs="Times New Roman"/>
          <w:i/>
          <w:iCs/>
          <w:szCs w:val="20"/>
        </w:rPr>
        <w:t>PLoS Genet.</w:t>
      </w:r>
      <w:r>
        <w:rPr>
          <w:rFonts w:cs="Times New Roman"/>
          <w:szCs w:val="20"/>
        </w:rPr>
        <w:t xml:space="preserve"> </w:t>
      </w:r>
      <w:r>
        <w:rPr>
          <w:rFonts w:cs="Times New Roman"/>
          <w:b/>
          <w:bCs/>
          <w:szCs w:val="20"/>
        </w:rPr>
        <w:t>8,</w:t>
      </w:r>
      <w:r>
        <w:rPr>
          <w:rFonts w:cs="Times New Roman"/>
          <w:szCs w:val="20"/>
        </w:rPr>
        <w:t xml:space="preserve"> e1002745 (2012).</w:t>
      </w:r>
    </w:p>
    <w:p w14:paraId="743EA335" w14:textId="77777777" w:rsidR="00735D55" w:rsidRDefault="00735D55" w:rsidP="00735D55">
      <w:pPr>
        <w:widowControl w:val="0"/>
        <w:tabs>
          <w:tab w:val="left" w:pos="640"/>
        </w:tabs>
        <w:autoSpaceDE w:val="0"/>
        <w:autoSpaceDN w:val="0"/>
        <w:adjustRightInd w:val="0"/>
        <w:ind w:left="640" w:hanging="640"/>
        <w:rPr>
          <w:rFonts w:cs="Times New Roman"/>
          <w:szCs w:val="20"/>
        </w:rPr>
      </w:pPr>
      <w:r>
        <w:rPr>
          <w:rFonts w:cs="Times New Roman"/>
          <w:szCs w:val="20"/>
        </w:rPr>
        <w:t>25.</w:t>
      </w:r>
      <w:r>
        <w:rPr>
          <w:rFonts w:cs="Times New Roman"/>
          <w:szCs w:val="20"/>
        </w:rPr>
        <w:tab/>
        <w:t xml:space="preserve">Dixon, J. R. </w:t>
      </w:r>
      <w:r>
        <w:rPr>
          <w:rFonts w:cs="Times New Roman"/>
          <w:i/>
          <w:iCs/>
          <w:szCs w:val="20"/>
        </w:rPr>
        <w:t>et al.</w:t>
      </w:r>
      <w:r>
        <w:rPr>
          <w:rFonts w:cs="Times New Roman"/>
          <w:szCs w:val="20"/>
        </w:rPr>
        <w:t xml:space="preserve"> Topological domains in mammalian genomes identified by analysis of chromatin interactions. </w:t>
      </w:r>
      <w:r>
        <w:rPr>
          <w:rFonts w:cs="Times New Roman"/>
          <w:i/>
          <w:iCs/>
          <w:szCs w:val="20"/>
        </w:rPr>
        <w:t>Nature</w:t>
      </w:r>
      <w:r>
        <w:rPr>
          <w:rFonts w:cs="Times New Roman"/>
          <w:szCs w:val="20"/>
        </w:rPr>
        <w:t xml:space="preserve"> </w:t>
      </w:r>
      <w:r>
        <w:rPr>
          <w:rFonts w:cs="Times New Roman"/>
          <w:b/>
          <w:bCs/>
          <w:szCs w:val="20"/>
        </w:rPr>
        <w:t>485,</w:t>
      </w:r>
      <w:r>
        <w:rPr>
          <w:rFonts w:cs="Times New Roman"/>
          <w:szCs w:val="20"/>
        </w:rPr>
        <w:t xml:space="preserve"> 376–380 (2012).</w:t>
      </w:r>
    </w:p>
    <w:p w14:paraId="22082B3B" w14:textId="77777777" w:rsidR="00735D55" w:rsidRDefault="00735D55" w:rsidP="00735D55">
      <w:pPr>
        <w:widowControl w:val="0"/>
        <w:tabs>
          <w:tab w:val="left" w:pos="640"/>
        </w:tabs>
        <w:autoSpaceDE w:val="0"/>
        <w:autoSpaceDN w:val="0"/>
        <w:adjustRightInd w:val="0"/>
        <w:ind w:left="640" w:hanging="640"/>
        <w:rPr>
          <w:rFonts w:cs="Times New Roman"/>
          <w:szCs w:val="20"/>
        </w:rPr>
      </w:pPr>
      <w:r>
        <w:rPr>
          <w:rFonts w:cs="Times New Roman"/>
          <w:szCs w:val="20"/>
        </w:rPr>
        <w:t>26.</w:t>
      </w:r>
      <w:r>
        <w:rPr>
          <w:rFonts w:cs="Times New Roman"/>
          <w:szCs w:val="20"/>
        </w:rPr>
        <w:tab/>
        <w:t xml:space="preserve">Project, T. E. An integrated encyclopedia of DNA elements in the human genome. </w:t>
      </w:r>
      <w:r>
        <w:rPr>
          <w:rFonts w:cs="Times New Roman"/>
          <w:i/>
          <w:iCs/>
          <w:szCs w:val="20"/>
        </w:rPr>
        <w:t>Nature</w:t>
      </w:r>
      <w:r>
        <w:rPr>
          <w:rFonts w:cs="Times New Roman"/>
          <w:szCs w:val="20"/>
        </w:rPr>
        <w:t xml:space="preserve"> </w:t>
      </w:r>
      <w:r>
        <w:rPr>
          <w:rFonts w:cs="Times New Roman"/>
          <w:b/>
          <w:bCs/>
          <w:szCs w:val="20"/>
        </w:rPr>
        <w:t>489,</w:t>
      </w:r>
      <w:r>
        <w:rPr>
          <w:rFonts w:cs="Times New Roman"/>
          <w:szCs w:val="20"/>
        </w:rPr>
        <w:t xml:space="preserve"> 57–74 (2012).</w:t>
      </w:r>
    </w:p>
    <w:p w14:paraId="2E6F3D64" w14:textId="77777777" w:rsidR="00735D55" w:rsidRDefault="00735D55" w:rsidP="00735D55">
      <w:pPr>
        <w:widowControl w:val="0"/>
        <w:tabs>
          <w:tab w:val="left" w:pos="640"/>
        </w:tabs>
        <w:autoSpaceDE w:val="0"/>
        <w:autoSpaceDN w:val="0"/>
        <w:adjustRightInd w:val="0"/>
        <w:ind w:left="640" w:hanging="640"/>
        <w:rPr>
          <w:rFonts w:cs="Times New Roman"/>
          <w:szCs w:val="20"/>
        </w:rPr>
      </w:pPr>
      <w:r>
        <w:rPr>
          <w:rFonts w:cs="Times New Roman"/>
          <w:szCs w:val="20"/>
        </w:rPr>
        <w:t>27.</w:t>
      </w:r>
      <w:r>
        <w:rPr>
          <w:rFonts w:cs="Times New Roman"/>
          <w:szCs w:val="20"/>
        </w:rPr>
        <w:tab/>
        <w:t xml:space="preserve">Kalajzic, I. </w:t>
      </w:r>
      <w:r>
        <w:rPr>
          <w:rFonts w:cs="Times New Roman"/>
          <w:i/>
          <w:iCs/>
          <w:szCs w:val="20"/>
        </w:rPr>
        <w:t>et al.</w:t>
      </w:r>
      <w:r>
        <w:rPr>
          <w:rFonts w:cs="Times New Roman"/>
          <w:szCs w:val="20"/>
        </w:rPr>
        <w:t xml:space="preserve"> Use of Type I Collagen Green Fluorescent Protein Transgenes to Identify Subpopulations of Cells at Different Stages of the Osteoblast Lineage. </w:t>
      </w:r>
      <w:r>
        <w:rPr>
          <w:rFonts w:cs="Times New Roman"/>
          <w:i/>
          <w:iCs/>
          <w:szCs w:val="20"/>
        </w:rPr>
        <w:t>J. Bone Miner. Res.</w:t>
      </w:r>
      <w:r>
        <w:rPr>
          <w:rFonts w:cs="Times New Roman"/>
          <w:szCs w:val="20"/>
        </w:rPr>
        <w:t xml:space="preserve"> </w:t>
      </w:r>
      <w:r>
        <w:rPr>
          <w:rFonts w:cs="Times New Roman"/>
          <w:b/>
          <w:bCs/>
          <w:szCs w:val="20"/>
        </w:rPr>
        <w:t>17,</w:t>
      </w:r>
      <w:r>
        <w:rPr>
          <w:rFonts w:cs="Times New Roman"/>
          <w:szCs w:val="20"/>
        </w:rPr>
        <w:t xml:space="preserve"> 15–25 (2002).</w:t>
      </w:r>
    </w:p>
    <w:p w14:paraId="7C92FFB0" w14:textId="77777777" w:rsidR="00735D55" w:rsidRDefault="00735D55" w:rsidP="00735D55">
      <w:pPr>
        <w:widowControl w:val="0"/>
        <w:tabs>
          <w:tab w:val="left" w:pos="640"/>
        </w:tabs>
        <w:autoSpaceDE w:val="0"/>
        <w:autoSpaceDN w:val="0"/>
        <w:adjustRightInd w:val="0"/>
        <w:ind w:left="640" w:hanging="640"/>
        <w:rPr>
          <w:rFonts w:cs="Times New Roman"/>
          <w:szCs w:val="20"/>
        </w:rPr>
      </w:pPr>
      <w:r>
        <w:rPr>
          <w:rFonts w:cs="Times New Roman"/>
          <w:szCs w:val="20"/>
        </w:rPr>
        <w:t>28.</w:t>
      </w:r>
      <w:r>
        <w:rPr>
          <w:rFonts w:cs="Times New Roman"/>
          <w:szCs w:val="20"/>
        </w:rPr>
        <w:tab/>
        <w:t xml:space="preserve">Ben Langmead, C. T. M. P. S. L. S. Ultrafast and memory-efficient alignment of short DNA sequences to the human genome. </w:t>
      </w:r>
      <w:r>
        <w:rPr>
          <w:rFonts w:cs="Times New Roman"/>
          <w:i/>
          <w:iCs/>
          <w:szCs w:val="20"/>
        </w:rPr>
        <w:t>Genome Biology</w:t>
      </w:r>
      <w:r>
        <w:rPr>
          <w:rFonts w:cs="Times New Roman"/>
          <w:szCs w:val="20"/>
        </w:rPr>
        <w:t xml:space="preserve"> </w:t>
      </w:r>
      <w:r>
        <w:rPr>
          <w:rFonts w:cs="Times New Roman"/>
          <w:b/>
          <w:bCs/>
          <w:szCs w:val="20"/>
        </w:rPr>
        <w:t>10,</w:t>
      </w:r>
      <w:r>
        <w:rPr>
          <w:rFonts w:cs="Times New Roman"/>
          <w:szCs w:val="20"/>
        </w:rPr>
        <w:t xml:space="preserve"> R25 (2009).</w:t>
      </w:r>
    </w:p>
    <w:p w14:paraId="2E680564" w14:textId="77777777" w:rsidR="00735D55" w:rsidRDefault="00735D55" w:rsidP="00735D55">
      <w:pPr>
        <w:widowControl w:val="0"/>
        <w:tabs>
          <w:tab w:val="left" w:pos="640"/>
        </w:tabs>
        <w:autoSpaceDE w:val="0"/>
        <w:autoSpaceDN w:val="0"/>
        <w:adjustRightInd w:val="0"/>
        <w:ind w:left="640" w:hanging="640"/>
        <w:rPr>
          <w:rFonts w:cs="Times New Roman"/>
          <w:szCs w:val="20"/>
        </w:rPr>
      </w:pPr>
      <w:r>
        <w:rPr>
          <w:rFonts w:cs="Times New Roman"/>
          <w:szCs w:val="20"/>
        </w:rPr>
        <w:t>29.</w:t>
      </w:r>
      <w:r>
        <w:rPr>
          <w:rFonts w:cs="Times New Roman"/>
          <w:szCs w:val="20"/>
        </w:rPr>
        <w:tab/>
        <w:t xml:space="preserve">Bo Li, C. N. D. RSEM: accurate transcript quantification from RNA-Seq data with or without a reference genome. </w:t>
      </w:r>
      <w:r>
        <w:rPr>
          <w:rFonts w:cs="Times New Roman"/>
          <w:i/>
          <w:iCs/>
          <w:szCs w:val="20"/>
        </w:rPr>
        <w:t>BMC Bioinformatics</w:t>
      </w:r>
      <w:r>
        <w:rPr>
          <w:rFonts w:cs="Times New Roman"/>
          <w:szCs w:val="20"/>
        </w:rPr>
        <w:t xml:space="preserve"> </w:t>
      </w:r>
      <w:r>
        <w:rPr>
          <w:rFonts w:cs="Times New Roman"/>
          <w:b/>
          <w:bCs/>
          <w:szCs w:val="20"/>
        </w:rPr>
        <w:t>12,</w:t>
      </w:r>
      <w:r>
        <w:rPr>
          <w:rFonts w:cs="Times New Roman"/>
          <w:szCs w:val="20"/>
        </w:rPr>
        <w:t xml:space="preserve"> 323 (2011).</w:t>
      </w:r>
    </w:p>
    <w:p w14:paraId="67A389F1" w14:textId="77777777" w:rsidR="00735D55" w:rsidRDefault="00735D55" w:rsidP="00735D55">
      <w:pPr>
        <w:widowControl w:val="0"/>
        <w:tabs>
          <w:tab w:val="left" w:pos="640"/>
        </w:tabs>
        <w:autoSpaceDE w:val="0"/>
        <w:autoSpaceDN w:val="0"/>
        <w:adjustRightInd w:val="0"/>
        <w:ind w:left="640" w:hanging="640"/>
        <w:rPr>
          <w:rFonts w:cs="Times New Roman"/>
          <w:szCs w:val="20"/>
        </w:rPr>
      </w:pPr>
      <w:r>
        <w:rPr>
          <w:rFonts w:cs="Times New Roman"/>
          <w:szCs w:val="20"/>
        </w:rPr>
        <w:t>30.</w:t>
      </w:r>
      <w:r>
        <w:rPr>
          <w:rFonts w:cs="Times New Roman"/>
          <w:szCs w:val="20"/>
        </w:rPr>
        <w:tab/>
        <w:t xml:space="preserve">James H Bullard, E. P. K. D. H. S. D. Evaluation of statistical methods for normalization and differential expression in mRNA-Seq experiments. </w:t>
      </w:r>
      <w:r>
        <w:rPr>
          <w:rFonts w:cs="Times New Roman"/>
          <w:i/>
          <w:iCs/>
          <w:szCs w:val="20"/>
        </w:rPr>
        <w:t>BMC Bioinformatics</w:t>
      </w:r>
      <w:r>
        <w:rPr>
          <w:rFonts w:cs="Times New Roman"/>
          <w:szCs w:val="20"/>
        </w:rPr>
        <w:t xml:space="preserve"> </w:t>
      </w:r>
      <w:r>
        <w:rPr>
          <w:rFonts w:cs="Times New Roman"/>
          <w:b/>
          <w:bCs/>
          <w:szCs w:val="20"/>
        </w:rPr>
        <w:t>11,</w:t>
      </w:r>
      <w:r>
        <w:rPr>
          <w:rFonts w:cs="Times New Roman"/>
          <w:szCs w:val="20"/>
        </w:rPr>
        <w:t xml:space="preserve"> 94 (2010).</w:t>
      </w:r>
    </w:p>
    <w:p w14:paraId="07EFE0BC" w14:textId="77777777" w:rsidR="00735D55" w:rsidRDefault="00735D55" w:rsidP="00735D55">
      <w:pPr>
        <w:widowControl w:val="0"/>
        <w:tabs>
          <w:tab w:val="left" w:pos="640"/>
        </w:tabs>
        <w:autoSpaceDE w:val="0"/>
        <w:autoSpaceDN w:val="0"/>
        <w:adjustRightInd w:val="0"/>
        <w:ind w:left="640" w:hanging="640"/>
        <w:rPr>
          <w:rFonts w:cs="Times New Roman"/>
          <w:szCs w:val="20"/>
        </w:rPr>
      </w:pPr>
      <w:r>
        <w:rPr>
          <w:rFonts w:cs="Times New Roman"/>
          <w:szCs w:val="20"/>
        </w:rPr>
        <w:t>31.</w:t>
      </w:r>
      <w:r>
        <w:rPr>
          <w:rFonts w:cs="Times New Roman"/>
          <w:szCs w:val="20"/>
        </w:rPr>
        <w:tab/>
        <w:t xml:space="preserve">Hanks, M., Wurst, W., Anson-Cartwright, L., Auerbach, A. B. &amp; Joyner, A. L. Rescue of the En-1 mutant phenotype by replacement of En-1 with En-2. </w:t>
      </w:r>
      <w:r>
        <w:rPr>
          <w:rFonts w:cs="Times New Roman"/>
          <w:i/>
          <w:iCs/>
          <w:szCs w:val="20"/>
        </w:rPr>
        <w:t>Science</w:t>
      </w:r>
      <w:r>
        <w:rPr>
          <w:rFonts w:cs="Times New Roman"/>
          <w:szCs w:val="20"/>
        </w:rPr>
        <w:t xml:space="preserve"> </w:t>
      </w:r>
      <w:r>
        <w:rPr>
          <w:rFonts w:cs="Times New Roman"/>
          <w:b/>
          <w:bCs/>
          <w:szCs w:val="20"/>
        </w:rPr>
        <w:t>269,</w:t>
      </w:r>
      <w:r>
        <w:rPr>
          <w:rFonts w:cs="Times New Roman"/>
          <w:szCs w:val="20"/>
        </w:rPr>
        <w:t xml:space="preserve"> 679–682 (1995).</w:t>
      </w:r>
    </w:p>
    <w:p w14:paraId="188D3B48" w14:textId="77777777" w:rsidR="00735D55" w:rsidRDefault="00735D55" w:rsidP="00735D55">
      <w:pPr>
        <w:widowControl w:val="0"/>
        <w:tabs>
          <w:tab w:val="left" w:pos="640"/>
        </w:tabs>
        <w:autoSpaceDE w:val="0"/>
        <w:autoSpaceDN w:val="0"/>
        <w:adjustRightInd w:val="0"/>
        <w:ind w:left="640" w:hanging="640"/>
        <w:rPr>
          <w:rFonts w:cs="Times New Roman"/>
          <w:szCs w:val="20"/>
        </w:rPr>
      </w:pPr>
      <w:r>
        <w:rPr>
          <w:rFonts w:cs="Times New Roman"/>
          <w:szCs w:val="20"/>
        </w:rPr>
        <w:t>32.</w:t>
      </w:r>
      <w:r>
        <w:rPr>
          <w:rFonts w:cs="Times New Roman"/>
          <w:szCs w:val="20"/>
        </w:rPr>
        <w:tab/>
        <w:t xml:space="preserve">Kimmel, R. A. </w:t>
      </w:r>
      <w:r>
        <w:rPr>
          <w:rFonts w:cs="Times New Roman"/>
          <w:i/>
          <w:iCs/>
          <w:szCs w:val="20"/>
        </w:rPr>
        <w:t>et al.</w:t>
      </w:r>
      <w:r>
        <w:rPr>
          <w:rFonts w:cs="Times New Roman"/>
          <w:szCs w:val="20"/>
        </w:rPr>
        <w:t xml:space="preserve"> Two lineage boundaries coordinate vertebrate apical ectodermal ridge formation. </w:t>
      </w:r>
      <w:r>
        <w:rPr>
          <w:rFonts w:cs="Times New Roman"/>
          <w:i/>
          <w:iCs/>
          <w:szCs w:val="20"/>
        </w:rPr>
        <w:t>genesdev.cshlp.org</w:t>
      </w:r>
    </w:p>
    <w:p w14:paraId="7D27E85C" w14:textId="77777777" w:rsidR="00735D55" w:rsidRDefault="00735D55" w:rsidP="00735D55">
      <w:pPr>
        <w:widowControl w:val="0"/>
        <w:tabs>
          <w:tab w:val="left" w:pos="640"/>
        </w:tabs>
        <w:autoSpaceDE w:val="0"/>
        <w:autoSpaceDN w:val="0"/>
        <w:adjustRightInd w:val="0"/>
        <w:ind w:left="640" w:hanging="640"/>
        <w:rPr>
          <w:rFonts w:cs="Times New Roman"/>
          <w:szCs w:val="20"/>
        </w:rPr>
      </w:pPr>
      <w:r>
        <w:rPr>
          <w:rFonts w:cs="Times New Roman"/>
          <w:szCs w:val="20"/>
        </w:rPr>
        <w:t>33.</w:t>
      </w:r>
      <w:r>
        <w:rPr>
          <w:rFonts w:cs="Times New Roman"/>
          <w:szCs w:val="20"/>
        </w:rPr>
        <w:tab/>
        <w:t xml:space="preserve">Sgaier, S. K. </w:t>
      </w:r>
      <w:r>
        <w:rPr>
          <w:rFonts w:cs="Times New Roman"/>
          <w:i/>
          <w:iCs/>
          <w:szCs w:val="20"/>
        </w:rPr>
        <w:t>et al.</w:t>
      </w:r>
      <w:r>
        <w:rPr>
          <w:rFonts w:cs="Times New Roman"/>
          <w:szCs w:val="20"/>
        </w:rPr>
        <w:t xml:space="preserve"> Genetic subdivision of the tectum and cerebellum into functionally related regions based on differential sensitivity to engrailed proteins. </w:t>
      </w:r>
      <w:r>
        <w:rPr>
          <w:rFonts w:cs="Times New Roman"/>
          <w:i/>
          <w:iCs/>
          <w:szCs w:val="20"/>
        </w:rPr>
        <w:t>dev.biologists.org</w:t>
      </w:r>
    </w:p>
    <w:p w14:paraId="7F09FBE4" w14:textId="77777777" w:rsidR="00735D55" w:rsidRDefault="00735D55" w:rsidP="00735D55">
      <w:pPr>
        <w:widowControl w:val="0"/>
        <w:tabs>
          <w:tab w:val="left" w:pos="640"/>
        </w:tabs>
        <w:autoSpaceDE w:val="0"/>
        <w:autoSpaceDN w:val="0"/>
        <w:adjustRightInd w:val="0"/>
        <w:ind w:left="640" w:hanging="640"/>
        <w:rPr>
          <w:rFonts w:cs="Times New Roman"/>
          <w:szCs w:val="20"/>
        </w:rPr>
      </w:pPr>
      <w:r>
        <w:rPr>
          <w:rFonts w:cs="Times New Roman"/>
          <w:szCs w:val="20"/>
        </w:rPr>
        <w:t>34.</w:t>
      </w:r>
      <w:r>
        <w:rPr>
          <w:rFonts w:cs="Times New Roman"/>
          <w:szCs w:val="20"/>
        </w:rPr>
        <w:tab/>
        <w:t xml:space="preserve">Computer-Automated Static, Dynamic and Cellular Bone Histomorphometry. </w:t>
      </w:r>
      <w:r>
        <w:rPr>
          <w:rFonts w:cs="Times New Roman"/>
          <w:b/>
          <w:bCs/>
          <w:szCs w:val="20"/>
        </w:rPr>
        <w:t>Suppl 1,</w:t>
      </w:r>
      <w:r>
        <w:rPr>
          <w:rFonts w:cs="Times New Roman"/>
          <w:szCs w:val="20"/>
        </w:rPr>
        <w:t xml:space="preserve"> 004 (2014).</w:t>
      </w:r>
    </w:p>
    <w:p w14:paraId="3D115E60" w14:textId="77777777" w:rsidR="00735D55" w:rsidRDefault="00735D55" w:rsidP="00735D55">
      <w:pPr>
        <w:widowControl w:val="0"/>
        <w:tabs>
          <w:tab w:val="left" w:pos="640"/>
        </w:tabs>
        <w:autoSpaceDE w:val="0"/>
        <w:autoSpaceDN w:val="0"/>
        <w:adjustRightInd w:val="0"/>
        <w:ind w:left="640" w:hanging="640"/>
        <w:rPr>
          <w:rFonts w:cs="Times New Roman"/>
          <w:szCs w:val="20"/>
        </w:rPr>
      </w:pPr>
      <w:r>
        <w:rPr>
          <w:rFonts w:cs="Times New Roman"/>
          <w:szCs w:val="20"/>
        </w:rPr>
        <w:t>35.</w:t>
      </w:r>
      <w:r>
        <w:rPr>
          <w:rFonts w:cs="Times New Roman"/>
          <w:szCs w:val="20"/>
        </w:rPr>
        <w:tab/>
        <w:t xml:space="preserve">Baud, A. </w:t>
      </w:r>
      <w:r>
        <w:rPr>
          <w:rFonts w:cs="Times New Roman"/>
          <w:i/>
          <w:iCs/>
          <w:szCs w:val="20"/>
        </w:rPr>
        <w:t>et al.</w:t>
      </w:r>
      <w:r>
        <w:rPr>
          <w:rFonts w:cs="Times New Roman"/>
          <w:szCs w:val="20"/>
        </w:rPr>
        <w:t xml:space="preserve"> Combined sequence-based and genetic mapping analysis of complex traits in outbred rats. </w:t>
      </w:r>
      <w:r>
        <w:rPr>
          <w:rFonts w:cs="Times New Roman"/>
          <w:i/>
          <w:iCs/>
          <w:szCs w:val="20"/>
        </w:rPr>
        <w:t>Nature Genetics</w:t>
      </w:r>
      <w:r>
        <w:rPr>
          <w:rFonts w:cs="Times New Roman"/>
          <w:szCs w:val="20"/>
        </w:rPr>
        <w:t xml:space="preserve"> </w:t>
      </w:r>
      <w:r>
        <w:rPr>
          <w:rFonts w:cs="Times New Roman"/>
          <w:b/>
          <w:bCs/>
          <w:szCs w:val="20"/>
        </w:rPr>
        <w:t>45,</w:t>
      </w:r>
      <w:r>
        <w:rPr>
          <w:rFonts w:cs="Times New Roman"/>
          <w:szCs w:val="20"/>
        </w:rPr>
        <w:t xml:space="preserve"> 767–775 (2013).</w:t>
      </w:r>
    </w:p>
    <w:p w14:paraId="5E5E6F27" w14:textId="77777777" w:rsidR="00735D55" w:rsidRDefault="00735D55" w:rsidP="00735D55">
      <w:pPr>
        <w:widowControl w:val="0"/>
        <w:tabs>
          <w:tab w:val="left" w:pos="640"/>
        </w:tabs>
        <w:autoSpaceDE w:val="0"/>
        <w:autoSpaceDN w:val="0"/>
        <w:adjustRightInd w:val="0"/>
        <w:ind w:left="640" w:hanging="640"/>
        <w:rPr>
          <w:rFonts w:cs="Times New Roman"/>
          <w:szCs w:val="20"/>
        </w:rPr>
      </w:pPr>
      <w:r>
        <w:rPr>
          <w:rFonts w:cs="Times New Roman"/>
          <w:szCs w:val="20"/>
        </w:rPr>
        <w:t>36.</w:t>
      </w:r>
      <w:r>
        <w:rPr>
          <w:rFonts w:cs="Times New Roman"/>
          <w:szCs w:val="20"/>
        </w:rPr>
        <w:tab/>
        <w:t xml:space="preserve">Cox, A. </w:t>
      </w:r>
      <w:r>
        <w:rPr>
          <w:rFonts w:cs="Times New Roman"/>
          <w:i/>
          <w:iCs/>
          <w:szCs w:val="20"/>
        </w:rPr>
        <w:t>et al.</w:t>
      </w:r>
      <w:r>
        <w:rPr>
          <w:rFonts w:cs="Times New Roman"/>
          <w:szCs w:val="20"/>
        </w:rPr>
        <w:t xml:space="preserve"> A New Standard Genetic Map for the Laboratory Mouse. </w:t>
      </w:r>
      <w:r>
        <w:rPr>
          <w:rFonts w:cs="Times New Roman"/>
          <w:i/>
          <w:iCs/>
          <w:szCs w:val="20"/>
        </w:rPr>
        <w:t>Genetics</w:t>
      </w:r>
      <w:r>
        <w:rPr>
          <w:rFonts w:cs="Times New Roman"/>
          <w:szCs w:val="20"/>
        </w:rPr>
        <w:t xml:space="preserve"> </w:t>
      </w:r>
      <w:r>
        <w:rPr>
          <w:rFonts w:cs="Times New Roman"/>
          <w:b/>
          <w:bCs/>
          <w:szCs w:val="20"/>
        </w:rPr>
        <w:t>182,</w:t>
      </w:r>
      <w:r>
        <w:rPr>
          <w:rFonts w:cs="Times New Roman"/>
          <w:szCs w:val="20"/>
        </w:rPr>
        <w:t xml:space="preserve"> 1335–1344 (2009).</w:t>
      </w:r>
    </w:p>
    <w:p w14:paraId="67DB02AF" w14:textId="77777777" w:rsidR="00735D55" w:rsidRDefault="00735D55" w:rsidP="00735D55">
      <w:pPr>
        <w:widowControl w:val="0"/>
        <w:tabs>
          <w:tab w:val="left" w:pos="640"/>
        </w:tabs>
        <w:autoSpaceDE w:val="0"/>
        <w:autoSpaceDN w:val="0"/>
        <w:adjustRightInd w:val="0"/>
        <w:ind w:left="640" w:hanging="640"/>
        <w:rPr>
          <w:rFonts w:cs="Times New Roman"/>
          <w:szCs w:val="20"/>
        </w:rPr>
      </w:pPr>
      <w:r>
        <w:rPr>
          <w:rFonts w:cs="Times New Roman"/>
          <w:szCs w:val="20"/>
        </w:rPr>
        <w:t>37.</w:t>
      </w:r>
      <w:r>
        <w:rPr>
          <w:rFonts w:cs="Times New Roman"/>
          <w:szCs w:val="20"/>
        </w:rPr>
        <w:tab/>
        <w:t xml:space="preserve">Ackert-Bicknell, C. L. </w:t>
      </w:r>
      <w:r>
        <w:rPr>
          <w:rFonts w:cs="Times New Roman"/>
          <w:i/>
          <w:iCs/>
          <w:szCs w:val="20"/>
        </w:rPr>
        <w:t>et al.</w:t>
      </w:r>
      <w:r>
        <w:rPr>
          <w:rFonts w:cs="Times New Roman"/>
          <w:szCs w:val="20"/>
        </w:rPr>
        <w:t xml:space="preserve"> Mouse BMD quantitative trait loci show improved concordance with human genome-wide association loci when recalculated on a new, common mouse genetic map. </w:t>
      </w:r>
      <w:r>
        <w:rPr>
          <w:rFonts w:cs="Times New Roman"/>
          <w:i/>
          <w:iCs/>
          <w:szCs w:val="20"/>
        </w:rPr>
        <w:t>J. Bone Miner. Res.</w:t>
      </w:r>
      <w:r>
        <w:rPr>
          <w:rFonts w:cs="Times New Roman"/>
          <w:szCs w:val="20"/>
        </w:rPr>
        <w:t xml:space="preserve"> </w:t>
      </w:r>
      <w:r>
        <w:rPr>
          <w:rFonts w:cs="Times New Roman"/>
          <w:b/>
          <w:bCs/>
          <w:szCs w:val="20"/>
        </w:rPr>
        <w:t>25,</w:t>
      </w:r>
      <w:r>
        <w:rPr>
          <w:rFonts w:cs="Times New Roman"/>
          <w:szCs w:val="20"/>
        </w:rPr>
        <w:t xml:space="preserve"> 1808–1820 (2010).</w:t>
      </w:r>
    </w:p>
    <w:p w14:paraId="4DD1B17D" w14:textId="287AF845" w:rsidR="00DF6CDF" w:rsidRPr="00BE75B0" w:rsidRDefault="00BE75B0" w:rsidP="002D628F">
      <w:pPr>
        <w:widowControl w:val="0"/>
        <w:tabs>
          <w:tab w:val="left" w:pos="640"/>
        </w:tabs>
        <w:autoSpaceDE w:val="0"/>
        <w:autoSpaceDN w:val="0"/>
        <w:adjustRightInd w:val="0"/>
        <w:ind w:left="640" w:hanging="640"/>
        <w:rPr>
          <w:rFonts w:cs="Arial"/>
          <w:szCs w:val="20"/>
        </w:rPr>
      </w:pPr>
      <w:r w:rsidRPr="00BE75B0">
        <w:rPr>
          <w:rFonts w:cs="Arial"/>
          <w:szCs w:val="20"/>
        </w:rPr>
        <w:fldChar w:fldCharType="end"/>
      </w:r>
    </w:p>
    <w:sectPr w:rsidR="00DF6CDF" w:rsidRPr="00BE75B0" w:rsidSect="009030DC">
      <w:footerReference w:type="even" r:id="rId16"/>
      <w:footerReference w:type="default" r:id="rId17"/>
      <w:pgSz w:w="11907" w:h="16839" w:code="9"/>
      <w:pgMar w:top="1523" w:right="1800" w:bottom="1440" w:left="1800" w:header="706" w:footer="706" w:gutter="0"/>
      <w:lnNumType w:countBy="1" w:restart="continuous"/>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47A534" w14:textId="77777777" w:rsidR="009E6164" w:rsidRDefault="009E6164" w:rsidP="00D2500B">
      <w:r>
        <w:separator/>
      </w:r>
    </w:p>
  </w:endnote>
  <w:endnote w:type="continuationSeparator" w:id="0">
    <w:p w14:paraId="64991286" w14:textId="77777777" w:rsidR="009E6164" w:rsidRDefault="009E6164" w:rsidP="00D25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ucida Grande">
    <w:altName w:val="Arial"/>
    <w:charset w:val="00"/>
    <w:family w:val="auto"/>
    <w:pitch w:val="variable"/>
    <w:sig w:usb0="00000000" w:usb1="5000A1FF" w:usb2="00000000" w:usb3="00000000" w:csb0="000001B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MS ??">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23447" w14:textId="77777777" w:rsidR="005131FF" w:rsidRDefault="005131FF" w:rsidP="00743CB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6F16BD2" w14:textId="77777777" w:rsidR="005131FF" w:rsidRDefault="005131FF" w:rsidP="00F00AA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221C3" w14:textId="77777777" w:rsidR="005131FF" w:rsidRDefault="005131FF" w:rsidP="00743CB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A1D05">
      <w:rPr>
        <w:rStyle w:val="PageNumber"/>
        <w:noProof/>
      </w:rPr>
      <w:t>17</w:t>
    </w:r>
    <w:r>
      <w:rPr>
        <w:rStyle w:val="PageNumber"/>
      </w:rPr>
      <w:fldChar w:fldCharType="end"/>
    </w:r>
  </w:p>
  <w:p w14:paraId="66BEDC31" w14:textId="77777777" w:rsidR="005131FF" w:rsidRDefault="005131FF" w:rsidP="00F00AA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0E9EB5" w14:textId="77777777" w:rsidR="009E6164" w:rsidRDefault="009E6164" w:rsidP="00D2500B">
      <w:r>
        <w:separator/>
      </w:r>
    </w:p>
  </w:footnote>
  <w:footnote w:type="continuationSeparator" w:id="0">
    <w:p w14:paraId="7195AD21" w14:textId="77777777" w:rsidR="009E6164" w:rsidRDefault="009E6164" w:rsidP="00D250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FD444D"/>
    <w:multiLevelType w:val="multilevel"/>
    <w:tmpl w:val="C5BA08F8"/>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
    <w:nsid w:val="134029DE"/>
    <w:multiLevelType w:val="multilevel"/>
    <w:tmpl w:val="0409001F"/>
    <w:numStyleLink w:val="Style1"/>
  </w:abstractNum>
  <w:abstractNum w:abstractNumId="2">
    <w:nsid w:val="1CC6150C"/>
    <w:multiLevelType w:val="multilevel"/>
    <w:tmpl w:val="0409001F"/>
    <w:numStyleLink w:val="Style1"/>
  </w:abstractNum>
  <w:abstractNum w:abstractNumId="3">
    <w:nsid w:val="1DB00D98"/>
    <w:multiLevelType w:val="multilevel"/>
    <w:tmpl w:val="0409001F"/>
    <w:numStyleLink w:val="Style1"/>
  </w:abstractNum>
  <w:abstractNum w:abstractNumId="4">
    <w:nsid w:val="25AD2937"/>
    <w:multiLevelType w:val="multilevel"/>
    <w:tmpl w:val="0409001F"/>
    <w:numStyleLink w:val="Style1"/>
  </w:abstractNum>
  <w:abstractNum w:abstractNumId="5">
    <w:nsid w:val="25DB7D2F"/>
    <w:multiLevelType w:val="multilevel"/>
    <w:tmpl w:val="C5BA08F8"/>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nsid w:val="29E03167"/>
    <w:multiLevelType w:val="multilevel"/>
    <w:tmpl w:val="0409001F"/>
    <w:numStyleLink w:val="Style1"/>
  </w:abstractNum>
  <w:abstractNum w:abstractNumId="7">
    <w:nsid w:val="32163436"/>
    <w:multiLevelType w:val="multilevel"/>
    <w:tmpl w:val="C5BA08F8"/>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8">
    <w:nsid w:val="3291132B"/>
    <w:multiLevelType w:val="multilevel"/>
    <w:tmpl w:val="0409001F"/>
    <w:numStyleLink w:val="Style1"/>
  </w:abstractNum>
  <w:abstractNum w:abstractNumId="9">
    <w:nsid w:val="33F741EC"/>
    <w:multiLevelType w:val="multilevel"/>
    <w:tmpl w:val="C5BA08F8"/>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0">
    <w:nsid w:val="381F304F"/>
    <w:multiLevelType w:val="multilevel"/>
    <w:tmpl w:val="0409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648" w:hanging="648"/>
      </w:pPr>
    </w:lvl>
    <w:lvl w:ilvl="4">
      <w:start w:val="1"/>
      <w:numFmt w:val="decimal"/>
      <w:lvlText w:val="%1.%2.%3.%4.%5."/>
      <w:lvlJc w:val="left"/>
      <w:pPr>
        <w:ind w:left="792" w:hanging="792"/>
      </w:pPr>
    </w:lvl>
    <w:lvl w:ilvl="5">
      <w:start w:val="1"/>
      <w:numFmt w:val="decimal"/>
      <w:lvlText w:val="%1.%2.%3.%4.%5.%6."/>
      <w:lvlJc w:val="left"/>
      <w:pPr>
        <w:ind w:left="936" w:hanging="936"/>
      </w:pPr>
    </w:lvl>
    <w:lvl w:ilvl="6">
      <w:start w:val="1"/>
      <w:numFmt w:val="decimal"/>
      <w:lvlText w:val="%1.%2.%3.%4.%5.%6.%7."/>
      <w:lvlJc w:val="left"/>
      <w:pPr>
        <w:ind w:left="108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C0C65D4"/>
    <w:multiLevelType w:val="hybridMultilevel"/>
    <w:tmpl w:val="8F38EC5C"/>
    <w:lvl w:ilvl="0" w:tplc="0409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2">
    <w:nsid w:val="449D0581"/>
    <w:multiLevelType w:val="multilevel"/>
    <w:tmpl w:val="0409001F"/>
    <w:numStyleLink w:val="Style1"/>
  </w:abstractNum>
  <w:abstractNum w:abstractNumId="13">
    <w:nsid w:val="45B86E76"/>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4">
    <w:nsid w:val="49BE38C6"/>
    <w:multiLevelType w:val="multilevel"/>
    <w:tmpl w:val="C5BA08F8"/>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5">
    <w:nsid w:val="506A43F5"/>
    <w:multiLevelType w:val="multilevel"/>
    <w:tmpl w:val="0409001F"/>
    <w:numStyleLink w:val="Style1"/>
  </w:abstractNum>
  <w:abstractNum w:abstractNumId="16">
    <w:nsid w:val="5C27021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C4056FE"/>
    <w:multiLevelType w:val="multilevel"/>
    <w:tmpl w:val="C5BA08F8"/>
    <w:styleLink w:val="Style2"/>
    <w:lvl w:ilvl="0">
      <w:start w:val="1"/>
      <w:numFmt w:val="decimal"/>
      <w:lvlText w:val="%1."/>
      <w:lvlJc w:val="left"/>
      <w:pPr>
        <w:ind w:left="0" w:firstLine="0"/>
      </w:pPr>
      <w:rPr>
        <w:rFonts w:ascii="Arial" w:hAnsi="Arial" w:hint="default"/>
        <w:b/>
        <w:sz w:val="24"/>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8">
    <w:nsid w:val="608218FD"/>
    <w:multiLevelType w:val="multilevel"/>
    <w:tmpl w:val="C5BA08F8"/>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9">
    <w:nsid w:val="610714F2"/>
    <w:multiLevelType w:val="multilevel"/>
    <w:tmpl w:val="0409001F"/>
    <w:numStyleLink w:val="Style1"/>
  </w:abstractNum>
  <w:abstractNum w:abstractNumId="20">
    <w:nsid w:val="64902D9D"/>
    <w:multiLevelType w:val="multilevel"/>
    <w:tmpl w:val="C5BA08F8"/>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1">
    <w:nsid w:val="676A0A1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873482B"/>
    <w:multiLevelType w:val="multilevel"/>
    <w:tmpl w:val="C5BA08F8"/>
    <w:numStyleLink w:val="Style2"/>
  </w:abstractNum>
  <w:abstractNum w:abstractNumId="23">
    <w:nsid w:val="7911481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7A9D2720"/>
    <w:multiLevelType w:val="hybridMultilevel"/>
    <w:tmpl w:val="587E3B0E"/>
    <w:lvl w:ilvl="0" w:tplc="7814F86C">
      <w:start w:val="1"/>
      <w:numFmt w:val="decimal"/>
      <w:pStyle w:val="Heading2"/>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23"/>
  </w:num>
  <w:num w:numId="2">
    <w:abstractNumId w:val="10"/>
  </w:num>
  <w:num w:numId="3">
    <w:abstractNumId w:val="19"/>
  </w:num>
  <w:num w:numId="4">
    <w:abstractNumId w:val="21"/>
  </w:num>
  <w:num w:numId="5">
    <w:abstractNumId w:val="0"/>
  </w:num>
  <w:num w:numId="6">
    <w:abstractNumId w:val="24"/>
  </w:num>
  <w:num w:numId="7">
    <w:abstractNumId w:val="17"/>
  </w:num>
  <w:num w:numId="8">
    <w:abstractNumId w:val="22"/>
  </w:num>
  <w:num w:numId="9">
    <w:abstractNumId w:val="7"/>
  </w:num>
  <w:num w:numId="10">
    <w:abstractNumId w:val="11"/>
  </w:num>
  <w:num w:numId="11">
    <w:abstractNumId w:val="16"/>
  </w:num>
  <w:num w:numId="12">
    <w:abstractNumId w:val="13"/>
  </w:num>
  <w:num w:numId="13">
    <w:abstractNumId w:val="1"/>
    <w:lvlOverride w:ilvl="1">
      <w:lvl w:ilvl="1">
        <w:start w:val="1"/>
        <w:numFmt w:val="decimal"/>
        <w:lvlText w:val="%1.%2."/>
        <w:lvlJc w:val="left"/>
        <w:pPr>
          <w:ind w:left="432" w:hanging="432"/>
        </w:pPr>
        <w:rPr>
          <w:b w:val="0"/>
        </w:rPr>
      </w:lvl>
    </w:lvlOverride>
  </w:num>
  <w:num w:numId="14">
    <w:abstractNumId w:val="6"/>
  </w:num>
  <w:num w:numId="15">
    <w:abstractNumId w:val="2"/>
  </w:num>
  <w:num w:numId="16">
    <w:abstractNumId w:val="3"/>
  </w:num>
  <w:num w:numId="17">
    <w:abstractNumId w:val="18"/>
  </w:num>
  <w:num w:numId="18">
    <w:abstractNumId w:val="15"/>
  </w:num>
  <w:num w:numId="19">
    <w:abstractNumId w:val="9"/>
  </w:num>
  <w:num w:numId="20">
    <w:abstractNumId w:val="14"/>
  </w:num>
  <w:num w:numId="21">
    <w:abstractNumId w:val="20"/>
  </w:num>
  <w:num w:numId="22">
    <w:abstractNumId w:val="5"/>
  </w:num>
  <w:num w:numId="23">
    <w:abstractNumId w:val="12"/>
  </w:num>
  <w:num w:numId="24">
    <w:abstractNumId w:val="4"/>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proofState w:spelling="clean" w:grammar="clean"/>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Nature Genetics&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55va0s928tdzzheev5apsdxata0vvz9p995e&quot;&gt;My EndNote Library&lt;record-ids&gt;&lt;item&gt;23&lt;/item&gt;&lt;/record-ids&gt;&lt;/item&gt;&lt;/Libraries&gt;"/>
  </w:docVars>
  <w:rsids>
    <w:rsidRoot w:val="00A014F0"/>
    <w:rsid w:val="000032A1"/>
    <w:rsid w:val="0000680B"/>
    <w:rsid w:val="00010F00"/>
    <w:rsid w:val="000118CC"/>
    <w:rsid w:val="00020F29"/>
    <w:rsid w:val="00021641"/>
    <w:rsid w:val="00021CA8"/>
    <w:rsid w:val="00022EB2"/>
    <w:rsid w:val="0002495D"/>
    <w:rsid w:val="0002531E"/>
    <w:rsid w:val="00025781"/>
    <w:rsid w:val="00030589"/>
    <w:rsid w:val="00032960"/>
    <w:rsid w:val="0003317C"/>
    <w:rsid w:val="000359AB"/>
    <w:rsid w:val="00035CF6"/>
    <w:rsid w:val="00036C35"/>
    <w:rsid w:val="00037177"/>
    <w:rsid w:val="00040916"/>
    <w:rsid w:val="00040A52"/>
    <w:rsid w:val="000411A0"/>
    <w:rsid w:val="000413DE"/>
    <w:rsid w:val="00041564"/>
    <w:rsid w:val="0004167D"/>
    <w:rsid w:val="00041957"/>
    <w:rsid w:val="000422D0"/>
    <w:rsid w:val="00042A57"/>
    <w:rsid w:val="0004355F"/>
    <w:rsid w:val="00044786"/>
    <w:rsid w:val="000459B0"/>
    <w:rsid w:val="00045DF5"/>
    <w:rsid w:val="00046006"/>
    <w:rsid w:val="00047CAD"/>
    <w:rsid w:val="000500BD"/>
    <w:rsid w:val="00050A29"/>
    <w:rsid w:val="000549E9"/>
    <w:rsid w:val="00055AE4"/>
    <w:rsid w:val="0005603A"/>
    <w:rsid w:val="00056D46"/>
    <w:rsid w:val="00061068"/>
    <w:rsid w:val="00061115"/>
    <w:rsid w:val="00061C69"/>
    <w:rsid w:val="00061DFC"/>
    <w:rsid w:val="0006280F"/>
    <w:rsid w:val="00063406"/>
    <w:rsid w:val="00065972"/>
    <w:rsid w:val="00065DD3"/>
    <w:rsid w:val="00067137"/>
    <w:rsid w:val="000700BA"/>
    <w:rsid w:val="000704EB"/>
    <w:rsid w:val="00070AE4"/>
    <w:rsid w:val="00070D43"/>
    <w:rsid w:val="00071E10"/>
    <w:rsid w:val="000749B7"/>
    <w:rsid w:val="00074AAE"/>
    <w:rsid w:val="00074C0E"/>
    <w:rsid w:val="00077D54"/>
    <w:rsid w:val="000800F6"/>
    <w:rsid w:val="00080BB2"/>
    <w:rsid w:val="00082B96"/>
    <w:rsid w:val="00083857"/>
    <w:rsid w:val="000841D6"/>
    <w:rsid w:val="00085E97"/>
    <w:rsid w:val="0009126D"/>
    <w:rsid w:val="00091B09"/>
    <w:rsid w:val="00096C7C"/>
    <w:rsid w:val="0009770A"/>
    <w:rsid w:val="000A069B"/>
    <w:rsid w:val="000A0851"/>
    <w:rsid w:val="000A109C"/>
    <w:rsid w:val="000A1669"/>
    <w:rsid w:val="000A1E09"/>
    <w:rsid w:val="000A1EBB"/>
    <w:rsid w:val="000A2778"/>
    <w:rsid w:val="000A2E90"/>
    <w:rsid w:val="000A309C"/>
    <w:rsid w:val="000A3463"/>
    <w:rsid w:val="000A3A9A"/>
    <w:rsid w:val="000A4236"/>
    <w:rsid w:val="000A4370"/>
    <w:rsid w:val="000A6E51"/>
    <w:rsid w:val="000A7B18"/>
    <w:rsid w:val="000B020F"/>
    <w:rsid w:val="000B237D"/>
    <w:rsid w:val="000B36E0"/>
    <w:rsid w:val="000B4111"/>
    <w:rsid w:val="000B4DE1"/>
    <w:rsid w:val="000B5802"/>
    <w:rsid w:val="000B67FD"/>
    <w:rsid w:val="000B7414"/>
    <w:rsid w:val="000C230A"/>
    <w:rsid w:val="000C2662"/>
    <w:rsid w:val="000C35FF"/>
    <w:rsid w:val="000C46D7"/>
    <w:rsid w:val="000C60AD"/>
    <w:rsid w:val="000C64FD"/>
    <w:rsid w:val="000D0BC4"/>
    <w:rsid w:val="000D1139"/>
    <w:rsid w:val="000D16C3"/>
    <w:rsid w:val="000D1B51"/>
    <w:rsid w:val="000D355C"/>
    <w:rsid w:val="000D4C3B"/>
    <w:rsid w:val="000D54FB"/>
    <w:rsid w:val="000D65EF"/>
    <w:rsid w:val="000D67E4"/>
    <w:rsid w:val="000D7396"/>
    <w:rsid w:val="000E06A5"/>
    <w:rsid w:val="000E3C05"/>
    <w:rsid w:val="000E405E"/>
    <w:rsid w:val="000E546A"/>
    <w:rsid w:val="000E5681"/>
    <w:rsid w:val="000E5FCA"/>
    <w:rsid w:val="000E69C4"/>
    <w:rsid w:val="000E7304"/>
    <w:rsid w:val="000E758D"/>
    <w:rsid w:val="000F0820"/>
    <w:rsid w:val="000F2966"/>
    <w:rsid w:val="000F3BB4"/>
    <w:rsid w:val="000F5084"/>
    <w:rsid w:val="000F547E"/>
    <w:rsid w:val="000F5E59"/>
    <w:rsid w:val="000F7469"/>
    <w:rsid w:val="001007FC"/>
    <w:rsid w:val="00101226"/>
    <w:rsid w:val="0010209A"/>
    <w:rsid w:val="0010230F"/>
    <w:rsid w:val="001034E0"/>
    <w:rsid w:val="001037E0"/>
    <w:rsid w:val="001042A9"/>
    <w:rsid w:val="00104A3C"/>
    <w:rsid w:val="00107402"/>
    <w:rsid w:val="00107808"/>
    <w:rsid w:val="00107D04"/>
    <w:rsid w:val="00107D4A"/>
    <w:rsid w:val="0011042A"/>
    <w:rsid w:val="00110DFC"/>
    <w:rsid w:val="00112BC9"/>
    <w:rsid w:val="00113EAE"/>
    <w:rsid w:val="00115A15"/>
    <w:rsid w:val="00116A93"/>
    <w:rsid w:val="00117C97"/>
    <w:rsid w:val="0012091B"/>
    <w:rsid w:val="00120AE6"/>
    <w:rsid w:val="0012111E"/>
    <w:rsid w:val="00121DDE"/>
    <w:rsid w:val="00121EB2"/>
    <w:rsid w:val="00121F71"/>
    <w:rsid w:val="00124912"/>
    <w:rsid w:val="00124F89"/>
    <w:rsid w:val="00125291"/>
    <w:rsid w:val="0012529F"/>
    <w:rsid w:val="00125C91"/>
    <w:rsid w:val="001267AD"/>
    <w:rsid w:val="00126AD3"/>
    <w:rsid w:val="00126E87"/>
    <w:rsid w:val="001278FD"/>
    <w:rsid w:val="00127B2A"/>
    <w:rsid w:val="00127EFD"/>
    <w:rsid w:val="00130D26"/>
    <w:rsid w:val="00132632"/>
    <w:rsid w:val="00136436"/>
    <w:rsid w:val="00137CE8"/>
    <w:rsid w:val="00140020"/>
    <w:rsid w:val="0014023C"/>
    <w:rsid w:val="00140AE6"/>
    <w:rsid w:val="00140F9D"/>
    <w:rsid w:val="001411C3"/>
    <w:rsid w:val="0014126B"/>
    <w:rsid w:val="00142788"/>
    <w:rsid w:val="001451F7"/>
    <w:rsid w:val="00145CD5"/>
    <w:rsid w:val="00145E48"/>
    <w:rsid w:val="00146E23"/>
    <w:rsid w:val="00147300"/>
    <w:rsid w:val="001506FB"/>
    <w:rsid w:val="00151A8C"/>
    <w:rsid w:val="00152A6B"/>
    <w:rsid w:val="0015391E"/>
    <w:rsid w:val="00153B71"/>
    <w:rsid w:val="00154FAE"/>
    <w:rsid w:val="001606DE"/>
    <w:rsid w:val="00160F15"/>
    <w:rsid w:val="001614AB"/>
    <w:rsid w:val="00163BD4"/>
    <w:rsid w:val="001649D7"/>
    <w:rsid w:val="00164FDF"/>
    <w:rsid w:val="00165417"/>
    <w:rsid w:val="001677E1"/>
    <w:rsid w:val="00170638"/>
    <w:rsid w:val="001706FB"/>
    <w:rsid w:val="00171300"/>
    <w:rsid w:val="00171DEA"/>
    <w:rsid w:val="001733A2"/>
    <w:rsid w:val="00173891"/>
    <w:rsid w:val="001739EA"/>
    <w:rsid w:val="00173BEF"/>
    <w:rsid w:val="00173E32"/>
    <w:rsid w:val="001751DE"/>
    <w:rsid w:val="0017520C"/>
    <w:rsid w:val="0017550E"/>
    <w:rsid w:val="0017558D"/>
    <w:rsid w:val="00176843"/>
    <w:rsid w:val="00177238"/>
    <w:rsid w:val="0017750D"/>
    <w:rsid w:val="00181746"/>
    <w:rsid w:val="00182929"/>
    <w:rsid w:val="00183BE2"/>
    <w:rsid w:val="00183CA8"/>
    <w:rsid w:val="001847D4"/>
    <w:rsid w:val="0018550F"/>
    <w:rsid w:val="00186455"/>
    <w:rsid w:val="0018729B"/>
    <w:rsid w:val="001874A4"/>
    <w:rsid w:val="00187D02"/>
    <w:rsid w:val="00187F1D"/>
    <w:rsid w:val="00191369"/>
    <w:rsid w:val="00192136"/>
    <w:rsid w:val="00192DEF"/>
    <w:rsid w:val="00194313"/>
    <w:rsid w:val="0019753A"/>
    <w:rsid w:val="001A073E"/>
    <w:rsid w:val="001A0829"/>
    <w:rsid w:val="001A12E4"/>
    <w:rsid w:val="001A1C84"/>
    <w:rsid w:val="001A3500"/>
    <w:rsid w:val="001A3AFB"/>
    <w:rsid w:val="001A4D88"/>
    <w:rsid w:val="001A6C01"/>
    <w:rsid w:val="001A7253"/>
    <w:rsid w:val="001A774F"/>
    <w:rsid w:val="001B2232"/>
    <w:rsid w:val="001B3A4D"/>
    <w:rsid w:val="001B3A90"/>
    <w:rsid w:val="001B4685"/>
    <w:rsid w:val="001B6092"/>
    <w:rsid w:val="001B65BB"/>
    <w:rsid w:val="001B6F65"/>
    <w:rsid w:val="001B6F78"/>
    <w:rsid w:val="001C1979"/>
    <w:rsid w:val="001C5EDC"/>
    <w:rsid w:val="001C5EF3"/>
    <w:rsid w:val="001C6898"/>
    <w:rsid w:val="001C6D79"/>
    <w:rsid w:val="001D22E3"/>
    <w:rsid w:val="001D32FB"/>
    <w:rsid w:val="001D3C33"/>
    <w:rsid w:val="001D3D60"/>
    <w:rsid w:val="001D3F3B"/>
    <w:rsid w:val="001D68AD"/>
    <w:rsid w:val="001D6F83"/>
    <w:rsid w:val="001D78DD"/>
    <w:rsid w:val="001E0886"/>
    <w:rsid w:val="001E228C"/>
    <w:rsid w:val="001E2731"/>
    <w:rsid w:val="001E45B7"/>
    <w:rsid w:val="001E5DEC"/>
    <w:rsid w:val="001E6ACD"/>
    <w:rsid w:val="001E7763"/>
    <w:rsid w:val="001E79F9"/>
    <w:rsid w:val="001E7EFF"/>
    <w:rsid w:val="001F29CF"/>
    <w:rsid w:val="001F2F7A"/>
    <w:rsid w:val="001F4FBF"/>
    <w:rsid w:val="001F5201"/>
    <w:rsid w:val="001F6C29"/>
    <w:rsid w:val="00200A03"/>
    <w:rsid w:val="00201FDE"/>
    <w:rsid w:val="00202A39"/>
    <w:rsid w:val="00202AA6"/>
    <w:rsid w:val="00202ADD"/>
    <w:rsid w:val="00204031"/>
    <w:rsid w:val="00204653"/>
    <w:rsid w:val="00204946"/>
    <w:rsid w:val="002061AD"/>
    <w:rsid w:val="00206E5A"/>
    <w:rsid w:val="00210FA6"/>
    <w:rsid w:val="00220B98"/>
    <w:rsid w:val="00220BCE"/>
    <w:rsid w:val="0022163A"/>
    <w:rsid w:val="002217E5"/>
    <w:rsid w:val="00223030"/>
    <w:rsid w:val="0022326A"/>
    <w:rsid w:val="00223698"/>
    <w:rsid w:val="002260E4"/>
    <w:rsid w:val="002262B1"/>
    <w:rsid w:val="002264CD"/>
    <w:rsid w:val="002272B7"/>
    <w:rsid w:val="002276B7"/>
    <w:rsid w:val="00227EA1"/>
    <w:rsid w:val="002303BC"/>
    <w:rsid w:val="00230C2E"/>
    <w:rsid w:val="00231DE8"/>
    <w:rsid w:val="002327D7"/>
    <w:rsid w:val="00234027"/>
    <w:rsid w:val="00234283"/>
    <w:rsid w:val="002349CD"/>
    <w:rsid w:val="00234A26"/>
    <w:rsid w:val="00235A33"/>
    <w:rsid w:val="00235F7C"/>
    <w:rsid w:val="002362C2"/>
    <w:rsid w:val="00236934"/>
    <w:rsid w:val="00237BB5"/>
    <w:rsid w:val="0024082D"/>
    <w:rsid w:val="0024084D"/>
    <w:rsid w:val="002409CA"/>
    <w:rsid w:val="00240ED3"/>
    <w:rsid w:val="002414F3"/>
    <w:rsid w:val="00241822"/>
    <w:rsid w:val="00243CED"/>
    <w:rsid w:val="00244A2E"/>
    <w:rsid w:val="002464DF"/>
    <w:rsid w:val="002471E5"/>
    <w:rsid w:val="00247D6B"/>
    <w:rsid w:val="00247F2F"/>
    <w:rsid w:val="0025202B"/>
    <w:rsid w:val="00252E8B"/>
    <w:rsid w:val="002533A8"/>
    <w:rsid w:val="00256D35"/>
    <w:rsid w:val="00256DCB"/>
    <w:rsid w:val="0026128F"/>
    <w:rsid w:val="00261397"/>
    <w:rsid w:val="00261815"/>
    <w:rsid w:val="002633DA"/>
    <w:rsid w:val="00264528"/>
    <w:rsid w:val="002651DC"/>
    <w:rsid w:val="00266925"/>
    <w:rsid w:val="00266BF9"/>
    <w:rsid w:val="00267BFC"/>
    <w:rsid w:val="00270305"/>
    <w:rsid w:val="00270920"/>
    <w:rsid w:val="00270C32"/>
    <w:rsid w:val="0027175D"/>
    <w:rsid w:val="00272B85"/>
    <w:rsid w:val="0027448F"/>
    <w:rsid w:val="0027449C"/>
    <w:rsid w:val="00274C24"/>
    <w:rsid w:val="002760BA"/>
    <w:rsid w:val="00276DBC"/>
    <w:rsid w:val="00277910"/>
    <w:rsid w:val="00280E29"/>
    <w:rsid w:val="00280FBA"/>
    <w:rsid w:val="00282DC5"/>
    <w:rsid w:val="00286563"/>
    <w:rsid w:val="002878FB"/>
    <w:rsid w:val="00290C15"/>
    <w:rsid w:val="00290E5F"/>
    <w:rsid w:val="00291451"/>
    <w:rsid w:val="0029279F"/>
    <w:rsid w:val="00294330"/>
    <w:rsid w:val="0029460D"/>
    <w:rsid w:val="00294C49"/>
    <w:rsid w:val="002964D4"/>
    <w:rsid w:val="002976B9"/>
    <w:rsid w:val="00297FE9"/>
    <w:rsid w:val="002A11D5"/>
    <w:rsid w:val="002A3D0F"/>
    <w:rsid w:val="002A4522"/>
    <w:rsid w:val="002A5D2A"/>
    <w:rsid w:val="002A7D08"/>
    <w:rsid w:val="002A7E74"/>
    <w:rsid w:val="002B14CB"/>
    <w:rsid w:val="002B1DE0"/>
    <w:rsid w:val="002B276D"/>
    <w:rsid w:val="002B494C"/>
    <w:rsid w:val="002B7E28"/>
    <w:rsid w:val="002C1DA9"/>
    <w:rsid w:val="002C2884"/>
    <w:rsid w:val="002C39A4"/>
    <w:rsid w:val="002C4E28"/>
    <w:rsid w:val="002C5194"/>
    <w:rsid w:val="002C61DC"/>
    <w:rsid w:val="002C7C6F"/>
    <w:rsid w:val="002D0CFE"/>
    <w:rsid w:val="002D3FF9"/>
    <w:rsid w:val="002D413D"/>
    <w:rsid w:val="002D50B2"/>
    <w:rsid w:val="002D55BF"/>
    <w:rsid w:val="002D5D81"/>
    <w:rsid w:val="002D5E92"/>
    <w:rsid w:val="002D60B0"/>
    <w:rsid w:val="002D628F"/>
    <w:rsid w:val="002D69CB"/>
    <w:rsid w:val="002E0C4C"/>
    <w:rsid w:val="002E3C68"/>
    <w:rsid w:val="002E597D"/>
    <w:rsid w:val="002E60F7"/>
    <w:rsid w:val="002E7B43"/>
    <w:rsid w:val="002F06C9"/>
    <w:rsid w:val="002F2CE3"/>
    <w:rsid w:val="002F3B23"/>
    <w:rsid w:val="002F3B97"/>
    <w:rsid w:val="002F3D93"/>
    <w:rsid w:val="002F448C"/>
    <w:rsid w:val="002F5688"/>
    <w:rsid w:val="003006A4"/>
    <w:rsid w:val="00301CCE"/>
    <w:rsid w:val="003029CA"/>
    <w:rsid w:val="00302BA6"/>
    <w:rsid w:val="00302CEB"/>
    <w:rsid w:val="003035AA"/>
    <w:rsid w:val="003047B6"/>
    <w:rsid w:val="00304873"/>
    <w:rsid w:val="00307708"/>
    <w:rsid w:val="00307CFB"/>
    <w:rsid w:val="003109C2"/>
    <w:rsid w:val="003110B0"/>
    <w:rsid w:val="00312A00"/>
    <w:rsid w:val="00312E22"/>
    <w:rsid w:val="00315A04"/>
    <w:rsid w:val="00316F72"/>
    <w:rsid w:val="00317E80"/>
    <w:rsid w:val="0032291F"/>
    <w:rsid w:val="003243FB"/>
    <w:rsid w:val="0032772D"/>
    <w:rsid w:val="00330187"/>
    <w:rsid w:val="00331086"/>
    <w:rsid w:val="00331A13"/>
    <w:rsid w:val="00332A44"/>
    <w:rsid w:val="00333044"/>
    <w:rsid w:val="003334C3"/>
    <w:rsid w:val="00333546"/>
    <w:rsid w:val="00333D57"/>
    <w:rsid w:val="003344DF"/>
    <w:rsid w:val="00334532"/>
    <w:rsid w:val="003345E5"/>
    <w:rsid w:val="00334636"/>
    <w:rsid w:val="0033550E"/>
    <w:rsid w:val="003357D7"/>
    <w:rsid w:val="00337CA3"/>
    <w:rsid w:val="00340D2E"/>
    <w:rsid w:val="00342B5B"/>
    <w:rsid w:val="0035582E"/>
    <w:rsid w:val="00356A8D"/>
    <w:rsid w:val="00357235"/>
    <w:rsid w:val="00360DF1"/>
    <w:rsid w:val="00361765"/>
    <w:rsid w:val="00362CA2"/>
    <w:rsid w:val="00362D8A"/>
    <w:rsid w:val="0036416A"/>
    <w:rsid w:val="00370DD4"/>
    <w:rsid w:val="00371B6B"/>
    <w:rsid w:val="00372028"/>
    <w:rsid w:val="003721FC"/>
    <w:rsid w:val="00372A73"/>
    <w:rsid w:val="0037387B"/>
    <w:rsid w:val="00373CF8"/>
    <w:rsid w:val="00375A61"/>
    <w:rsid w:val="003768A8"/>
    <w:rsid w:val="00376904"/>
    <w:rsid w:val="00376CFD"/>
    <w:rsid w:val="00377A0B"/>
    <w:rsid w:val="0038013D"/>
    <w:rsid w:val="003804D2"/>
    <w:rsid w:val="0038088E"/>
    <w:rsid w:val="003819B1"/>
    <w:rsid w:val="00383332"/>
    <w:rsid w:val="003848DF"/>
    <w:rsid w:val="003855DB"/>
    <w:rsid w:val="0038619B"/>
    <w:rsid w:val="003863B9"/>
    <w:rsid w:val="00393358"/>
    <w:rsid w:val="00393FA8"/>
    <w:rsid w:val="003949B8"/>
    <w:rsid w:val="0039625F"/>
    <w:rsid w:val="00396F38"/>
    <w:rsid w:val="00397A16"/>
    <w:rsid w:val="003A0ED7"/>
    <w:rsid w:val="003A1186"/>
    <w:rsid w:val="003A144E"/>
    <w:rsid w:val="003A1D0C"/>
    <w:rsid w:val="003A362B"/>
    <w:rsid w:val="003A40F0"/>
    <w:rsid w:val="003A4350"/>
    <w:rsid w:val="003A5581"/>
    <w:rsid w:val="003A62DD"/>
    <w:rsid w:val="003A6463"/>
    <w:rsid w:val="003B0787"/>
    <w:rsid w:val="003B199B"/>
    <w:rsid w:val="003B30D5"/>
    <w:rsid w:val="003B34B9"/>
    <w:rsid w:val="003B3691"/>
    <w:rsid w:val="003B3C2B"/>
    <w:rsid w:val="003B53EA"/>
    <w:rsid w:val="003B5FD3"/>
    <w:rsid w:val="003B5FDF"/>
    <w:rsid w:val="003B7C01"/>
    <w:rsid w:val="003C08E3"/>
    <w:rsid w:val="003C0FF0"/>
    <w:rsid w:val="003C23B1"/>
    <w:rsid w:val="003C3D01"/>
    <w:rsid w:val="003C42AF"/>
    <w:rsid w:val="003C72C0"/>
    <w:rsid w:val="003C7BD8"/>
    <w:rsid w:val="003D1DA8"/>
    <w:rsid w:val="003D303B"/>
    <w:rsid w:val="003D3568"/>
    <w:rsid w:val="003D4F9C"/>
    <w:rsid w:val="003D5424"/>
    <w:rsid w:val="003D5DF8"/>
    <w:rsid w:val="003D6D8A"/>
    <w:rsid w:val="003D6DCC"/>
    <w:rsid w:val="003D72AE"/>
    <w:rsid w:val="003D7F71"/>
    <w:rsid w:val="003E0149"/>
    <w:rsid w:val="003E3878"/>
    <w:rsid w:val="003E3A52"/>
    <w:rsid w:val="003E3FEC"/>
    <w:rsid w:val="003E4154"/>
    <w:rsid w:val="003E4D18"/>
    <w:rsid w:val="003E5723"/>
    <w:rsid w:val="003E6D36"/>
    <w:rsid w:val="003E723F"/>
    <w:rsid w:val="003F02E1"/>
    <w:rsid w:val="003F27DB"/>
    <w:rsid w:val="003F3B6C"/>
    <w:rsid w:val="003F5A73"/>
    <w:rsid w:val="003F61D3"/>
    <w:rsid w:val="003F6766"/>
    <w:rsid w:val="003F7B28"/>
    <w:rsid w:val="00400995"/>
    <w:rsid w:val="004017A7"/>
    <w:rsid w:val="00403009"/>
    <w:rsid w:val="00403904"/>
    <w:rsid w:val="004041B0"/>
    <w:rsid w:val="0040456B"/>
    <w:rsid w:val="00404F65"/>
    <w:rsid w:val="004057F1"/>
    <w:rsid w:val="00405DD8"/>
    <w:rsid w:val="00407103"/>
    <w:rsid w:val="00411297"/>
    <w:rsid w:val="004113A1"/>
    <w:rsid w:val="00411E8C"/>
    <w:rsid w:val="004126C7"/>
    <w:rsid w:val="0041349D"/>
    <w:rsid w:val="0041460F"/>
    <w:rsid w:val="00414DBF"/>
    <w:rsid w:val="00415246"/>
    <w:rsid w:val="004160E6"/>
    <w:rsid w:val="00416145"/>
    <w:rsid w:val="004169EE"/>
    <w:rsid w:val="0041731B"/>
    <w:rsid w:val="00417E1E"/>
    <w:rsid w:val="00420387"/>
    <w:rsid w:val="00420640"/>
    <w:rsid w:val="00420F89"/>
    <w:rsid w:val="00421625"/>
    <w:rsid w:val="00421A5C"/>
    <w:rsid w:val="00422021"/>
    <w:rsid w:val="00423180"/>
    <w:rsid w:val="00425233"/>
    <w:rsid w:val="00425FA1"/>
    <w:rsid w:val="00426322"/>
    <w:rsid w:val="00426598"/>
    <w:rsid w:val="00427F29"/>
    <w:rsid w:val="00427F83"/>
    <w:rsid w:val="00430861"/>
    <w:rsid w:val="00432294"/>
    <w:rsid w:val="00432FC7"/>
    <w:rsid w:val="00434C7B"/>
    <w:rsid w:val="00435088"/>
    <w:rsid w:val="00436187"/>
    <w:rsid w:val="004361FF"/>
    <w:rsid w:val="00436379"/>
    <w:rsid w:val="004366A4"/>
    <w:rsid w:val="0043731F"/>
    <w:rsid w:val="00437FFD"/>
    <w:rsid w:val="004409EE"/>
    <w:rsid w:val="00441967"/>
    <w:rsid w:val="00441FD5"/>
    <w:rsid w:val="0044451A"/>
    <w:rsid w:val="0044619E"/>
    <w:rsid w:val="00446E71"/>
    <w:rsid w:val="0045001C"/>
    <w:rsid w:val="00451C3B"/>
    <w:rsid w:val="00452829"/>
    <w:rsid w:val="00453977"/>
    <w:rsid w:val="004543A9"/>
    <w:rsid w:val="0045505A"/>
    <w:rsid w:val="004568B2"/>
    <w:rsid w:val="00456D4C"/>
    <w:rsid w:val="00457317"/>
    <w:rsid w:val="00457F35"/>
    <w:rsid w:val="00460B97"/>
    <w:rsid w:val="00461BCE"/>
    <w:rsid w:val="00462419"/>
    <w:rsid w:val="004626F1"/>
    <w:rsid w:val="0046285A"/>
    <w:rsid w:val="00463AF0"/>
    <w:rsid w:val="00465B3A"/>
    <w:rsid w:val="00466966"/>
    <w:rsid w:val="0047077E"/>
    <w:rsid w:val="00470947"/>
    <w:rsid w:val="00471367"/>
    <w:rsid w:val="00472B24"/>
    <w:rsid w:val="00473044"/>
    <w:rsid w:val="00474E3F"/>
    <w:rsid w:val="004767A2"/>
    <w:rsid w:val="00480745"/>
    <w:rsid w:val="00480AAB"/>
    <w:rsid w:val="00481A61"/>
    <w:rsid w:val="00482695"/>
    <w:rsid w:val="0048781D"/>
    <w:rsid w:val="00490E00"/>
    <w:rsid w:val="00490FF0"/>
    <w:rsid w:val="004913B1"/>
    <w:rsid w:val="00491B86"/>
    <w:rsid w:val="00491D5B"/>
    <w:rsid w:val="00492C63"/>
    <w:rsid w:val="00492F74"/>
    <w:rsid w:val="00493046"/>
    <w:rsid w:val="0049346A"/>
    <w:rsid w:val="00493961"/>
    <w:rsid w:val="00493A69"/>
    <w:rsid w:val="00493C7F"/>
    <w:rsid w:val="00494B77"/>
    <w:rsid w:val="004A0CF0"/>
    <w:rsid w:val="004A1C19"/>
    <w:rsid w:val="004A2AED"/>
    <w:rsid w:val="004A32B1"/>
    <w:rsid w:val="004A38EB"/>
    <w:rsid w:val="004A3C6C"/>
    <w:rsid w:val="004B2CB2"/>
    <w:rsid w:val="004B330C"/>
    <w:rsid w:val="004B403F"/>
    <w:rsid w:val="004B5796"/>
    <w:rsid w:val="004B57DE"/>
    <w:rsid w:val="004B5874"/>
    <w:rsid w:val="004B5DE2"/>
    <w:rsid w:val="004B6047"/>
    <w:rsid w:val="004B720B"/>
    <w:rsid w:val="004C0EA0"/>
    <w:rsid w:val="004C3A72"/>
    <w:rsid w:val="004C406F"/>
    <w:rsid w:val="004C4A2E"/>
    <w:rsid w:val="004C587B"/>
    <w:rsid w:val="004C6197"/>
    <w:rsid w:val="004C6D96"/>
    <w:rsid w:val="004D0C66"/>
    <w:rsid w:val="004D281D"/>
    <w:rsid w:val="004D3A72"/>
    <w:rsid w:val="004D4033"/>
    <w:rsid w:val="004D409E"/>
    <w:rsid w:val="004D59FE"/>
    <w:rsid w:val="004D6280"/>
    <w:rsid w:val="004D78EB"/>
    <w:rsid w:val="004D7DA8"/>
    <w:rsid w:val="004D7DAD"/>
    <w:rsid w:val="004E0D94"/>
    <w:rsid w:val="004E1516"/>
    <w:rsid w:val="004E1CDE"/>
    <w:rsid w:val="004E32D3"/>
    <w:rsid w:val="004E42A9"/>
    <w:rsid w:val="004E5569"/>
    <w:rsid w:val="004E6624"/>
    <w:rsid w:val="004E6D20"/>
    <w:rsid w:val="004F0051"/>
    <w:rsid w:val="004F087E"/>
    <w:rsid w:val="004F09CA"/>
    <w:rsid w:val="004F3810"/>
    <w:rsid w:val="004F719F"/>
    <w:rsid w:val="004F7844"/>
    <w:rsid w:val="00500857"/>
    <w:rsid w:val="00500BC4"/>
    <w:rsid w:val="00504240"/>
    <w:rsid w:val="005056E2"/>
    <w:rsid w:val="005073A9"/>
    <w:rsid w:val="005101C1"/>
    <w:rsid w:val="0051084A"/>
    <w:rsid w:val="00511B15"/>
    <w:rsid w:val="0051229F"/>
    <w:rsid w:val="005131FF"/>
    <w:rsid w:val="005145FD"/>
    <w:rsid w:val="00517CEB"/>
    <w:rsid w:val="00517FB6"/>
    <w:rsid w:val="00521BDD"/>
    <w:rsid w:val="00523814"/>
    <w:rsid w:val="00524CFF"/>
    <w:rsid w:val="005252DA"/>
    <w:rsid w:val="00525B77"/>
    <w:rsid w:val="00525F5F"/>
    <w:rsid w:val="00526F02"/>
    <w:rsid w:val="00527EFA"/>
    <w:rsid w:val="005317AB"/>
    <w:rsid w:val="00531F45"/>
    <w:rsid w:val="00532744"/>
    <w:rsid w:val="00532F23"/>
    <w:rsid w:val="00533754"/>
    <w:rsid w:val="005342B4"/>
    <w:rsid w:val="0053439D"/>
    <w:rsid w:val="005347D5"/>
    <w:rsid w:val="00535ECE"/>
    <w:rsid w:val="00537CE1"/>
    <w:rsid w:val="00537DE6"/>
    <w:rsid w:val="00540534"/>
    <w:rsid w:val="00541576"/>
    <w:rsid w:val="005418F0"/>
    <w:rsid w:val="00541A10"/>
    <w:rsid w:val="00542CCC"/>
    <w:rsid w:val="00542D0C"/>
    <w:rsid w:val="00543B99"/>
    <w:rsid w:val="005444BF"/>
    <w:rsid w:val="00545BA3"/>
    <w:rsid w:val="00545F5E"/>
    <w:rsid w:val="0054633D"/>
    <w:rsid w:val="00547A0B"/>
    <w:rsid w:val="00547CB0"/>
    <w:rsid w:val="00552826"/>
    <w:rsid w:val="00554100"/>
    <w:rsid w:val="005550E4"/>
    <w:rsid w:val="00555AE2"/>
    <w:rsid w:val="005572F6"/>
    <w:rsid w:val="0056099C"/>
    <w:rsid w:val="00561B16"/>
    <w:rsid w:val="0056238D"/>
    <w:rsid w:val="00562E74"/>
    <w:rsid w:val="00563EB9"/>
    <w:rsid w:val="005641BB"/>
    <w:rsid w:val="00564D93"/>
    <w:rsid w:val="00565D5E"/>
    <w:rsid w:val="00565F38"/>
    <w:rsid w:val="00566249"/>
    <w:rsid w:val="00567531"/>
    <w:rsid w:val="00567579"/>
    <w:rsid w:val="0056784A"/>
    <w:rsid w:val="00570235"/>
    <w:rsid w:val="0057069E"/>
    <w:rsid w:val="00572F4A"/>
    <w:rsid w:val="00576398"/>
    <w:rsid w:val="00576413"/>
    <w:rsid w:val="0058009D"/>
    <w:rsid w:val="005801D1"/>
    <w:rsid w:val="005801E0"/>
    <w:rsid w:val="00580AED"/>
    <w:rsid w:val="00581BE8"/>
    <w:rsid w:val="00581F2B"/>
    <w:rsid w:val="00582FE2"/>
    <w:rsid w:val="005831B6"/>
    <w:rsid w:val="00583983"/>
    <w:rsid w:val="00586FCB"/>
    <w:rsid w:val="005875B8"/>
    <w:rsid w:val="0059428E"/>
    <w:rsid w:val="0059484F"/>
    <w:rsid w:val="005974FC"/>
    <w:rsid w:val="005A121F"/>
    <w:rsid w:val="005A1262"/>
    <w:rsid w:val="005A16D9"/>
    <w:rsid w:val="005A1D19"/>
    <w:rsid w:val="005A2488"/>
    <w:rsid w:val="005A280F"/>
    <w:rsid w:val="005A2F59"/>
    <w:rsid w:val="005A3DB5"/>
    <w:rsid w:val="005A4B67"/>
    <w:rsid w:val="005A5ABC"/>
    <w:rsid w:val="005A6A3E"/>
    <w:rsid w:val="005A6C2D"/>
    <w:rsid w:val="005A797A"/>
    <w:rsid w:val="005B0502"/>
    <w:rsid w:val="005B0F2B"/>
    <w:rsid w:val="005B1736"/>
    <w:rsid w:val="005B1E23"/>
    <w:rsid w:val="005B224D"/>
    <w:rsid w:val="005B3277"/>
    <w:rsid w:val="005B357B"/>
    <w:rsid w:val="005B3A9D"/>
    <w:rsid w:val="005B545A"/>
    <w:rsid w:val="005B5662"/>
    <w:rsid w:val="005B6073"/>
    <w:rsid w:val="005B6FD0"/>
    <w:rsid w:val="005B7C52"/>
    <w:rsid w:val="005C0581"/>
    <w:rsid w:val="005C3749"/>
    <w:rsid w:val="005C4CBF"/>
    <w:rsid w:val="005C4F27"/>
    <w:rsid w:val="005C599B"/>
    <w:rsid w:val="005C5C16"/>
    <w:rsid w:val="005C7299"/>
    <w:rsid w:val="005D030E"/>
    <w:rsid w:val="005D076C"/>
    <w:rsid w:val="005D0A01"/>
    <w:rsid w:val="005D0C54"/>
    <w:rsid w:val="005D0D2A"/>
    <w:rsid w:val="005D212C"/>
    <w:rsid w:val="005D25CF"/>
    <w:rsid w:val="005D3141"/>
    <w:rsid w:val="005D3272"/>
    <w:rsid w:val="005D3AD8"/>
    <w:rsid w:val="005D43AE"/>
    <w:rsid w:val="005D4871"/>
    <w:rsid w:val="005D4E49"/>
    <w:rsid w:val="005D50EE"/>
    <w:rsid w:val="005D5C77"/>
    <w:rsid w:val="005D6EC3"/>
    <w:rsid w:val="005D6F8A"/>
    <w:rsid w:val="005D7F37"/>
    <w:rsid w:val="005E0C3B"/>
    <w:rsid w:val="005E11ED"/>
    <w:rsid w:val="005E1461"/>
    <w:rsid w:val="005E1F46"/>
    <w:rsid w:val="005E27A1"/>
    <w:rsid w:val="005E2B08"/>
    <w:rsid w:val="005E531E"/>
    <w:rsid w:val="005E582A"/>
    <w:rsid w:val="005E6893"/>
    <w:rsid w:val="005E7800"/>
    <w:rsid w:val="005E7B8C"/>
    <w:rsid w:val="005F0AED"/>
    <w:rsid w:val="005F0E59"/>
    <w:rsid w:val="005F103E"/>
    <w:rsid w:val="005F2D8F"/>
    <w:rsid w:val="005F2DE3"/>
    <w:rsid w:val="005F536E"/>
    <w:rsid w:val="005F5845"/>
    <w:rsid w:val="005F622F"/>
    <w:rsid w:val="005F79E2"/>
    <w:rsid w:val="00600A92"/>
    <w:rsid w:val="006038EE"/>
    <w:rsid w:val="00604A67"/>
    <w:rsid w:val="00604DDC"/>
    <w:rsid w:val="00605F10"/>
    <w:rsid w:val="00606413"/>
    <w:rsid w:val="006068DF"/>
    <w:rsid w:val="0060727B"/>
    <w:rsid w:val="00607490"/>
    <w:rsid w:val="00607D00"/>
    <w:rsid w:val="00610111"/>
    <w:rsid w:val="006115EE"/>
    <w:rsid w:val="00611BE5"/>
    <w:rsid w:val="0061210F"/>
    <w:rsid w:val="00614101"/>
    <w:rsid w:val="0061517D"/>
    <w:rsid w:val="006176B5"/>
    <w:rsid w:val="006201C9"/>
    <w:rsid w:val="00621323"/>
    <w:rsid w:val="0062186D"/>
    <w:rsid w:val="00622E7C"/>
    <w:rsid w:val="00623D22"/>
    <w:rsid w:val="00623F6A"/>
    <w:rsid w:val="006244B7"/>
    <w:rsid w:val="006265A2"/>
    <w:rsid w:val="006318E3"/>
    <w:rsid w:val="00632AAF"/>
    <w:rsid w:val="00632E9C"/>
    <w:rsid w:val="00633473"/>
    <w:rsid w:val="00633F09"/>
    <w:rsid w:val="00634C1D"/>
    <w:rsid w:val="0063570C"/>
    <w:rsid w:val="006366B9"/>
    <w:rsid w:val="00637434"/>
    <w:rsid w:val="00640CD5"/>
    <w:rsid w:val="00640EAF"/>
    <w:rsid w:val="0064280C"/>
    <w:rsid w:val="0064393A"/>
    <w:rsid w:val="0064472B"/>
    <w:rsid w:val="00645A26"/>
    <w:rsid w:val="00646518"/>
    <w:rsid w:val="00646770"/>
    <w:rsid w:val="00646A04"/>
    <w:rsid w:val="00652810"/>
    <w:rsid w:val="00653AA4"/>
    <w:rsid w:val="00654137"/>
    <w:rsid w:val="006545E7"/>
    <w:rsid w:val="00654A0B"/>
    <w:rsid w:val="006560F6"/>
    <w:rsid w:val="00657BE4"/>
    <w:rsid w:val="0066066E"/>
    <w:rsid w:val="00660D90"/>
    <w:rsid w:val="00665D60"/>
    <w:rsid w:val="00672108"/>
    <w:rsid w:val="0067488A"/>
    <w:rsid w:val="00677E55"/>
    <w:rsid w:val="006806EF"/>
    <w:rsid w:val="00680F8D"/>
    <w:rsid w:val="00681E83"/>
    <w:rsid w:val="00682FF6"/>
    <w:rsid w:val="006835D8"/>
    <w:rsid w:val="0068391E"/>
    <w:rsid w:val="00685935"/>
    <w:rsid w:val="00685B84"/>
    <w:rsid w:val="00685F61"/>
    <w:rsid w:val="00686B18"/>
    <w:rsid w:val="00693301"/>
    <w:rsid w:val="00694E61"/>
    <w:rsid w:val="00695E77"/>
    <w:rsid w:val="00696CD8"/>
    <w:rsid w:val="00697793"/>
    <w:rsid w:val="00697797"/>
    <w:rsid w:val="006A040A"/>
    <w:rsid w:val="006A30FD"/>
    <w:rsid w:val="006A3BC8"/>
    <w:rsid w:val="006A3E5E"/>
    <w:rsid w:val="006A42CF"/>
    <w:rsid w:val="006A5482"/>
    <w:rsid w:val="006A64E0"/>
    <w:rsid w:val="006B0B94"/>
    <w:rsid w:val="006B0ED0"/>
    <w:rsid w:val="006B0EDA"/>
    <w:rsid w:val="006B244E"/>
    <w:rsid w:val="006B2684"/>
    <w:rsid w:val="006B29B2"/>
    <w:rsid w:val="006B3389"/>
    <w:rsid w:val="006B39B8"/>
    <w:rsid w:val="006B3A20"/>
    <w:rsid w:val="006B4747"/>
    <w:rsid w:val="006B4A24"/>
    <w:rsid w:val="006B53AC"/>
    <w:rsid w:val="006B6F5C"/>
    <w:rsid w:val="006B7A47"/>
    <w:rsid w:val="006C0410"/>
    <w:rsid w:val="006C2EAF"/>
    <w:rsid w:val="006C2F39"/>
    <w:rsid w:val="006C3E11"/>
    <w:rsid w:val="006C51BD"/>
    <w:rsid w:val="006C5204"/>
    <w:rsid w:val="006C67A8"/>
    <w:rsid w:val="006C6C32"/>
    <w:rsid w:val="006D2B9D"/>
    <w:rsid w:val="006D3EFC"/>
    <w:rsid w:val="006D4D37"/>
    <w:rsid w:val="006D5DA3"/>
    <w:rsid w:val="006D63A9"/>
    <w:rsid w:val="006D744A"/>
    <w:rsid w:val="006D74DA"/>
    <w:rsid w:val="006D75AF"/>
    <w:rsid w:val="006E0774"/>
    <w:rsid w:val="006E4D34"/>
    <w:rsid w:val="006E5786"/>
    <w:rsid w:val="006E6A84"/>
    <w:rsid w:val="006E7A2A"/>
    <w:rsid w:val="006F0214"/>
    <w:rsid w:val="006F027F"/>
    <w:rsid w:val="006F03F7"/>
    <w:rsid w:val="006F192E"/>
    <w:rsid w:val="006F1B6C"/>
    <w:rsid w:val="006F6424"/>
    <w:rsid w:val="00701289"/>
    <w:rsid w:val="00702902"/>
    <w:rsid w:val="00702E89"/>
    <w:rsid w:val="00704F86"/>
    <w:rsid w:val="00704FFB"/>
    <w:rsid w:val="0070508F"/>
    <w:rsid w:val="007060B1"/>
    <w:rsid w:val="007062CE"/>
    <w:rsid w:val="00706D86"/>
    <w:rsid w:val="007072A6"/>
    <w:rsid w:val="00707A72"/>
    <w:rsid w:val="00707C25"/>
    <w:rsid w:val="00710436"/>
    <w:rsid w:val="0071082E"/>
    <w:rsid w:val="00711098"/>
    <w:rsid w:val="00712051"/>
    <w:rsid w:val="007133EE"/>
    <w:rsid w:val="0071496D"/>
    <w:rsid w:val="00714BB0"/>
    <w:rsid w:val="0071591E"/>
    <w:rsid w:val="007168A9"/>
    <w:rsid w:val="00717D1D"/>
    <w:rsid w:val="00720B43"/>
    <w:rsid w:val="007215A7"/>
    <w:rsid w:val="00722ED6"/>
    <w:rsid w:val="0072447E"/>
    <w:rsid w:val="00724A7E"/>
    <w:rsid w:val="00726B59"/>
    <w:rsid w:val="00726D01"/>
    <w:rsid w:val="00731580"/>
    <w:rsid w:val="007324CD"/>
    <w:rsid w:val="00732B5A"/>
    <w:rsid w:val="00732F3B"/>
    <w:rsid w:val="00735D55"/>
    <w:rsid w:val="00736253"/>
    <w:rsid w:val="00740F6E"/>
    <w:rsid w:val="00741754"/>
    <w:rsid w:val="00743467"/>
    <w:rsid w:val="00743810"/>
    <w:rsid w:val="00743885"/>
    <w:rsid w:val="00743CB0"/>
    <w:rsid w:val="007469E3"/>
    <w:rsid w:val="007478AE"/>
    <w:rsid w:val="00750088"/>
    <w:rsid w:val="0075068B"/>
    <w:rsid w:val="00751069"/>
    <w:rsid w:val="00751728"/>
    <w:rsid w:val="00751B8B"/>
    <w:rsid w:val="00751D53"/>
    <w:rsid w:val="00751F11"/>
    <w:rsid w:val="0075257E"/>
    <w:rsid w:val="00755297"/>
    <w:rsid w:val="00755389"/>
    <w:rsid w:val="00755F52"/>
    <w:rsid w:val="00756CA8"/>
    <w:rsid w:val="007601D9"/>
    <w:rsid w:val="00760668"/>
    <w:rsid w:val="00760EA6"/>
    <w:rsid w:val="00761F7D"/>
    <w:rsid w:val="0076249E"/>
    <w:rsid w:val="00762BA1"/>
    <w:rsid w:val="007648E5"/>
    <w:rsid w:val="00764BF3"/>
    <w:rsid w:val="0076517B"/>
    <w:rsid w:val="00765B70"/>
    <w:rsid w:val="0076600E"/>
    <w:rsid w:val="00766265"/>
    <w:rsid w:val="00766870"/>
    <w:rsid w:val="00767112"/>
    <w:rsid w:val="007703A3"/>
    <w:rsid w:val="00770881"/>
    <w:rsid w:val="00770888"/>
    <w:rsid w:val="00772C59"/>
    <w:rsid w:val="00774277"/>
    <w:rsid w:val="00775F3A"/>
    <w:rsid w:val="007777F8"/>
    <w:rsid w:val="007832BF"/>
    <w:rsid w:val="0078399A"/>
    <w:rsid w:val="00783C3E"/>
    <w:rsid w:val="007848E8"/>
    <w:rsid w:val="00785038"/>
    <w:rsid w:val="007851BF"/>
    <w:rsid w:val="007860B9"/>
    <w:rsid w:val="007867C3"/>
    <w:rsid w:val="00787E48"/>
    <w:rsid w:val="00790BE6"/>
    <w:rsid w:val="007914DC"/>
    <w:rsid w:val="00793671"/>
    <w:rsid w:val="007936E8"/>
    <w:rsid w:val="007940F0"/>
    <w:rsid w:val="007948D7"/>
    <w:rsid w:val="00795536"/>
    <w:rsid w:val="0079582C"/>
    <w:rsid w:val="00795D93"/>
    <w:rsid w:val="00796557"/>
    <w:rsid w:val="00796567"/>
    <w:rsid w:val="00797581"/>
    <w:rsid w:val="00797945"/>
    <w:rsid w:val="007A08AB"/>
    <w:rsid w:val="007A2DB0"/>
    <w:rsid w:val="007A5FBA"/>
    <w:rsid w:val="007A6453"/>
    <w:rsid w:val="007A70D8"/>
    <w:rsid w:val="007A7A40"/>
    <w:rsid w:val="007B0AD5"/>
    <w:rsid w:val="007B0AE2"/>
    <w:rsid w:val="007B2FD8"/>
    <w:rsid w:val="007B3F46"/>
    <w:rsid w:val="007B4358"/>
    <w:rsid w:val="007B679A"/>
    <w:rsid w:val="007B6A7D"/>
    <w:rsid w:val="007B7030"/>
    <w:rsid w:val="007B73B8"/>
    <w:rsid w:val="007B77FC"/>
    <w:rsid w:val="007C0725"/>
    <w:rsid w:val="007C1987"/>
    <w:rsid w:val="007C2768"/>
    <w:rsid w:val="007C2DA9"/>
    <w:rsid w:val="007C33C0"/>
    <w:rsid w:val="007C6B63"/>
    <w:rsid w:val="007C6CBF"/>
    <w:rsid w:val="007C6E82"/>
    <w:rsid w:val="007C7964"/>
    <w:rsid w:val="007D00A5"/>
    <w:rsid w:val="007D1C01"/>
    <w:rsid w:val="007D228B"/>
    <w:rsid w:val="007D3D6D"/>
    <w:rsid w:val="007D3F1B"/>
    <w:rsid w:val="007D4ACD"/>
    <w:rsid w:val="007D5C26"/>
    <w:rsid w:val="007D6867"/>
    <w:rsid w:val="007E0510"/>
    <w:rsid w:val="007E125F"/>
    <w:rsid w:val="007E26A5"/>
    <w:rsid w:val="007E4C03"/>
    <w:rsid w:val="007E4EBE"/>
    <w:rsid w:val="007E4F3F"/>
    <w:rsid w:val="007E6795"/>
    <w:rsid w:val="007E6CB9"/>
    <w:rsid w:val="007F0ED1"/>
    <w:rsid w:val="007F20E7"/>
    <w:rsid w:val="007F4506"/>
    <w:rsid w:val="007F47E5"/>
    <w:rsid w:val="007F4AB7"/>
    <w:rsid w:val="007F5A5E"/>
    <w:rsid w:val="007F5F0B"/>
    <w:rsid w:val="007F6BF4"/>
    <w:rsid w:val="008011E1"/>
    <w:rsid w:val="00801F7F"/>
    <w:rsid w:val="00801F83"/>
    <w:rsid w:val="0080285B"/>
    <w:rsid w:val="00803664"/>
    <w:rsid w:val="00803C09"/>
    <w:rsid w:val="0080524E"/>
    <w:rsid w:val="0080589A"/>
    <w:rsid w:val="00805E4D"/>
    <w:rsid w:val="008062DE"/>
    <w:rsid w:val="0081295B"/>
    <w:rsid w:val="008145AA"/>
    <w:rsid w:val="008148E7"/>
    <w:rsid w:val="008151F8"/>
    <w:rsid w:val="0081559C"/>
    <w:rsid w:val="00815C46"/>
    <w:rsid w:val="008172C7"/>
    <w:rsid w:val="00820952"/>
    <w:rsid w:val="0082186E"/>
    <w:rsid w:val="008246A9"/>
    <w:rsid w:val="00824DFF"/>
    <w:rsid w:val="00824E9D"/>
    <w:rsid w:val="008251D7"/>
    <w:rsid w:val="00826418"/>
    <w:rsid w:val="008268A7"/>
    <w:rsid w:val="00826CC7"/>
    <w:rsid w:val="00827108"/>
    <w:rsid w:val="00827217"/>
    <w:rsid w:val="008272BE"/>
    <w:rsid w:val="00827E91"/>
    <w:rsid w:val="00830258"/>
    <w:rsid w:val="008307B5"/>
    <w:rsid w:val="00834654"/>
    <w:rsid w:val="0083475C"/>
    <w:rsid w:val="008355AB"/>
    <w:rsid w:val="00840760"/>
    <w:rsid w:val="0084089B"/>
    <w:rsid w:val="00840E15"/>
    <w:rsid w:val="00842495"/>
    <w:rsid w:val="008432DF"/>
    <w:rsid w:val="00843709"/>
    <w:rsid w:val="008455A8"/>
    <w:rsid w:val="00846B47"/>
    <w:rsid w:val="008502E0"/>
    <w:rsid w:val="0085063D"/>
    <w:rsid w:val="0085125F"/>
    <w:rsid w:val="008513FA"/>
    <w:rsid w:val="00851946"/>
    <w:rsid w:val="00851D5C"/>
    <w:rsid w:val="008526F6"/>
    <w:rsid w:val="00852806"/>
    <w:rsid w:val="0085454D"/>
    <w:rsid w:val="008557D6"/>
    <w:rsid w:val="008572DC"/>
    <w:rsid w:val="00857EFF"/>
    <w:rsid w:val="0086103C"/>
    <w:rsid w:val="008614A8"/>
    <w:rsid w:val="008629CF"/>
    <w:rsid w:val="008636BF"/>
    <w:rsid w:val="00863A58"/>
    <w:rsid w:val="00864885"/>
    <w:rsid w:val="0086557C"/>
    <w:rsid w:val="008661DB"/>
    <w:rsid w:val="00867209"/>
    <w:rsid w:val="008719D6"/>
    <w:rsid w:val="0087261B"/>
    <w:rsid w:val="0087376E"/>
    <w:rsid w:val="00873BA1"/>
    <w:rsid w:val="00873E72"/>
    <w:rsid w:val="00874EB6"/>
    <w:rsid w:val="008764E4"/>
    <w:rsid w:val="00880AF1"/>
    <w:rsid w:val="00880C6F"/>
    <w:rsid w:val="00881093"/>
    <w:rsid w:val="00881BE9"/>
    <w:rsid w:val="008830AE"/>
    <w:rsid w:val="00883967"/>
    <w:rsid w:val="00885D0B"/>
    <w:rsid w:val="00886DDE"/>
    <w:rsid w:val="00886EB0"/>
    <w:rsid w:val="0088741D"/>
    <w:rsid w:val="00887477"/>
    <w:rsid w:val="00887EA7"/>
    <w:rsid w:val="00892253"/>
    <w:rsid w:val="008924EF"/>
    <w:rsid w:val="0089313D"/>
    <w:rsid w:val="00894215"/>
    <w:rsid w:val="00894AA6"/>
    <w:rsid w:val="008972DC"/>
    <w:rsid w:val="008A014A"/>
    <w:rsid w:val="008A0E24"/>
    <w:rsid w:val="008A2124"/>
    <w:rsid w:val="008A2206"/>
    <w:rsid w:val="008A58BA"/>
    <w:rsid w:val="008A66D9"/>
    <w:rsid w:val="008B1266"/>
    <w:rsid w:val="008B136C"/>
    <w:rsid w:val="008B25BC"/>
    <w:rsid w:val="008B2A7E"/>
    <w:rsid w:val="008B3021"/>
    <w:rsid w:val="008B38CD"/>
    <w:rsid w:val="008B3D91"/>
    <w:rsid w:val="008B561F"/>
    <w:rsid w:val="008B5ACE"/>
    <w:rsid w:val="008B611B"/>
    <w:rsid w:val="008B65A0"/>
    <w:rsid w:val="008B6B58"/>
    <w:rsid w:val="008C0FCE"/>
    <w:rsid w:val="008C10D3"/>
    <w:rsid w:val="008C16FF"/>
    <w:rsid w:val="008C2D57"/>
    <w:rsid w:val="008C5628"/>
    <w:rsid w:val="008C5DCB"/>
    <w:rsid w:val="008C69C9"/>
    <w:rsid w:val="008D0D94"/>
    <w:rsid w:val="008D12E9"/>
    <w:rsid w:val="008D18A0"/>
    <w:rsid w:val="008D31A8"/>
    <w:rsid w:val="008D4A23"/>
    <w:rsid w:val="008D4FDB"/>
    <w:rsid w:val="008D5198"/>
    <w:rsid w:val="008D719F"/>
    <w:rsid w:val="008D7604"/>
    <w:rsid w:val="008D79A4"/>
    <w:rsid w:val="008D7CF9"/>
    <w:rsid w:val="008E1FF1"/>
    <w:rsid w:val="008E3E15"/>
    <w:rsid w:val="008E5F9E"/>
    <w:rsid w:val="008E6422"/>
    <w:rsid w:val="008E692F"/>
    <w:rsid w:val="008E6A07"/>
    <w:rsid w:val="008E6BEC"/>
    <w:rsid w:val="008F0857"/>
    <w:rsid w:val="008F1B47"/>
    <w:rsid w:val="008F2022"/>
    <w:rsid w:val="008F26FB"/>
    <w:rsid w:val="008F3A79"/>
    <w:rsid w:val="008F40FF"/>
    <w:rsid w:val="008F7CCF"/>
    <w:rsid w:val="0090054B"/>
    <w:rsid w:val="00900C5E"/>
    <w:rsid w:val="009011A1"/>
    <w:rsid w:val="00902C04"/>
    <w:rsid w:val="009030DC"/>
    <w:rsid w:val="0090531F"/>
    <w:rsid w:val="009069E1"/>
    <w:rsid w:val="0090743E"/>
    <w:rsid w:val="00910E02"/>
    <w:rsid w:val="00911194"/>
    <w:rsid w:val="0091450F"/>
    <w:rsid w:val="009146FD"/>
    <w:rsid w:val="009150D6"/>
    <w:rsid w:val="00915436"/>
    <w:rsid w:val="009160FA"/>
    <w:rsid w:val="009163C1"/>
    <w:rsid w:val="00916A1C"/>
    <w:rsid w:val="009175E2"/>
    <w:rsid w:val="009178D9"/>
    <w:rsid w:val="00917D35"/>
    <w:rsid w:val="00920FEE"/>
    <w:rsid w:val="00921064"/>
    <w:rsid w:val="00921121"/>
    <w:rsid w:val="00922E33"/>
    <w:rsid w:val="00923503"/>
    <w:rsid w:val="00923D72"/>
    <w:rsid w:val="00926D63"/>
    <w:rsid w:val="009271C3"/>
    <w:rsid w:val="00932915"/>
    <w:rsid w:val="009333AB"/>
    <w:rsid w:val="00933AB6"/>
    <w:rsid w:val="00935B2A"/>
    <w:rsid w:val="009372F3"/>
    <w:rsid w:val="00937C7A"/>
    <w:rsid w:val="0094021E"/>
    <w:rsid w:val="0094116E"/>
    <w:rsid w:val="00941534"/>
    <w:rsid w:val="00941A27"/>
    <w:rsid w:val="00942D75"/>
    <w:rsid w:val="009437F3"/>
    <w:rsid w:val="00944954"/>
    <w:rsid w:val="009461F9"/>
    <w:rsid w:val="00947A73"/>
    <w:rsid w:val="00947CC7"/>
    <w:rsid w:val="00952843"/>
    <w:rsid w:val="00952C78"/>
    <w:rsid w:val="009532CF"/>
    <w:rsid w:val="009549B3"/>
    <w:rsid w:val="00954C37"/>
    <w:rsid w:val="00955F32"/>
    <w:rsid w:val="00955FD9"/>
    <w:rsid w:val="0095666B"/>
    <w:rsid w:val="009566DB"/>
    <w:rsid w:val="00957720"/>
    <w:rsid w:val="00961CAF"/>
    <w:rsid w:val="00961EDE"/>
    <w:rsid w:val="00963341"/>
    <w:rsid w:val="00963460"/>
    <w:rsid w:val="0096349A"/>
    <w:rsid w:val="009639BD"/>
    <w:rsid w:val="00963ACE"/>
    <w:rsid w:val="00963DC8"/>
    <w:rsid w:val="00966AC1"/>
    <w:rsid w:val="009676C2"/>
    <w:rsid w:val="00967872"/>
    <w:rsid w:val="00971880"/>
    <w:rsid w:val="00972434"/>
    <w:rsid w:val="009758E9"/>
    <w:rsid w:val="00975EAA"/>
    <w:rsid w:val="00976097"/>
    <w:rsid w:val="0098052D"/>
    <w:rsid w:val="00980F4C"/>
    <w:rsid w:val="00981046"/>
    <w:rsid w:val="0098194E"/>
    <w:rsid w:val="009828BF"/>
    <w:rsid w:val="009828E4"/>
    <w:rsid w:val="00983139"/>
    <w:rsid w:val="00984409"/>
    <w:rsid w:val="00984763"/>
    <w:rsid w:val="00985509"/>
    <w:rsid w:val="009857B1"/>
    <w:rsid w:val="00985AD2"/>
    <w:rsid w:val="009862A0"/>
    <w:rsid w:val="0098634E"/>
    <w:rsid w:val="00986E4E"/>
    <w:rsid w:val="009871E6"/>
    <w:rsid w:val="009901E0"/>
    <w:rsid w:val="00991741"/>
    <w:rsid w:val="00992027"/>
    <w:rsid w:val="00992CB8"/>
    <w:rsid w:val="009930D6"/>
    <w:rsid w:val="00993C82"/>
    <w:rsid w:val="009947E6"/>
    <w:rsid w:val="00995EBF"/>
    <w:rsid w:val="009A0A29"/>
    <w:rsid w:val="009A3C53"/>
    <w:rsid w:val="009A40A7"/>
    <w:rsid w:val="009A6F29"/>
    <w:rsid w:val="009B0021"/>
    <w:rsid w:val="009B3E56"/>
    <w:rsid w:val="009B6CBA"/>
    <w:rsid w:val="009C26B1"/>
    <w:rsid w:val="009C5305"/>
    <w:rsid w:val="009D0901"/>
    <w:rsid w:val="009D297F"/>
    <w:rsid w:val="009D3438"/>
    <w:rsid w:val="009D3730"/>
    <w:rsid w:val="009D462D"/>
    <w:rsid w:val="009D474D"/>
    <w:rsid w:val="009D4CC6"/>
    <w:rsid w:val="009D4D06"/>
    <w:rsid w:val="009D7FAC"/>
    <w:rsid w:val="009E0478"/>
    <w:rsid w:val="009E04F6"/>
    <w:rsid w:val="009E47E6"/>
    <w:rsid w:val="009E5186"/>
    <w:rsid w:val="009E6164"/>
    <w:rsid w:val="009E67AD"/>
    <w:rsid w:val="009E6AE9"/>
    <w:rsid w:val="009F0934"/>
    <w:rsid w:val="009F28E1"/>
    <w:rsid w:val="009F2CF4"/>
    <w:rsid w:val="009F2EEB"/>
    <w:rsid w:val="009F4514"/>
    <w:rsid w:val="009F4F34"/>
    <w:rsid w:val="009F6AFA"/>
    <w:rsid w:val="009F7CCD"/>
    <w:rsid w:val="00A00A31"/>
    <w:rsid w:val="00A00A84"/>
    <w:rsid w:val="00A014F0"/>
    <w:rsid w:val="00A019FB"/>
    <w:rsid w:val="00A020B0"/>
    <w:rsid w:val="00A0267D"/>
    <w:rsid w:val="00A03948"/>
    <w:rsid w:val="00A04296"/>
    <w:rsid w:val="00A049CB"/>
    <w:rsid w:val="00A079C1"/>
    <w:rsid w:val="00A11BB8"/>
    <w:rsid w:val="00A1224D"/>
    <w:rsid w:val="00A13083"/>
    <w:rsid w:val="00A13737"/>
    <w:rsid w:val="00A1466F"/>
    <w:rsid w:val="00A172DF"/>
    <w:rsid w:val="00A20188"/>
    <w:rsid w:val="00A20FDE"/>
    <w:rsid w:val="00A21421"/>
    <w:rsid w:val="00A21B04"/>
    <w:rsid w:val="00A23ABC"/>
    <w:rsid w:val="00A25275"/>
    <w:rsid w:val="00A2667A"/>
    <w:rsid w:val="00A27F25"/>
    <w:rsid w:val="00A31222"/>
    <w:rsid w:val="00A3190A"/>
    <w:rsid w:val="00A319D2"/>
    <w:rsid w:val="00A31AE5"/>
    <w:rsid w:val="00A31B5E"/>
    <w:rsid w:val="00A31E7A"/>
    <w:rsid w:val="00A327AD"/>
    <w:rsid w:val="00A33042"/>
    <w:rsid w:val="00A3442F"/>
    <w:rsid w:val="00A357A7"/>
    <w:rsid w:val="00A3631A"/>
    <w:rsid w:val="00A37257"/>
    <w:rsid w:val="00A37905"/>
    <w:rsid w:val="00A40F19"/>
    <w:rsid w:val="00A41D78"/>
    <w:rsid w:val="00A43499"/>
    <w:rsid w:val="00A43887"/>
    <w:rsid w:val="00A44473"/>
    <w:rsid w:val="00A46134"/>
    <w:rsid w:val="00A4661D"/>
    <w:rsid w:val="00A50E1E"/>
    <w:rsid w:val="00A51430"/>
    <w:rsid w:val="00A55E7B"/>
    <w:rsid w:val="00A55F4F"/>
    <w:rsid w:val="00A57FFA"/>
    <w:rsid w:val="00A60174"/>
    <w:rsid w:val="00A603EC"/>
    <w:rsid w:val="00A61E38"/>
    <w:rsid w:val="00A63CE3"/>
    <w:rsid w:val="00A6535E"/>
    <w:rsid w:val="00A65C38"/>
    <w:rsid w:val="00A66837"/>
    <w:rsid w:val="00A66C29"/>
    <w:rsid w:val="00A67F4F"/>
    <w:rsid w:val="00A71498"/>
    <w:rsid w:val="00A719C0"/>
    <w:rsid w:val="00A7334C"/>
    <w:rsid w:val="00A73417"/>
    <w:rsid w:val="00A73C8F"/>
    <w:rsid w:val="00A73E0F"/>
    <w:rsid w:val="00A760E6"/>
    <w:rsid w:val="00A76FB9"/>
    <w:rsid w:val="00A80565"/>
    <w:rsid w:val="00A81619"/>
    <w:rsid w:val="00A8195F"/>
    <w:rsid w:val="00A820D8"/>
    <w:rsid w:val="00A82A12"/>
    <w:rsid w:val="00A843AA"/>
    <w:rsid w:val="00A85E5F"/>
    <w:rsid w:val="00A86633"/>
    <w:rsid w:val="00A869FE"/>
    <w:rsid w:val="00A90024"/>
    <w:rsid w:val="00A91E64"/>
    <w:rsid w:val="00A92B35"/>
    <w:rsid w:val="00A9348C"/>
    <w:rsid w:val="00A95AFD"/>
    <w:rsid w:val="00A95D74"/>
    <w:rsid w:val="00A97394"/>
    <w:rsid w:val="00AA1A53"/>
    <w:rsid w:val="00AA301C"/>
    <w:rsid w:val="00AA426B"/>
    <w:rsid w:val="00AA5808"/>
    <w:rsid w:val="00AA5D9C"/>
    <w:rsid w:val="00AA7625"/>
    <w:rsid w:val="00AA76AB"/>
    <w:rsid w:val="00AB032A"/>
    <w:rsid w:val="00AB08EC"/>
    <w:rsid w:val="00AB0E43"/>
    <w:rsid w:val="00AB5E18"/>
    <w:rsid w:val="00AB671A"/>
    <w:rsid w:val="00AB6796"/>
    <w:rsid w:val="00AB6A0E"/>
    <w:rsid w:val="00AC0CF6"/>
    <w:rsid w:val="00AC15BB"/>
    <w:rsid w:val="00AC2260"/>
    <w:rsid w:val="00AC4036"/>
    <w:rsid w:val="00AC4588"/>
    <w:rsid w:val="00AC73F1"/>
    <w:rsid w:val="00AD30EB"/>
    <w:rsid w:val="00AD38E7"/>
    <w:rsid w:val="00AD51BF"/>
    <w:rsid w:val="00AD5DE9"/>
    <w:rsid w:val="00AD7539"/>
    <w:rsid w:val="00AD7722"/>
    <w:rsid w:val="00AD7D15"/>
    <w:rsid w:val="00AE0222"/>
    <w:rsid w:val="00AE0547"/>
    <w:rsid w:val="00AE074B"/>
    <w:rsid w:val="00AE12E0"/>
    <w:rsid w:val="00AE2856"/>
    <w:rsid w:val="00AE4598"/>
    <w:rsid w:val="00AE4D68"/>
    <w:rsid w:val="00AE4E1E"/>
    <w:rsid w:val="00AE4ECE"/>
    <w:rsid w:val="00AE55B0"/>
    <w:rsid w:val="00AE7FF3"/>
    <w:rsid w:val="00AF0A4E"/>
    <w:rsid w:val="00AF1806"/>
    <w:rsid w:val="00AF21BD"/>
    <w:rsid w:val="00AF2B15"/>
    <w:rsid w:val="00AF4932"/>
    <w:rsid w:val="00AF4DCB"/>
    <w:rsid w:val="00AF4E31"/>
    <w:rsid w:val="00AF4ED5"/>
    <w:rsid w:val="00AF63DE"/>
    <w:rsid w:val="00AF6AFC"/>
    <w:rsid w:val="00AF7165"/>
    <w:rsid w:val="00B001D9"/>
    <w:rsid w:val="00B02FF3"/>
    <w:rsid w:val="00B03FB7"/>
    <w:rsid w:val="00B06576"/>
    <w:rsid w:val="00B06597"/>
    <w:rsid w:val="00B12E6E"/>
    <w:rsid w:val="00B130AD"/>
    <w:rsid w:val="00B132A0"/>
    <w:rsid w:val="00B13E91"/>
    <w:rsid w:val="00B14108"/>
    <w:rsid w:val="00B157DB"/>
    <w:rsid w:val="00B16234"/>
    <w:rsid w:val="00B177A0"/>
    <w:rsid w:val="00B200B2"/>
    <w:rsid w:val="00B24AE5"/>
    <w:rsid w:val="00B260F2"/>
    <w:rsid w:val="00B2691F"/>
    <w:rsid w:val="00B27968"/>
    <w:rsid w:val="00B27AAB"/>
    <w:rsid w:val="00B30007"/>
    <w:rsid w:val="00B31203"/>
    <w:rsid w:val="00B3244F"/>
    <w:rsid w:val="00B32953"/>
    <w:rsid w:val="00B33678"/>
    <w:rsid w:val="00B33920"/>
    <w:rsid w:val="00B354CC"/>
    <w:rsid w:val="00B36E69"/>
    <w:rsid w:val="00B41247"/>
    <w:rsid w:val="00B416D9"/>
    <w:rsid w:val="00B45141"/>
    <w:rsid w:val="00B46D3D"/>
    <w:rsid w:val="00B46FFA"/>
    <w:rsid w:val="00B474D0"/>
    <w:rsid w:val="00B5067F"/>
    <w:rsid w:val="00B52793"/>
    <w:rsid w:val="00B54060"/>
    <w:rsid w:val="00B544C5"/>
    <w:rsid w:val="00B546BE"/>
    <w:rsid w:val="00B549DF"/>
    <w:rsid w:val="00B54AE3"/>
    <w:rsid w:val="00B54DEF"/>
    <w:rsid w:val="00B55273"/>
    <w:rsid w:val="00B55F6F"/>
    <w:rsid w:val="00B57270"/>
    <w:rsid w:val="00B5748F"/>
    <w:rsid w:val="00B609A6"/>
    <w:rsid w:val="00B64196"/>
    <w:rsid w:val="00B66728"/>
    <w:rsid w:val="00B6700B"/>
    <w:rsid w:val="00B67ABF"/>
    <w:rsid w:val="00B70382"/>
    <w:rsid w:val="00B72C83"/>
    <w:rsid w:val="00B738B8"/>
    <w:rsid w:val="00B73AF4"/>
    <w:rsid w:val="00B7486D"/>
    <w:rsid w:val="00B75EBC"/>
    <w:rsid w:val="00B76354"/>
    <w:rsid w:val="00B76480"/>
    <w:rsid w:val="00B76AB4"/>
    <w:rsid w:val="00B77761"/>
    <w:rsid w:val="00B829C2"/>
    <w:rsid w:val="00B82DE8"/>
    <w:rsid w:val="00B903A7"/>
    <w:rsid w:val="00B92099"/>
    <w:rsid w:val="00B93775"/>
    <w:rsid w:val="00B93F4C"/>
    <w:rsid w:val="00B94596"/>
    <w:rsid w:val="00B949F5"/>
    <w:rsid w:val="00B954C3"/>
    <w:rsid w:val="00B958BF"/>
    <w:rsid w:val="00B96F05"/>
    <w:rsid w:val="00B97C46"/>
    <w:rsid w:val="00B97F2F"/>
    <w:rsid w:val="00BA0467"/>
    <w:rsid w:val="00BA051E"/>
    <w:rsid w:val="00BA1733"/>
    <w:rsid w:val="00BA1B21"/>
    <w:rsid w:val="00BA1D05"/>
    <w:rsid w:val="00BA4773"/>
    <w:rsid w:val="00BA5022"/>
    <w:rsid w:val="00BA57FC"/>
    <w:rsid w:val="00BA623B"/>
    <w:rsid w:val="00BA6910"/>
    <w:rsid w:val="00BB3D85"/>
    <w:rsid w:val="00BB4C66"/>
    <w:rsid w:val="00BB50A1"/>
    <w:rsid w:val="00BB535D"/>
    <w:rsid w:val="00BB5BC1"/>
    <w:rsid w:val="00BB6261"/>
    <w:rsid w:val="00BB6BE1"/>
    <w:rsid w:val="00BC1766"/>
    <w:rsid w:val="00BC1B9E"/>
    <w:rsid w:val="00BC1FB2"/>
    <w:rsid w:val="00BC233A"/>
    <w:rsid w:val="00BC37D6"/>
    <w:rsid w:val="00BC39CB"/>
    <w:rsid w:val="00BC4FE6"/>
    <w:rsid w:val="00BC6A4E"/>
    <w:rsid w:val="00BD001E"/>
    <w:rsid w:val="00BD0BFA"/>
    <w:rsid w:val="00BD3F02"/>
    <w:rsid w:val="00BD3FC0"/>
    <w:rsid w:val="00BD4F5C"/>
    <w:rsid w:val="00BD503B"/>
    <w:rsid w:val="00BD5489"/>
    <w:rsid w:val="00BD6714"/>
    <w:rsid w:val="00BD765B"/>
    <w:rsid w:val="00BE1F2D"/>
    <w:rsid w:val="00BE22C4"/>
    <w:rsid w:val="00BE30B0"/>
    <w:rsid w:val="00BE37F9"/>
    <w:rsid w:val="00BE3A62"/>
    <w:rsid w:val="00BE4290"/>
    <w:rsid w:val="00BE4984"/>
    <w:rsid w:val="00BE4B74"/>
    <w:rsid w:val="00BE5B57"/>
    <w:rsid w:val="00BE69F8"/>
    <w:rsid w:val="00BE75B0"/>
    <w:rsid w:val="00BF16B5"/>
    <w:rsid w:val="00BF1A10"/>
    <w:rsid w:val="00BF2090"/>
    <w:rsid w:val="00BF4044"/>
    <w:rsid w:val="00BF42BA"/>
    <w:rsid w:val="00BF7D07"/>
    <w:rsid w:val="00C00CAC"/>
    <w:rsid w:val="00C01908"/>
    <w:rsid w:val="00C02C7B"/>
    <w:rsid w:val="00C03647"/>
    <w:rsid w:val="00C039D4"/>
    <w:rsid w:val="00C03B6A"/>
    <w:rsid w:val="00C040B2"/>
    <w:rsid w:val="00C041EA"/>
    <w:rsid w:val="00C04451"/>
    <w:rsid w:val="00C04DA2"/>
    <w:rsid w:val="00C04EC1"/>
    <w:rsid w:val="00C05C66"/>
    <w:rsid w:val="00C06852"/>
    <w:rsid w:val="00C06FA7"/>
    <w:rsid w:val="00C107D9"/>
    <w:rsid w:val="00C10C32"/>
    <w:rsid w:val="00C116AA"/>
    <w:rsid w:val="00C13891"/>
    <w:rsid w:val="00C13CF9"/>
    <w:rsid w:val="00C1403A"/>
    <w:rsid w:val="00C15185"/>
    <w:rsid w:val="00C16738"/>
    <w:rsid w:val="00C20102"/>
    <w:rsid w:val="00C203B3"/>
    <w:rsid w:val="00C20A88"/>
    <w:rsid w:val="00C2228F"/>
    <w:rsid w:val="00C24E3F"/>
    <w:rsid w:val="00C2591F"/>
    <w:rsid w:val="00C266C4"/>
    <w:rsid w:val="00C2791B"/>
    <w:rsid w:val="00C304A3"/>
    <w:rsid w:val="00C30592"/>
    <w:rsid w:val="00C30AFD"/>
    <w:rsid w:val="00C32303"/>
    <w:rsid w:val="00C32431"/>
    <w:rsid w:val="00C32E5D"/>
    <w:rsid w:val="00C32F0B"/>
    <w:rsid w:val="00C336D9"/>
    <w:rsid w:val="00C36E66"/>
    <w:rsid w:val="00C3707F"/>
    <w:rsid w:val="00C37BE7"/>
    <w:rsid w:val="00C407C6"/>
    <w:rsid w:val="00C45006"/>
    <w:rsid w:val="00C451B1"/>
    <w:rsid w:val="00C453CB"/>
    <w:rsid w:val="00C45E18"/>
    <w:rsid w:val="00C464D6"/>
    <w:rsid w:val="00C46DC3"/>
    <w:rsid w:val="00C47972"/>
    <w:rsid w:val="00C479ED"/>
    <w:rsid w:val="00C5318D"/>
    <w:rsid w:val="00C5345A"/>
    <w:rsid w:val="00C57372"/>
    <w:rsid w:val="00C607D2"/>
    <w:rsid w:val="00C60C44"/>
    <w:rsid w:val="00C64C89"/>
    <w:rsid w:val="00C6548D"/>
    <w:rsid w:val="00C6595D"/>
    <w:rsid w:val="00C666F7"/>
    <w:rsid w:val="00C66C52"/>
    <w:rsid w:val="00C70165"/>
    <w:rsid w:val="00C70CA0"/>
    <w:rsid w:val="00C71430"/>
    <w:rsid w:val="00C7482B"/>
    <w:rsid w:val="00C74F05"/>
    <w:rsid w:val="00C75B99"/>
    <w:rsid w:val="00C77DB7"/>
    <w:rsid w:val="00C803D0"/>
    <w:rsid w:val="00C811AB"/>
    <w:rsid w:val="00C830A2"/>
    <w:rsid w:val="00C84542"/>
    <w:rsid w:val="00C84640"/>
    <w:rsid w:val="00C8492C"/>
    <w:rsid w:val="00C8563A"/>
    <w:rsid w:val="00C863EB"/>
    <w:rsid w:val="00C86BD7"/>
    <w:rsid w:val="00C9254C"/>
    <w:rsid w:val="00C925B0"/>
    <w:rsid w:val="00C92D64"/>
    <w:rsid w:val="00C953CF"/>
    <w:rsid w:val="00C9643B"/>
    <w:rsid w:val="00CA11ED"/>
    <w:rsid w:val="00CA29F6"/>
    <w:rsid w:val="00CA31E7"/>
    <w:rsid w:val="00CA7B54"/>
    <w:rsid w:val="00CB2581"/>
    <w:rsid w:val="00CB296F"/>
    <w:rsid w:val="00CB3D3A"/>
    <w:rsid w:val="00CB3EFF"/>
    <w:rsid w:val="00CB6770"/>
    <w:rsid w:val="00CC0041"/>
    <w:rsid w:val="00CC121A"/>
    <w:rsid w:val="00CC1447"/>
    <w:rsid w:val="00CC1C49"/>
    <w:rsid w:val="00CD2865"/>
    <w:rsid w:val="00CD31CD"/>
    <w:rsid w:val="00CD3788"/>
    <w:rsid w:val="00CD440C"/>
    <w:rsid w:val="00CD5201"/>
    <w:rsid w:val="00CD5511"/>
    <w:rsid w:val="00CD596F"/>
    <w:rsid w:val="00CD5C8B"/>
    <w:rsid w:val="00CD694F"/>
    <w:rsid w:val="00CD7B3C"/>
    <w:rsid w:val="00CE0246"/>
    <w:rsid w:val="00CE3933"/>
    <w:rsid w:val="00CE3B58"/>
    <w:rsid w:val="00CE3CAC"/>
    <w:rsid w:val="00CE3D12"/>
    <w:rsid w:val="00CE6E35"/>
    <w:rsid w:val="00CE7032"/>
    <w:rsid w:val="00CF1F8C"/>
    <w:rsid w:val="00CF22FA"/>
    <w:rsid w:val="00CF255F"/>
    <w:rsid w:val="00CF2E28"/>
    <w:rsid w:val="00CF3FD2"/>
    <w:rsid w:val="00CF458F"/>
    <w:rsid w:val="00CF4CD0"/>
    <w:rsid w:val="00CF6431"/>
    <w:rsid w:val="00CF73BB"/>
    <w:rsid w:val="00CF75D4"/>
    <w:rsid w:val="00CF77B3"/>
    <w:rsid w:val="00CF7907"/>
    <w:rsid w:val="00CF7F8C"/>
    <w:rsid w:val="00D028ED"/>
    <w:rsid w:val="00D03FE8"/>
    <w:rsid w:val="00D0403B"/>
    <w:rsid w:val="00D050FD"/>
    <w:rsid w:val="00D06288"/>
    <w:rsid w:val="00D06A3C"/>
    <w:rsid w:val="00D0733D"/>
    <w:rsid w:val="00D07BB5"/>
    <w:rsid w:val="00D113B7"/>
    <w:rsid w:val="00D1430A"/>
    <w:rsid w:val="00D15381"/>
    <w:rsid w:val="00D163BC"/>
    <w:rsid w:val="00D17469"/>
    <w:rsid w:val="00D216CD"/>
    <w:rsid w:val="00D2433A"/>
    <w:rsid w:val="00D2500B"/>
    <w:rsid w:val="00D259C8"/>
    <w:rsid w:val="00D271F4"/>
    <w:rsid w:val="00D3062E"/>
    <w:rsid w:val="00D30D46"/>
    <w:rsid w:val="00D314B9"/>
    <w:rsid w:val="00D316B0"/>
    <w:rsid w:val="00D32056"/>
    <w:rsid w:val="00D334A1"/>
    <w:rsid w:val="00D34816"/>
    <w:rsid w:val="00D34E9B"/>
    <w:rsid w:val="00D40981"/>
    <w:rsid w:val="00D412D7"/>
    <w:rsid w:val="00D41415"/>
    <w:rsid w:val="00D425AD"/>
    <w:rsid w:val="00D43594"/>
    <w:rsid w:val="00D435E0"/>
    <w:rsid w:val="00D439BE"/>
    <w:rsid w:val="00D43A7B"/>
    <w:rsid w:val="00D43B39"/>
    <w:rsid w:val="00D43E86"/>
    <w:rsid w:val="00D44034"/>
    <w:rsid w:val="00D44192"/>
    <w:rsid w:val="00D449E9"/>
    <w:rsid w:val="00D47ED4"/>
    <w:rsid w:val="00D52D85"/>
    <w:rsid w:val="00D57567"/>
    <w:rsid w:val="00D618A6"/>
    <w:rsid w:val="00D631E1"/>
    <w:rsid w:val="00D655A3"/>
    <w:rsid w:val="00D704BD"/>
    <w:rsid w:val="00D7050B"/>
    <w:rsid w:val="00D70810"/>
    <w:rsid w:val="00D70D16"/>
    <w:rsid w:val="00D70DA1"/>
    <w:rsid w:val="00D7293F"/>
    <w:rsid w:val="00D74FEA"/>
    <w:rsid w:val="00D75CB6"/>
    <w:rsid w:val="00D76F7A"/>
    <w:rsid w:val="00D81249"/>
    <w:rsid w:val="00D82C30"/>
    <w:rsid w:val="00D82C62"/>
    <w:rsid w:val="00D85BAC"/>
    <w:rsid w:val="00D87A81"/>
    <w:rsid w:val="00D90598"/>
    <w:rsid w:val="00D948C4"/>
    <w:rsid w:val="00D953C3"/>
    <w:rsid w:val="00D970BC"/>
    <w:rsid w:val="00DA1094"/>
    <w:rsid w:val="00DA4030"/>
    <w:rsid w:val="00DA5FBB"/>
    <w:rsid w:val="00DA7B18"/>
    <w:rsid w:val="00DA7E79"/>
    <w:rsid w:val="00DA7F9A"/>
    <w:rsid w:val="00DB02F2"/>
    <w:rsid w:val="00DB0830"/>
    <w:rsid w:val="00DB43B2"/>
    <w:rsid w:val="00DB6C91"/>
    <w:rsid w:val="00DC01F5"/>
    <w:rsid w:val="00DC2203"/>
    <w:rsid w:val="00DC280A"/>
    <w:rsid w:val="00DC284D"/>
    <w:rsid w:val="00DC4CEF"/>
    <w:rsid w:val="00DC6185"/>
    <w:rsid w:val="00DC6833"/>
    <w:rsid w:val="00DC6A41"/>
    <w:rsid w:val="00DD001F"/>
    <w:rsid w:val="00DD02BF"/>
    <w:rsid w:val="00DD0928"/>
    <w:rsid w:val="00DD208C"/>
    <w:rsid w:val="00DD21CA"/>
    <w:rsid w:val="00DD2529"/>
    <w:rsid w:val="00DD3D2E"/>
    <w:rsid w:val="00DD49C4"/>
    <w:rsid w:val="00DD49D2"/>
    <w:rsid w:val="00DD61C4"/>
    <w:rsid w:val="00DD6E80"/>
    <w:rsid w:val="00DD7979"/>
    <w:rsid w:val="00DE0E95"/>
    <w:rsid w:val="00DE2F65"/>
    <w:rsid w:val="00DE2FA2"/>
    <w:rsid w:val="00DE3151"/>
    <w:rsid w:val="00DE4A52"/>
    <w:rsid w:val="00DE5197"/>
    <w:rsid w:val="00DE5557"/>
    <w:rsid w:val="00DE7044"/>
    <w:rsid w:val="00DE759E"/>
    <w:rsid w:val="00DF0893"/>
    <w:rsid w:val="00DF3A1D"/>
    <w:rsid w:val="00DF4E26"/>
    <w:rsid w:val="00DF58A8"/>
    <w:rsid w:val="00DF5AC7"/>
    <w:rsid w:val="00DF5CC4"/>
    <w:rsid w:val="00DF5E3B"/>
    <w:rsid w:val="00DF652F"/>
    <w:rsid w:val="00DF6CDF"/>
    <w:rsid w:val="00DF6D5B"/>
    <w:rsid w:val="00E003A1"/>
    <w:rsid w:val="00E00991"/>
    <w:rsid w:val="00E03421"/>
    <w:rsid w:val="00E0343E"/>
    <w:rsid w:val="00E042EB"/>
    <w:rsid w:val="00E0482D"/>
    <w:rsid w:val="00E04DDF"/>
    <w:rsid w:val="00E0516E"/>
    <w:rsid w:val="00E05EF5"/>
    <w:rsid w:val="00E07F3E"/>
    <w:rsid w:val="00E10427"/>
    <w:rsid w:val="00E131F7"/>
    <w:rsid w:val="00E1323F"/>
    <w:rsid w:val="00E13524"/>
    <w:rsid w:val="00E14881"/>
    <w:rsid w:val="00E1752E"/>
    <w:rsid w:val="00E219CA"/>
    <w:rsid w:val="00E230DB"/>
    <w:rsid w:val="00E23EF7"/>
    <w:rsid w:val="00E25E14"/>
    <w:rsid w:val="00E2602A"/>
    <w:rsid w:val="00E26378"/>
    <w:rsid w:val="00E27A30"/>
    <w:rsid w:val="00E306AE"/>
    <w:rsid w:val="00E30B0E"/>
    <w:rsid w:val="00E3234C"/>
    <w:rsid w:val="00E32632"/>
    <w:rsid w:val="00E35247"/>
    <w:rsid w:val="00E35BEA"/>
    <w:rsid w:val="00E35D0D"/>
    <w:rsid w:val="00E378DB"/>
    <w:rsid w:val="00E43DC0"/>
    <w:rsid w:val="00E44A7A"/>
    <w:rsid w:val="00E457F1"/>
    <w:rsid w:val="00E46D52"/>
    <w:rsid w:val="00E4774E"/>
    <w:rsid w:val="00E47759"/>
    <w:rsid w:val="00E47A73"/>
    <w:rsid w:val="00E505AA"/>
    <w:rsid w:val="00E52168"/>
    <w:rsid w:val="00E52E20"/>
    <w:rsid w:val="00E53446"/>
    <w:rsid w:val="00E5541A"/>
    <w:rsid w:val="00E56D58"/>
    <w:rsid w:val="00E57016"/>
    <w:rsid w:val="00E575FA"/>
    <w:rsid w:val="00E578F2"/>
    <w:rsid w:val="00E57F4C"/>
    <w:rsid w:val="00E6265D"/>
    <w:rsid w:val="00E64534"/>
    <w:rsid w:val="00E6478A"/>
    <w:rsid w:val="00E64834"/>
    <w:rsid w:val="00E64CFF"/>
    <w:rsid w:val="00E6523E"/>
    <w:rsid w:val="00E677F6"/>
    <w:rsid w:val="00E7021F"/>
    <w:rsid w:val="00E703BC"/>
    <w:rsid w:val="00E70932"/>
    <w:rsid w:val="00E70DBF"/>
    <w:rsid w:val="00E71764"/>
    <w:rsid w:val="00E71A74"/>
    <w:rsid w:val="00E7298A"/>
    <w:rsid w:val="00E74553"/>
    <w:rsid w:val="00E746DE"/>
    <w:rsid w:val="00E757CE"/>
    <w:rsid w:val="00E773DC"/>
    <w:rsid w:val="00E81D54"/>
    <w:rsid w:val="00E827B6"/>
    <w:rsid w:val="00E82814"/>
    <w:rsid w:val="00E82E30"/>
    <w:rsid w:val="00E82F9D"/>
    <w:rsid w:val="00E8588E"/>
    <w:rsid w:val="00E90502"/>
    <w:rsid w:val="00E90D4F"/>
    <w:rsid w:val="00E91C64"/>
    <w:rsid w:val="00E9212C"/>
    <w:rsid w:val="00E922D1"/>
    <w:rsid w:val="00E95A27"/>
    <w:rsid w:val="00E95BD3"/>
    <w:rsid w:val="00EA0722"/>
    <w:rsid w:val="00EA094B"/>
    <w:rsid w:val="00EA2B92"/>
    <w:rsid w:val="00EA48BC"/>
    <w:rsid w:val="00EA5478"/>
    <w:rsid w:val="00EA5FE4"/>
    <w:rsid w:val="00EA74A8"/>
    <w:rsid w:val="00EA7974"/>
    <w:rsid w:val="00EB00A9"/>
    <w:rsid w:val="00EB25D3"/>
    <w:rsid w:val="00EB311C"/>
    <w:rsid w:val="00EB3F65"/>
    <w:rsid w:val="00EB52DF"/>
    <w:rsid w:val="00EB5605"/>
    <w:rsid w:val="00EB5F42"/>
    <w:rsid w:val="00EB6CC5"/>
    <w:rsid w:val="00EB6F7B"/>
    <w:rsid w:val="00EB7974"/>
    <w:rsid w:val="00EC108C"/>
    <w:rsid w:val="00EC389C"/>
    <w:rsid w:val="00EC48DA"/>
    <w:rsid w:val="00EC569F"/>
    <w:rsid w:val="00EC5C99"/>
    <w:rsid w:val="00EC6395"/>
    <w:rsid w:val="00EC6B83"/>
    <w:rsid w:val="00ED1A90"/>
    <w:rsid w:val="00ED2BD9"/>
    <w:rsid w:val="00ED3582"/>
    <w:rsid w:val="00ED3916"/>
    <w:rsid w:val="00ED59D0"/>
    <w:rsid w:val="00ED5A97"/>
    <w:rsid w:val="00EE2567"/>
    <w:rsid w:val="00EE3C65"/>
    <w:rsid w:val="00EE6970"/>
    <w:rsid w:val="00EF1691"/>
    <w:rsid w:val="00EF1864"/>
    <w:rsid w:val="00EF187A"/>
    <w:rsid w:val="00EF253D"/>
    <w:rsid w:val="00EF2754"/>
    <w:rsid w:val="00EF37A2"/>
    <w:rsid w:val="00F003EB"/>
    <w:rsid w:val="00F00853"/>
    <w:rsid w:val="00F00AA4"/>
    <w:rsid w:val="00F04163"/>
    <w:rsid w:val="00F0473E"/>
    <w:rsid w:val="00F11588"/>
    <w:rsid w:val="00F11A78"/>
    <w:rsid w:val="00F11AF0"/>
    <w:rsid w:val="00F13212"/>
    <w:rsid w:val="00F1371D"/>
    <w:rsid w:val="00F14D7B"/>
    <w:rsid w:val="00F153CD"/>
    <w:rsid w:val="00F1728F"/>
    <w:rsid w:val="00F20368"/>
    <w:rsid w:val="00F20C1F"/>
    <w:rsid w:val="00F22FF6"/>
    <w:rsid w:val="00F24CC0"/>
    <w:rsid w:val="00F26D05"/>
    <w:rsid w:val="00F26D8E"/>
    <w:rsid w:val="00F27078"/>
    <w:rsid w:val="00F274A8"/>
    <w:rsid w:val="00F30448"/>
    <w:rsid w:val="00F32997"/>
    <w:rsid w:val="00F3322D"/>
    <w:rsid w:val="00F33C15"/>
    <w:rsid w:val="00F3404C"/>
    <w:rsid w:val="00F350F6"/>
    <w:rsid w:val="00F367B8"/>
    <w:rsid w:val="00F40F75"/>
    <w:rsid w:val="00F44476"/>
    <w:rsid w:val="00F44582"/>
    <w:rsid w:val="00F44729"/>
    <w:rsid w:val="00F45438"/>
    <w:rsid w:val="00F45E04"/>
    <w:rsid w:val="00F46465"/>
    <w:rsid w:val="00F47307"/>
    <w:rsid w:val="00F47598"/>
    <w:rsid w:val="00F47A1A"/>
    <w:rsid w:val="00F47A46"/>
    <w:rsid w:val="00F50F3A"/>
    <w:rsid w:val="00F513EE"/>
    <w:rsid w:val="00F516C1"/>
    <w:rsid w:val="00F52EFC"/>
    <w:rsid w:val="00F52F07"/>
    <w:rsid w:val="00F53BB3"/>
    <w:rsid w:val="00F53D60"/>
    <w:rsid w:val="00F54668"/>
    <w:rsid w:val="00F604E5"/>
    <w:rsid w:val="00F60E49"/>
    <w:rsid w:val="00F61C6D"/>
    <w:rsid w:val="00F620DB"/>
    <w:rsid w:val="00F62DB9"/>
    <w:rsid w:val="00F63A86"/>
    <w:rsid w:val="00F65CC8"/>
    <w:rsid w:val="00F6653D"/>
    <w:rsid w:val="00F670F8"/>
    <w:rsid w:val="00F673CA"/>
    <w:rsid w:val="00F67CA3"/>
    <w:rsid w:val="00F73187"/>
    <w:rsid w:val="00F73FA1"/>
    <w:rsid w:val="00F74B75"/>
    <w:rsid w:val="00F75747"/>
    <w:rsid w:val="00F77CE0"/>
    <w:rsid w:val="00F8097F"/>
    <w:rsid w:val="00F81DBA"/>
    <w:rsid w:val="00F84BE6"/>
    <w:rsid w:val="00F85B38"/>
    <w:rsid w:val="00F8788F"/>
    <w:rsid w:val="00F87ACD"/>
    <w:rsid w:val="00F912F6"/>
    <w:rsid w:val="00F91C95"/>
    <w:rsid w:val="00F9268C"/>
    <w:rsid w:val="00F934A4"/>
    <w:rsid w:val="00F93B36"/>
    <w:rsid w:val="00F94504"/>
    <w:rsid w:val="00F961C8"/>
    <w:rsid w:val="00FA1C00"/>
    <w:rsid w:val="00FA208E"/>
    <w:rsid w:val="00FA22DD"/>
    <w:rsid w:val="00FA2581"/>
    <w:rsid w:val="00FA2820"/>
    <w:rsid w:val="00FA3539"/>
    <w:rsid w:val="00FA529E"/>
    <w:rsid w:val="00FA71FD"/>
    <w:rsid w:val="00FA7986"/>
    <w:rsid w:val="00FB0AA3"/>
    <w:rsid w:val="00FB151F"/>
    <w:rsid w:val="00FB20B5"/>
    <w:rsid w:val="00FB50BB"/>
    <w:rsid w:val="00FB689F"/>
    <w:rsid w:val="00FB7B42"/>
    <w:rsid w:val="00FB7B55"/>
    <w:rsid w:val="00FC0AFD"/>
    <w:rsid w:val="00FC2357"/>
    <w:rsid w:val="00FC4336"/>
    <w:rsid w:val="00FC46FC"/>
    <w:rsid w:val="00FC47EA"/>
    <w:rsid w:val="00FC4963"/>
    <w:rsid w:val="00FC7AD3"/>
    <w:rsid w:val="00FD0760"/>
    <w:rsid w:val="00FD0FFD"/>
    <w:rsid w:val="00FD1374"/>
    <w:rsid w:val="00FD500A"/>
    <w:rsid w:val="00FD6AEA"/>
    <w:rsid w:val="00FD72BA"/>
    <w:rsid w:val="00FD72C0"/>
    <w:rsid w:val="00FD7ED7"/>
    <w:rsid w:val="00FE03E5"/>
    <w:rsid w:val="00FE04C8"/>
    <w:rsid w:val="00FE0B90"/>
    <w:rsid w:val="00FE4FBA"/>
    <w:rsid w:val="00FE54B5"/>
    <w:rsid w:val="00FE56EA"/>
    <w:rsid w:val="00FE6108"/>
    <w:rsid w:val="00FE7C88"/>
    <w:rsid w:val="00FF05FC"/>
    <w:rsid w:val="00FF0EAF"/>
    <w:rsid w:val="00FF0FA6"/>
    <w:rsid w:val="00FF5047"/>
    <w:rsid w:val="00FF63FF"/>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D6CDC8D"/>
  <w15:docId w15:val="{D3D0F41F-31B0-4526-B599-668FADDD5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E66"/>
    <w:rPr>
      <w:rFonts w:ascii="Times New Roman" w:hAnsi="Times New Roman"/>
      <w:sz w:val="20"/>
    </w:rPr>
  </w:style>
  <w:style w:type="paragraph" w:styleId="Heading1">
    <w:name w:val="heading 1"/>
    <w:basedOn w:val="Normal"/>
    <w:next w:val="Normal"/>
    <w:link w:val="Heading1Char"/>
    <w:uiPriority w:val="9"/>
    <w:qFormat/>
    <w:rsid w:val="009160FA"/>
    <w:pPr>
      <w:keepNext/>
      <w:keepLines/>
      <w:spacing w:before="360" w:after="240"/>
      <w:outlineLvl w:val="0"/>
    </w:pPr>
    <w:rPr>
      <w:rFonts w:ascii="Arial" w:eastAsiaTheme="majorEastAsia" w:hAnsi="Arial" w:cstheme="majorBidi"/>
      <w:b/>
      <w:bCs/>
      <w:caps/>
      <w:szCs w:val="28"/>
    </w:rPr>
  </w:style>
  <w:style w:type="paragraph" w:styleId="Heading2">
    <w:name w:val="heading 2"/>
    <w:basedOn w:val="Normal1"/>
    <w:next w:val="Normal1"/>
    <w:link w:val="Heading2Char"/>
    <w:unhideWhenUsed/>
    <w:qFormat/>
    <w:rsid w:val="006C2F39"/>
    <w:pPr>
      <w:keepNext/>
      <w:keepLines/>
      <w:numPr>
        <w:numId w:val="6"/>
      </w:numPr>
      <w:spacing w:before="200"/>
      <w:ind w:left="360"/>
      <w:contextualSpacing/>
      <w:outlineLvl w:val="1"/>
    </w:pPr>
    <w:rPr>
      <w:rFonts w:eastAsia="Trebuchet MS" w:cs="Trebuchet MS"/>
      <w:b/>
      <w:sz w:val="20"/>
    </w:rPr>
  </w:style>
  <w:style w:type="paragraph" w:styleId="Heading3">
    <w:name w:val="heading 3"/>
    <w:basedOn w:val="Normal"/>
    <w:next w:val="Normal"/>
    <w:link w:val="Heading3Char"/>
    <w:uiPriority w:val="9"/>
    <w:unhideWhenUsed/>
    <w:qFormat/>
    <w:rsid w:val="009F28E1"/>
    <w:pPr>
      <w:keepNext/>
      <w:keepLines/>
      <w:spacing w:before="160" w:after="120"/>
      <w:outlineLvl w:val="2"/>
    </w:pPr>
    <w:rPr>
      <w:rFonts w:ascii="Arial" w:eastAsiaTheme="majorEastAsia" w:hAnsi="Arial" w:cstheme="majorBidi"/>
      <w:b/>
    </w:rPr>
  </w:style>
  <w:style w:type="paragraph" w:styleId="Heading4">
    <w:name w:val="heading 4"/>
    <w:basedOn w:val="Normal"/>
    <w:next w:val="Normal"/>
    <w:link w:val="Heading4Char"/>
    <w:uiPriority w:val="9"/>
    <w:unhideWhenUsed/>
    <w:qFormat/>
    <w:rsid w:val="00BD3F02"/>
    <w:pPr>
      <w:keepNext/>
      <w:keepLines/>
      <w:spacing w:before="120" w:after="120"/>
      <w:outlineLvl w:val="3"/>
    </w:pPr>
    <w:rPr>
      <w:rFonts w:ascii="Arial" w:eastAsiaTheme="majorEastAsia" w:hAnsi="Arial" w:cstheme="majorBidi"/>
      <w:i/>
      <w:iCs/>
    </w:rPr>
  </w:style>
  <w:style w:type="paragraph" w:styleId="Heading5">
    <w:name w:val="heading 5"/>
    <w:basedOn w:val="Normal"/>
    <w:next w:val="Normal"/>
    <w:link w:val="Heading5Char"/>
    <w:uiPriority w:val="9"/>
    <w:unhideWhenUsed/>
    <w:qFormat/>
    <w:rsid w:val="000C2662"/>
    <w:pPr>
      <w:keepNext/>
      <w:keepLines/>
      <w:spacing w:before="40"/>
      <w:ind w:left="720"/>
      <w:outlineLvl w:val="4"/>
    </w:pPr>
    <w:rPr>
      <w:rFonts w:eastAsiaTheme="majorEastAsia" w:cstheme="majorBidi"/>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1AE5"/>
    <w:pPr>
      <w:ind w:left="720"/>
      <w:contextualSpacing/>
    </w:pPr>
  </w:style>
  <w:style w:type="character" w:styleId="CommentReference">
    <w:name w:val="annotation reference"/>
    <w:basedOn w:val="DefaultParagraphFont"/>
    <w:uiPriority w:val="99"/>
    <w:semiHidden/>
    <w:unhideWhenUsed/>
    <w:rsid w:val="000B7414"/>
    <w:rPr>
      <w:sz w:val="16"/>
      <w:szCs w:val="16"/>
    </w:rPr>
  </w:style>
  <w:style w:type="paragraph" w:styleId="CommentText">
    <w:name w:val="annotation text"/>
    <w:basedOn w:val="Normal"/>
    <w:link w:val="CommentTextChar"/>
    <w:uiPriority w:val="99"/>
    <w:unhideWhenUsed/>
    <w:rsid w:val="000B7414"/>
    <w:rPr>
      <w:szCs w:val="20"/>
    </w:rPr>
  </w:style>
  <w:style w:type="character" w:customStyle="1" w:styleId="CommentTextChar">
    <w:name w:val="Comment Text Char"/>
    <w:basedOn w:val="DefaultParagraphFont"/>
    <w:link w:val="CommentText"/>
    <w:uiPriority w:val="99"/>
    <w:rsid w:val="000B7414"/>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0B7414"/>
    <w:rPr>
      <w:b/>
      <w:bCs/>
    </w:rPr>
  </w:style>
  <w:style w:type="character" w:customStyle="1" w:styleId="CommentSubjectChar">
    <w:name w:val="Comment Subject Char"/>
    <w:basedOn w:val="CommentTextChar"/>
    <w:link w:val="CommentSubject"/>
    <w:uiPriority w:val="99"/>
    <w:semiHidden/>
    <w:rsid w:val="000B7414"/>
    <w:rPr>
      <w:rFonts w:ascii="Arial" w:hAnsi="Arial"/>
      <w:b/>
      <w:bCs/>
      <w:sz w:val="20"/>
      <w:szCs w:val="20"/>
    </w:rPr>
  </w:style>
  <w:style w:type="paragraph" w:styleId="BalloonText">
    <w:name w:val="Balloon Text"/>
    <w:basedOn w:val="Normal"/>
    <w:link w:val="BalloonTextChar"/>
    <w:uiPriority w:val="99"/>
    <w:semiHidden/>
    <w:unhideWhenUsed/>
    <w:rsid w:val="000B7414"/>
    <w:rPr>
      <w:rFonts w:ascii="Tahoma" w:hAnsi="Tahoma" w:cs="Tahoma"/>
      <w:sz w:val="16"/>
      <w:szCs w:val="16"/>
    </w:rPr>
  </w:style>
  <w:style w:type="character" w:customStyle="1" w:styleId="BalloonTextChar">
    <w:name w:val="Balloon Text Char"/>
    <w:basedOn w:val="DefaultParagraphFont"/>
    <w:link w:val="BalloonText"/>
    <w:uiPriority w:val="99"/>
    <w:semiHidden/>
    <w:rsid w:val="000B7414"/>
    <w:rPr>
      <w:rFonts w:ascii="Tahoma" w:hAnsi="Tahoma" w:cs="Tahoma"/>
      <w:sz w:val="16"/>
      <w:szCs w:val="16"/>
    </w:rPr>
  </w:style>
  <w:style w:type="paragraph" w:customStyle="1" w:styleId="Normal1">
    <w:name w:val="Normal1"/>
    <w:rsid w:val="008307B5"/>
    <w:pPr>
      <w:spacing w:line="276" w:lineRule="auto"/>
    </w:pPr>
    <w:rPr>
      <w:rFonts w:ascii="Arial" w:eastAsia="Arial" w:hAnsi="Arial" w:cs="Arial"/>
      <w:color w:val="000000"/>
      <w:sz w:val="22"/>
    </w:rPr>
  </w:style>
  <w:style w:type="character" w:customStyle="1" w:styleId="Heading2Char">
    <w:name w:val="Heading 2 Char"/>
    <w:basedOn w:val="DefaultParagraphFont"/>
    <w:link w:val="Heading2"/>
    <w:rsid w:val="006C2F39"/>
    <w:rPr>
      <w:rFonts w:ascii="Arial" w:eastAsia="Trebuchet MS" w:hAnsi="Arial" w:cs="Trebuchet MS"/>
      <w:b/>
      <w:color w:val="000000"/>
      <w:sz w:val="20"/>
    </w:rPr>
  </w:style>
  <w:style w:type="numbering" w:customStyle="1" w:styleId="Style1">
    <w:name w:val="Style1"/>
    <w:uiPriority w:val="99"/>
    <w:rsid w:val="00790BE6"/>
    <w:pPr>
      <w:numPr>
        <w:numId w:val="2"/>
      </w:numPr>
    </w:pPr>
  </w:style>
  <w:style w:type="paragraph" w:styleId="TOC2">
    <w:name w:val="toc 2"/>
    <w:basedOn w:val="Normal"/>
    <w:next w:val="Normal"/>
    <w:autoRedefine/>
    <w:uiPriority w:val="39"/>
    <w:unhideWhenUsed/>
    <w:rsid w:val="00D75CB6"/>
    <w:pPr>
      <w:spacing w:after="100"/>
      <w:ind w:left="200"/>
    </w:pPr>
  </w:style>
  <w:style w:type="character" w:styleId="Hyperlink">
    <w:name w:val="Hyperlink"/>
    <w:basedOn w:val="DefaultParagraphFont"/>
    <w:uiPriority w:val="99"/>
    <w:unhideWhenUsed/>
    <w:rsid w:val="00D75CB6"/>
    <w:rPr>
      <w:color w:val="0000FF" w:themeColor="hyperlink"/>
      <w:u w:val="single"/>
    </w:rPr>
  </w:style>
  <w:style w:type="numbering" w:customStyle="1" w:styleId="Style2">
    <w:name w:val="Style2"/>
    <w:uiPriority w:val="99"/>
    <w:rsid w:val="00BE22C4"/>
    <w:pPr>
      <w:numPr>
        <w:numId w:val="7"/>
      </w:numPr>
    </w:pPr>
  </w:style>
  <w:style w:type="paragraph" w:styleId="Header">
    <w:name w:val="header"/>
    <w:basedOn w:val="Normal"/>
    <w:link w:val="HeaderChar"/>
    <w:uiPriority w:val="99"/>
    <w:unhideWhenUsed/>
    <w:rsid w:val="00D2500B"/>
    <w:pPr>
      <w:tabs>
        <w:tab w:val="center" w:pos="4680"/>
        <w:tab w:val="right" w:pos="9360"/>
      </w:tabs>
    </w:pPr>
  </w:style>
  <w:style w:type="character" w:customStyle="1" w:styleId="HeaderChar">
    <w:name w:val="Header Char"/>
    <w:basedOn w:val="DefaultParagraphFont"/>
    <w:link w:val="Header"/>
    <w:uiPriority w:val="99"/>
    <w:rsid w:val="00D2500B"/>
    <w:rPr>
      <w:rFonts w:ascii="Arial" w:hAnsi="Arial"/>
      <w:sz w:val="20"/>
    </w:rPr>
  </w:style>
  <w:style w:type="paragraph" w:styleId="Footer">
    <w:name w:val="footer"/>
    <w:basedOn w:val="Normal"/>
    <w:link w:val="FooterChar"/>
    <w:uiPriority w:val="99"/>
    <w:unhideWhenUsed/>
    <w:rsid w:val="00D2500B"/>
    <w:pPr>
      <w:tabs>
        <w:tab w:val="center" w:pos="4680"/>
        <w:tab w:val="right" w:pos="9360"/>
      </w:tabs>
    </w:pPr>
  </w:style>
  <w:style w:type="character" w:customStyle="1" w:styleId="FooterChar">
    <w:name w:val="Footer Char"/>
    <w:basedOn w:val="DefaultParagraphFont"/>
    <w:link w:val="Footer"/>
    <w:uiPriority w:val="99"/>
    <w:rsid w:val="00D2500B"/>
    <w:rPr>
      <w:rFonts w:ascii="Arial" w:hAnsi="Arial"/>
      <w:sz w:val="20"/>
    </w:rPr>
  </w:style>
  <w:style w:type="character" w:styleId="PageNumber">
    <w:name w:val="page number"/>
    <w:basedOn w:val="DefaultParagraphFont"/>
    <w:uiPriority w:val="99"/>
    <w:semiHidden/>
    <w:unhideWhenUsed/>
    <w:rsid w:val="00044786"/>
  </w:style>
  <w:style w:type="character" w:styleId="FollowedHyperlink">
    <w:name w:val="FollowedHyperlink"/>
    <w:basedOn w:val="DefaultParagraphFont"/>
    <w:uiPriority w:val="99"/>
    <w:semiHidden/>
    <w:unhideWhenUsed/>
    <w:rsid w:val="0024082D"/>
    <w:rPr>
      <w:color w:val="800080" w:themeColor="followedHyperlink"/>
      <w:u w:val="single"/>
    </w:rPr>
  </w:style>
  <w:style w:type="character" w:customStyle="1" w:styleId="InternetLink">
    <w:name w:val="Internet Link"/>
    <w:basedOn w:val="DefaultParagraphFont"/>
    <w:rsid w:val="001D68AD"/>
    <w:rPr>
      <w:color w:val="0000FF"/>
      <w:u w:val="single"/>
      <w:lang w:val="en-US" w:eastAsia="en-US" w:bidi="en-US"/>
    </w:rPr>
  </w:style>
  <w:style w:type="paragraph" w:customStyle="1" w:styleId="ListHeading">
    <w:name w:val="List Heading"/>
    <w:basedOn w:val="Normal"/>
    <w:next w:val="Normal"/>
    <w:rsid w:val="00C2791B"/>
    <w:pPr>
      <w:tabs>
        <w:tab w:val="left" w:pos="720"/>
      </w:tabs>
      <w:suppressAutoHyphens/>
      <w:spacing w:line="100" w:lineRule="atLeast"/>
    </w:pPr>
    <w:rPr>
      <w:rFonts w:eastAsia="WenQuanYi Micro Hei"/>
    </w:rPr>
  </w:style>
  <w:style w:type="character" w:customStyle="1" w:styleId="apple-converted-space">
    <w:name w:val="apple-converted-space"/>
    <w:basedOn w:val="DefaultParagraphFont"/>
    <w:rsid w:val="006C67A8"/>
  </w:style>
  <w:style w:type="paragraph" w:customStyle="1" w:styleId="Title1">
    <w:name w:val="Title1"/>
    <w:basedOn w:val="Normal"/>
    <w:rsid w:val="006C67A8"/>
    <w:pPr>
      <w:spacing w:before="100" w:beforeAutospacing="1" w:after="100" w:afterAutospacing="1"/>
    </w:pPr>
    <w:rPr>
      <w:rFonts w:eastAsia="Times New Roman" w:cs="Times New Roman"/>
      <w:sz w:val="24"/>
      <w:lang w:eastAsia="en-US"/>
    </w:rPr>
  </w:style>
  <w:style w:type="paragraph" w:customStyle="1" w:styleId="desc">
    <w:name w:val="desc"/>
    <w:basedOn w:val="Normal"/>
    <w:rsid w:val="006C67A8"/>
    <w:pPr>
      <w:spacing w:before="100" w:beforeAutospacing="1" w:after="100" w:afterAutospacing="1"/>
    </w:pPr>
    <w:rPr>
      <w:rFonts w:eastAsia="Times New Roman" w:cs="Times New Roman"/>
      <w:sz w:val="24"/>
      <w:lang w:eastAsia="en-US"/>
    </w:rPr>
  </w:style>
  <w:style w:type="character" w:customStyle="1" w:styleId="jrnl">
    <w:name w:val="jrnl"/>
    <w:basedOn w:val="DefaultParagraphFont"/>
    <w:rsid w:val="006C67A8"/>
  </w:style>
  <w:style w:type="paragraph" w:styleId="Revision">
    <w:name w:val="Revision"/>
    <w:hidden/>
    <w:uiPriority w:val="99"/>
    <w:semiHidden/>
    <w:rsid w:val="00B54AE3"/>
    <w:rPr>
      <w:rFonts w:ascii="Arial" w:hAnsi="Arial"/>
      <w:sz w:val="20"/>
    </w:rPr>
  </w:style>
  <w:style w:type="character" w:customStyle="1" w:styleId="Heading1Char">
    <w:name w:val="Heading 1 Char"/>
    <w:basedOn w:val="DefaultParagraphFont"/>
    <w:link w:val="Heading1"/>
    <w:uiPriority w:val="9"/>
    <w:rsid w:val="009160FA"/>
    <w:rPr>
      <w:rFonts w:ascii="Arial" w:eastAsiaTheme="majorEastAsia" w:hAnsi="Arial" w:cstheme="majorBidi"/>
      <w:b/>
      <w:bCs/>
      <w:caps/>
      <w:sz w:val="20"/>
      <w:szCs w:val="28"/>
    </w:rPr>
  </w:style>
  <w:style w:type="character" w:customStyle="1" w:styleId="Heading3Char">
    <w:name w:val="Heading 3 Char"/>
    <w:basedOn w:val="DefaultParagraphFont"/>
    <w:link w:val="Heading3"/>
    <w:uiPriority w:val="9"/>
    <w:rsid w:val="009F28E1"/>
    <w:rPr>
      <w:rFonts w:ascii="Arial" w:eastAsiaTheme="majorEastAsia" w:hAnsi="Arial" w:cstheme="majorBidi"/>
      <w:b/>
      <w:sz w:val="20"/>
    </w:rPr>
  </w:style>
  <w:style w:type="character" w:customStyle="1" w:styleId="Heading4Char">
    <w:name w:val="Heading 4 Char"/>
    <w:basedOn w:val="DefaultParagraphFont"/>
    <w:link w:val="Heading4"/>
    <w:uiPriority w:val="9"/>
    <w:rsid w:val="00BD3F02"/>
    <w:rPr>
      <w:rFonts w:ascii="Arial" w:eastAsiaTheme="majorEastAsia" w:hAnsi="Arial" w:cstheme="majorBidi"/>
      <w:i/>
      <w:iCs/>
      <w:sz w:val="20"/>
    </w:rPr>
  </w:style>
  <w:style w:type="character" w:customStyle="1" w:styleId="Heading5Char">
    <w:name w:val="Heading 5 Char"/>
    <w:basedOn w:val="DefaultParagraphFont"/>
    <w:link w:val="Heading5"/>
    <w:uiPriority w:val="9"/>
    <w:rsid w:val="000C2662"/>
    <w:rPr>
      <w:rFonts w:ascii="Arial" w:eastAsiaTheme="majorEastAsia" w:hAnsi="Arial" w:cstheme="majorBidi"/>
      <w:i/>
      <w:sz w:val="20"/>
    </w:rPr>
  </w:style>
  <w:style w:type="paragraph" w:styleId="Title">
    <w:name w:val="Title"/>
    <w:basedOn w:val="Normal"/>
    <w:next w:val="Normal"/>
    <w:link w:val="TitleChar"/>
    <w:uiPriority w:val="10"/>
    <w:qFormat/>
    <w:rsid w:val="00C20102"/>
    <w:pPr>
      <w:contextualSpacing/>
      <w:jc w:val="center"/>
    </w:pPr>
    <w:rPr>
      <w:rFonts w:ascii="Arial" w:eastAsiaTheme="majorEastAsia" w:hAnsi="Arial" w:cstheme="majorBidi"/>
      <w:b/>
      <w:spacing w:val="-10"/>
      <w:kern w:val="28"/>
      <w:sz w:val="36"/>
      <w:szCs w:val="56"/>
    </w:rPr>
  </w:style>
  <w:style w:type="character" w:customStyle="1" w:styleId="TitleChar">
    <w:name w:val="Title Char"/>
    <w:basedOn w:val="DefaultParagraphFont"/>
    <w:link w:val="Title"/>
    <w:uiPriority w:val="10"/>
    <w:rsid w:val="00C20102"/>
    <w:rPr>
      <w:rFonts w:ascii="Arial" w:eastAsiaTheme="majorEastAsia" w:hAnsi="Arial" w:cstheme="majorBidi"/>
      <w:b/>
      <w:spacing w:val="-10"/>
      <w:kern w:val="28"/>
      <w:sz w:val="36"/>
      <w:szCs w:val="56"/>
    </w:rPr>
  </w:style>
  <w:style w:type="character" w:styleId="LineNumber">
    <w:name w:val="line number"/>
    <w:basedOn w:val="DefaultParagraphFont"/>
    <w:uiPriority w:val="99"/>
    <w:semiHidden/>
    <w:unhideWhenUsed/>
    <w:rsid w:val="00652810"/>
  </w:style>
  <w:style w:type="paragraph" w:styleId="DocumentMap">
    <w:name w:val="Document Map"/>
    <w:basedOn w:val="Normal"/>
    <w:link w:val="DocumentMapChar"/>
    <w:uiPriority w:val="99"/>
    <w:semiHidden/>
    <w:unhideWhenUsed/>
    <w:rsid w:val="00D85BAC"/>
    <w:rPr>
      <w:rFonts w:ascii="Lucida Grande" w:hAnsi="Lucida Grande" w:cs="Lucida Grande"/>
      <w:sz w:val="24"/>
    </w:rPr>
  </w:style>
  <w:style w:type="character" w:customStyle="1" w:styleId="DocumentMapChar">
    <w:name w:val="Document Map Char"/>
    <w:basedOn w:val="DefaultParagraphFont"/>
    <w:link w:val="DocumentMap"/>
    <w:uiPriority w:val="99"/>
    <w:semiHidden/>
    <w:rsid w:val="00D85BAC"/>
    <w:rPr>
      <w:rFonts w:ascii="Lucida Grande" w:hAnsi="Lucida Grande" w:cs="Lucida Grande"/>
    </w:rPr>
  </w:style>
  <w:style w:type="paragraph" w:customStyle="1" w:styleId="EndNoteBibliographyTitle">
    <w:name w:val="EndNote Bibliography Title"/>
    <w:basedOn w:val="Normal"/>
    <w:link w:val="EndNoteBibliographyTitleChar"/>
    <w:rsid w:val="00491B86"/>
    <w:pPr>
      <w:jc w:val="center"/>
    </w:pPr>
    <w:rPr>
      <w:rFonts w:cs="Times New Roman"/>
      <w:noProof/>
    </w:rPr>
  </w:style>
  <w:style w:type="character" w:customStyle="1" w:styleId="EndNoteBibliographyTitleChar">
    <w:name w:val="EndNote Bibliography Title Char"/>
    <w:basedOn w:val="DefaultParagraphFont"/>
    <w:link w:val="EndNoteBibliographyTitle"/>
    <w:rsid w:val="00491B86"/>
    <w:rPr>
      <w:rFonts w:ascii="Times New Roman" w:hAnsi="Times New Roman" w:cs="Times New Roman"/>
      <w:noProof/>
      <w:sz w:val="20"/>
    </w:rPr>
  </w:style>
  <w:style w:type="paragraph" w:customStyle="1" w:styleId="EndNoteBibliography">
    <w:name w:val="EndNote Bibliography"/>
    <w:basedOn w:val="Normal"/>
    <w:link w:val="EndNoteBibliographyChar"/>
    <w:rsid w:val="00491B86"/>
    <w:rPr>
      <w:rFonts w:cs="Times New Roman"/>
      <w:noProof/>
    </w:rPr>
  </w:style>
  <w:style w:type="character" w:customStyle="1" w:styleId="EndNoteBibliographyChar">
    <w:name w:val="EndNote Bibliography Char"/>
    <w:basedOn w:val="DefaultParagraphFont"/>
    <w:link w:val="EndNoteBibliography"/>
    <w:rsid w:val="00491B86"/>
    <w:rPr>
      <w:rFonts w:ascii="Times New Roman" w:hAnsi="Times New Roman" w:cs="Times New Roman"/>
      <w:noProof/>
      <w:sz w:val="20"/>
    </w:rPr>
  </w:style>
  <w:style w:type="paragraph" w:customStyle="1" w:styleId="Abstract">
    <w:name w:val="Abstract"/>
    <w:basedOn w:val="Normal"/>
    <w:link w:val="AbstractChar"/>
    <w:qFormat/>
    <w:rsid w:val="004D59FE"/>
    <w:rPr>
      <w:rFonts w:cs="Arial"/>
      <w:szCs w:val="20"/>
      <w:lang w:eastAsia="zh-CN"/>
    </w:rPr>
  </w:style>
  <w:style w:type="character" w:customStyle="1" w:styleId="AbstractChar">
    <w:name w:val="Abstract Char"/>
    <w:basedOn w:val="DefaultParagraphFont"/>
    <w:link w:val="Abstract"/>
    <w:rsid w:val="004D59FE"/>
    <w:rPr>
      <w:rFonts w:ascii="Times New Roman" w:hAnsi="Times New Roman" w:cs="Arial"/>
      <w:sz w:val="20"/>
      <w:szCs w:val="20"/>
      <w:lang w:eastAsia="zh-CN"/>
    </w:rPr>
  </w:style>
  <w:style w:type="paragraph" w:styleId="NoSpacing">
    <w:name w:val="No Spacing"/>
    <w:uiPriority w:val="1"/>
    <w:qFormat/>
    <w:rsid w:val="009461F9"/>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3121">
      <w:bodyDiv w:val="1"/>
      <w:marLeft w:val="0"/>
      <w:marRight w:val="0"/>
      <w:marTop w:val="0"/>
      <w:marBottom w:val="0"/>
      <w:divBdr>
        <w:top w:val="none" w:sz="0" w:space="0" w:color="auto"/>
        <w:left w:val="none" w:sz="0" w:space="0" w:color="auto"/>
        <w:bottom w:val="none" w:sz="0" w:space="0" w:color="auto"/>
        <w:right w:val="none" w:sz="0" w:space="0" w:color="auto"/>
      </w:divBdr>
    </w:div>
    <w:div w:id="25719756">
      <w:bodyDiv w:val="1"/>
      <w:marLeft w:val="0"/>
      <w:marRight w:val="0"/>
      <w:marTop w:val="0"/>
      <w:marBottom w:val="0"/>
      <w:divBdr>
        <w:top w:val="none" w:sz="0" w:space="0" w:color="auto"/>
        <w:left w:val="none" w:sz="0" w:space="0" w:color="auto"/>
        <w:bottom w:val="none" w:sz="0" w:space="0" w:color="auto"/>
        <w:right w:val="none" w:sz="0" w:space="0" w:color="auto"/>
      </w:divBdr>
    </w:div>
    <w:div w:id="280695677">
      <w:bodyDiv w:val="1"/>
      <w:marLeft w:val="0"/>
      <w:marRight w:val="0"/>
      <w:marTop w:val="0"/>
      <w:marBottom w:val="0"/>
      <w:divBdr>
        <w:top w:val="none" w:sz="0" w:space="0" w:color="auto"/>
        <w:left w:val="none" w:sz="0" w:space="0" w:color="auto"/>
        <w:bottom w:val="none" w:sz="0" w:space="0" w:color="auto"/>
        <w:right w:val="none" w:sz="0" w:space="0" w:color="auto"/>
      </w:divBdr>
    </w:div>
    <w:div w:id="482085714">
      <w:bodyDiv w:val="1"/>
      <w:marLeft w:val="0"/>
      <w:marRight w:val="0"/>
      <w:marTop w:val="0"/>
      <w:marBottom w:val="0"/>
      <w:divBdr>
        <w:top w:val="none" w:sz="0" w:space="0" w:color="auto"/>
        <w:left w:val="none" w:sz="0" w:space="0" w:color="auto"/>
        <w:bottom w:val="none" w:sz="0" w:space="0" w:color="auto"/>
        <w:right w:val="none" w:sz="0" w:space="0" w:color="auto"/>
      </w:divBdr>
    </w:div>
    <w:div w:id="492839833">
      <w:bodyDiv w:val="1"/>
      <w:marLeft w:val="0"/>
      <w:marRight w:val="0"/>
      <w:marTop w:val="0"/>
      <w:marBottom w:val="0"/>
      <w:divBdr>
        <w:top w:val="none" w:sz="0" w:space="0" w:color="auto"/>
        <w:left w:val="none" w:sz="0" w:space="0" w:color="auto"/>
        <w:bottom w:val="none" w:sz="0" w:space="0" w:color="auto"/>
        <w:right w:val="none" w:sz="0" w:space="0" w:color="auto"/>
      </w:divBdr>
    </w:div>
    <w:div w:id="530415155">
      <w:bodyDiv w:val="1"/>
      <w:marLeft w:val="0"/>
      <w:marRight w:val="0"/>
      <w:marTop w:val="0"/>
      <w:marBottom w:val="0"/>
      <w:divBdr>
        <w:top w:val="none" w:sz="0" w:space="0" w:color="auto"/>
        <w:left w:val="none" w:sz="0" w:space="0" w:color="auto"/>
        <w:bottom w:val="none" w:sz="0" w:space="0" w:color="auto"/>
        <w:right w:val="none" w:sz="0" w:space="0" w:color="auto"/>
      </w:divBdr>
    </w:div>
    <w:div w:id="535241019">
      <w:bodyDiv w:val="1"/>
      <w:marLeft w:val="0"/>
      <w:marRight w:val="0"/>
      <w:marTop w:val="0"/>
      <w:marBottom w:val="0"/>
      <w:divBdr>
        <w:top w:val="none" w:sz="0" w:space="0" w:color="auto"/>
        <w:left w:val="none" w:sz="0" w:space="0" w:color="auto"/>
        <w:bottom w:val="none" w:sz="0" w:space="0" w:color="auto"/>
        <w:right w:val="none" w:sz="0" w:space="0" w:color="auto"/>
      </w:divBdr>
    </w:div>
    <w:div w:id="541482315">
      <w:bodyDiv w:val="1"/>
      <w:marLeft w:val="0"/>
      <w:marRight w:val="0"/>
      <w:marTop w:val="0"/>
      <w:marBottom w:val="0"/>
      <w:divBdr>
        <w:top w:val="none" w:sz="0" w:space="0" w:color="auto"/>
        <w:left w:val="none" w:sz="0" w:space="0" w:color="auto"/>
        <w:bottom w:val="none" w:sz="0" w:space="0" w:color="auto"/>
        <w:right w:val="none" w:sz="0" w:space="0" w:color="auto"/>
      </w:divBdr>
    </w:div>
    <w:div w:id="620691729">
      <w:bodyDiv w:val="1"/>
      <w:marLeft w:val="0"/>
      <w:marRight w:val="0"/>
      <w:marTop w:val="0"/>
      <w:marBottom w:val="0"/>
      <w:divBdr>
        <w:top w:val="none" w:sz="0" w:space="0" w:color="auto"/>
        <w:left w:val="none" w:sz="0" w:space="0" w:color="auto"/>
        <w:bottom w:val="none" w:sz="0" w:space="0" w:color="auto"/>
        <w:right w:val="none" w:sz="0" w:space="0" w:color="auto"/>
      </w:divBdr>
    </w:div>
    <w:div w:id="1214850637">
      <w:bodyDiv w:val="1"/>
      <w:marLeft w:val="0"/>
      <w:marRight w:val="0"/>
      <w:marTop w:val="0"/>
      <w:marBottom w:val="0"/>
      <w:divBdr>
        <w:top w:val="none" w:sz="0" w:space="0" w:color="auto"/>
        <w:left w:val="none" w:sz="0" w:space="0" w:color="auto"/>
        <w:bottom w:val="none" w:sz="0" w:space="0" w:color="auto"/>
        <w:right w:val="none" w:sz="0" w:space="0" w:color="auto"/>
      </w:divBdr>
    </w:div>
    <w:div w:id="1306932900">
      <w:bodyDiv w:val="1"/>
      <w:marLeft w:val="0"/>
      <w:marRight w:val="0"/>
      <w:marTop w:val="0"/>
      <w:marBottom w:val="0"/>
      <w:divBdr>
        <w:top w:val="none" w:sz="0" w:space="0" w:color="auto"/>
        <w:left w:val="none" w:sz="0" w:space="0" w:color="auto"/>
        <w:bottom w:val="none" w:sz="0" w:space="0" w:color="auto"/>
        <w:right w:val="none" w:sz="0" w:space="0" w:color="auto"/>
      </w:divBdr>
    </w:div>
    <w:div w:id="1347828147">
      <w:bodyDiv w:val="1"/>
      <w:marLeft w:val="0"/>
      <w:marRight w:val="0"/>
      <w:marTop w:val="0"/>
      <w:marBottom w:val="0"/>
      <w:divBdr>
        <w:top w:val="none" w:sz="0" w:space="0" w:color="auto"/>
        <w:left w:val="none" w:sz="0" w:space="0" w:color="auto"/>
        <w:bottom w:val="none" w:sz="0" w:space="0" w:color="auto"/>
        <w:right w:val="none" w:sz="0" w:space="0" w:color="auto"/>
      </w:divBdr>
    </w:div>
    <w:div w:id="1775638478">
      <w:bodyDiv w:val="1"/>
      <w:marLeft w:val="0"/>
      <w:marRight w:val="0"/>
      <w:marTop w:val="0"/>
      <w:marBottom w:val="0"/>
      <w:divBdr>
        <w:top w:val="none" w:sz="0" w:space="0" w:color="auto"/>
        <w:left w:val="none" w:sz="0" w:space="0" w:color="auto"/>
        <w:bottom w:val="none" w:sz="0" w:space="0" w:color="auto"/>
        <w:right w:val="none" w:sz="0" w:space="0" w:color="auto"/>
      </w:divBdr>
    </w:div>
    <w:div w:id="1850872028">
      <w:bodyDiv w:val="1"/>
      <w:marLeft w:val="0"/>
      <w:marRight w:val="0"/>
      <w:marTop w:val="0"/>
      <w:marBottom w:val="0"/>
      <w:divBdr>
        <w:top w:val="none" w:sz="0" w:space="0" w:color="auto"/>
        <w:left w:val="none" w:sz="0" w:space="0" w:color="auto"/>
        <w:bottom w:val="none" w:sz="0" w:space="0" w:color="auto"/>
        <w:right w:val="none" w:sz="0" w:space="0" w:color="auto"/>
      </w:divBdr>
    </w:div>
    <w:div w:id="1942101277">
      <w:bodyDiv w:val="1"/>
      <w:marLeft w:val="0"/>
      <w:marRight w:val="0"/>
      <w:marTop w:val="0"/>
      <w:marBottom w:val="0"/>
      <w:divBdr>
        <w:top w:val="none" w:sz="0" w:space="0" w:color="auto"/>
        <w:left w:val="none" w:sz="0" w:space="0" w:color="auto"/>
        <w:bottom w:val="none" w:sz="0" w:space="0" w:color="auto"/>
        <w:right w:val="none" w:sz="0" w:space="0" w:color="auto"/>
      </w:divBdr>
    </w:div>
    <w:div w:id="1985889177">
      <w:bodyDiv w:val="1"/>
      <w:marLeft w:val="0"/>
      <w:marRight w:val="0"/>
      <w:marTop w:val="0"/>
      <w:marBottom w:val="0"/>
      <w:divBdr>
        <w:top w:val="none" w:sz="0" w:space="0" w:color="auto"/>
        <w:left w:val="none" w:sz="0" w:space="0" w:color="auto"/>
        <w:bottom w:val="none" w:sz="0" w:space="0" w:color="auto"/>
        <w:right w:val="none" w:sz="0" w:space="0" w:color="auto"/>
      </w:divBdr>
    </w:div>
    <w:div w:id="1991210804">
      <w:bodyDiv w:val="1"/>
      <w:marLeft w:val="0"/>
      <w:marRight w:val="0"/>
      <w:marTop w:val="0"/>
      <w:marBottom w:val="0"/>
      <w:divBdr>
        <w:top w:val="none" w:sz="0" w:space="0" w:color="auto"/>
        <w:left w:val="none" w:sz="0" w:space="0" w:color="auto"/>
        <w:bottom w:val="none" w:sz="0" w:space="0" w:color="auto"/>
        <w:right w:val="none" w:sz="0" w:space="0" w:color="auto"/>
      </w:divBdr>
    </w:div>
    <w:div w:id="21249607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k10k.org" TargetMode="External"/><Relationship Id="rId13" Type="http://schemas.openxmlformats.org/officeDocument/2006/relationships/hyperlink" Target="http://picard.sourceforge.ne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gsc.bcm.edu/sites/default/files/documents/Illumina_Barcoded_Paired-End_Capture_Library_Preparation.pdf"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icard.sourceforge.net" TargetMode="External"/><Relationship Id="rId5" Type="http://schemas.openxmlformats.org/officeDocument/2006/relationships/webSettings" Target="webSettings.xml"/><Relationship Id="rId15" Type="http://schemas.openxmlformats.org/officeDocument/2006/relationships/hyperlink" Target="http://chromosome.sdsc.edu/mouse/hi-c/download.html" TargetMode="External"/><Relationship Id="rId10" Type="http://schemas.openxmlformats.org/officeDocument/2006/relationships/hyperlink" Target="http://www.broadinstitute.org/gsa/wiki/index.php/Variant_quality_score_recalibratio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github.com/VertebrateResequencing/vr-codebase/tree/develop" TargetMode="External"/><Relationship Id="rId14" Type="http://schemas.openxmlformats.org/officeDocument/2006/relationships/hyperlink" Target="mailto:vincenzo.forgetta@mail.mcgill.c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DEFDA-1901-4BFE-AE7B-E21AE204C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2865</TotalTime>
  <Pages>17</Pages>
  <Words>27322</Words>
  <Characters>155738</Characters>
  <Application>Microsoft Office Word</Application>
  <DocSecurity>0</DocSecurity>
  <Lines>1297</Lines>
  <Paragraphs>365</Paragraphs>
  <ScaleCrop>false</ScaleCrop>
  <HeadingPairs>
    <vt:vector size="2" baseType="variant">
      <vt:variant>
        <vt:lpstr>Title</vt:lpstr>
      </vt:variant>
      <vt:variant>
        <vt:i4>1</vt:i4>
      </vt:variant>
    </vt:vector>
  </HeadingPairs>
  <TitlesOfParts>
    <vt:vector size="1" baseType="lpstr">
      <vt:lpstr/>
    </vt:vector>
  </TitlesOfParts>
  <Company>McGill</Company>
  <LinksUpToDate>false</LinksUpToDate>
  <CharactersWithSpaces>182695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Vince Forgetta</dc:creator>
  <cp:keywords/>
  <dc:description/>
  <cp:lastModifiedBy>Vince Forgetta</cp:lastModifiedBy>
  <cp:revision>5</cp:revision>
  <cp:lastPrinted>2014-12-18T15:25:00Z</cp:lastPrinted>
  <dcterms:created xsi:type="dcterms:W3CDTF">2014-12-11T01:28:00Z</dcterms:created>
  <dcterms:modified xsi:type="dcterms:W3CDTF">2015-05-06T15:48:00Z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APERS2_INFO_01">
    <vt:lpwstr>&lt;info&gt;&lt;style id="http://www.zotero.org/styles/nature"/&gt;&lt;hasBiblio/&gt;&lt;format class="21"/&gt;&lt;count citations="41" publications="37"/&gt;&lt;/info&gt;PAPERS2_INFO_END</vt:lpwstr>
  </property>
  <property fmtid="{D5CDD505-2E9C-101B-9397-08002B2CF9AE}" pid="3" name="Mendeley Document_1">
    <vt:lpwstr>True</vt:lpwstr>
  </property>
  <property fmtid="{D5CDD505-2E9C-101B-9397-08002B2CF9AE}" pid="4" name="Mendeley User Name_1">
    <vt:lpwstr>forgetta@gmail.com@www.mendeley.com</vt:lpwstr>
  </property>
  <property fmtid="{D5CDD505-2E9C-101B-9397-08002B2CF9AE}" pid="5" name="Mendeley Citation Style_1">
    <vt:lpwstr>http://www.zotero.org/styles/chicago-note-bibliography</vt:lpwstr>
  </property>
  <property fmtid="{D5CDD505-2E9C-101B-9397-08002B2CF9AE}" pid="6" name="Mendeley Recent Style Id 0_1">
    <vt:lpwstr>http://www.zotero.org/styles/american-political-science-association</vt:lpwstr>
  </property>
  <property fmtid="{D5CDD505-2E9C-101B-9397-08002B2CF9AE}" pid="7" name="Mendeley Recent Style Name 0_1">
    <vt:lpwstr>American Political Science Association</vt:lpwstr>
  </property>
  <property fmtid="{D5CDD505-2E9C-101B-9397-08002B2CF9AE}" pid="8" name="Mendeley Recent Style Id 1_1">
    <vt:lpwstr>http://www.zotero.org/styles/apa</vt:lpwstr>
  </property>
  <property fmtid="{D5CDD505-2E9C-101B-9397-08002B2CF9AE}" pid="9" name="Mendeley Recent Style Name 1_1">
    <vt:lpwstr>American Psychological Association 6th edition</vt:lpwstr>
  </property>
  <property fmtid="{D5CDD505-2E9C-101B-9397-08002B2CF9AE}" pid="10" name="Mendeley Recent Style Id 2_1">
    <vt:lpwstr>http://www.zotero.org/styles/american-sociological-association</vt:lpwstr>
  </property>
  <property fmtid="{D5CDD505-2E9C-101B-9397-08002B2CF9AE}" pid="11" name="Mendeley Recent Style Name 2_1">
    <vt:lpwstr>American Sociological Association</vt:lpwstr>
  </property>
  <property fmtid="{D5CDD505-2E9C-101B-9397-08002B2CF9AE}" pid="12" name="Mendeley Recent Style Id 3_1">
    <vt:lpwstr>http://www.zotero.org/styles/chicago-author-date</vt:lpwstr>
  </property>
  <property fmtid="{D5CDD505-2E9C-101B-9397-08002B2CF9AE}" pid="13" name="Mendeley Recent Style Name 3_1">
    <vt:lpwstr>Chicago Manual of Style 16th edition (author-date)</vt:lpwstr>
  </property>
  <property fmtid="{D5CDD505-2E9C-101B-9397-08002B2CF9AE}" pid="14" name="Mendeley Recent Style Id 4_1">
    <vt:lpwstr>http://www.zotero.org/styles/chicago-note-bibliography</vt:lpwstr>
  </property>
  <property fmtid="{D5CDD505-2E9C-101B-9397-08002B2CF9AE}" pid="15" name="Mendeley Recent Style Name 4_1">
    <vt:lpwstr>Chicago Manual of Style 16th edition (note)</vt:lpwstr>
  </property>
  <property fmtid="{D5CDD505-2E9C-101B-9397-08002B2CF9AE}" pid="16" name="Mendeley Recent Style Id 5_1">
    <vt:lpwstr>http://www.zotero.org/styles/harvard1</vt:lpwstr>
  </property>
  <property fmtid="{D5CDD505-2E9C-101B-9397-08002B2CF9AE}" pid="17" name="Mendeley Recent Style Name 5_1">
    <vt:lpwstr>Harvard Reference format 1 (author-date)</vt:lpwstr>
  </property>
  <property fmtid="{D5CDD505-2E9C-101B-9397-08002B2CF9AE}" pid="18" name="Mendeley Recent Style Id 6_1">
    <vt:lpwstr>http://www.zotero.org/styles/ieee</vt:lpwstr>
  </property>
  <property fmtid="{D5CDD505-2E9C-101B-9397-08002B2CF9AE}" pid="19" name="Mendeley Recent Style Name 6_1">
    <vt:lpwstr>IEEE</vt:lpwstr>
  </property>
  <property fmtid="{D5CDD505-2E9C-101B-9397-08002B2CF9AE}" pid="20" name="Mendeley Recent Style Id 7_1">
    <vt:lpwstr>http://www.zotero.org/styles/modern-humanities-research-association</vt:lpwstr>
  </property>
  <property fmtid="{D5CDD505-2E9C-101B-9397-08002B2CF9AE}" pid="21" name="Mendeley Recent Style Name 7_1">
    <vt:lpwstr>Modern Humanities Research Association 3rd edition (note with bibliography)</vt:lpwstr>
  </property>
  <property fmtid="{D5CDD505-2E9C-101B-9397-08002B2CF9AE}" pid="22" name="Mendeley Recent Style Id 8_1">
    <vt:lpwstr>http://www.zotero.org/styles/modern-language-association</vt:lpwstr>
  </property>
  <property fmtid="{D5CDD505-2E9C-101B-9397-08002B2CF9AE}" pid="23" name="Mendeley Recent Style Name 8_1">
    <vt:lpwstr>Modern Language Association 7th edition</vt:lpwstr>
  </property>
  <property fmtid="{D5CDD505-2E9C-101B-9397-08002B2CF9AE}" pid="24" name="Mendeley Recent Style Id 9_1">
    <vt:lpwstr>http://www.zotero.org/styles/nature</vt:lpwstr>
  </property>
  <property fmtid="{D5CDD505-2E9C-101B-9397-08002B2CF9AE}" pid="25" name="Mendeley Recent Style Name 9_1">
    <vt:lpwstr>Nature</vt:lpwstr>
  </property>
</Properties>
</file>