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34A2" w:rsidRDefault="005234A2" w:rsidP="005234A2">
      <w:pPr>
        <w:pStyle w:val="BodyText"/>
        <w:spacing w:line="240" w:lineRule="auto"/>
        <w:jc w:val="left"/>
        <w:rPr>
          <w:color w:val="000000"/>
          <w:sz w:val="22"/>
        </w:rPr>
      </w:pPr>
      <w:bookmarkStart w:id="0" w:name="_GoBack"/>
      <w:bookmarkEnd w:id="0"/>
      <w:r>
        <w:rPr>
          <w:bCs/>
          <w:color w:val="000000"/>
          <w:sz w:val="22"/>
        </w:rPr>
        <w:t xml:space="preserve">Supplementary </w:t>
      </w:r>
      <w:r>
        <w:rPr>
          <w:bCs/>
          <w:color w:val="000000"/>
          <w:sz w:val="22"/>
          <w:lang w:val="en-GB"/>
        </w:rPr>
        <w:t xml:space="preserve">appendix </w:t>
      </w:r>
      <w:r>
        <w:rPr>
          <w:bCs/>
          <w:color w:val="000000"/>
          <w:sz w:val="22"/>
        </w:rPr>
        <w:t xml:space="preserve">1 – Classification and description of chemical pollutant types </w:t>
      </w:r>
    </w:p>
    <w:p w:rsidR="005234A2" w:rsidRDefault="005234A2" w:rsidP="005234A2">
      <w:pPr>
        <w:pStyle w:val="BodyText"/>
        <w:spacing w:line="240" w:lineRule="auto"/>
        <w:jc w:val="left"/>
        <w:rPr>
          <w:color w:val="000000"/>
          <w:sz w:val="22"/>
          <w:szCs w:val="20"/>
        </w:rPr>
      </w:pPr>
      <w:r>
        <w:rPr>
          <w:color w:val="000000"/>
          <w:sz w:val="22"/>
          <w:szCs w:val="20"/>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70"/>
        <w:gridCol w:w="3454"/>
        <w:gridCol w:w="4343"/>
      </w:tblGrid>
      <w:tr w:rsidR="005234A2" w:rsidTr="008B5804">
        <w:tc>
          <w:tcPr>
            <w:tcW w:w="1083" w:type="dxa"/>
            <w:tcBorders>
              <w:top w:val="single" w:sz="4" w:space="0" w:color="auto"/>
              <w:left w:val="single" w:sz="4" w:space="0" w:color="auto"/>
              <w:bottom w:val="single" w:sz="4" w:space="0" w:color="auto"/>
              <w:right w:val="single" w:sz="4" w:space="0" w:color="auto"/>
            </w:tcBorders>
          </w:tcPr>
          <w:p w:rsidR="005234A2" w:rsidRDefault="005234A2" w:rsidP="008B5804">
            <w:pPr>
              <w:pStyle w:val="BodyText"/>
              <w:spacing w:line="240" w:lineRule="auto"/>
              <w:rPr>
                <w:b/>
                <w:bCs/>
                <w:color w:val="000000"/>
                <w:sz w:val="22"/>
                <w:szCs w:val="20"/>
                <w:lang w:val="en-GB" w:eastAsia="zh-CN"/>
              </w:rPr>
            </w:pPr>
            <w:r>
              <w:rPr>
                <w:b/>
                <w:bCs/>
                <w:color w:val="000000"/>
                <w:sz w:val="22"/>
                <w:szCs w:val="20"/>
                <w:lang w:val="en-GB" w:eastAsia="zh-CN"/>
              </w:rPr>
              <w:t xml:space="preserve">Substance </w:t>
            </w:r>
          </w:p>
        </w:tc>
        <w:tc>
          <w:tcPr>
            <w:tcW w:w="3454" w:type="dxa"/>
            <w:tcBorders>
              <w:top w:val="single" w:sz="4" w:space="0" w:color="auto"/>
              <w:left w:val="single" w:sz="4" w:space="0" w:color="auto"/>
              <w:bottom w:val="single" w:sz="4" w:space="0" w:color="auto"/>
              <w:right w:val="single" w:sz="4" w:space="0" w:color="auto"/>
            </w:tcBorders>
          </w:tcPr>
          <w:p w:rsidR="005234A2" w:rsidRDefault="005234A2" w:rsidP="008B5804">
            <w:pPr>
              <w:pStyle w:val="BodyText"/>
              <w:spacing w:line="240" w:lineRule="auto"/>
              <w:rPr>
                <w:b/>
                <w:bCs/>
                <w:color w:val="000000"/>
                <w:sz w:val="22"/>
                <w:szCs w:val="20"/>
                <w:lang w:val="en-GB" w:eastAsia="zh-CN"/>
              </w:rPr>
            </w:pPr>
            <w:r>
              <w:rPr>
                <w:b/>
                <w:bCs/>
                <w:color w:val="000000"/>
                <w:sz w:val="22"/>
                <w:szCs w:val="20"/>
                <w:lang w:val="en-GB" w:eastAsia="zh-CN"/>
              </w:rPr>
              <w:t xml:space="preserve">Description </w:t>
            </w:r>
          </w:p>
          <w:p w:rsidR="005234A2" w:rsidRDefault="005234A2" w:rsidP="008B5804">
            <w:pPr>
              <w:pStyle w:val="BodyText"/>
              <w:spacing w:line="240" w:lineRule="auto"/>
              <w:rPr>
                <w:b/>
                <w:bCs/>
                <w:color w:val="000000"/>
                <w:sz w:val="22"/>
                <w:szCs w:val="20"/>
                <w:lang w:val="en-GB" w:eastAsia="zh-CN"/>
              </w:rPr>
            </w:pPr>
          </w:p>
        </w:tc>
        <w:tc>
          <w:tcPr>
            <w:tcW w:w="4343" w:type="dxa"/>
            <w:tcBorders>
              <w:top w:val="single" w:sz="4" w:space="0" w:color="auto"/>
              <w:left w:val="single" w:sz="4" w:space="0" w:color="auto"/>
              <w:bottom w:val="single" w:sz="4" w:space="0" w:color="auto"/>
              <w:right w:val="single" w:sz="4" w:space="0" w:color="auto"/>
            </w:tcBorders>
          </w:tcPr>
          <w:p w:rsidR="005234A2" w:rsidRDefault="005234A2" w:rsidP="008B5804">
            <w:pPr>
              <w:pStyle w:val="BodyText"/>
              <w:spacing w:line="240" w:lineRule="auto"/>
              <w:rPr>
                <w:b/>
                <w:bCs/>
                <w:color w:val="000000"/>
                <w:sz w:val="22"/>
                <w:szCs w:val="20"/>
                <w:lang w:val="en-GB" w:eastAsia="zh-CN"/>
              </w:rPr>
            </w:pPr>
            <w:r>
              <w:rPr>
                <w:b/>
                <w:bCs/>
                <w:color w:val="000000"/>
                <w:sz w:val="22"/>
                <w:szCs w:val="20"/>
                <w:lang w:val="en-GB" w:eastAsia="zh-CN"/>
              </w:rPr>
              <w:t xml:space="preserve">Examples </w:t>
            </w:r>
          </w:p>
        </w:tc>
      </w:tr>
      <w:tr w:rsidR="005234A2" w:rsidTr="008B5804">
        <w:tc>
          <w:tcPr>
            <w:tcW w:w="1083" w:type="dxa"/>
            <w:tcBorders>
              <w:top w:val="single" w:sz="4" w:space="0" w:color="auto"/>
              <w:left w:val="single" w:sz="4" w:space="0" w:color="auto"/>
              <w:bottom w:val="single" w:sz="4" w:space="0" w:color="auto"/>
              <w:right w:val="single" w:sz="4" w:space="0" w:color="auto"/>
            </w:tcBorders>
          </w:tcPr>
          <w:p w:rsidR="005234A2" w:rsidRDefault="005234A2" w:rsidP="008B5804">
            <w:pPr>
              <w:pStyle w:val="BodyText"/>
              <w:spacing w:line="240" w:lineRule="auto"/>
              <w:rPr>
                <w:b/>
                <w:bCs/>
                <w:color w:val="000000"/>
                <w:sz w:val="22"/>
                <w:szCs w:val="20"/>
                <w:lang w:val="en-GB" w:eastAsia="zh-CN"/>
              </w:rPr>
            </w:pPr>
            <w:r>
              <w:rPr>
                <w:b/>
                <w:bCs/>
                <w:color w:val="000000"/>
                <w:sz w:val="22"/>
                <w:szCs w:val="20"/>
                <w:lang w:val="en-GB" w:eastAsia="zh-CN"/>
              </w:rPr>
              <w:t xml:space="preserve">Dusts </w:t>
            </w:r>
          </w:p>
        </w:tc>
        <w:tc>
          <w:tcPr>
            <w:tcW w:w="3454" w:type="dxa"/>
            <w:tcBorders>
              <w:top w:val="single" w:sz="4" w:space="0" w:color="auto"/>
              <w:left w:val="single" w:sz="4" w:space="0" w:color="auto"/>
              <w:bottom w:val="single" w:sz="4" w:space="0" w:color="auto"/>
              <w:right w:val="single" w:sz="4" w:space="0" w:color="auto"/>
            </w:tcBorders>
          </w:tcPr>
          <w:p w:rsidR="005234A2" w:rsidRDefault="005234A2" w:rsidP="008B5804">
            <w:pPr>
              <w:pStyle w:val="BodyText"/>
              <w:spacing w:line="240" w:lineRule="auto"/>
              <w:jc w:val="left"/>
              <w:rPr>
                <w:color w:val="000000"/>
                <w:sz w:val="22"/>
                <w:szCs w:val="20"/>
                <w:lang w:val="en-GB" w:eastAsia="zh-CN"/>
              </w:rPr>
            </w:pPr>
            <w:r>
              <w:rPr>
                <w:color w:val="000000"/>
                <w:sz w:val="22"/>
                <w:szCs w:val="20"/>
                <w:lang w:val="en-GB" w:eastAsia="zh-CN"/>
              </w:rPr>
              <w:t xml:space="preserve">Solid particles, inhalable particle size typically 0.1 to 100µm. Generated by number of industrial processes including grinding, milling, crushing, bagging, sweeping, weighing, transporting (conveyors) and mixing operations. </w:t>
            </w:r>
          </w:p>
          <w:p w:rsidR="005234A2" w:rsidRDefault="005234A2" w:rsidP="008B5804">
            <w:pPr>
              <w:pStyle w:val="BodyText"/>
              <w:spacing w:line="240" w:lineRule="auto"/>
              <w:ind w:left="720"/>
              <w:jc w:val="left"/>
              <w:rPr>
                <w:color w:val="000000"/>
                <w:sz w:val="22"/>
                <w:szCs w:val="20"/>
                <w:lang w:val="en-GB" w:eastAsia="zh-CN"/>
              </w:rPr>
            </w:pPr>
          </w:p>
        </w:tc>
        <w:tc>
          <w:tcPr>
            <w:tcW w:w="4343" w:type="dxa"/>
            <w:tcBorders>
              <w:top w:val="single" w:sz="4" w:space="0" w:color="auto"/>
              <w:left w:val="single" w:sz="4" w:space="0" w:color="auto"/>
              <w:bottom w:val="single" w:sz="4" w:space="0" w:color="auto"/>
              <w:right w:val="single" w:sz="4" w:space="0" w:color="auto"/>
            </w:tcBorders>
          </w:tcPr>
          <w:p w:rsidR="005234A2" w:rsidRDefault="005234A2" w:rsidP="008B5804">
            <w:pPr>
              <w:pStyle w:val="BodyText"/>
              <w:spacing w:line="240" w:lineRule="auto"/>
              <w:jc w:val="left"/>
              <w:rPr>
                <w:color w:val="000000"/>
                <w:sz w:val="22"/>
                <w:szCs w:val="20"/>
                <w:lang w:val="en-GB" w:eastAsia="zh-CN"/>
              </w:rPr>
            </w:pPr>
            <w:r>
              <w:rPr>
                <w:color w:val="000000"/>
                <w:sz w:val="22"/>
                <w:szCs w:val="20"/>
                <w:lang w:val="en-GB" w:eastAsia="zh-CN"/>
              </w:rPr>
              <w:t xml:space="preserve">Dusts can be subdivided in to mineral and biological dusts. </w:t>
            </w:r>
          </w:p>
          <w:p w:rsidR="005234A2" w:rsidRDefault="005234A2" w:rsidP="008B5804">
            <w:pPr>
              <w:pStyle w:val="BodyText"/>
              <w:spacing w:line="240" w:lineRule="auto"/>
              <w:jc w:val="left"/>
              <w:rPr>
                <w:color w:val="000000"/>
                <w:sz w:val="22"/>
                <w:szCs w:val="20"/>
                <w:lang w:val="en-GB" w:eastAsia="zh-CN"/>
              </w:rPr>
            </w:pPr>
            <w:r>
              <w:rPr>
                <w:color w:val="000000"/>
                <w:sz w:val="22"/>
                <w:szCs w:val="20"/>
                <w:lang w:val="en-GB" w:eastAsia="zh-CN"/>
              </w:rPr>
              <w:t>Mineral (inorganic) dusts: mainly oxides of Silica, Aluminium, Iron and Calcium (e.g. SiO</w:t>
            </w:r>
            <w:r>
              <w:rPr>
                <w:color w:val="000000"/>
                <w:sz w:val="22"/>
                <w:szCs w:val="20"/>
                <w:vertAlign w:val="subscript"/>
                <w:lang w:val="en-GB" w:eastAsia="zh-CN"/>
              </w:rPr>
              <w:t>2</w:t>
            </w:r>
            <w:r>
              <w:rPr>
                <w:color w:val="000000"/>
                <w:sz w:val="22"/>
                <w:szCs w:val="20"/>
                <w:lang w:val="en-GB" w:eastAsia="zh-CN"/>
              </w:rPr>
              <w:t>, Al</w:t>
            </w:r>
            <w:r>
              <w:rPr>
                <w:color w:val="000000"/>
                <w:sz w:val="22"/>
                <w:szCs w:val="20"/>
                <w:vertAlign w:val="subscript"/>
                <w:lang w:val="en-GB" w:eastAsia="zh-CN"/>
              </w:rPr>
              <w:t>2</w:t>
            </w:r>
            <w:r>
              <w:rPr>
                <w:color w:val="000000"/>
                <w:sz w:val="22"/>
                <w:szCs w:val="20"/>
                <w:lang w:val="en-GB" w:eastAsia="zh-CN"/>
              </w:rPr>
              <w:t>O</w:t>
            </w:r>
            <w:r>
              <w:rPr>
                <w:color w:val="000000"/>
                <w:sz w:val="22"/>
                <w:szCs w:val="20"/>
                <w:vertAlign w:val="subscript"/>
                <w:lang w:val="en-GB" w:eastAsia="zh-CN"/>
              </w:rPr>
              <w:t>3</w:t>
            </w:r>
            <w:r>
              <w:rPr>
                <w:color w:val="000000"/>
                <w:sz w:val="22"/>
                <w:szCs w:val="20"/>
                <w:lang w:val="en-GB" w:eastAsia="zh-CN"/>
              </w:rPr>
              <w:t>, FeO, Fe</w:t>
            </w:r>
            <w:r>
              <w:rPr>
                <w:color w:val="000000"/>
                <w:sz w:val="22"/>
                <w:szCs w:val="20"/>
                <w:vertAlign w:val="subscript"/>
                <w:lang w:val="en-GB" w:eastAsia="zh-CN"/>
              </w:rPr>
              <w:t>2</w:t>
            </w:r>
            <w:r>
              <w:rPr>
                <w:color w:val="000000"/>
                <w:sz w:val="22"/>
                <w:szCs w:val="20"/>
                <w:lang w:val="en-GB" w:eastAsia="zh-CN"/>
              </w:rPr>
              <w:t>O</w:t>
            </w:r>
            <w:r>
              <w:rPr>
                <w:color w:val="000000"/>
                <w:sz w:val="22"/>
                <w:szCs w:val="20"/>
                <w:vertAlign w:val="subscript"/>
                <w:lang w:val="en-GB" w:eastAsia="zh-CN"/>
              </w:rPr>
              <w:t>3</w:t>
            </w:r>
            <w:r>
              <w:rPr>
                <w:color w:val="000000"/>
                <w:sz w:val="22"/>
                <w:szCs w:val="20"/>
                <w:lang w:val="en-GB" w:eastAsia="zh-CN"/>
              </w:rPr>
              <w:t>, CaO, CaCO</w:t>
            </w:r>
            <w:r>
              <w:rPr>
                <w:color w:val="000000"/>
                <w:sz w:val="22"/>
                <w:szCs w:val="20"/>
                <w:vertAlign w:val="subscript"/>
                <w:lang w:val="en-GB" w:eastAsia="zh-CN"/>
              </w:rPr>
              <w:t>3</w:t>
            </w:r>
            <w:r>
              <w:rPr>
                <w:color w:val="000000"/>
                <w:sz w:val="22"/>
                <w:szCs w:val="20"/>
                <w:lang w:val="en-GB" w:eastAsia="zh-CN"/>
              </w:rPr>
              <w:t>) and also coal dust, quartz, cement, soil and metal dust (Lead, Cadmium, Nickel, Beryllium etc.).</w:t>
            </w:r>
          </w:p>
          <w:p w:rsidR="005234A2" w:rsidRDefault="005234A2" w:rsidP="008B5804">
            <w:pPr>
              <w:pStyle w:val="BodyText"/>
              <w:spacing w:line="240" w:lineRule="auto"/>
              <w:jc w:val="left"/>
              <w:rPr>
                <w:color w:val="000000"/>
                <w:sz w:val="22"/>
                <w:szCs w:val="20"/>
                <w:lang w:val="en-GB" w:eastAsia="zh-CN"/>
              </w:rPr>
            </w:pPr>
            <w:r>
              <w:rPr>
                <w:color w:val="000000"/>
                <w:sz w:val="22"/>
                <w:szCs w:val="20"/>
                <w:lang w:val="en-GB" w:eastAsia="zh-CN"/>
              </w:rPr>
              <w:t>Organic (biological dusts): originate from plant and animal sources e.g. flour, wood, cotton, grain, microbiological dust (moulds, spores).</w:t>
            </w:r>
          </w:p>
          <w:p w:rsidR="005234A2" w:rsidRDefault="005234A2" w:rsidP="008B5804">
            <w:pPr>
              <w:pStyle w:val="BodyText"/>
              <w:spacing w:line="240" w:lineRule="auto"/>
              <w:jc w:val="left"/>
              <w:rPr>
                <w:color w:val="000000"/>
                <w:sz w:val="22"/>
                <w:szCs w:val="20"/>
                <w:lang w:val="en-GB" w:eastAsia="zh-CN"/>
              </w:rPr>
            </w:pPr>
          </w:p>
        </w:tc>
      </w:tr>
      <w:tr w:rsidR="005234A2" w:rsidTr="008B5804">
        <w:tc>
          <w:tcPr>
            <w:tcW w:w="1083" w:type="dxa"/>
            <w:tcBorders>
              <w:top w:val="single" w:sz="4" w:space="0" w:color="auto"/>
              <w:left w:val="single" w:sz="4" w:space="0" w:color="auto"/>
              <w:bottom w:val="single" w:sz="4" w:space="0" w:color="auto"/>
              <w:right w:val="single" w:sz="4" w:space="0" w:color="auto"/>
            </w:tcBorders>
          </w:tcPr>
          <w:p w:rsidR="005234A2" w:rsidRDefault="005234A2" w:rsidP="008B5804">
            <w:pPr>
              <w:pStyle w:val="BodyText"/>
              <w:spacing w:line="240" w:lineRule="auto"/>
              <w:rPr>
                <w:b/>
                <w:bCs/>
                <w:color w:val="000000"/>
                <w:sz w:val="22"/>
                <w:szCs w:val="20"/>
                <w:lang w:val="en-GB" w:eastAsia="zh-CN"/>
              </w:rPr>
            </w:pPr>
            <w:r>
              <w:rPr>
                <w:b/>
                <w:bCs/>
                <w:color w:val="000000"/>
                <w:sz w:val="22"/>
                <w:szCs w:val="20"/>
                <w:lang w:val="en-GB" w:eastAsia="zh-CN"/>
              </w:rPr>
              <w:t>Vapours</w:t>
            </w:r>
          </w:p>
        </w:tc>
        <w:tc>
          <w:tcPr>
            <w:tcW w:w="3454" w:type="dxa"/>
            <w:tcBorders>
              <w:top w:val="single" w:sz="4" w:space="0" w:color="auto"/>
              <w:left w:val="single" w:sz="4" w:space="0" w:color="auto"/>
              <w:bottom w:val="single" w:sz="4" w:space="0" w:color="auto"/>
              <w:right w:val="single" w:sz="4" w:space="0" w:color="auto"/>
            </w:tcBorders>
          </w:tcPr>
          <w:p w:rsidR="005234A2" w:rsidRDefault="005234A2" w:rsidP="008B5804">
            <w:pPr>
              <w:pStyle w:val="BodyText"/>
              <w:spacing w:line="240" w:lineRule="auto"/>
              <w:ind w:left="86"/>
              <w:jc w:val="left"/>
              <w:rPr>
                <w:color w:val="000000"/>
                <w:sz w:val="22"/>
                <w:szCs w:val="20"/>
                <w:lang w:val="en-GB" w:eastAsia="zh-CN"/>
              </w:rPr>
            </w:pPr>
            <w:r>
              <w:rPr>
                <w:color w:val="000000"/>
                <w:sz w:val="22"/>
                <w:szCs w:val="20"/>
                <w:lang w:val="en-GB" w:eastAsia="zh-CN"/>
              </w:rPr>
              <w:t>The gaseous phase of a volatile liquid or solid at room temperature.  Commonly used in dry cleaning, paints, adhesives and thinners.</w:t>
            </w:r>
          </w:p>
          <w:p w:rsidR="005234A2" w:rsidRDefault="005234A2" w:rsidP="008B5804">
            <w:pPr>
              <w:pStyle w:val="BodyText"/>
              <w:spacing w:line="240" w:lineRule="auto"/>
              <w:jc w:val="left"/>
              <w:rPr>
                <w:b/>
                <w:bCs/>
                <w:color w:val="000000"/>
                <w:sz w:val="22"/>
                <w:szCs w:val="20"/>
                <w:lang w:val="en-GB" w:eastAsia="zh-CN"/>
              </w:rPr>
            </w:pPr>
          </w:p>
        </w:tc>
        <w:tc>
          <w:tcPr>
            <w:tcW w:w="4343" w:type="dxa"/>
            <w:tcBorders>
              <w:top w:val="single" w:sz="4" w:space="0" w:color="auto"/>
              <w:left w:val="single" w:sz="4" w:space="0" w:color="auto"/>
              <w:bottom w:val="single" w:sz="4" w:space="0" w:color="auto"/>
              <w:right w:val="single" w:sz="4" w:space="0" w:color="auto"/>
            </w:tcBorders>
          </w:tcPr>
          <w:p w:rsidR="005234A2" w:rsidRDefault="005234A2" w:rsidP="008B5804">
            <w:pPr>
              <w:pStyle w:val="BodyText"/>
              <w:spacing w:line="240" w:lineRule="auto"/>
              <w:jc w:val="left"/>
              <w:rPr>
                <w:color w:val="000000"/>
                <w:sz w:val="22"/>
                <w:szCs w:val="20"/>
                <w:lang w:val="en-GB" w:eastAsia="zh-CN"/>
              </w:rPr>
            </w:pPr>
            <w:r>
              <w:rPr>
                <w:color w:val="000000"/>
                <w:sz w:val="22"/>
                <w:szCs w:val="20"/>
                <w:lang w:val="en-GB" w:eastAsia="zh-CN"/>
              </w:rPr>
              <w:t>Toluene, Xylene, Benzene, Ethyl acetate, Hexane, Diethyl ether, Isocyanates, Aldehydes and Ketones</w:t>
            </w:r>
          </w:p>
        </w:tc>
      </w:tr>
      <w:tr w:rsidR="005234A2" w:rsidTr="008B5804">
        <w:tc>
          <w:tcPr>
            <w:tcW w:w="1083" w:type="dxa"/>
            <w:tcBorders>
              <w:top w:val="single" w:sz="4" w:space="0" w:color="auto"/>
              <w:left w:val="single" w:sz="4" w:space="0" w:color="auto"/>
              <w:bottom w:val="single" w:sz="4" w:space="0" w:color="auto"/>
              <w:right w:val="single" w:sz="4" w:space="0" w:color="auto"/>
            </w:tcBorders>
          </w:tcPr>
          <w:p w:rsidR="005234A2" w:rsidRDefault="005234A2" w:rsidP="008B5804">
            <w:pPr>
              <w:pStyle w:val="BodyText"/>
              <w:spacing w:line="240" w:lineRule="auto"/>
              <w:rPr>
                <w:b/>
                <w:bCs/>
                <w:color w:val="000000"/>
                <w:sz w:val="22"/>
                <w:szCs w:val="20"/>
                <w:lang w:val="en-GB" w:eastAsia="zh-CN"/>
              </w:rPr>
            </w:pPr>
            <w:r>
              <w:rPr>
                <w:b/>
                <w:bCs/>
                <w:color w:val="000000"/>
                <w:sz w:val="22"/>
                <w:szCs w:val="20"/>
                <w:lang w:val="en-GB" w:eastAsia="zh-CN"/>
              </w:rPr>
              <w:t>Gases</w:t>
            </w:r>
          </w:p>
          <w:p w:rsidR="005234A2" w:rsidRDefault="005234A2" w:rsidP="008B5804">
            <w:pPr>
              <w:pStyle w:val="BodyText"/>
              <w:spacing w:line="240" w:lineRule="auto"/>
              <w:rPr>
                <w:b/>
                <w:bCs/>
                <w:color w:val="000000"/>
                <w:sz w:val="22"/>
                <w:szCs w:val="20"/>
                <w:lang w:val="en-GB" w:eastAsia="zh-CN"/>
              </w:rPr>
            </w:pPr>
          </w:p>
        </w:tc>
        <w:tc>
          <w:tcPr>
            <w:tcW w:w="3454" w:type="dxa"/>
            <w:tcBorders>
              <w:top w:val="single" w:sz="4" w:space="0" w:color="auto"/>
              <w:left w:val="single" w:sz="4" w:space="0" w:color="auto"/>
              <w:bottom w:val="single" w:sz="4" w:space="0" w:color="auto"/>
              <w:right w:val="single" w:sz="4" w:space="0" w:color="auto"/>
            </w:tcBorders>
          </w:tcPr>
          <w:p w:rsidR="005234A2" w:rsidRDefault="005234A2" w:rsidP="008B5804">
            <w:pPr>
              <w:pStyle w:val="BodyText"/>
              <w:spacing w:line="240" w:lineRule="auto"/>
              <w:jc w:val="left"/>
              <w:rPr>
                <w:color w:val="000000"/>
                <w:sz w:val="22"/>
                <w:szCs w:val="20"/>
                <w:lang w:val="en-GB" w:eastAsia="zh-CN"/>
              </w:rPr>
            </w:pPr>
            <w:r>
              <w:rPr>
                <w:color w:val="000000"/>
                <w:sz w:val="22"/>
                <w:szCs w:val="20"/>
                <w:lang w:val="en-GB" w:eastAsia="zh-CN"/>
              </w:rPr>
              <w:t xml:space="preserve">Exist as gas at room temperature </w:t>
            </w:r>
          </w:p>
        </w:tc>
        <w:tc>
          <w:tcPr>
            <w:tcW w:w="4343" w:type="dxa"/>
            <w:tcBorders>
              <w:top w:val="single" w:sz="4" w:space="0" w:color="auto"/>
              <w:left w:val="single" w:sz="4" w:space="0" w:color="auto"/>
              <w:bottom w:val="single" w:sz="4" w:space="0" w:color="auto"/>
              <w:right w:val="single" w:sz="4" w:space="0" w:color="auto"/>
            </w:tcBorders>
          </w:tcPr>
          <w:p w:rsidR="005234A2" w:rsidRDefault="005234A2" w:rsidP="008B5804">
            <w:pPr>
              <w:pStyle w:val="BodyText"/>
              <w:spacing w:line="240" w:lineRule="auto"/>
              <w:jc w:val="left"/>
              <w:rPr>
                <w:color w:val="000000"/>
                <w:sz w:val="22"/>
                <w:szCs w:val="20"/>
                <w:lang w:val="en-GB" w:eastAsia="zh-CN"/>
              </w:rPr>
            </w:pPr>
            <w:r>
              <w:rPr>
                <w:color w:val="000000"/>
                <w:sz w:val="22"/>
                <w:szCs w:val="20"/>
                <w:lang w:val="en-GB" w:eastAsia="zh-CN"/>
              </w:rPr>
              <w:t>Ammonia, Carbon dioxide, Carbon monoxide, Oxides Nitrogen, Sulphur dioxide, Halothanes, Acetylene (oxy-acetylene), Ozone</w:t>
            </w:r>
          </w:p>
          <w:p w:rsidR="005234A2" w:rsidRDefault="005234A2" w:rsidP="008B5804">
            <w:pPr>
              <w:pStyle w:val="BodyText"/>
              <w:spacing w:line="240" w:lineRule="auto"/>
              <w:jc w:val="left"/>
              <w:rPr>
                <w:color w:val="000000"/>
                <w:sz w:val="22"/>
                <w:szCs w:val="20"/>
                <w:lang w:val="en-GB" w:eastAsia="zh-CN"/>
              </w:rPr>
            </w:pPr>
          </w:p>
        </w:tc>
      </w:tr>
      <w:tr w:rsidR="005234A2" w:rsidTr="008B5804">
        <w:tc>
          <w:tcPr>
            <w:tcW w:w="1083" w:type="dxa"/>
            <w:tcBorders>
              <w:top w:val="single" w:sz="4" w:space="0" w:color="auto"/>
              <w:left w:val="single" w:sz="4" w:space="0" w:color="auto"/>
              <w:bottom w:val="single" w:sz="4" w:space="0" w:color="auto"/>
              <w:right w:val="single" w:sz="4" w:space="0" w:color="auto"/>
            </w:tcBorders>
          </w:tcPr>
          <w:p w:rsidR="005234A2" w:rsidRDefault="005234A2" w:rsidP="008B5804">
            <w:pPr>
              <w:pStyle w:val="BodyText"/>
              <w:spacing w:line="240" w:lineRule="auto"/>
              <w:rPr>
                <w:b/>
                <w:bCs/>
                <w:color w:val="000000"/>
                <w:sz w:val="22"/>
                <w:szCs w:val="20"/>
                <w:lang w:val="en-GB" w:eastAsia="zh-CN"/>
              </w:rPr>
            </w:pPr>
            <w:r>
              <w:rPr>
                <w:b/>
                <w:bCs/>
                <w:color w:val="000000"/>
                <w:sz w:val="22"/>
                <w:szCs w:val="20"/>
                <w:lang w:val="en-GB" w:eastAsia="zh-CN"/>
              </w:rPr>
              <w:t>Fumes</w:t>
            </w:r>
          </w:p>
          <w:p w:rsidR="005234A2" w:rsidRDefault="005234A2" w:rsidP="008B5804">
            <w:pPr>
              <w:pStyle w:val="BodyText"/>
              <w:spacing w:line="240" w:lineRule="auto"/>
              <w:rPr>
                <w:b/>
                <w:bCs/>
                <w:color w:val="000000"/>
                <w:sz w:val="22"/>
                <w:szCs w:val="20"/>
                <w:lang w:val="en-GB" w:eastAsia="zh-CN"/>
              </w:rPr>
            </w:pPr>
          </w:p>
        </w:tc>
        <w:tc>
          <w:tcPr>
            <w:tcW w:w="3454" w:type="dxa"/>
            <w:tcBorders>
              <w:top w:val="single" w:sz="4" w:space="0" w:color="auto"/>
              <w:left w:val="single" w:sz="4" w:space="0" w:color="auto"/>
              <w:bottom w:val="single" w:sz="4" w:space="0" w:color="auto"/>
              <w:right w:val="single" w:sz="4" w:space="0" w:color="auto"/>
            </w:tcBorders>
          </w:tcPr>
          <w:p w:rsidR="005234A2" w:rsidRDefault="005234A2" w:rsidP="008B5804">
            <w:pPr>
              <w:pStyle w:val="BodyText"/>
              <w:spacing w:line="240" w:lineRule="auto"/>
              <w:jc w:val="left"/>
              <w:rPr>
                <w:color w:val="000000"/>
                <w:sz w:val="22"/>
                <w:szCs w:val="20"/>
                <w:lang w:val="en-GB" w:eastAsia="zh-CN"/>
              </w:rPr>
            </w:pPr>
            <w:r>
              <w:rPr>
                <w:color w:val="000000"/>
                <w:sz w:val="22"/>
                <w:szCs w:val="20"/>
                <w:lang w:val="en-GB" w:eastAsia="zh-CN"/>
              </w:rPr>
              <w:t xml:space="preserve">Particles (usually less than 1 µm) produced by heating solids which vaporise and then condense e.g. sublimation of molten metals. </w:t>
            </w:r>
          </w:p>
          <w:p w:rsidR="005234A2" w:rsidRDefault="005234A2" w:rsidP="008B5804">
            <w:pPr>
              <w:pStyle w:val="BodyText"/>
              <w:spacing w:line="240" w:lineRule="auto"/>
              <w:jc w:val="left"/>
              <w:rPr>
                <w:color w:val="000000"/>
                <w:sz w:val="22"/>
                <w:szCs w:val="20"/>
                <w:lang w:val="en-GB" w:eastAsia="zh-CN"/>
              </w:rPr>
            </w:pPr>
          </w:p>
        </w:tc>
        <w:tc>
          <w:tcPr>
            <w:tcW w:w="4343" w:type="dxa"/>
            <w:tcBorders>
              <w:top w:val="single" w:sz="4" w:space="0" w:color="auto"/>
              <w:left w:val="single" w:sz="4" w:space="0" w:color="auto"/>
              <w:bottom w:val="single" w:sz="4" w:space="0" w:color="auto"/>
              <w:right w:val="single" w:sz="4" w:space="0" w:color="auto"/>
            </w:tcBorders>
          </w:tcPr>
          <w:p w:rsidR="005234A2" w:rsidRDefault="005234A2" w:rsidP="008B5804">
            <w:pPr>
              <w:pStyle w:val="BodyText"/>
              <w:spacing w:line="240" w:lineRule="auto"/>
              <w:jc w:val="left"/>
              <w:rPr>
                <w:color w:val="000000"/>
                <w:sz w:val="22"/>
                <w:szCs w:val="20"/>
                <w:lang w:val="en-GB" w:eastAsia="zh-CN"/>
              </w:rPr>
            </w:pPr>
            <w:r>
              <w:rPr>
                <w:color w:val="000000"/>
                <w:sz w:val="22"/>
                <w:szCs w:val="20"/>
                <w:lang w:val="en-GB" w:eastAsia="zh-CN"/>
              </w:rPr>
              <w:t xml:space="preserve">Diesel (transport industry) , rubber, soldering (electronic industry), welding (fabrication) </w:t>
            </w:r>
          </w:p>
        </w:tc>
      </w:tr>
      <w:tr w:rsidR="005234A2" w:rsidTr="008B5804">
        <w:tc>
          <w:tcPr>
            <w:tcW w:w="1083" w:type="dxa"/>
            <w:tcBorders>
              <w:top w:val="single" w:sz="4" w:space="0" w:color="auto"/>
              <w:left w:val="single" w:sz="4" w:space="0" w:color="auto"/>
              <w:bottom w:val="single" w:sz="4" w:space="0" w:color="auto"/>
              <w:right w:val="single" w:sz="4" w:space="0" w:color="auto"/>
            </w:tcBorders>
          </w:tcPr>
          <w:p w:rsidR="005234A2" w:rsidRDefault="005234A2" w:rsidP="008B5804">
            <w:pPr>
              <w:pStyle w:val="BodyText"/>
              <w:spacing w:line="240" w:lineRule="auto"/>
              <w:rPr>
                <w:b/>
                <w:bCs/>
                <w:color w:val="000000"/>
                <w:sz w:val="22"/>
                <w:szCs w:val="20"/>
                <w:lang w:val="en-GB" w:eastAsia="zh-CN"/>
              </w:rPr>
            </w:pPr>
            <w:r>
              <w:rPr>
                <w:b/>
                <w:bCs/>
                <w:color w:val="000000"/>
                <w:sz w:val="22"/>
                <w:szCs w:val="20"/>
                <w:lang w:val="en-GB" w:eastAsia="zh-CN"/>
              </w:rPr>
              <w:t xml:space="preserve">Fibres </w:t>
            </w:r>
          </w:p>
        </w:tc>
        <w:tc>
          <w:tcPr>
            <w:tcW w:w="3454" w:type="dxa"/>
            <w:tcBorders>
              <w:top w:val="single" w:sz="4" w:space="0" w:color="auto"/>
              <w:left w:val="single" w:sz="4" w:space="0" w:color="auto"/>
              <w:bottom w:val="single" w:sz="4" w:space="0" w:color="auto"/>
              <w:right w:val="single" w:sz="4" w:space="0" w:color="auto"/>
            </w:tcBorders>
          </w:tcPr>
          <w:p w:rsidR="005234A2" w:rsidRDefault="005234A2" w:rsidP="008B5804">
            <w:pPr>
              <w:pStyle w:val="BodyText"/>
              <w:spacing w:line="240" w:lineRule="auto"/>
              <w:jc w:val="left"/>
              <w:rPr>
                <w:color w:val="000000"/>
                <w:sz w:val="22"/>
                <w:szCs w:val="20"/>
                <w:lang w:val="en-GB" w:eastAsia="zh-CN"/>
              </w:rPr>
            </w:pPr>
            <w:r>
              <w:rPr>
                <w:color w:val="000000"/>
                <w:sz w:val="22"/>
                <w:szCs w:val="20"/>
                <w:lang w:val="en-GB" w:eastAsia="zh-CN"/>
              </w:rPr>
              <w:t>Solid particles with length several times greater than their width. Asbestos fibres are defined as having length: width ratio (aspect ratio) of more than 3:1</w:t>
            </w:r>
          </w:p>
          <w:p w:rsidR="005234A2" w:rsidRDefault="005234A2" w:rsidP="008B5804">
            <w:pPr>
              <w:pStyle w:val="BodyText"/>
              <w:spacing w:line="240" w:lineRule="auto"/>
              <w:jc w:val="left"/>
              <w:rPr>
                <w:color w:val="000000"/>
                <w:sz w:val="22"/>
                <w:szCs w:val="20"/>
                <w:lang w:val="en-GB" w:eastAsia="zh-CN"/>
              </w:rPr>
            </w:pPr>
          </w:p>
        </w:tc>
        <w:tc>
          <w:tcPr>
            <w:tcW w:w="4343" w:type="dxa"/>
            <w:tcBorders>
              <w:top w:val="single" w:sz="4" w:space="0" w:color="auto"/>
              <w:left w:val="single" w:sz="4" w:space="0" w:color="auto"/>
              <w:bottom w:val="single" w:sz="4" w:space="0" w:color="auto"/>
              <w:right w:val="single" w:sz="4" w:space="0" w:color="auto"/>
            </w:tcBorders>
          </w:tcPr>
          <w:p w:rsidR="005234A2" w:rsidRDefault="005234A2" w:rsidP="008B5804">
            <w:pPr>
              <w:pStyle w:val="BodyText"/>
              <w:spacing w:line="240" w:lineRule="auto"/>
              <w:jc w:val="left"/>
              <w:rPr>
                <w:color w:val="000000"/>
                <w:sz w:val="22"/>
                <w:szCs w:val="20"/>
                <w:lang w:val="en-GB" w:eastAsia="zh-CN"/>
              </w:rPr>
            </w:pPr>
            <w:r>
              <w:rPr>
                <w:color w:val="000000"/>
                <w:sz w:val="22"/>
                <w:szCs w:val="20"/>
                <w:lang w:val="en-GB" w:eastAsia="zh-CN"/>
              </w:rPr>
              <w:t>Natural: wood, cotton flax, paper; Mineral: asbestos used in insulation, fire resistance, friction; and Man-made mineral fibres: glass wool, rock wool</w:t>
            </w:r>
          </w:p>
        </w:tc>
      </w:tr>
      <w:tr w:rsidR="005234A2" w:rsidTr="008B5804">
        <w:tc>
          <w:tcPr>
            <w:tcW w:w="1083" w:type="dxa"/>
            <w:tcBorders>
              <w:top w:val="single" w:sz="4" w:space="0" w:color="auto"/>
              <w:left w:val="single" w:sz="4" w:space="0" w:color="auto"/>
              <w:bottom w:val="single" w:sz="4" w:space="0" w:color="auto"/>
              <w:right w:val="single" w:sz="4" w:space="0" w:color="auto"/>
            </w:tcBorders>
          </w:tcPr>
          <w:p w:rsidR="005234A2" w:rsidRDefault="005234A2" w:rsidP="008B5804">
            <w:pPr>
              <w:pStyle w:val="BodyText"/>
              <w:spacing w:line="240" w:lineRule="auto"/>
              <w:rPr>
                <w:b/>
                <w:bCs/>
                <w:color w:val="000000"/>
                <w:sz w:val="22"/>
                <w:szCs w:val="20"/>
                <w:lang w:val="en-GB" w:eastAsia="zh-CN"/>
              </w:rPr>
            </w:pPr>
            <w:r>
              <w:rPr>
                <w:b/>
                <w:bCs/>
                <w:color w:val="000000"/>
                <w:sz w:val="22"/>
                <w:szCs w:val="20"/>
                <w:lang w:val="en-GB" w:eastAsia="zh-CN"/>
              </w:rPr>
              <w:t>Mists</w:t>
            </w:r>
          </w:p>
          <w:p w:rsidR="005234A2" w:rsidRDefault="005234A2" w:rsidP="008B5804">
            <w:pPr>
              <w:pStyle w:val="BodyText"/>
              <w:spacing w:line="240" w:lineRule="auto"/>
              <w:rPr>
                <w:b/>
                <w:bCs/>
                <w:color w:val="000000"/>
                <w:sz w:val="22"/>
                <w:szCs w:val="20"/>
                <w:lang w:val="en-GB" w:eastAsia="zh-CN"/>
              </w:rPr>
            </w:pPr>
          </w:p>
        </w:tc>
        <w:tc>
          <w:tcPr>
            <w:tcW w:w="3454" w:type="dxa"/>
            <w:tcBorders>
              <w:top w:val="single" w:sz="4" w:space="0" w:color="auto"/>
              <w:left w:val="single" w:sz="4" w:space="0" w:color="auto"/>
              <w:bottom w:val="single" w:sz="4" w:space="0" w:color="auto"/>
              <w:right w:val="single" w:sz="4" w:space="0" w:color="auto"/>
            </w:tcBorders>
          </w:tcPr>
          <w:p w:rsidR="005234A2" w:rsidRDefault="005234A2" w:rsidP="008B5804">
            <w:pPr>
              <w:pStyle w:val="BodyText"/>
              <w:spacing w:line="240" w:lineRule="auto"/>
              <w:jc w:val="left"/>
              <w:rPr>
                <w:color w:val="000000"/>
                <w:sz w:val="22"/>
                <w:szCs w:val="20"/>
                <w:lang w:val="en-GB" w:eastAsia="zh-CN"/>
              </w:rPr>
            </w:pPr>
            <w:r>
              <w:rPr>
                <w:color w:val="000000"/>
                <w:sz w:val="22"/>
                <w:szCs w:val="20"/>
                <w:lang w:val="en-GB" w:eastAsia="zh-CN"/>
              </w:rPr>
              <w:t>Liquid particles suspended in air generated by spraying operations. Size range typically, 20-100 µm.</w:t>
            </w:r>
          </w:p>
        </w:tc>
        <w:tc>
          <w:tcPr>
            <w:tcW w:w="4343" w:type="dxa"/>
            <w:tcBorders>
              <w:top w:val="single" w:sz="4" w:space="0" w:color="auto"/>
              <w:left w:val="single" w:sz="4" w:space="0" w:color="auto"/>
              <w:bottom w:val="single" w:sz="4" w:space="0" w:color="auto"/>
              <w:right w:val="single" w:sz="4" w:space="0" w:color="auto"/>
            </w:tcBorders>
          </w:tcPr>
          <w:p w:rsidR="005234A2" w:rsidRDefault="005234A2" w:rsidP="008B5804">
            <w:pPr>
              <w:pStyle w:val="BodyText"/>
              <w:spacing w:line="240" w:lineRule="auto"/>
              <w:jc w:val="left"/>
              <w:rPr>
                <w:color w:val="000000"/>
                <w:sz w:val="22"/>
                <w:szCs w:val="20"/>
                <w:lang w:val="en-GB" w:eastAsia="zh-CN"/>
              </w:rPr>
            </w:pPr>
            <w:r>
              <w:rPr>
                <w:color w:val="000000"/>
                <w:sz w:val="22"/>
                <w:szCs w:val="20"/>
                <w:lang w:val="en-GB" w:eastAsia="zh-CN"/>
              </w:rPr>
              <w:t xml:space="preserve">Oil mist (metal working fluids), pesticide spraying, acid mists (electroplating)  </w:t>
            </w:r>
          </w:p>
          <w:p w:rsidR="005234A2" w:rsidRDefault="005234A2" w:rsidP="008B5804">
            <w:pPr>
              <w:pStyle w:val="BodyText"/>
              <w:spacing w:line="240" w:lineRule="auto"/>
              <w:jc w:val="left"/>
              <w:rPr>
                <w:color w:val="000000"/>
                <w:sz w:val="22"/>
                <w:szCs w:val="20"/>
                <w:lang w:val="en-GB" w:eastAsia="zh-CN"/>
              </w:rPr>
            </w:pPr>
          </w:p>
        </w:tc>
      </w:tr>
    </w:tbl>
    <w:p w:rsidR="005234A2" w:rsidRDefault="005234A2" w:rsidP="005234A2">
      <w:pPr>
        <w:pStyle w:val="BodyText"/>
        <w:spacing w:line="240" w:lineRule="auto"/>
      </w:pPr>
    </w:p>
    <w:p w:rsidR="005234A2" w:rsidRDefault="005234A2" w:rsidP="005234A2">
      <w:pPr>
        <w:pStyle w:val="BodyText"/>
        <w:spacing w:line="240" w:lineRule="auto"/>
        <w:rPr>
          <w:sz w:val="20"/>
          <w:szCs w:val="20"/>
          <w:lang w:val="en-GB"/>
        </w:rPr>
        <w:sectPr w:rsidR="005234A2">
          <w:pgSz w:w="11906" w:h="16838"/>
          <w:pgMar w:top="1440" w:right="1440" w:bottom="1440" w:left="1440" w:header="708" w:footer="708" w:gutter="0"/>
          <w:cols w:space="708"/>
          <w:docGrid w:linePitch="360"/>
        </w:sectPr>
      </w:pPr>
    </w:p>
    <w:p w:rsidR="005234A2" w:rsidRDefault="005234A2" w:rsidP="005234A2">
      <w:pPr>
        <w:pStyle w:val="BodyText"/>
        <w:spacing w:line="240" w:lineRule="auto"/>
        <w:jc w:val="left"/>
        <w:rPr>
          <w:sz w:val="22"/>
          <w:szCs w:val="20"/>
          <w:lang w:val="en-GB"/>
        </w:rPr>
      </w:pPr>
      <w:r>
        <w:rPr>
          <w:sz w:val="22"/>
          <w:szCs w:val="20"/>
        </w:rPr>
        <w:lastRenderedPageBreak/>
        <w:t xml:space="preserve">Supplementary </w:t>
      </w:r>
      <w:r>
        <w:rPr>
          <w:sz w:val="22"/>
          <w:szCs w:val="20"/>
          <w:lang w:val="en-GB"/>
        </w:rPr>
        <w:t xml:space="preserve">appendix 2 – Worked example </w:t>
      </w:r>
      <w:r>
        <w:rPr>
          <w:sz w:val="22"/>
          <w:szCs w:val="20"/>
        </w:rPr>
        <w:t xml:space="preserve">assigning </w:t>
      </w:r>
      <w:r>
        <w:rPr>
          <w:sz w:val="22"/>
          <w:szCs w:val="20"/>
          <w:lang w:val="en-GB"/>
        </w:rPr>
        <w:t xml:space="preserve">the JEM exposure values to a specific </w:t>
      </w:r>
      <w:r>
        <w:rPr>
          <w:sz w:val="22"/>
          <w:szCs w:val="20"/>
        </w:rPr>
        <w:t>four digit SOC 2000 code</w:t>
      </w:r>
      <w:r>
        <w:rPr>
          <w:sz w:val="22"/>
          <w:szCs w:val="20"/>
          <w:lang w:val="en-GB"/>
        </w:rPr>
        <w:t xml:space="preserve">; Carpenter and joiners (SOC 2000 code 5315) </w:t>
      </w:r>
    </w:p>
    <w:p w:rsidR="005234A2" w:rsidRDefault="005234A2" w:rsidP="005234A2">
      <w:pPr>
        <w:rPr>
          <w:rFonts w:cs="Times New Roman"/>
          <w:sz w:val="22"/>
          <w:szCs w:val="20"/>
        </w:rPr>
      </w:pPr>
    </w:p>
    <w:p w:rsidR="005234A2" w:rsidRDefault="005234A2" w:rsidP="005234A2">
      <w:pPr>
        <w:rPr>
          <w:rFonts w:cs="Times New Roman"/>
          <w:sz w:val="22"/>
          <w:szCs w:val="20"/>
        </w:rPr>
      </w:pPr>
    </w:p>
    <w:p w:rsidR="005234A2" w:rsidRDefault="005234A2" w:rsidP="005234A2">
      <w:pPr>
        <w:rPr>
          <w:rFonts w:cs="Times New Roman"/>
          <w:b/>
          <w:sz w:val="22"/>
          <w:szCs w:val="20"/>
        </w:rPr>
      </w:pPr>
      <w:r>
        <w:rPr>
          <w:rFonts w:cs="Times New Roman"/>
          <w:b/>
          <w:sz w:val="22"/>
          <w:szCs w:val="20"/>
        </w:rPr>
        <w:t>SOC code 5315 Carpenter and joiner (the major and minor groups being groups being ‘skilled trade operations’ and ‘construction trades’ respectively).</w:t>
      </w:r>
    </w:p>
    <w:p w:rsidR="005234A2" w:rsidRDefault="005234A2" w:rsidP="005234A2">
      <w:pPr>
        <w:ind w:left="2160" w:hanging="2160"/>
        <w:rPr>
          <w:rFonts w:cs="Times New Roman"/>
          <w:sz w:val="22"/>
          <w:szCs w:val="20"/>
        </w:rPr>
      </w:pPr>
    </w:p>
    <w:p w:rsidR="005234A2" w:rsidRDefault="005234A2" w:rsidP="005234A2">
      <w:pPr>
        <w:pStyle w:val="ColorfulList-Accent12"/>
        <w:numPr>
          <w:ilvl w:val="0"/>
          <w:numId w:val="1"/>
        </w:numPr>
        <w:ind w:left="284" w:hanging="284"/>
        <w:rPr>
          <w:rFonts w:ascii="Times New Roman" w:hAnsi="Times New Roman"/>
          <w:b/>
          <w:szCs w:val="20"/>
        </w:rPr>
      </w:pPr>
      <w:r>
        <w:rPr>
          <w:rFonts w:ascii="Times New Roman" w:hAnsi="Times New Roman"/>
          <w:b/>
          <w:szCs w:val="20"/>
        </w:rPr>
        <w:t>Summary of task and job title supplied by the SOC 2000 listings</w:t>
      </w:r>
    </w:p>
    <w:p w:rsidR="005234A2" w:rsidRDefault="005234A2" w:rsidP="005234A2">
      <w:pPr>
        <w:pStyle w:val="ColorfulList-Accent12"/>
        <w:ind w:left="284" w:hanging="284"/>
        <w:rPr>
          <w:rFonts w:ascii="Times New Roman" w:hAnsi="Times New Roman"/>
          <w:szCs w:val="20"/>
        </w:rPr>
      </w:pPr>
      <w:r>
        <w:rPr>
          <w:rFonts w:ascii="Times New Roman" w:hAnsi="Times New Roman"/>
          <w:szCs w:val="20"/>
        </w:rPr>
        <w:tab/>
        <w:t xml:space="preserve">Cuts, shapes and drills using saws, planes, chisels and other power or hand tools.  Fixes and prepares wood pieces by nailing and gluing. Maintains and repairs woodwork and fittings. Examples of job titles include; Boat builder, Carpenter, Shop fitter.  </w:t>
      </w:r>
      <w:r>
        <w:rPr>
          <w:rFonts w:ascii="Times New Roman" w:hAnsi="Times New Roman"/>
          <w:szCs w:val="20"/>
        </w:rPr>
        <w:tab/>
      </w:r>
      <w:r>
        <w:rPr>
          <w:rFonts w:ascii="Times New Roman" w:hAnsi="Times New Roman"/>
          <w:szCs w:val="20"/>
        </w:rPr>
        <w:tab/>
      </w:r>
      <w:r>
        <w:rPr>
          <w:rFonts w:ascii="Times New Roman" w:hAnsi="Times New Roman"/>
          <w:szCs w:val="20"/>
        </w:rPr>
        <w:tab/>
      </w:r>
    </w:p>
    <w:p w:rsidR="005234A2" w:rsidRDefault="005234A2" w:rsidP="005234A2">
      <w:pPr>
        <w:pStyle w:val="ColorfulList-Accent12"/>
        <w:numPr>
          <w:ilvl w:val="0"/>
          <w:numId w:val="1"/>
        </w:numPr>
        <w:ind w:left="284" w:hanging="284"/>
        <w:rPr>
          <w:rFonts w:ascii="Times New Roman" w:hAnsi="Times New Roman"/>
          <w:b/>
          <w:szCs w:val="20"/>
        </w:rPr>
      </w:pPr>
      <w:r>
        <w:rPr>
          <w:rFonts w:ascii="Times New Roman" w:hAnsi="Times New Roman"/>
          <w:b/>
          <w:szCs w:val="20"/>
        </w:rPr>
        <w:t>Exposed/ non-exposed attribution</w:t>
      </w:r>
    </w:p>
    <w:p w:rsidR="005234A2" w:rsidRDefault="005234A2" w:rsidP="005234A2">
      <w:pPr>
        <w:pStyle w:val="ColorfulList-Accent12"/>
        <w:ind w:left="284" w:hanging="284"/>
        <w:rPr>
          <w:rFonts w:ascii="Times New Roman" w:hAnsi="Times New Roman"/>
          <w:szCs w:val="20"/>
        </w:rPr>
      </w:pPr>
      <w:r>
        <w:rPr>
          <w:rFonts w:ascii="Times New Roman" w:hAnsi="Times New Roman"/>
          <w:szCs w:val="20"/>
        </w:rPr>
        <w:tab/>
        <w:t>Carpenters and joiners are regularly (daily/weekly) exposed by inhalation to wood dust, glues, adhesives (organic solvents) and fibres from insulating materials applied to woods (e.g. fireproofing);  hence the SOC code 5315 is assigned as exposed to vapours, dusts and fibres.  The majority of dust generated for those exposed is organic dust, of which some are known to cause asthma. Worker in this code were not considered to be exposed to mists, mineral dusts or fumes.</w:t>
      </w:r>
    </w:p>
    <w:p w:rsidR="005234A2" w:rsidRDefault="005234A2" w:rsidP="005234A2">
      <w:pPr>
        <w:pStyle w:val="ColorfulList-Accent12"/>
        <w:numPr>
          <w:ilvl w:val="0"/>
          <w:numId w:val="1"/>
        </w:numPr>
        <w:ind w:left="284" w:hanging="284"/>
        <w:rPr>
          <w:rFonts w:ascii="Times New Roman" w:hAnsi="Times New Roman"/>
          <w:b/>
          <w:szCs w:val="20"/>
        </w:rPr>
      </w:pPr>
      <w:r>
        <w:rPr>
          <w:rFonts w:ascii="Times New Roman" w:hAnsi="Times New Roman"/>
          <w:b/>
          <w:szCs w:val="20"/>
        </w:rPr>
        <w:t>Average daily exposure (L)</w:t>
      </w:r>
    </w:p>
    <w:p w:rsidR="005234A2" w:rsidRDefault="005234A2" w:rsidP="005234A2">
      <w:pPr>
        <w:pStyle w:val="ColorfulList-Accent12"/>
        <w:ind w:left="284" w:hanging="284"/>
        <w:rPr>
          <w:rFonts w:ascii="Times New Roman" w:hAnsi="Times New Roman"/>
          <w:szCs w:val="20"/>
        </w:rPr>
      </w:pPr>
      <w:r>
        <w:rPr>
          <w:rFonts w:ascii="Times New Roman" w:hAnsi="Times New Roman"/>
          <w:szCs w:val="20"/>
        </w:rPr>
        <w:tab/>
        <w:t xml:space="preserve">Over a typical working shift exposure to organic vapours and fibres is likely to be intermittent and vary daily depending on the nature of job.  For instance a particular job may require extensive use of adhesives or require repair of fire doors over a few days. Overall the daily/weekly exposure is considered to be low.  However in the case of wood dust the exposure is likely to more regular and over a greater proportion of the working shift; but engineering controls are likely to be installed on fixed wood working machines.  Typically, airborne exposure to wood dust was exposure considered to be 50% of the WEL for activities which generate wood dust.  </w:t>
      </w:r>
    </w:p>
    <w:p w:rsidR="005234A2" w:rsidRDefault="005234A2" w:rsidP="005234A2">
      <w:pPr>
        <w:pStyle w:val="ColorfulList-Accent12"/>
        <w:numPr>
          <w:ilvl w:val="0"/>
          <w:numId w:val="1"/>
        </w:numPr>
        <w:ind w:left="284" w:hanging="284"/>
        <w:rPr>
          <w:rFonts w:ascii="Times New Roman" w:hAnsi="Times New Roman"/>
          <w:b/>
          <w:szCs w:val="20"/>
        </w:rPr>
      </w:pPr>
      <w:r>
        <w:rPr>
          <w:rFonts w:ascii="Times New Roman" w:hAnsi="Times New Roman"/>
          <w:b/>
          <w:szCs w:val="20"/>
        </w:rPr>
        <w:t>Proportion exposed (P) attribution</w:t>
      </w:r>
    </w:p>
    <w:p w:rsidR="005234A2" w:rsidRDefault="005234A2" w:rsidP="005234A2">
      <w:pPr>
        <w:pStyle w:val="ColorfulList-Accent12"/>
        <w:ind w:left="284"/>
        <w:rPr>
          <w:rFonts w:ascii="Times New Roman" w:hAnsi="Times New Roman"/>
          <w:szCs w:val="20"/>
        </w:rPr>
      </w:pPr>
      <w:r>
        <w:rPr>
          <w:rFonts w:ascii="Times New Roman" w:hAnsi="Times New Roman"/>
          <w:szCs w:val="20"/>
        </w:rPr>
        <w:t xml:space="preserve">The majority (&gt;50%) of the jobs titles within SOC code 5315 (e.g. carpenters), involve regular exposure to vapours from glues, adhesive and paints and dust.  Sawing of wood is not likely to expose individuals directly to fibres unless it is insulated. Boat builders may also be exposed to fibre glass.  It is estimated that 20-49% of jobs titles would involve exposure to fibres.  </w:t>
      </w:r>
    </w:p>
    <w:p w:rsidR="005234A2" w:rsidRDefault="005234A2" w:rsidP="005234A2">
      <w:pPr>
        <w:pStyle w:val="ColorfulList-Accent12"/>
        <w:numPr>
          <w:ilvl w:val="0"/>
          <w:numId w:val="1"/>
        </w:numPr>
        <w:ind w:left="284" w:hanging="284"/>
        <w:rPr>
          <w:rFonts w:ascii="Times New Roman" w:hAnsi="Times New Roman"/>
          <w:b/>
          <w:szCs w:val="20"/>
        </w:rPr>
      </w:pPr>
      <w:r>
        <w:rPr>
          <w:rFonts w:ascii="Times New Roman" w:hAnsi="Times New Roman"/>
          <w:b/>
          <w:szCs w:val="20"/>
        </w:rPr>
        <w:t>Exposure to VGDFFiM</w:t>
      </w:r>
    </w:p>
    <w:p w:rsidR="005234A2" w:rsidRDefault="005234A2" w:rsidP="005234A2">
      <w:pPr>
        <w:pStyle w:val="ColorfulList-Accent12"/>
        <w:ind w:left="284" w:hanging="284"/>
        <w:rPr>
          <w:rFonts w:ascii="Times New Roman" w:hAnsi="Times New Roman"/>
          <w:szCs w:val="20"/>
        </w:rPr>
      </w:pPr>
      <w:r>
        <w:rPr>
          <w:rFonts w:ascii="Times New Roman" w:hAnsi="Times New Roman"/>
          <w:szCs w:val="20"/>
        </w:rPr>
        <w:tab/>
        <w:t xml:space="preserve">Since individuals in this codes are assigned as exposed to vapour, dusts and fibres the SOC code was assigned as exposed to vapours, gases dusts, fumes, fibres or mists (VGDFFiM).  The average level of exposure and proportion of individual exposed is taken as the highest value for of the VGDF components.      </w:t>
      </w:r>
    </w:p>
    <w:p w:rsidR="005234A2" w:rsidRDefault="005234A2" w:rsidP="005234A2">
      <w:pPr>
        <w:pStyle w:val="ColorfulList-Accent12"/>
        <w:ind w:left="426"/>
        <w:rPr>
          <w:rFonts w:ascii="Times New Roman" w:hAnsi="Times New Roman"/>
          <w:sz w:val="20"/>
          <w:szCs w:val="20"/>
        </w:rPr>
      </w:pPr>
    </w:p>
    <w:p w:rsidR="005234A2" w:rsidRDefault="005234A2" w:rsidP="005234A2">
      <w:pPr>
        <w:rPr>
          <w:rFonts w:cs="Times New Roman"/>
          <w:sz w:val="22"/>
          <w:szCs w:val="20"/>
        </w:rPr>
      </w:pPr>
      <w:r>
        <w:rPr>
          <w:rFonts w:cs="Times New Roman"/>
          <w:sz w:val="22"/>
          <w:szCs w:val="20"/>
        </w:rPr>
        <w:t>Table S1; Details of SOC 2000 code 5315 as shown in the ACE-JEM</w:t>
      </w:r>
    </w:p>
    <w:p w:rsidR="005234A2" w:rsidRDefault="005234A2" w:rsidP="005234A2">
      <w:pPr>
        <w:rPr>
          <w:rFonts w:cs="Times New Roman"/>
          <w:sz w:val="20"/>
          <w:szCs w:val="20"/>
        </w:rPr>
      </w:pPr>
    </w:p>
    <w:tbl>
      <w:tblPr>
        <w:tblW w:w="9214"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firstRow="0" w:lastRow="0" w:firstColumn="0" w:lastColumn="0" w:noHBand="0" w:noVBand="0"/>
      </w:tblPr>
      <w:tblGrid>
        <w:gridCol w:w="993"/>
        <w:gridCol w:w="709"/>
        <w:gridCol w:w="567"/>
        <w:gridCol w:w="567"/>
        <w:gridCol w:w="567"/>
        <w:gridCol w:w="708"/>
        <w:gridCol w:w="666"/>
        <w:gridCol w:w="752"/>
        <w:gridCol w:w="709"/>
        <w:gridCol w:w="708"/>
        <w:gridCol w:w="709"/>
        <w:gridCol w:w="760"/>
        <w:gridCol w:w="799"/>
      </w:tblGrid>
      <w:tr w:rsidR="005234A2" w:rsidTr="008B5804">
        <w:trPr>
          <w:trHeight w:val="596"/>
        </w:trPr>
        <w:tc>
          <w:tcPr>
            <w:tcW w:w="993" w:type="dxa"/>
            <w:tcBorders>
              <w:top w:val="single" w:sz="4" w:space="0" w:color="auto"/>
              <w:left w:val="single" w:sz="4" w:space="0" w:color="auto"/>
              <w:bottom w:val="single" w:sz="4" w:space="0" w:color="auto"/>
              <w:right w:val="single" w:sz="4" w:space="0" w:color="auto"/>
            </w:tcBorders>
          </w:tcPr>
          <w:p w:rsidR="005234A2" w:rsidRDefault="005234A2" w:rsidP="008B5804">
            <w:pPr>
              <w:rPr>
                <w:rFonts w:cs="Times New Roman"/>
                <w:b/>
                <w:bCs/>
                <w:sz w:val="16"/>
                <w:szCs w:val="16"/>
              </w:rPr>
            </w:pPr>
            <w:r>
              <w:rPr>
                <w:rFonts w:cs="Times New Roman"/>
                <w:b/>
                <w:bCs/>
                <w:sz w:val="16"/>
                <w:szCs w:val="16"/>
              </w:rPr>
              <w:t>ACE-JEM types</w:t>
            </w:r>
          </w:p>
        </w:tc>
        <w:tc>
          <w:tcPr>
            <w:tcW w:w="709" w:type="dxa"/>
            <w:tcBorders>
              <w:top w:val="single" w:sz="4" w:space="0" w:color="auto"/>
              <w:left w:val="single" w:sz="4" w:space="0" w:color="auto"/>
              <w:bottom w:val="single" w:sz="4" w:space="0" w:color="auto"/>
              <w:right w:val="single" w:sz="4" w:space="0" w:color="auto"/>
            </w:tcBorders>
          </w:tcPr>
          <w:p w:rsidR="005234A2" w:rsidRDefault="005234A2" w:rsidP="008B5804">
            <w:pPr>
              <w:jc w:val="both"/>
              <w:rPr>
                <w:rFonts w:cs="Times New Roman"/>
                <w:sz w:val="16"/>
                <w:szCs w:val="16"/>
              </w:rPr>
            </w:pPr>
          </w:p>
          <w:p w:rsidR="005234A2" w:rsidRDefault="005234A2" w:rsidP="008B5804">
            <w:pPr>
              <w:jc w:val="both"/>
              <w:rPr>
                <w:rFonts w:cs="Times New Roman"/>
                <w:sz w:val="16"/>
                <w:szCs w:val="16"/>
              </w:rPr>
            </w:pPr>
            <w:r>
              <w:rPr>
                <w:rFonts w:cs="Times New Roman"/>
                <w:sz w:val="16"/>
                <w:szCs w:val="16"/>
              </w:rPr>
              <w:t xml:space="preserve">Vapour </w:t>
            </w:r>
          </w:p>
        </w:tc>
        <w:tc>
          <w:tcPr>
            <w:tcW w:w="567" w:type="dxa"/>
            <w:tcBorders>
              <w:top w:val="single" w:sz="4" w:space="0" w:color="auto"/>
              <w:left w:val="single" w:sz="4" w:space="0" w:color="auto"/>
              <w:bottom w:val="single" w:sz="4" w:space="0" w:color="auto"/>
              <w:right w:val="single" w:sz="4" w:space="0" w:color="auto"/>
            </w:tcBorders>
          </w:tcPr>
          <w:p w:rsidR="005234A2" w:rsidRDefault="005234A2" w:rsidP="008B5804">
            <w:pPr>
              <w:jc w:val="both"/>
              <w:rPr>
                <w:rFonts w:cs="Times New Roman"/>
                <w:sz w:val="16"/>
                <w:szCs w:val="16"/>
              </w:rPr>
            </w:pPr>
          </w:p>
          <w:p w:rsidR="005234A2" w:rsidRDefault="005234A2" w:rsidP="008B5804">
            <w:pPr>
              <w:jc w:val="both"/>
              <w:rPr>
                <w:rFonts w:cs="Times New Roman"/>
                <w:sz w:val="16"/>
                <w:szCs w:val="16"/>
              </w:rPr>
            </w:pPr>
            <w:r>
              <w:rPr>
                <w:rFonts w:cs="Times New Roman"/>
                <w:sz w:val="16"/>
                <w:szCs w:val="16"/>
              </w:rPr>
              <w:t>Gases</w:t>
            </w:r>
          </w:p>
        </w:tc>
        <w:tc>
          <w:tcPr>
            <w:tcW w:w="567" w:type="dxa"/>
            <w:tcBorders>
              <w:top w:val="single" w:sz="4" w:space="0" w:color="auto"/>
              <w:left w:val="single" w:sz="4" w:space="0" w:color="auto"/>
              <w:bottom w:val="single" w:sz="4" w:space="0" w:color="auto"/>
              <w:right w:val="single" w:sz="4" w:space="0" w:color="auto"/>
            </w:tcBorders>
          </w:tcPr>
          <w:p w:rsidR="005234A2" w:rsidRDefault="005234A2" w:rsidP="008B5804">
            <w:pPr>
              <w:jc w:val="both"/>
              <w:rPr>
                <w:rFonts w:cs="Times New Roman"/>
                <w:sz w:val="16"/>
                <w:szCs w:val="16"/>
              </w:rPr>
            </w:pPr>
          </w:p>
          <w:p w:rsidR="005234A2" w:rsidRDefault="005234A2" w:rsidP="008B5804">
            <w:pPr>
              <w:jc w:val="both"/>
              <w:rPr>
                <w:rFonts w:cs="Times New Roman"/>
                <w:sz w:val="16"/>
                <w:szCs w:val="16"/>
              </w:rPr>
            </w:pPr>
            <w:r>
              <w:rPr>
                <w:rFonts w:cs="Times New Roman"/>
                <w:sz w:val="16"/>
                <w:szCs w:val="16"/>
              </w:rPr>
              <w:t>Dusts</w:t>
            </w:r>
          </w:p>
        </w:tc>
        <w:tc>
          <w:tcPr>
            <w:tcW w:w="567" w:type="dxa"/>
            <w:tcBorders>
              <w:top w:val="single" w:sz="4" w:space="0" w:color="auto"/>
              <w:left w:val="single" w:sz="4" w:space="0" w:color="auto"/>
              <w:bottom w:val="single" w:sz="4" w:space="0" w:color="auto"/>
              <w:right w:val="single" w:sz="4" w:space="0" w:color="auto"/>
            </w:tcBorders>
          </w:tcPr>
          <w:p w:rsidR="005234A2" w:rsidRDefault="005234A2" w:rsidP="008B5804">
            <w:pPr>
              <w:jc w:val="both"/>
              <w:rPr>
                <w:rFonts w:cs="Times New Roman"/>
                <w:sz w:val="16"/>
                <w:szCs w:val="16"/>
              </w:rPr>
            </w:pPr>
          </w:p>
          <w:p w:rsidR="005234A2" w:rsidRDefault="005234A2" w:rsidP="008B5804">
            <w:pPr>
              <w:jc w:val="both"/>
              <w:rPr>
                <w:rFonts w:cs="Times New Roman"/>
                <w:sz w:val="16"/>
                <w:szCs w:val="16"/>
              </w:rPr>
            </w:pPr>
            <w:r>
              <w:rPr>
                <w:rFonts w:cs="Times New Roman"/>
                <w:sz w:val="16"/>
                <w:szCs w:val="16"/>
              </w:rPr>
              <w:t xml:space="preserve">Fumes </w:t>
            </w:r>
          </w:p>
        </w:tc>
        <w:tc>
          <w:tcPr>
            <w:tcW w:w="708" w:type="dxa"/>
            <w:tcBorders>
              <w:top w:val="single" w:sz="4" w:space="0" w:color="auto"/>
              <w:left w:val="single" w:sz="4" w:space="0" w:color="auto"/>
              <w:bottom w:val="single" w:sz="4" w:space="0" w:color="auto"/>
              <w:right w:val="single" w:sz="4" w:space="0" w:color="auto"/>
            </w:tcBorders>
          </w:tcPr>
          <w:p w:rsidR="005234A2" w:rsidRDefault="005234A2" w:rsidP="008B5804">
            <w:pPr>
              <w:jc w:val="both"/>
              <w:rPr>
                <w:rFonts w:cs="Times New Roman"/>
                <w:sz w:val="16"/>
                <w:szCs w:val="16"/>
              </w:rPr>
            </w:pPr>
          </w:p>
          <w:p w:rsidR="005234A2" w:rsidRDefault="005234A2" w:rsidP="008B5804">
            <w:pPr>
              <w:jc w:val="both"/>
              <w:rPr>
                <w:rFonts w:cs="Times New Roman"/>
                <w:sz w:val="16"/>
                <w:szCs w:val="16"/>
              </w:rPr>
            </w:pPr>
            <w:r>
              <w:rPr>
                <w:rFonts w:cs="Times New Roman"/>
                <w:sz w:val="16"/>
                <w:szCs w:val="16"/>
              </w:rPr>
              <w:t xml:space="preserve">Fibres </w:t>
            </w:r>
          </w:p>
        </w:tc>
        <w:tc>
          <w:tcPr>
            <w:tcW w:w="666" w:type="dxa"/>
            <w:tcBorders>
              <w:top w:val="single" w:sz="4" w:space="0" w:color="auto"/>
              <w:left w:val="single" w:sz="4" w:space="0" w:color="auto"/>
              <w:bottom w:val="single" w:sz="4" w:space="0" w:color="auto"/>
              <w:right w:val="single" w:sz="4" w:space="0" w:color="auto"/>
            </w:tcBorders>
          </w:tcPr>
          <w:p w:rsidR="005234A2" w:rsidRDefault="005234A2" w:rsidP="008B5804">
            <w:pPr>
              <w:jc w:val="both"/>
              <w:rPr>
                <w:rFonts w:cs="Times New Roman"/>
                <w:sz w:val="16"/>
                <w:szCs w:val="16"/>
              </w:rPr>
            </w:pPr>
          </w:p>
          <w:p w:rsidR="005234A2" w:rsidRDefault="005234A2" w:rsidP="008B5804">
            <w:pPr>
              <w:jc w:val="both"/>
              <w:rPr>
                <w:rFonts w:cs="Times New Roman"/>
                <w:sz w:val="16"/>
                <w:szCs w:val="16"/>
              </w:rPr>
            </w:pPr>
            <w:r>
              <w:rPr>
                <w:rFonts w:cs="Times New Roman"/>
                <w:sz w:val="16"/>
                <w:szCs w:val="16"/>
              </w:rPr>
              <w:t>Mists</w:t>
            </w:r>
          </w:p>
        </w:tc>
        <w:tc>
          <w:tcPr>
            <w:tcW w:w="752" w:type="dxa"/>
            <w:tcBorders>
              <w:top w:val="single" w:sz="4" w:space="0" w:color="auto"/>
              <w:left w:val="single" w:sz="4" w:space="0" w:color="auto"/>
              <w:bottom w:val="single" w:sz="4" w:space="0" w:color="auto"/>
              <w:right w:val="single" w:sz="4" w:space="0" w:color="auto"/>
            </w:tcBorders>
          </w:tcPr>
          <w:p w:rsidR="005234A2" w:rsidRDefault="005234A2" w:rsidP="008B5804">
            <w:pPr>
              <w:jc w:val="both"/>
              <w:rPr>
                <w:rFonts w:cs="Times New Roman"/>
                <w:sz w:val="16"/>
                <w:szCs w:val="16"/>
              </w:rPr>
            </w:pPr>
          </w:p>
          <w:p w:rsidR="005234A2" w:rsidRDefault="005234A2" w:rsidP="008B5804">
            <w:pPr>
              <w:jc w:val="both"/>
              <w:rPr>
                <w:rFonts w:cs="Times New Roman"/>
                <w:sz w:val="16"/>
                <w:szCs w:val="16"/>
              </w:rPr>
            </w:pPr>
            <w:r>
              <w:rPr>
                <w:rFonts w:cs="Times New Roman"/>
                <w:sz w:val="16"/>
                <w:szCs w:val="16"/>
              </w:rPr>
              <w:t xml:space="preserve">M-dust </w:t>
            </w:r>
          </w:p>
        </w:tc>
        <w:tc>
          <w:tcPr>
            <w:tcW w:w="709" w:type="dxa"/>
            <w:tcBorders>
              <w:top w:val="single" w:sz="4" w:space="0" w:color="auto"/>
              <w:left w:val="single" w:sz="4" w:space="0" w:color="auto"/>
              <w:bottom w:val="single" w:sz="4" w:space="0" w:color="auto"/>
              <w:right w:val="single" w:sz="4" w:space="0" w:color="auto"/>
            </w:tcBorders>
          </w:tcPr>
          <w:p w:rsidR="005234A2" w:rsidRDefault="005234A2" w:rsidP="008B5804">
            <w:pPr>
              <w:jc w:val="both"/>
              <w:rPr>
                <w:rFonts w:cs="Times New Roman"/>
                <w:sz w:val="16"/>
                <w:szCs w:val="16"/>
              </w:rPr>
            </w:pPr>
          </w:p>
          <w:p w:rsidR="005234A2" w:rsidRDefault="005234A2" w:rsidP="008B5804">
            <w:pPr>
              <w:jc w:val="both"/>
              <w:rPr>
                <w:rFonts w:cs="Times New Roman"/>
                <w:sz w:val="16"/>
                <w:szCs w:val="16"/>
              </w:rPr>
            </w:pPr>
            <w:r>
              <w:rPr>
                <w:rFonts w:cs="Times New Roman"/>
                <w:sz w:val="16"/>
                <w:szCs w:val="16"/>
              </w:rPr>
              <w:t xml:space="preserve">B-dust </w:t>
            </w:r>
          </w:p>
        </w:tc>
        <w:tc>
          <w:tcPr>
            <w:tcW w:w="708" w:type="dxa"/>
            <w:tcBorders>
              <w:top w:val="single" w:sz="4" w:space="0" w:color="auto"/>
              <w:left w:val="single" w:sz="4" w:space="0" w:color="auto"/>
              <w:bottom w:val="single" w:sz="4" w:space="0" w:color="auto"/>
              <w:right w:val="single" w:sz="4" w:space="0" w:color="auto"/>
            </w:tcBorders>
          </w:tcPr>
          <w:p w:rsidR="005234A2" w:rsidRDefault="005234A2" w:rsidP="008B5804">
            <w:pPr>
              <w:jc w:val="both"/>
              <w:rPr>
                <w:rFonts w:cs="Times New Roman"/>
                <w:sz w:val="16"/>
                <w:szCs w:val="16"/>
              </w:rPr>
            </w:pPr>
          </w:p>
          <w:p w:rsidR="005234A2" w:rsidRDefault="005234A2" w:rsidP="008B5804">
            <w:pPr>
              <w:jc w:val="both"/>
              <w:rPr>
                <w:rFonts w:cs="Times New Roman"/>
                <w:sz w:val="16"/>
                <w:szCs w:val="16"/>
              </w:rPr>
            </w:pPr>
            <w:r>
              <w:rPr>
                <w:rFonts w:cs="Times New Roman"/>
                <w:sz w:val="16"/>
                <w:szCs w:val="16"/>
              </w:rPr>
              <w:t xml:space="preserve">Metals </w:t>
            </w:r>
          </w:p>
        </w:tc>
        <w:tc>
          <w:tcPr>
            <w:tcW w:w="709" w:type="dxa"/>
            <w:tcBorders>
              <w:top w:val="single" w:sz="4" w:space="0" w:color="auto"/>
              <w:left w:val="single" w:sz="4" w:space="0" w:color="auto"/>
              <w:bottom w:val="single" w:sz="4" w:space="0" w:color="auto"/>
              <w:right w:val="single" w:sz="4" w:space="0" w:color="auto"/>
            </w:tcBorders>
          </w:tcPr>
          <w:p w:rsidR="005234A2" w:rsidRDefault="005234A2" w:rsidP="008B5804">
            <w:pPr>
              <w:jc w:val="both"/>
              <w:rPr>
                <w:rFonts w:cs="Times New Roman"/>
                <w:sz w:val="16"/>
                <w:szCs w:val="16"/>
              </w:rPr>
            </w:pPr>
          </w:p>
          <w:p w:rsidR="005234A2" w:rsidRDefault="005234A2" w:rsidP="008B5804">
            <w:pPr>
              <w:jc w:val="both"/>
              <w:rPr>
                <w:rFonts w:cs="Times New Roman"/>
                <w:sz w:val="16"/>
                <w:szCs w:val="16"/>
              </w:rPr>
            </w:pPr>
            <w:r>
              <w:rPr>
                <w:rFonts w:cs="Times New Roman"/>
                <w:sz w:val="16"/>
                <w:szCs w:val="16"/>
              </w:rPr>
              <w:t xml:space="preserve">Diesel fume </w:t>
            </w:r>
          </w:p>
        </w:tc>
        <w:tc>
          <w:tcPr>
            <w:tcW w:w="760" w:type="dxa"/>
            <w:tcBorders>
              <w:top w:val="single" w:sz="4" w:space="0" w:color="auto"/>
              <w:left w:val="single" w:sz="4" w:space="0" w:color="auto"/>
              <w:bottom w:val="single" w:sz="4" w:space="0" w:color="auto"/>
              <w:right w:val="single" w:sz="4" w:space="0" w:color="auto"/>
            </w:tcBorders>
          </w:tcPr>
          <w:p w:rsidR="005234A2" w:rsidRDefault="005234A2" w:rsidP="008B5804">
            <w:pPr>
              <w:jc w:val="both"/>
              <w:rPr>
                <w:rFonts w:cs="Times New Roman"/>
                <w:sz w:val="16"/>
                <w:szCs w:val="16"/>
              </w:rPr>
            </w:pPr>
          </w:p>
          <w:p w:rsidR="005234A2" w:rsidRDefault="005234A2" w:rsidP="008B5804">
            <w:pPr>
              <w:jc w:val="both"/>
              <w:rPr>
                <w:rFonts w:cs="Times New Roman"/>
                <w:sz w:val="16"/>
                <w:szCs w:val="16"/>
              </w:rPr>
            </w:pPr>
            <w:r>
              <w:rPr>
                <w:rFonts w:cs="Times New Roman"/>
                <w:sz w:val="16"/>
                <w:szCs w:val="16"/>
              </w:rPr>
              <w:t>Asth.</w:t>
            </w:r>
          </w:p>
        </w:tc>
        <w:tc>
          <w:tcPr>
            <w:tcW w:w="799" w:type="dxa"/>
            <w:tcBorders>
              <w:top w:val="single" w:sz="4" w:space="0" w:color="auto"/>
              <w:left w:val="single" w:sz="4" w:space="0" w:color="auto"/>
              <w:bottom w:val="single" w:sz="4" w:space="0" w:color="auto"/>
              <w:right w:val="single" w:sz="4" w:space="0" w:color="auto"/>
            </w:tcBorders>
          </w:tcPr>
          <w:p w:rsidR="005234A2" w:rsidRDefault="005234A2" w:rsidP="008B5804">
            <w:pPr>
              <w:jc w:val="both"/>
              <w:rPr>
                <w:rFonts w:cs="Times New Roman"/>
                <w:sz w:val="16"/>
                <w:szCs w:val="16"/>
              </w:rPr>
            </w:pPr>
          </w:p>
          <w:p w:rsidR="005234A2" w:rsidRDefault="005234A2" w:rsidP="008B5804">
            <w:pPr>
              <w:jc w:val="both"/>
              <w:rPr>
                <w:rFonts w:cs="Times New Roman"/>
                <w:sz w:val="16"/>
                <w:szCs w:val="16"/>
              </w:rPr>
            </w:pPr>
            <w:r>
              <w:rPr>
                <w:rFonts w:cs="Times New Roman"/>
                <w:sz w:val="16"/>
                <w:szCs w:val="16"/>
              </w:rPr>
              <w:t xml:space="preserve">VGDFFiM </w:t>
            </w:r>
          </w:p>
        </w:tc>
      </w:tr>
      <w:tr w:rsidR="005234A2" w:rsidTr="008B5804">
        <w:trPr>
          <w:trHeight w:val="183"/>
        </w:trPr>
        <w:tc>
          <w:tcPr>
            <w:tcW w:w="993" w:type="dxa"/>
            <w:tcBorders>
              <w:top w:val="single" w:sz="4" w:space="0" w:color="auto"/>
              <w:left w:val="single" w:sz="4" w:space="0" w:color="auto"/>
              <w:bottom w:val="single" w:sz="4" w:space="0" w:color="auto"/>
              <w:right w:val="single" w:sz="4" w:space="0" w:color="auto"/>
            </w:tcBorders>
          </w:tcPr>
          <w:p w:rsidR="005234A2" w:rsidRDefault="005234A2" w:rsidP="008B5804">
            <w:pPr>
              <w:rPr>
                <w:rFonts w:cs="Times New Roman"/>
                <w:sz w:val="16"/>
                <w:szCs w:val="16"/>
              </w:rPr>
            </w:pPr>
            <w:r>
              <w:rPr>
                <w:rFonts w:cs="Times New Roman"/>
                <w:sz w:val="16"/>
                <w:szCs w:val="16"/>
              </w:rPr>
              <w:t xml:space="preserve">Exposed </w:t>
            </w:r>
          </w:p>
        </w:tc>
        <w:tc>
          <w:tcPr>
            <w:tcW w:w="709" w:type="dxa"/>
            <w:tcBorders>
              <w:top w:val="single" w:sz="4" w:space="0" w:color="auto"/>
              <w:left w:val="single" w:sz="4" w:space="0" w:color="auto"/>
              <w:bottom w:val="single" w:sz="4" w:space="0" w:color="auto"/>
              <w:right w:val="single" w:sz="4" w:space="0" w:color="auto"/>
            </w:tcBorders>
          </w:tcPr>
          <w:p w:rsidR="005234A2" w:rsidRDefault="005234A2" w:rsidP="008B5804">
            <w:pPr>
              <w:rPr>
                <w:rFonts w:cs="Times New Roman"/>
                <w:sz w:val="16"/>
                <w:szCs w:val="16"/>
              </w:rPr>
            </w:pPr>
            <w:r>
              <w:rPr>
                <w:rFonts w:cs="Times New Roman"/>
                <w:sz w:val="16"/>
                <w:szCs w:val="16"/>
              </w:rPr>
              <w:t>1</w:t>
            </w:r>
          </w:p>
        </w:tc>
        <w:tc>
          <w:tcPr>
            <w:tcW w:w="567" w:type="dxa"/>
            <w:tcBorders>
              <w:top w:val="single" w:sz="4" w:space="0" w:color="auto"/>
              <w:left w:val="single" w:sz="4" w:space="0" w:color="auto"/>
              <w:bottom w:val="single" w:sz="4" w:space="0" w:color="auto"/>
              <w:right w:val="single" w:sz="4" w:space="0" w:color="auto"/>
            </w:tcBorders>
            <w:shd w:val="clear" w:color="auto" w:fill="D9D9D9"/>
          </w:tcPr>
          <w:p w:rsidR="005234A2" w:rsidRDefault="005234A2" w:rsidP="008B5804">
            <w:pPr>
              <w:rPr>
                <w:rFonts w:cs="Times New Roman"/>
                <w:sz w:val="16"/>
                <w:szCs w:val="16"/>
              </w:rPr>
            </w:pPr>
            <w:r>
              <w:rPr>
                <w:rFonts w:cs="Times New Roman"/>
                <w:sz w:val="16"/>
                <w:szCs w:val="16"/>
              </w:rPr>
              <w:t>0</w:t>
            </w:r>
          </w:p>
        </w:tc>
        <w:tc>
          <w:tcPr>
            <w:tcW w:w="567" w:type="dxa"/>
            <w:tcBorders>
              <w:top w:val="single" w:sz="4" w:space="0" w:color="auto"/>
              <w:left w:val="single" w:sz="4" w:space="0" w:color="auto"/>
              <w:bottom w:val="single" w:sz="4" w:space="0" w:color="auto"/>
              <w:right w:val="single" w:sz="4" w:space="0" w:color="auto"/>
            </w:tcBorders>
          </w:tcPr>
          <w:p w:rsidR="005234A2" w:rsidRDefault="005234A2" w:rsidP="008B5804">
            <w:pPr>
              <w:rPr>
                <w:rFonts w:cs="Times New Roman"/>
                <w:sz w:val="16"/>
                <w:szCs w:val="16"/>
              </w:rPr>
            </w:pPr>
            <w:r>
              <w:rPr>
                <w:rFonts w:cs="Times New Roman"/>
                <w:sz w:val="16"/>
                <w:szCs w:val="16"/>
              </w:rPr>
              <w:t>1</w:t>
            </w:r>
          </w:p>
        </w:tc>
        <w:tc>
          <w:tcPr>
            <w:tcW w:w="567" w:type="dxa"/>
            <w:tcBorders>
              <w:top w:val="single" w:sz="4" w:space="0" w:color="auto"/>
              <w:left w:val="single" w:sz="4" w:space="0" w:color="auto"/>
              <w:bottom w:val="single" w:sz="4" w:space="0" w:color="auto"/>
              <w:right w:val="single" w:sz="4" w:space="0" w:color="auto"/>
            </w:tcBorders>
          </w:tcPr>
          <w:p w:rsidR="005234A2" w:rsidRDefault="005234A2" w:rsidP="008B5804">
            <w:pPr>
              <w:rPr>
                <w:rFonts w:cs="Times New Roman"/>
                <w:sz w:val="16"/>
                <w:szCs w:val="16"/>
              </w:rPr>
            </w:pPr>
            <w:r>
              <w:rPr>
                <w:rFonts w:cs="Times New Roman"/>
                <w:sz w:val="16"/>
                <w:szCs w:val="16"/>
              </w:rPr>
              <w:t>0</w:t>
            </w:r>
          </w:p>
        </w:tc>
        <w:tc>
          <w:tcPr>
            <w:tcW w:w="708" w:type="dxa"/>
            <w:tcBorders>
              <w:top w:val="single" w:sz="4" w:space="0" w:color="auto"/>
              <w:left w:val="single" w:sz="4" w:space="0" w:color="auto"/>
              <w:bottom w:val="single" w:sz="4" w:space="0" w:color="auto"/>
              <w:right w:val="single" w:sz="4" w:space="0" w:color="auto"/>
            </w:tcBorders>
          </w:tcPr>
          <w:p w:rsidR="005234A2" w:rsidRDefault="005234A2" w:rsidP="008B5804">
            <w:pPr>
              <w:rPr>
                <w:rFonts w:cs="Times New Roman"/>
                <w:sz w:val="16"/>
                <w:szCs w:val="16"/>
              </w:rPr>
            </w:pPr>
            <w:r>
              <w:rPr>
                <w:rFonts w:cs="Times New Roman"/>
                <w:sz w:val="16"/>
                <w:szCs w:val="16"/>
              </w:rPr>
              <w:t>1</w:t>
            </w:r>
          </w:p>
        </w:tc>
        <w:tc>
          <w:tcPr>
            <w:tcW w:w="666" w:type="dxa"/>
            <w:tcBorders>
              <w:top w:val="single" w:sz="4" w:space="0" w:color="auto"/>
              <w:left w:val="single" w:sz="4" w:space="0" w:color="auto"/>
              <w:bottom w:val="single" w:sz="4" w:space="0" w:color="auto"/>
              <w:right w:val="single" w:sz="4" w:space="0" w:color="auto"/>
            </w:tcBorders>
            <w:shd w:val="clear" w:color="auto" w:fill="D9D9D9"/>
          </w:tcPr>
          <w:p w:rsidR="005234A2" w:rsidRDefault="005234A2" w:rsidP="008B5804">
            <w:pPr>
              <w:rPr>
                <w:rFonts w:cs="Times New Roman"/>
                <w:sz w:val="16"/>
                <w:szCs w:val="16"/>
              </w:rPr>
            </w:pPr>
            <w:r>
              <w:rPr>
                <w:rFonts w:cs="Times New Roman"/>
                <w:sz w:val="16"/>
                <w:szCs w:val="16"/>
              </w:rPr>
              <w:t>0</w:t>
            </w:r>
          </w:p>
        </w:tc>
        <w:tc>
          <w:tcPr>
            <w:tcW w:w="752" w:type="dxa"/>
            <w:tcBorders>
              <w:top w:val="single" w:sz="4" w:space="0" w:color="auto"/>
              <w:left w:val="single" w:sz="4" w:space="0" w:color="auto"/>
              <w:bottom w:val="single" w:sz="4" w:space="0" w:color="auto"/>
              <w:right w:val="single" w:sz="4" w:space="0" w:color="auto"/>
            </w:tcBorders>
            <w:shd w:val="clear" w:color="auto" w:fill="D9D9D9"/>
          </w:tcPr>
          <w:p w:rsidR="005234A2" w:rsidRDefault="005234A2" w:rsidP="008B5804">
            <w:pPr>
              <w:rPr>
                <w:rFonts w:cs="Times New Roman"/>
                <w:sz w:val="16"/>
                <w:szCs w:val="16"/>
              </w:rPr>
            </w:pPr>
            <w:r>
              <w:rPr>
                <w:rFonts w:cs="Times New Roman"/>
                <w:sz w:val="16"/>
                <w:szCs w:val="16"/>
              </w:rPr>
              <w:t>0</w:t>
            </w:r>
          </w:p>
        </w:tc>
        <w:tc>
          <w:tcPr>
            <w:tcW w:w="709" w:type="dxa"/>
            <w:tcBorders>
              <w:top w:val="single" w:sz="4" w:space="0" w:color="auto"/>
              <w:left w:val="single" w:sz="4" w:space="0" w:color="auto"/>
              <w:bottom w:val="single" w:sz="4" w:space="0" w:color="auto"/>
              <w:right w:val="single" w:sz="4" w:space="0" w:color="auto"/>
            </w:tcBorders>
          </w:tcPr>
          <w:p w:rsidR="005234A2" w:rsidRDefault="005234A2" w:rsidP="008B5804">
            <w:pPr>
              <w:rPr>
                <w:rFonts w:cs="Times New Roman"/>
                <w:sz w:val="16"/>
                <w:szCs w:val="16"/>
              </w:rPr>
            </w:pPr>
            <w:r>
              <w:rPr>
                <w:rFonts w:cs="Times New Roman"/>
                <w:sz w:val="16"/>
                <w:szCs w:val="16"/>
              </w:rPr>
              <w:t>1</w:t>
            </w:r>
          </w:p>
        </w:tc>
        <w:tc>
          <w:tcPr>
            <w:tcW w:w="708" w:type="dxa"/>
            <w:tcBorders>
              <w:top w:val="single" w:sz="4" w:space="0" w:color="auto"/>
              <w:left w:val="single" w:sz="4" w:space="0" w:color="auto"/>
              <w:bottom w:val="single" w:sz="4" w:space="0" w:color="auto"/>
              <w:right w:val="single" w:sz="4" w:space="0" w:color="auto"/>
            </w:tcBorders>
            <w:shd w:val="clear" w:color="auto" w:fill="D9D9D9"/>
          </w:tcPr>
          <w:p w:rsidR="005234A2" w:rsidRDefault="005234A2" w:rsidP="008B5804">
            <w:pPr>
              <w:rPr>
                <w:rFonts w:cs="Times New Roman"/>
                <w:sz w:val="16"/>
                <w:szCs w:val="16"/>
              </w:rPr>
            </w:pPr>
            <w:r>
              <w:rPr>
                <w:rFonts w:cs="Times New Roman"/>
                <w:sz w:val="16"/>
                <w:szCs w:val="16"/>
              </w:rPr>
              <w:t>0</w:t>
            </w:r>
          </w:p>
        </w:tc>
        <w:tc>
          <w:tcPr>
            <w:tcW w:w="709" w:type="dxa"/>
            <w:tcBorders>
              <w:top w:val="single" w:sz="4" w:space="0" w:color="auto"/>
              <w:left w:val="single" w:sz="4" w:space="0" w:color="auto"/>
              <w:bottom w:val="single" w:sz="4" w:space="0" w:color="auto"/>
              <w:right w:val="single" w:sz="4" w:space="0" w:color="auto"/>
            </w:tcBorders>
            <w:shd w:val="clear" w:color="auto" w:fill="D9D9D9"/>
          </w:tcPr>
          <w:p w:rsidR="005234A2" w:rsidRDefault="005234A2" w:rsidP="008B5804">
            <w:pPr>
              <w:rPr>
                <w:rFonts w:cs="Times New Roman"/>
                <w:sz w:val="16"/>
                <w:szCs w:val="16"/>
              </w:rPr>
            </w:pPr>
            <w:r>
              <w:rPr>
                <w:rFonts w:cs="Times New Roman"/>
                <w:sz w:val="16"/>
                <w:szCs w:val="16"/>
              </w:rPr>
              <w:t>0</w:t>
            </w:r>
          </w:p>
        </w:tc>
        <w:tc>
          <w:tcPr>
            <w:tcW w:w="760" w:type="dxa"/>
            <w:tcBorders>
              <w:top w:val="single" w:sz="4" w:space="0" w:color="auto"/>
              <w:left w:val="single" w:sz="4" w:space="0" w:color="auto"/>
              <w:bottom w:val="single" w:sz="4" w:space="0" w:color="auto"/>
              <w:right w:val="single" w:sz="4" w:space="0" w:color="auto"/>
            </w:tcBorders>
          </w:tcPr>
          <w:p w:rsidR="005234A2" w:rsidRDefault="005234A2" w:rsidP="008B5804">
            <w:pPr>
              <w:rPr>
                <w:rFonts w:cs="Times New Roman"/>
                <w:sz w:val="16"/>
                <w:szCs w:val="16"/>
              </w:rPr>
            </w:pPr>
            <w:r>
              <w:rPr>
                <w:rFonts w:cs="Times New Roman"/>
                <w:sz w:val="16"/>
                <w:szCs w:val="16"/>
              </w:rPr>
              <w:t>1</w:t>
            </w:r>
          </w:p>
        </w:tc>
        <w:tc>
          <w:tcPr>
            <w:tcW w:w="799" w:type="dxa"/>
            <w:tcBorders>
              <w:top w:val="single" w:sz="4" w:space="0" w:color="auto"/>
              <w:left w:val="single" w:sz="4" w:space="0" w:color="auto"/>
              <w:bottom w:val="single" w:sz="4" w:space="0" w:color="auto"/>
              <w:right w:val="single" w:sz="4" w:space="0" w:color="auto"/>
            </w:tcBorders>
          </w:tcPr>
          <w:p w:rsidR="005234A2" w:rsidRDefault="005234A2" w:rsidP="008B5804">
            <w:pPr>
              <w:rPr>
                <w:rFonts w:cs="Times New Roman"/>
                <w:sz w:val="16"/>
                <w:szCs w:val="16"/>
              </w:rPr>
            </w:pPr>
            <w:r>
              <w:rPr>
                <w:rFonts w:cs="Times New Roman"/>
                <w:sz w:val="16"/>
                <w:szCs w:val="16"/>
              </w:rPr>
              <w:t>1</w:t>
            </w:r>
          </w:p>
        </w:tc>
      </w:tr>
      <w:tr w:rsidR="005234A2" w:rsidTr="008B5804">
        <w:trPr>
          <w:trHeight w:val="199"/>
        </w:trPr>
        <w:tc>
          <w:tcPr>
            <w:tcW w:w="993" w:type="dxa"/>
            <w:tcBorders>
              <w:top w:val="single" w:sz="4" w:space="0" w:color="auto"/>
              <w:left w:val="single" w:sz="4" w:space="0" w:color="auto"/>
              <w:bottom w:val="single" w:sz="4" w:space="0" w:color="auto"/>
              <w:right w:val="single" w:sz="4" w:space="0" w:color="auto"/>
            </w:tcBorders>
          </w:tcPr>
          <w:p w:rsidR="005234A2" w:rsidRDefault="005234A2" w:rsidP="008B5804">
            <w:pPr>
              <w:rPr>
                <w:rFonts w:cs="Times New Roman"/>
                <w:sz w:val="16"/>
                <w:szCs w:val="16"/>
              </w:rPr>
            </w:pPr>
            <w:r>
              <w:rPr>
                <w:rFonts w:cs="Times New Roman"/>
                <w:sz w:val="16"/>
                <w:szCs w:val="16"/>
              </w:rPr>
              <w:t xml:space="preserve">Exposure Level (L) </w:t>
            </w:r>
          </w:p>
        </w:tc>
        <w:tc>
          <w:tcPr>
            <w:tcW w:w="709" w:type="dxa"/>
            <w:tcBorders>
              <w:top w:val="single" w:sz="4" w:space="0" w:color="auto"/>
              <w:left w:val="single" w:sz="4" w:space="0" w:color="auto"/>
              <w:bottom w:val="single" w:sz="4" w:space="0" w:color="auto"/>
              <w:right w:val="single" w:sz="4" w:space="0" w:color="auto"/>
            </w:tcBorders>
          </w:tcPr>
          <w:p w:rsidR="005234A2" w:rsidRDefault="005234A2" w:rsidP="008B5804">
            <w:pPr>
              <w:rPr>
                <w:rFonts w:cs="Times New Roman"/>
                <w:sz w:val="16"/>
                <w:szCs w:val="16"/>
              </w:rPr>
            </w:pPr>
            <w:r>
              <w:rPr>
                <w:rFonts w:cs="Times New Roman"/>
                <w:sz w:val="16"/>
                <w:szCs w:val="16"/>
              </w:rPr>
              <w:t>L</w:t>
            </w:r>
          </w:p>
        </w:tc>
        <w:tc>
          <w:tcPr>
            <w:tcW w:w="567" w:type="dxa"/>
            <w:tcBorders>
              <w:top w:val="single" w:sz="4" w:space="0" w:color="auto"/>
              <w:left w:val="single" w:sz="4" w:space="0" w:color="auto"/>
              <w:bottom w:val="single" w:sz="4" w:space="0" w:color="auto"/>
              <w:right w:val="single" w:sz="4" w:space="0" w:color="auto"/>
            </w:tcBorders>
            <w:shd w:val="clear" w:color="auto" w:fill="D9D9D9"/>
          </w:tcPr>
          <w:p w:rsidR="005234A2" w:rsidRDefault="005234A2" w:rsidP="008B5804">
            <w:pPr>
              <w:rPr>
                <w:rFonts w:cs="Times New Roman"/>
                <w:sz w:val="16"/>
                <w:szCs w:val="16"/>
              </w:rPr>
            </w:pPr>
            <w:r>
              <w:rPr>
                <w:rFonts w:cs="Times New Roman"/>
                <w:sz w:val="16"/>
                <w:szCs w:val="16"/>
              </w:rPr>
              <w:t>0</w:t>
            </w:r>
          </w:p>
        </w:tc>
        <w:tc>
          <w:tcPr>
            <w:tcW w:w="567" w:type="dxa"/>
            <w:tcBorders>
              <w:top w:val="single" w:sz="4" w:space="0" w:color="auto"/>
              <w:left w:val="single" w:sz="4" w:space="0" w:color="auto"/>
              <w:bottom w:val="single" w:sz="4" w:space="0" w:color="auto"/>
              <w:right w:val="single" w:sz="4" w:space="0" w:color="auto"/>
            </w:tcBorders>
          </w:tcPr>
          <w:p w:rsidR="005234A2" w:rsidRDefault="005234A2" w:rsidP="008B5804">
            <w:pPr>
              <w:rPr>
                <w:rFonts w:cs="Times New Roman"/>
                <w:sz w:val="16"/>
                <w:szCs w:val="16"/>
              </w:rPr>
            </w:pPr>
            <w:r>
              <w:rPr>
                <w:rFonts w:cs="Times New Roman"/>
                <w:sz w:val="16"/>
                <w:szCs w:val="16"/>
              </w:rPr>
              <w:t>H</w:t>
            </w:r>
          </w:p>
        </w:tc>
        <w:tc>
          <w:tcPr>
            <w:tcW w:w="567" w:type="dxa"/>
            <w:tcBorders>
              <w:top w:val="single" w:sz="4" w:space="0" w:color="auto"/>
              <w:left w:val="single" w:sz="4" w:space="0" w:color="auto"/>
              <w:bottom w:val="single" w:sz="4" w:space="0" w:color="auto"/>
              <w:right w:val="single" w:sz="4" w:space="0" w:color="auto"/>
            </w:tcBorders>
          </w:tcPr>
          <w:p w:rsidR="005234A2" w:rsidRDefault="005234A2" w:rsidP="008B5804">
            <w:pPr>
              <w:rPr>
                <w:rFonts w:cs="Times New Roman"/>
                <w:sz w:val="16"/>
                <w:szCs w:val="16"/>
              </w:rPr>
            </w:pPr>
            <w:r>
              <w:rPr>
                <w:rFonts w:cs="Times New Roman"/>
                <w:sz w:val="16"/>
                <w:szCs w:val="16"/>
              </w:rPr>
              <w:t>0</w:t>
            </w:r>
          </w:p>
        </w:tc>
        <w:tc>
          <w:tcPr>
            <w:tcW w:w="708" w:type="dxa"/>
            <w:tcBorders>
              <w:top w:val="single" w:sz="4" w:space="0" w:color="auto"/>
              <w:left w:val="single" w:sz="4" w:space="0" w:color="auto"/>
              <w:bottom w:val="single" w:sz="4" w:space="0" w:color="auto"/>
              <w:right w:val="single" w:sz="4" w:space="0" w:color="auto"/>
            </w:tcBorders>
          </w:tcPr>
          <w:p w:rsidR="005234A2" w:rsidRDefault="005234A2" w:rsidP="008B5804">
            <w:pPr>
              <w:rPr>
                <w:rFonts w:cs="Times New Roman"/>
                <w:sz w:val="16"/>
                <w:szCs w:val="16"/>
              </w:rPr>
            </w:pPr>
            <w:r>
              <w:rPr>
                <w:rFonts w:cs="Times New Roman"/>
                <w:sz w:val="16"/>
                <w:szCs w:val="16"/>
              </w:rPr>
              <w:t>L</w:t>
            </w:r>
          </w:p>
        </w:tc>
        <w:tc>
          <w:tcPr>
            <w:tcW w:w="666" w:type="dxa"/>
            <w:tcBorders>
              <w:top w:val="single" w:sz="4" w:space="0" w:color="auto"/>
              <w:left w:val="single" w:sz="4" w:space="0" w:color="auto"/>
              <w:bottom w:val="single" w:sz="4" w:space="0" w:color="auto"/>
              <w:right w:val="single" w:sz="4" w:space="0" w:color="auto"/>
            </w:tcBorders>
            <w:shd w:val="clear" w:color="auto" w:fill="D9D9D9"/>
          </w:tcPr>
          <w:p w:rsidR="005234A2" w:rsidRDefault="005234A2" w:rsidP="008B5804">
            <w:pPr>
              <w:rPr>
                <w:rFonts w:cs="Times New Roman"/>
                <w:sz w:val="16"/>
                <w:szCs w:val="16"/>
              </w:rPr>
            </w:pPr>
            <w:r>
              <w:rPr>
                <w:rFonts w:cs="Times New Roman"/>
                <w:sz w:val="16"/>
                <w:szCs w:val="16"/>
              </w:rPr>
              <w:t>0</w:t>
            </w:r>
          </w:p>
        </w:tc>
        <w:tc>
          <w:tcPr>
            <w:tcW w:w="752" w:type="dxa"/>
            <w:tcBorders>
              <w:top w:val="single" w:sz="4" w:space="0" w:color="auto"/>
              <w:left w:val="single" w:sz="4" w:space="0" w:color="auto"/>
              <w:bottom w:val="single" w:sz="4" w:space="0" w:color="auto"/>
              <w:right w:val="single" w:sz="4" w:space="0" w:color="auto"/>
            </w:tcBorders>
            <w:shd w:val="clear" w:color="auto" w:fill="D9D9D9"/>
          </w:tcPr>
          <w:p w:rsidR="005234A2" w:rsidRDefault="005234A2" w:rsidP="008B5804">
            <w:pPr>
              <w:rPr>
                <w:rFonts w:cs="Times New Roman"/>
                <w:sz w:val="16"/>
                <w:szCs w:val="16"/>
              </w:rPr>
            </w:pPr>
            <w:r>
              <w:rPr>
                <w:rFonts w:cs="Times New Roman"/>
                <w:sz w:val="16"/>
                <w:szCs w:val="16"/>
              </w:rPr>
              <w:t>0</w:t>
            </w:r>
          </w:p>
        </w:tc>
        <w:tc>
          <w:tcPr>
            <w:tcW w:w="709" w:type="dxa"/>
            <w:tcBorders>
              <w:top w:val="single" w:sz="4" w:space="0" w:color="auto"/>
              <w:left w:val="single" w:sz="4" w:space="0" w:color="auto"/>
              <w:bottom w:val="single" w:sz="4" w:space="0" w:color="auto"/>
              <w:right w:val="single" w:sz="4" w:space="0" w:color="auto"/>
            </w:tcBorders>
          </w:tcPr>
          <w:p w:rsidR="005234A2" w:rsidRDefault="005234A2" w:rsidP="008B5804">
            <w:pPr>
              <w:rPr>
                <w:rFonts w:cs="Times New Roman"/>
                <w:sz w:val="16"/>
                <w:szCs w:val="16"/>
              </w:rPr>
            </w:pPr>
            <w:r>
              <w:rPr>
                <w:rFonts w:cs="Times New Roman"/>
                <w:sz w:val="16"/>
                <w:szCs w:val="16"/>
              </w:rPr>
              <w:t>H</w:t>
            </w:r>
          </w:p>
        </w:tc>
        <w:tc>
          <w:tcPr>
            <w:tcW w:w="708" w:type="dxa"/>
            <w:tcBorders>
              <w:top w:val="single" w:sz="4" w:space="0" w:color="auto"/>
              <w:left w:val="single" w:sz="4" w:space="0" w:color="auto"/>
              <w:bottom w:val="single" w:sz="4" w:space="0" w:color="auto"/>
              <w:right w:val="single" w:sz="4" w:space="0" w:color="auto"/>
            </w:tcBorders>
            <w:shd w:val="clear" w:color="auto" w:fill="D9D9D9"/>
          </w:tcPr>
          <w:p w:rsidR="005234A2" w:rsidRDefault="005234A2" w:rsidP="008B5804">
            <w:pPr>
              <w:rPr>
                <w:rFonts w:cs="Times New Roman"/>
                <w:sz w:val="16"/>
                <w:szCs w:val="16"/>
              </w:rPr>
            </w:pPr>
            <w:r>
              <w:rPr>
                <w:rFonts w:cs="Times New Roman"/>
                <w:sz w:val="16"/>
                <w:szCs w:val="16"/>
              </w:rPr>
              <w:t>0</w:t>
            </w:r>
          </w:p>
        </w:tc>
        <w:tc>
          <w:tcPr>
            <w:tcW w:w="709" w:type="dxa"/>
            <w:tcBorders>
              <w:top w:val="single" w:sz="4" w:space="0" w:color="auto"/>
              <w:left w:val="single" w:sz="4" w:space="0" w:color="auto"/>
              <w:bottom w:val="single" w:sz="4" w:space="0" w:color="auto"/>
              <w:right w:val="single" w:sz="4" w:space="0" w:color="auto"/>
            </w:tcBorders>
            <w:shd w:val="clear" w:color="auto" w:fill="D9D9D9"/>
          </w:tcPr>
          <w:p w:rsidR="005234A2" w:rsidRDefault="005234A2" w:rsidP="008B5804">
            <w:pPr>
              <w:rPr>
                <w:rFonts w:cs="Times New Roman"/>
                <w:sz w:val="16"/>
                <w:szCs w:val="16"/>
              </w:rPr>
            </w:pPr>
            <w:r>
              <w:rPr>
                <w:rFonts w:cs="Times New Roman"/>
                <w:sz w:val="16"/>
                <w:szCs w:val="16"/>
              </w:rPr>
              <w:t>0</w:t>
            </w:r>
          </w:p>
        </w:tc>
        <w:tc>
          <w:tcPr>
            <w:tcW w:w="760" w:type="dxa"/>
            <w:tcBorders>
              <w:top w:val="single" w:sz="4" w:space="0" w:color="auto"/>
              <w:left w:val="single" w:sz="4" w:space="0" w:color="auto"/>
              <w:bottom w:val="single" w:sz="4" w:space="0" w:color="auto"/>
              <w:right w:val="single" w:sz="4" w:space="0" w:color="auto"/>
            </w:tcBorders>
          </w:tcPr>
          <w:p w:rsidR="005234A2" w:rsidRDefault="005234A2" w:rsidP="008B5804">
            <w:pPr>
              <w:rPr>
                <w:rFonts w:cs="Times New Roman"/>
                <w:sz w:val="16"/>
                <w:szCs w:val="16"/>
              </w:rPr>
            </w:pPr>
            <w:r>
              <w:rPr>
                <w:rFonts w:cs="Times New Roman"/>
                <w:sz w:val="16"/>
                <w:szCs w:val="16"/>
              </w:rPr>
              <w:t>H</w:t>
            </w:r>
          </w:p>
        </w:tc>
        <w:tc>
          <w:tcPr>
            <w:tcW w:w="799" w:type="dxa"/>
            <w:tcBorders>
              <w:top w:val="single" w:sz="4" w:space="0" w:color="auto"/>
              <w:left w:val="single" w:sz="4" w:space="0" w:color="auto"/>
              <w:bottom w:val="single" w:sz="4" w:space="0" w:color="auto"/>
              <w:right w:val="single" w:sz="4" w:space="0" w:color="auto"/>
            </w:tcBorders>
          </w:tcPr>
          <w:p w:rsidR="005234A2" w:rsidRDefault="005234A2" w:rsidP="008B5804">
            <w:pPr>
              <w:rPr>
                <w:rFonts w:cs="Times New Roman"/>
                <w:sz w:val="16"/>
                <w:szCs w:val="16"/>
              </w:rPr>
            </w:pPr>
            <w:r>
              <w:rPr>
                <w:rFonts w:cs="Times New Roman"/>
                <w:sz w:val="16"/>
                <w:szCs w:val="16"/>
              </w:rPr>
              <w:t>H</w:t>
            </w:r>
          </w:p>
        </w:tc>
      </w:tr>
      <w:tr w:rsidR="005234A2" w:rsidTr="008B5804">
        <w:trPr>
          <w:trHeight w:val="397"/>
        </w:trPr>
        <w:tc>
          <w:tcPr>
            <w:tcW w:w="993" w:type="dxa"/>
            <w:tcBorders>
              <w:top w:val="single" w:sz="4" w:space="0" w:color="auto"/>
              <w:left w:val="single" w:sz="4" w:space="0" w:color="auto"/>
              <w:bottom w:val="single" w:sz="4" w:space="0" w:color="auto"/>
              <w:right w:val="single" w:sz="4" w:space="0" w:color="auto"/>
            </w:tcBorders>
          </w:tcPr>
          <w:p w:rsidR="005234A2" w:rsidRDefault="005234A2" w:rsidP="008B5804">
            <w:pPr>
              <w:rPr>
                <w:rFonts w:cs="Times New Roman"/>
                <w:sz w:val="16"/>
                <w:szCs w:val="16"/>
              </w:rPr>
            </w:pPr>
            <w:r>
              <w:rPr>
                <w:rFonts w:cs="Times New Roman"/>
                <w:sz w:val="16"/>
                <w:szCs w:val="16"/>
              </w:rPr>
              <w:t xml:space="preserve">Proportion exposed (P) </w:t>
            </w:r>
          </w:p>
        </w:tc>
        <w:tc>
          <w:tcPr>
            <w:tcW w:w="709" w:type="dxa"/>
            <w:tcBorders>
              <w:top w:val="single" w:sz="4" w:space="0" w:color="auto"/>
              <w:left w:val="single" w:sz="4" w:space="0" w:color="auto"/>
              <w:bottom w:val="single" w:sz="4" w:space="0" w:color="auto"/>
              <w:right w:val="single" w:sz="4" w:space="0" w:color="auto"/>
            </w:tcBorders>
          </w:tcPr>
          <w:p w:rsidR="005234A2" w:rsidRDefault="005234A2" w:rsidP="008B5804">
            <w:pPr>
              <w:rPr>
                <w:rFonts w:cs="Times New Roman"/>
                <w:sz w:val="16"/>
                <w:szCs w:val="16"/>
              </w:rPr>
            </w:pPr>
            <w:r>
              <w:rPr>
                <w:rFonts w:cs="Times New Roman"/>
                <w:sz w:val="16"/>
                <w:szCs w:val="16"/>
              </w:rPr>
              <w:t>≥50%</w:t>
            </w:r>
          </w:p>
        </w:tc>
        <w:tc>
          <w:tcPr>
            <w:tcW w:w="567" w:type="dxa"/>
            <w:tcBorders>
              <w:top w:val="single" w:sz="4" w:space="0" w:color="auto"/>
              <w:left w:val="single" w:sz="4" w:space="0" w:color="auto"/>
              <w:bottom w:val="single" w:sz="4" w:space="0" w:color="auto"/>
              <w:right w:val="single" w:sz="4" w:space="0" w:color="auto"/>
            </w:tcBorders>
            <w:shd w:val="clear" w:color="auto" w:fill="D9D9D9"/>
          </w:tcPr>
          <w:p w:rsidR="005234A2" w:rsidRDefault="005234A2" w:rsidP="008B5804">
            <w:pPr>
              <w:rPr>
                <w:rFonts w:cs="Times New Roman"/>
                <w:sz w:val="16"/>
                <w:szCs w:val="16"/>
              </w:rPr>
            </w:pPr>
            <w:r>
              <w:rPr>
                <w:rFonts w:cs="Times New Roman"/>
                <w:sz w:val="16"/>
                <w:szCs w:val="16"/>
              </w:rPr>
              <w:t>0</w:t>
            </w:r>
          </w:p>
        </w:tc>
        <w:tc>
          <w:tcPr>
            <w:tcW w:w="567" w:type="dxa"/>
            <w:tcBorders>
              <w:top w:val="single" w:sz="4" w:space="0" w:color="auto"/>
              <w:left w:val="single" w:sz="4" w:space="0" w:color="auto"/>
              <w:bottom w:val="single" w:sz="4" w:space="0" w:color="auto"/>
              <w:right w:val="single" w:sz="4" w:space="0" w:color="auto"/>
            </w:tcBorders>
          </w:tcPr>
          <w:p w:rsidR="005234A2" w:rsidRDefault="005234A2" w:rsidP="008B5804">
            <w:pPr>
              <w:rPr>
                <w:rFonts w:cs="Times New Roman"/>
                <w:sz w:val="16"/>
                <w:szCs w:val="16"/>
              </w:rPr>
            </w:pPr>
            <w:r>
              <w:rPr>
                <w:rFonts w:cs="Times New Roman"/>
                <w:sz w:val="16"/>
                <w:szCs w:val="16"/>
              </w:rPr>
              <w:t>≥</w:t>
            </w:r>
            <w:r>
              <w:rPr>
                <w:rFonts w:cs="Times New Roman" w:hint="eastAsia"/>
                <w:sz w:val="16"/>
                <w:szCs w:val="16"/>
              </w:rPr>
              <w:t>50</w:t>
            </w:r>
            <w:r>
              <w:rPr>
                <w:rFonts w:cs="Times New Roman"/>
                <w:sz w:val="16"/>
                <w:szCs w:val="16"/>
              </w:rPr>
              <w:t>%</w:t>
            </w:r>
          </w:p>
        </w:tc>
        <w:tc>
          <w:tcPr>
            <w:tcW w:w="567" w:type="dxa"/>
            <w:tcBorders>
              <w:top w:val="single" w:sz="4" w:space="0" w:color="auto"/>
              <w:left w:val="single" w:sz="4" w:space="0" w:color="auto"/>
              <w:bottom w:val="single" w:sz="4" w:space="0" w:color="auto"/>
              <w:right w:val="single" w:sz="4" w:space="0" w:color="auto"/>
            </w:tcBorders>
          </w:tcPr>
          <w:p w:rsidR="005234A2" w:rsidRDefault="005234A2" w:rsidP="008B5804">
            <w:pPr>
              <w:rPr>
                <w:rFonts w:cs="Times New Roman"/>
                <w:sz w:val="16"/>
                <w:szCs w:val="16"/>
              </w:rPr>
            </w:pPr>
            <w:r>
              <w:rPr>
                <w:rFonts w:cs="Times New Roman"/>
                <w:sz w:val="16"/>
                <w:szCs w:val="16"/>
              </w:rPr>
              <w:t>0</w:t>
            </w:r>
          </w:p>
        </w:tc>
        <w:tc>
          <w:tcPr>
            <w:tcW w:w="708" w:type="dxa"/>
            <w:tcBorders>
              <w:top w:val="single" w:sz="4" w:space="0" w:color="auto"/>
              <w:left w:val="single" w:sz="4" w:space="0" w:color="auto"/>
              <w:bottom w:val="single" w:sz="4" w:space="0" w:color="auto"/>
              <w:right w:val="single" w:sz="4" w:space="0" w:color="auto"/>
            </w:tcBorders>
          </w:tcPr>
          <w:p w:rsidR="005234A2" w:rsidRDefault="005234A2" w:rsidP="008B5804">
            <w:pPr>
              <w:rPr>
                <w:rFonts w:cs="Times New Roman"/>
                <w:sz w:val="16"/>
                <w:szCs w:val="16"/>
              </w:rPr>
            </w:pPr>
            <w:r>
              <w:rPr>
                <w:rFonts w:cs="Times New Roman"/>
                <w:sz w:val="16"/>
                <w:szCs w:val="16"/>
              </w:rPr>
              <w:t>20-49%</w:t>
            </w:r>
          </w:p>
        </w:tc>
        <w:tc>
          <w:tcPr>
            <w:tcW w:w="666" w:type="dxa"/>
            <w:tcBorders>
              <w:top w:val="single" w:sz="4" w:space="0" w:color="auto"/>
              <w:left w:val="single" w:sz="4" w:space="0" w:color="auto"/>
              <w:bottom w:val="single" w:sz="4" w:space="0" w:color="auto"/>
              <w:right w:val="single" w:sz="4" w:space="0" w:color="auto"/>
            </w:tcBorders>
            <w:shd w:val="clear" w:color="auto" w:fill="D9D9D9"/>
          </w:tcPr>
          <w:p w:rsidR="005234A2" w:rsidRDefault="005234A2" w:rsidP="008B5804">
            <w:pPr>
              <w:rPr>
                <w:rFonts w:cs="Times New Roman"/>
                <w:sz w:val="16"/>
                <w:szCs w:val="16"/>
              </w:rPr>
            </w:pPr>
            <w:r>
              <w:rPr>
                <w:rFonts w:cs="Times New Roman"/>
                <w:sz w:val="16"/>
                <w:szCs w:val="16"/>
              </w:rPr>
              <w:t>0</w:t>
            </w:r>
          </w:p>
        </w:tc>
        <w:tc>
          <w:tcPr>
            <w:tcW w:w="752" w:type="dxa"/>
            <w:tcBorders>
              <w:top w:val="single" w:sz="4" w:space="0" w:color="auto"/>
              <w:left w:val="single" w:sz="4" w:space="0" w:color="auto"/>
              <w:bottom w:val="single" w:sz="4" w:space="0" w:color="auto"/>
              <w:right w:val="single" w:sz="4" w:space="0" w:color="auto"/>
            </w:tcBorders>
            <w:shd w:val="clear" w:color="auto" w:fill="D9D9D9"/>
          </w:tcPr>
          <w:p w:rsidR="005234A2" w:rsidRDefault="005234A2" w:rsidP="008B5804">
            <w:pPr>
              <w:rPr>
                <w:rFonts w:cs="Times New Roman"/>
                <w:sz w:val="16"/>
                <w:szCs w:val="16"/>
              </w:rPr>
            </w:pPr>
            <w:r>
              <w:rPr>
                <w:rFonts w:cs="Times New Roman"/>
                <w:sz w:val="16"/>
                <w:szCs w:val="16"/>
              </w:rPr>
              <w:t>0</w:t>
            </w:r>
          </w:p>
        </w:tc>
        <w:tc>
          <w:tcPr>
            <w:tcW w:w="709" w:type="dxa"/>
            <w:tcBorders>
              <w:top w:val="single" w:sz="4" w:space="0" w:color="auto"/>
              <w:left w:val="single" w:sz="4" w:space="0" w:color="auto"/>
              <w:bottom w:val="single" w:sz="4" w:space="0" w:color="auto"/>
              <w:right w:val="single" w:sz="4" w:space="0" w:color="auto"/>
            </w:tcBorders>
          </w:tcPr>
          <w:p w:rsidR="005234A2" w:rsidRDefault="005234A2" w:rsidP="008B5804">
            <w:pPr>
              <w:rPr>
                <w:rFonts w:cs="Times New Roman"/>
                <w:sz w:val="16"/>
                <w:szCs w:val="16"/>
              </w:rPr>
            </w:pPr>
            <w:r>
              <w:rPr>
                <w:rFonts w:cs="Times New Roman"/>
                <w:sz w:val="16"/>
                <w:szCs w:val="16"/>
              </w:rPr>
              <w:t>≥</w:t>
            </w:r>
            <w:r>
              <w:rPr>
                <w:rFonts w:cs="Times New Roman" w:hint="eastAsia"/>
                <w:sz w:val="16"/>
                <w:szCs w:val="16"/>
              </w:rPr>
              <w:t>50</w:t>
            </w:r>
            <w:r>
              <w:rPr>
                <w:rFonts w:cs="Times New Roman"/>
                <w:sz w:val="16"/>
                <w:szCs w:val="16"/>
              </w:rPr>
              <w:t>%</w:t>
            </w:r>
          </w:p>
        </w:tc>
        <w:tc>
          <w:tcPr>
            <w:tcW w:w="708" w:type="dxa"/>
            <w:tcBorders>
              <w:top w:val="single" w:sz="4" w:space="0" w:color="auto"/>
              <w:left w:val="single" w:sz="4" w:space="0" w:color="auto"/>
              <w:bottom w:val="single" w:sz="4" w:space="0" w:color="auto"/>
              <w:right w:val="single" w:sz="4" w:space="0" w:color="auto"/>
            </w:tcBorders>
            <w:shd w:val="clear" w:color="auto" w:fill="D9D9D9"/>
          </w:tcPr>
          <w:p w:rsidR="005234A2" w:rsidRDefault="005234A2" w:rsidP="008B5804">
            <w:pPr>
              <w:rPr>
                <w:rFonts w:cs="Times New Roman"/>
                <w:sz w:val="16"/>
                <w:szCs w:val="16"/>
              </w:rPr>
            </w:pPr>
            <w:r>
              <w:rPr>
                <w:rFonts w:cs="Times New Roman"/>
                <w:sz w:val="16"/>
                <w:szCs w:val="16"/>
              </w:rPr>
              <w:t>0</w:t>
            </w:r>
          </w:p>
        </w:tc>
        <w:tc>
          <w:tcPr>
            <w:tcW w:w="709" w:type="dxa"/>
            <w:tcBorders>
              <w:top w:val="single" w:sz="4" w:space="0" w:color="auto"/>
              <w:left w:val="single" w:sz="4" w:space="0" w:color="auto"/>
              <w:bottom w:val="single" w:sz="4" w:space="0" w:color="auto"/>
              <w:right w:val="single" w:sz="4" w:space="0" w:color="auto"/>
            </w:tcBorders>
            <w:shd w:val="clear" w:color="auto" w:fill="D9D9D9"/>
          </w:tcPr>
          <w:p w:rsidR="005234A2" w:rsidRDefault="005234A2" w:rsidP="008B5804">
            <w:pPr>
              <w:rPr>
                <w:rFonts w:cs="Times New Roman"/>
                <w:sz w:val="16"/>
                <w:szCs w:val="16"/>
              </w:rPr>
            </w:pPr>
            <w:r>
              <w:rPr>
                <w:rFonts w:cs="Times New Roman"/>
                <w:sz w:val="16"/>
                <w:szCs w:val="16"/>
              </w:rPr>
              <w:t>0</w:t>
            </w:r>
          </w:p>
        </w:tc>
        <w:tc>
          <w:tcPr>
            <w:tcW w:w="760" w:type="dxa"/>
            <w:tcBorders>
              <w:top w:val="single" w:sz="4" w:space="0" w:color="auto"/>
              <w:left w:val="single" w:sz="4" w:space="0" w:color="auto"/>
              <w:bottom w:val="single" w:sz="4" w:space="0" w:color="auto"/>
              <w:right w:val="single" w:sz="4" w:space="0" w:color="auto"/>
            </w:tcBorders>
          </w:tcPr>
          <w:p w:rsidR="005234A2" w:rsidRDefault="005234A2" w:rsidP="008B5804">
            <w:pPr>
              <w:rPr>
                <w:rFonts w:cs="Times New Roman"/>
                <w:sz w:val="16"/>
                <w:szCs w:val="16"/>
              </w:rPr>
            </w:pPr>
            <w:r>
              <w:rPr>
                <w:rFonts w:cs="Times New Roman"/>
                <w:sz w:val="16"/>
                <w:szCs w:val="16"/>
              </w:rPr>
              <w:t>≥</w:t>
            </w:r>
            <w:r>
              <w:rPr>
                <w:rFonts w:cs="Times New Roman" w:hint="eastAsia"/>
                <w:sz w:val="16"/>
                <w:szCs w:val="16"/>
              </w:rPr>
              <w:t>50</w:t>
            </w:r>
            <w:r>
              <w:rPr>
                <w:rFonts w:cs="Times New Roman"/>
                <w:sz w:val="16"/>
                <w:szCs w:val="16"/>
              </w:rPr>
              <w:t>%</w:t>
            </w:r>
          </w:p>
        </w:tc>
        <w:tc>
          <w:tcPr>
            <w:tcW w:w="799" w:type="dxa"/>
            <w:tcBorders>
              <w:top w:val="single" w:sz="4" w:space="0" w:color="auto"/>
              <w:left w:val="single" w:sz="4" w:space="0" w:color="auto"/>
              <w:bottom w:val="single" w:sz="4" w:space="0" w:color="auto"/>
              <w:right w:val="single" w:sz="4" w:space="0" w:color="auto"/>
            </w:tcBorders>
          </w:tcPr>
          <w:p w:rsidR="005234A2" w:rsidRDefault="005234A2" w:rsidP="008B5804">
            <w:pPr>
              <w:rPr>
                <w:rFonts w:cs="Times New Roman"/>
                <w:sz w:val="16"/>
                <w:szCs w:val="16"/>
              </w:rPr>
            </w:pPr>
            <w:r>
              <w:rPr>
                <w:rFonts w:cs="Times New Roman"/>
                <w:sz w:val="16"/>
                <w:szCs w:val="16"/>
              </w:rPr>
              <w:t>≥</w:t>
            </w:r>
            <w:r>
              <w:rPr>
                <w:rFonts w:cs="Times New Roman" w:hint="eastAsia"/>
                <w:sz w:val="16"/>
                <w:szCs w:val="16"/>
              </w:rPr>
              <w:t>50%</w:t>
            </w:r>
          </w:p>
        </w:tc>
      </w:tr>
    </w:tbl>
    <w:p w:rsidR="005234A2" w:rsidRDefault="005234A2" w:rsidP="005234A2"/>
    <w:p w:rsidR="005234A2" w:rsidRDefault="005234A2" w:rsidP="005234A2">
      <w:pPr>
        <w:pStyle w:val="BodyText"/>
        <w:spacing w:line="240" w:lineRule="auto"/>
        <w:ind w:right="-46"/>
        <w:jc w:val="left"/>
        <w:rPr>
          <w:sz w:val="18"/>
          <w:szCs w:val="18"/>
          <w:lang w:val="en-GB"/>
        </w:rPr>
      </w:pPr>
      <w:r>
        <w:rPr>
          <w:sz w:val="18"/>
          <w:szCs w:val="18"/>
          <w:lang w:val="en-GB"/>
        </w:rPr>
        <w:t xml:space="preserve">M-dust – Mineral dusts, B-dust- biological dust, Asth. - Asthmagen </w:t>
      </w:r>
    </w:p>
    <w:p w:rsidR="005234A2" w:rsidRDefault="005234A2" w:rsidP="005234A2">
      <w:pPr>
        <w:pStyle w:val="BodyText"/>
        <w:spacing w:line="240" w:lineRule="auto"/>
        <w:ind w:right="-46"/>
        <w:jc w:val="left"/>
        <w:rPr>
          <w:lang w:val="en-GB"/>
        </w:rPr>
      </w:pPr>
    </w:p>
    <w:p w:rsidR="005234A2" w:rsidRDefault="005234A2" w:rsidP="005234A2">
      <w:pPr>
        <w:pStyle w:val="BodyText"/>
        <w:spacing w:line="240" w:lineRule="auto"/>
        <w:ind w:right="-46"/>
        <w:jc w:val="left"/>
        <w:rPr>
          <w:sz w:val="22"/>
          <w:szCs w:val="22"/>
          <w:lang w:val="en-GB"/>
        </w:rPr>
      </w:pPr>
    </w:p>
    <w:p w:rsidR="00B850E6" w:rsidRDefault="00B850E6"/>
    <w:sectPr w:rsidR="00B850E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B123B76"/>
    <w:multiLevelType w:val="hybridMultilevel"/>
    <w:tmpl w:val="A6F6C328"/>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5E92"/>
    <w:rsid w:val="005234A2"/>
    <w:rsid w:val="005C5E92"/>
    <w:rsid w:val="00B850E6"/>
    <w:rsid w:val="00E54F8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34A2"/>
    <w:pPr>
      <w:spacing w:after="0" w:line="240" w:lineRule="auto"/>
    </w:pPr>
    <w:rPr>
      <w:rFonts w:ascii="Times New Roman" w:eastAsia="SimSun" w:hAnsi="Times New Roman" w:cs="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semiHidden/>
    <w:rsid w:val="005234A2"/>
    <w:pPr>
      <w:spacing w:line="480" w:lineRule="auto"/>
      <w:jc w:val="both"/>
    </w:pPr>
    <w:rPr>
      <w:rFonts w:cs="Times New Roman"/>
      <w:lang w:val="x-none"/>
    </w:rPr>
  </w:style>
  <w:style w:type="character" w:customStyle="1" w:styleId="BodyTextChar">
    <w:name w:val="Body Text Char"/>
    <w:basedOn w:val="DefaultParagraphFont"/>
    <w:link w:val="BodyText"/>
    <w:semiHidden/>
    <w:rsid w:val="005234A2"/>
    <w:rPr>
      <w:rFonts w:ascii="Times New Roman" w:eastAsia="SimSun" w:hAnsi="Times New Roman" w:cs="Times New Roman"/>
      <w:sz w:val="24"/>
      <w:szCs w:val="24"/>
      <w:lang w:val="x-none"/>
    </w:rPr>
  </w:style>
  <w:style w:type="paragraph" w:customStyle="1" w:styleId="ColorfulList-Accent12">
    <w:name w:val="Colorful List - Accent 12"/>
    <w:basedOn w:val="Normal"/>
    <w:qFormat/>
    <w:rsid w:val="005234A2"/>
    <w:pPr>
      <w:ind w:left="720"/>
      <w:contextualSpacing/>
    </w:pPr>
    <w:rPr>
      <w:rFonts w:ascii="Calibri" w:eastAsia="Calibri" w:hAnsi="Calibri" w:cs="Times New Roman"/>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34A2"/>
    <w:pPr>
      <w:spacing w:after="0" w:line="240" w:lineRule="auto"/>
    </w:pPr>
    <w:rPr>
      <w:rFonts w:ascii="Times New Roman" w:eastAsia="SimSun" w:hAnsi="Times New Roman" w:cs="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semiHidden/>
    <w:rsid w:val="005234A2"/>
    <w:pPr>
      <w:spacing w:line="480" w:lineRule="auto"/>
      <w:jc w:val="both"/>
    </w:pPr>
    <w:rPr>
      <w:rFonts w:cs="Times New Roman"/>
      <w:lang w:val="x-none"/>
    </w:rPr>
  </w:style>
  <w:style w:type="character" w:customStyle="1" w:styleId="BodyTextChar">
    <w:name w:val="Body Text Char"/>
    <w:basedOn w:val="DefaultParagraphFont"/>
    <w:link w:val="BodyText"/>
    <w:semiHidden/>
    <w:rsid w:val="005234A2"/>
    <w:rPr>
      <w:rFonts w:ascii="Times New Roman" w:eastAsia="SimSun" w:hAnsi="Times New Roman" w:cs="Times New Roman"/>
      <w:sz w:val="24"/>
      <w:szCs w:val="24"/>
      <w:lang w:val="x-none"/>
    </w:rPr>
  </w:style>
  <w:style w:type="paragraph" w:customStyle="1" w:styleId="ColorfulList-Accent12">
    <w:name w:val="Colorful List - Accent 12"/>
    <w:basedOn w:val="Normal"/>
    <w:qFormat/>
    <w:rsid w:val="005234A2"/>
    <w:pPr>
      <w:ind w:left="720"/>
      <w:contextualSpacing/>
    </w:pPr>
    <w:rPr>
      <w:rFonts w:ascii="Calibri" w:eastAsia="Calibri" w:hAnsi="Calibri"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735</Words>
  <Characters>4190</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University of Birmingham</Company>
  <LinksUpToDate>false</LinksUpToDate>
  <CharactersWithSpaces>4916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Steven Sadhra</dc:creator>
  <cp:lastModifiedBy>Steven Sadhra</cp:lastModifiedBy>
  <cp:revision>2</cp:revision>
  <dcterms:created xsi:type="dcterms:W3CDTF">2015-10-14T14:06:00Z</dcterms:created>
  <dcterms:modified xsi:type="dcterms:W3CDTF">2015-10-14T14:06:00Z</dcterms:modified>
</cp:coreProperties>
</file>