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547EA5" w14:textId="77777777" w:rsidR="0005092B" w:rsidRPr="000D2A4A" w:rsidRDefault="0005092B" w:rsidP="0005092B">
      <w:pPr>
        <w:jc w:val="center"/>
        <w:rPr>
          <w:b/>
          <w:bCs/>
          <w:sz w:val="24"/>
          <w:szCs w:val="24"/>
        </w:rPr>
      </w:pPr>
      <w:bookmarkStart w:id="0" w:name="_GoBack"/>
      <w:r w:rsidRPr="000D2A4A">
        <w:rPr>
          <w:rStyle w:val="cf01"/>
          <w:b/>
          <w:bCs/>
          <w:noProof/>
          <w:sz w:val="24"/>
          <w:szCs w:val="24"/>
          <w:lang w:eastAsia="en-GB"/>
        </w:rPr>
        <w:t xml:space="preserve">Hydroperoxide </w:t>
      </w:r>
      <w:r>
        <w:rPr>
          <w:rStyle w:val="cf01"/>
          <w:b/>
          <w:bCs/>
          <w:noProof/>
          <w:sz w:val="24"/>
          <w:szCs w:val="24"/>
          <w:lang w:eastAsia="en-GB"/>
        </w:rPr>
        <w:t>m</w:t>
      </w:r>
      <w:r w:rsidRPr="000D2A4A">
        <w:rPr>
          <w:rStyle w:val="cf01"/>
          <w:b/>
          <w:bCs/>
          <w:noProof/>
          <w:sz w:val="24"/>
          <w:szCs w:val="24"/>
          <w:lang w:eastAsia="en-GB"/>
        </w:rPr>
        <w:t xml:space="preserve">ediated degradation of acetonitrile in the Lithium-air </w:t>
      </w:r>
      <w:r>
        <w:rPr>
          <w:rStyle w:val="cf01"/>
          <w:b/>
          <w:bCs/>
          <w:noProof/>
          <w:sz w:val="24"/>
          <w:szCs w:val="24"/>
          <w:lang w:eastAsia="en-GB"/>
        </w:rPr>
        <w:t>b</w:t>
      </w:r>
      <w:r w:rsidRPr="000D2A4A">
        <w:rPr>
          <w:rStyle w:val="cf01"/>
          <w:b/>
          <w:bCs/>
          <w:noProof/>
          <w:sz w:val="24"/>
          <w:szCs w:val="24"/>
          <w:lang w:eastAsia="en-GB"/>
        </w:rPr>
        <w:t>attery</w:t>
      </w:r>
      <w:r w:rsidRPr="000D2A4A" w:rsidDel="008C2EF0">
        <w:rPr>
          <w:b/>
          <w:bCs/>
          <w:noProof/>
          <w:sz w:val="24"/>
          <w:szCs w:val="24"/>
          <w:lang w:eastAsia="en-GB"/>
        </w:rPr>
        <w:t xml:space="preserve"> </w:t>
      </w:r>
    </w:p>
    <w:bookmarkEnd w:id="0"/>
    <w:p w14:paraId="4A8B5B6E" w14:textId="3170C4A1" w:rsidR="0005092B" w:rsidRPr="00DD1B9A" w:rsidRDefault="0005092B" w:rsidP="0005092B">
      <w:pPr>
        <w:pStyle w:val="RSCB01ARTAbstract"/>
        <w:spacing w:line="276" w:lineRule="auto"/>
        <w:jc w:val="center"/>
        <w:rPr>
          <w:rFonts w:cs="Times New Roman"/>
          <w:sz w:val="19"/>
          <w:szCs w:val="19"/>
        </w:rPr>
      </w:pPr>
      <w:r w:rsidRPr="00DD1B9A">
        <w:rPr>
          <w:rFonts w:cs="Times New Roman"/>
          <w:sz w:val="19"/>
          <w:szCs w:val="19"/>
        </w:rPr>
        <w:t>Rory C. McNulty,</w:t>
      </w:r>
      <w:r w:rsidRPr="00DD1B9A">
        <w:rPr>
          <w:rFonts w:cs="Times New Roman"/>
          <w:sz w:val="19"/>
          <w:szCs w:val="19"/>
          <w:vertAlign w:val="superscript"/>
        </w:rPr>
        <w:t>1,</w:t>
      </w:r>
      <w:r>
        <w:rPr>
          <w:rFonts w:cs="Times New Roman"/>
          <w:sz w:val="19"/>
          <w:szCs w:val="19"/>
          <w:vertAlign w:val="superscript"/>
        </w:rPr>
        <w:t>2</w:t>
      </w:r>
      <w:r w:rsidR="00A967BB">
        <w:rPr>
          <w:rFonts w:cs="Times New Roman"/>
          <w:sz w:val="19"/>
          <w:szCs w:val="19"/>
          <w:vertAlign w:val="superscript"/>
        </w:rPr>
        <w:t>,3</w:t>
      </w:r>
      <w:r w:rsidRPr="00DD1B9A">
        <w:rPr>
          <w:rFonts w:cs="Times New Roman"/>
          <w:sz w:val="19"/>
          <w:szCs w:val="19"/>
        </w:rPr>
        <w:t xml:space="preserve"> </w:t>
      </w:r>
      <w:r>
        <w:rPr>
          <w:rFonts w:cs="Times New Roman"/>
          <w:sz w:val="19"/>
          <w:szCs w:val="19"/>
        </w:rPr>
        <w:t>Kieran D. Jones,</w:t>
      </w:r>
      <w:r w:rsidRPr="00DD1B9A">
        <w:rPr>
          <w:rFonts w:cs="Times New Roman"/>
          <w:sz w:val="19"/>
          <w:szCs w:val="19"/>
          <w:vertAlign w:val="superscript"/>
        </w:rPr>
        <w:t>1</w:t>
      </w:r>
      <w:r>
        <w:rPr>
          <w:rFonts w:cs="Times New Roman"/>
          <w:sz w:val="19"/>
          <w:szCs w:val="19"/>
          <w:vertAlign w:val="superscript"/>
        </w:rPr>
        <w:t>,</w:t>
      </w:r>
      <w:r w:rsidR="00D14103">
        <w:rPr>
          <w:rFonts w:cs="Times New Roman"/>
          <w:sz w:val="19"/>
          <w:szCs w:val="19"/>
          <w:vertAlign w:val="superscript"/>
        </w:rPr>
        <w:t>3</w:t>
      </w:r>
      <w:r>
        <w:rPr>
          <w:rFonts w:cs="Times New Roman"/>
          <w:sz w:val="19"/>
          <w:szCs w:val="19"/>
        </w:rPr>
        <w:t xml:space="preserve"> Conrad Holc,</w:t>
      </w:r>
      <w:r w:rsidRPr="00DD1B9A">
        <w:rPr>
          <w:rFonts w:cs="Times New Roman"/>
          <w:sz w:val="19"/>
          <w:szCs w:val="19"/>
          <w:vertAlign w:val="superscript"/>
        </w:rPr>
        <w:t>1</w:t>
      </w:r>
      <w:r>
        <w:rPr>
          <w:rFonts w:cs="Times New Roman"/>
          <w:sz w:val="19"/>
          <w:szCs w:val="19"/>
          <w:vertAlign w:val="superscript"/>
        </w:rPr>
        <w:t>,2</w:t>
      </w:r>
      <w:r w:rsidR="00A967BB">
        <w:rPr>
          <w:rFonts w:cs="Times New Roman"/>
          <w:sz w:val="19"/>
          <w:szCs w:val="19"/>
          <w:vertAlign w:val="superscript"/>
        </w:rPr>
        <w:t>,3</w:t>
      </w:r>
      <w:r w:rsidRPr="00DD1B9A">
        <w:rPr>
          <w:rFonts w:cs="Times New Roman"/>
          <w:sz w:val="19"/>
          <w:szCs w:val="19"/>
        </w:rPr>
        <w:t xml:space="preserve"> </w:t>
      </w:r>
      <w:r>
        <w:rPr>
          <w:rFonts w:cs="Times New Roman"/>
          <w:sz w:val="19"/>
          <w:szCs w:val="19"/>
        </w:rPr>
        <w:t>Jack W. Jordan,</w:t>
      </w:r>
      <w:r w:rsidRPr="00DD1B9A">
        <w:rPr>
          <w:rFonts w:cs="Times New Roman"/>
          <w:sz w:val="19"/>
          <w:szCs w:val="19"/>
          <w:vertAlign w:val="superscript"/>
        </w:rPr>
        <w:t>1</w:t>
      </w:r>
      <w:r>
        <w:rPr>
          <w:rFonts w:cs="Times New Roman"/>
          <w:sz w:val="19"/>
          <w:szCs w:val="19"/>
          <w:vertAlign w:val="superscript"/>
        </w:rPr>
        <w:t>,2</w:t>
      </w:r>
      <w:r w:rsidR="00A967BB">
        <w:rPr>
          <w:rFonts w:cs="Times New Roman"/>
          <w:sz w:val="19"/>
          <w:szCs w:val="19"/>
          <w:vertAlign w:val="superscript"/>
        </w:rPr>
        <w:t>,3</w:t>
      </w:r>
      <w:r>
        <w:rPr>
          <w:rFonts w:cs="Times New Roman"/>
          <w:sz w:val="19"/>
          <w:szCs w:val="19"/>
          <w:vertAlign w:val="superscript"/>
        </w:rPr>
        <w:t>,</w:t>
      </w:r>
      <w:r>
        <w:rPr>
          <w:rFonts w:cs="Times New Roman"/>
          <w:sz w:val="19"/>
          <w:szCs w:val="19"/>
        </w:rPr>
        <w:t xml:space="preserve"> </w:t>
      </w:r>
      <w:r w:rsidR="00E52F4B">
        <w:rPr>
          <w:rFonts w:cs="Times New Roman"/>
          <w:sz w:val="19"/>
          <w:szCs w:val="19"/>
        </w:rPr>
        <w:t>Peter G. Bruce,</w:t>
      </w:r>
      <w:r w:rsidR="00E52F4B">
        <w:rPr>
          <w:rFonts w:cs="Times New Roman"/>
          <w:sz w:val="19"/>
          <w:szCs w:val="19"/>
          <w:vertAlign w:val="superscript"/>
        </w:rPr>
        <w:t>2,4</w:t>
      </w:r>
      <w:r w:rsidR="00E52F4B">
        <w:rPr>
          <w:rFonts w:cs="Times New Roman"/>
          <w:sz w:val="19"/>
          <w:szCs w:val="19"/>
        </w:rPr>
        <w:t xml:space="preserve"> </w:t>
      </w:r>
      <w:r>
        <w:rPr>
          <w:rFonts w:cs="Times New Roman"/>
          <w:sz w:val="19"/>
          <w:szCs w:val="19"/>
        </w:rPr>
        <w:t>Darren A. Walsh,</w:t>
      </w:r>
      <w:r w:rsidRPr="00D07F56">
        <w:rPr>
          <w:rFonts w:cs="Times New Roman"/>
          <w:sz w:val="19"/>
          <w:szCs w:val="19"/>
          <w:vertAlign w:val="superscript"/>
        </w:rPr>
        <w:t xml:space="preserve"> </w:t>
      </w:r>
      <w:r w:rsidRPr="00DD1B9A">
        <w:rPr>
          <w:rFonts w:cs="Times New Roman"/>
          <w:sz w:val="19"/>
          <w:szCs w:val="19"/>
          <w:vertAlign w:val="superscript"/>
        </w:rPr>
        <w:t>1</w:t>
      </w:r>
      <w:r>
        <w:rPr>
          <w:rFonts w:cs="Times New Roman"/>
          <w:sz w:val="19"/>
          <w:szCs w:val="19"/>
          <w:vertAlign w:val="superscript"/>
        </w:rPr>
        <w:t>,2</w:t>
      </w:r>
      <w:r w:rsidR="00A967BB">
        <w:rPr>
          <w:rFonts w:cs="Times New Roman"/>
          <w:sz w:val="19"/>
          <w:szCs w:val="19"/>
          <w:vertAlign w:val="superscript"/>
        </w:rPr>
        <w:t>,3</w:t>
      </w:r>
      <w:r>
        <w:rPr>
          <w:rFonts w:cs="Times New Roman"/>
          <w:sz w:val="19"/>
          <w:szCs w:val="19"/>
        </w:rPr>
        <w:t xml:space="preserve"> Graham N. Newton,</w:t>
      </w:r>
      <w:r w:rsidRPr="00DD1B9A">
        <w:rPr>
          <w:rFonts w:cs="Times New Roman"/>
          <w:sz w:val="19"/>
          <w:szCs w:val="19"/>
          <w:vertAlign w:val="superscript"/>
        </w:rPr>
        <w:t>1</w:t>
      </w:r>
      <w:r>
        <w:rPr>
          <w:rFonts w:cs="Times New Roman"/>
          <w:sz w:val="19"/>
          <w:szCs w:val="19"/>
          <w:vertAlign w:val="superscript"/>
        </w:rPr>
        <w:t>,2</w:t>
      </w:r>
      <w:r w:rsidR="00AF5FAD">
        <w:rPr>
          <w:rFonts w:cs="Times New Roman"/>
          <w:sz w:val="19"/>
          <w:szCs w:val="19"/>
          <w:vertAlign w:val="superscript"/>
        </w:rPr>
        <w:t>,3</w:t>
      </w:r>
      <w:r>
        <w:rPr>
          <w:rFonts w:cs="Times New Roman"/>
          <w:sz w:val="19"/>
          <w:szCs w:val="19"/>
        </w:rPr>
        <w:t xml:space="preserve"> Hon</w:t>
      </w:r>
      <w:r w:rsidR="00B32052">
        <w:rPr>
          <w:rFonts w:cs="Times New Roman"/>
          <w:sz w:val="19"/>
          <w:szCs w:val="19"/>
        </w:rPr>
        <w:t xml:space="preserve"> Wai</w:t>
      </w:r>
      <w:r>
        <w:rPr>
          <w:rFonts w:cs="Times New Roman"/>
          <w:sz w:val="19"/>
          <w:szCs w:val="19"/>
        </w:rPr>
        <w:t xml:space="preserve"> Lam,</w:t>
      </w:r>
      <w:r w:rsidR="00D14103">
        <w:rPr>
          <w:rFonts w:cs="Times New Roman"/>
          <w:sz w:val="19"/>
          <w:szCs w:val="19"/>
          <w:vertAlign w:val="superscript"/>
        </w:rPr>
        <w:t>3</w:t>
      </w:r>
      <w:r>
        <w:rPr>
          <w:rFonts w:cs="Times New Roman"/>
          <w:sz w:val="19"/>
          <w:szCs w:val="19"/>
          <w:vertAlign w:val="superscript"/>
        </w:rPr>
        <w:t xml:space="preserve"> </w:t>
      </w:r>
      <w:r w:rsidRPr="00DD1B9A">
        <w:rPr>
          <w:rFonts w:cs="Times New Roman"/>
          <w:sz w:val="19"/>
          <w:szCs w:val="19"/>
        </w:rPr>
        <w:t xml:space="preserve">Lee </w:t>
      </w:r>
      <w:r>
        <w:rPr>
          <w:rFonts w:cs="Times New Roman"/>
          <w:sz w:val="19"/>
          <w:szCs w:val="19"/>
        </w:rPr>
        <w:t xml:space="preserve">R. </w:t>
      </w:r>
      <w:r w:rsidRPr="00DD1B9A">
        <w:rPr>
          <w:rFonts w:cs="Times New Roman"/>
          <w:sz w:val="19"/>
          <w:szCs w:val="19"/>
        </w:rPr>
        <w:t>Johnson</w:t>
      </w:r>
      <w:r w:rsidRPr="00DD1B9A">
        <w:rPr>
          <w:rFonts w:cs="Times New Roman"/>
          <w:sz w:val="19"/>
          <w:szCs w:val="19"/>
          <w:vertAlign w:val="superscript"/>
        </w:rPr>
        <w:t xml:space="preserve"> </w:t>
      </w:r>
      <w:r w:rsidRPr="00DD1B9A">
        <w:rPr>
          <w:rFonts w:cs="Times New Roman"/>
          <w:sz w:val="19"/>
          <w:szCs w:val="19"/>
        </w:rPr>
        <w:t>*</w:t>
      </w:r>
      <w:r w:rsidRPr="00DD1B9A">
        <w:rPr>
          <w:rFonts w:cs="Times New Roman"/>
          <w:sz w:val="19"/>
          <w:szCs w:val="19"/>
          <w:vertAlign w:val="superscript"/>
        </w:rPr>
        <w:t>1,</w:t>
      </w:r>
      <w:r>
        <w:rPr>
          <w:rFonts w:cs="Times New Roman"/>
          <w:sz w:val="19"/>
          <w:szCs w:val="19"/>
          <w:vertAlign w:val="superscript"/>
        </w:rPr>
        <w:t>2</w:t>
      </w:r>
      <w:r w:rsidR="00AF5FAD">
        <w:rPr>
          <w:rFonts w:cs="Times New Roman"/>
          <w:sz w:val="19"/>
          <w:szCs w:val="19"/>
          <w:vertAlign w:val="superscript"/>
        </w:rPr>
        <w:t>,3</w:t>
      </w:r>
    </w:p>
    <w:p w14:paraId="5F3F5C7B" w14:textId="77777777" w:rsidR="0005092B" w:rsidRPr="00DD1B9A" w:rsidRDefault="0005092B" w:rsidP="0005092B">
      <w:pPr>
        <w:spacing w:after="0" w:line="276" w:lineRule="auto"/>
        <w:jc w:val="center"/>
        <w:rPr>
          <w:rFonts w:eastAsia="Arial"/>
          <w:color w:val="000000"/>
          <w:sz w:val="19"/>
          <w:szCs w:val="19"/>
        </w:rPr>
      </w:pPr>
      <w:r w:rsidRPr="00DD1B9A">
        <w:rPr>
          <w:rFonts w:eastAsia="Arial"/>
          <w:color w:val="000000" w:themeColor="text1"/>
          <w:sz w:val="19"/>
          <w:szCs w:val="19"/>
          <w:vertAlign w:val="superscript"/>
        </w:rPr>
        <w:t>1</w:t>
      </w:r>
      <w:r w:rsidRPr="00DD1B9A">
        <w:rPr>
          <w:rFonts w:eastAsia="Arial"/>
          <w:color w:val="000000" w:themeColor="text1"/>
          <w:sz w:val="19"/>
          <w:szCs w:val="19"/>
        </w:rPr>
        <w:t>Nottingham Applied Materials and Interfaces Group, School of Chemistry, University of Nottingham, NG7 2TU, UK</w:t>
      </w:r>
    </w:p>
    <w:p w14:paraId="1CCBCC81" w14:textId="77777777" w:rsidR="0005092B" w:rsidRDefault="0005092B" w:rsidP="0005092B">
      <w:pPr>
        <w:spacing w:after="0" w:line="276" w:lineRule="auto"/>
        <w:jc w:val="center"/>
        <w:rPr>
          <w:rFonts w:eastAsia="Arial"/>
          <w:color w:val="000000" w:themeColor="text1"/>
          <w:sz w:val="19"/>
          <w:szCs w:val="19"/>
        </w:rPr>
      </w:pPr>
      <w:bookmarkStart w:id="1" w:name="_Hlk121699131"/>
      <w:r>
        <w:rPr>
          <w:rFonts w:eastAsia="Arial"/>
          <w:color w:val="000000" w:themeColor="text1"/>
          <w:sz w:val="19"/>
          <w:szCs w:val="19"/>
          <w:vertAlign w:val="superscript"/>
        </w:rPr>
        <w:t>2</w:t>
      </w:r>
      <w:r w:rsidRPr="00DD1B9A">
        <w:rPr>
          <w:rFonts w:eastAsia="Arial"/>
          <w:color w:val="000000" w:themeColor="text1"/>
          <w:sz w:val="19"/>
          <w:szCs w:val="19"/>
        </w:rPr>
        <w:t>The Faraday Institution, Quad One, Harwell Science and Innovation Campus, Didcot, OX11 0RA, UK</w:t>
      </w:r>
    </w:p>
    <w:bookmarkEnd w:id="1"/>
    <w:p w14:paraId="517120F7" w14:textId="7B079BD5" w:rsidR="0005092B" w:rsidRDefault="0005092B" w:rsidP="0005092B">
      <w:pPr>
        <w:spacing w:after="0" w:line="276" w:lineRule="auto"/>
        <w:jc w:val="center"/>
        <w:rPr>
          <w:rFonts w:eastAsia="Arial"/>
          <w:color w:val="000000" w:themeColor="text1"/>
          <w:sz w:val="19"/>
          <w:szCs w:val="19"/>
        </w:rPr>
      </w:pPr>
      <w:r>
        <w:rPr>
          <w:rFonts w:eastAsia="Arial"/>
          <w:color w:val="000000" w:themeColor="text1"/>
          <w:sz w:val="19"/>
          <w:szCs w:val="19"/>
          <w:vertAlign w:val="superscript"/>
        </w:rPr>
        <w:t>3</w:t>
      </w:r>
      <w:r>
        <w:rPr>
          <w:rFonts w:eastAsia="Arial"/>
          <w:color w:val="000000" w:themeColor="text1"/>
          <w:sz w:val="19"/>
          <w:szCs w:val="19"/>
        </w:rPr>
        <w:t>School of Chemistry, University of Nottingham, Nottingham, NG7 2TU, UK</w:t>
      </w:r>
    </w:p>
    <w:p w14:paraId="6DF24033" w14:textId="0B8CCF4B" w:rsidR="00D14103" w:rsidRPr="00D14103" w:rsidRDefault="00D14103" w:rsidP="0005092B">
      <w:pPr>
        <w:spacing w:after="0" w:line="276" w:lineRule="auto"/>
        <w:jc w:val="center"/>
        <w:rPr>
          <w:rFonts w:eastAsia="Arial"/>
          <w:color w:val="000000" w:themeColor="text1"/>
          <w:sz w:val="19"/>
          <w:szCs w:val="19"/>
        </w:rPr>
      </w:pPr>
      <w:r>
        <w:rPr>
          <w:rFonts w:eastAsia="Arial"/>
          <w:color w:val="000000" w:themeColor="text1"/>
          <w:sz w:val="19"/>
          <w:szCs w:val="19"/>
          <w:vertAlign w:val="superscript"/>
        </w:rPr>
        <w:t>4</w:t>
      </w:r>
      <w:r>
        <w:rPr>
          <w:rFonts w:eastAsia="Arial"/>
          <w:color w:val="000000" w:themeColor="text1"/>
          <w:sz w:val="19"/>
          <w:szCs w:val="19"/>
        </w:rPr>
        <w:t>Department of Materials and Chemistry, Parks Road, University of Oxford</w:t>
      </w:r>
      <w:r w:rsidR="002E0C26">
        <w:rPr>
          <w:rFonts w:eastAsia="Arial"/>
          <w:color w:val="000000" w:themeColor="text1"/>
          <w:sz w:val="19"/>
          <w:szCs w:val="19"/>
        </w:rPr>
        <w:t>,</w:t>
      </w:r>
      <w:r>
        <w:rPr>
          <w:rFonts w:eastAsia="Arial"/>
          <w:color w:val="000000" w:themeColor="text1"/>
          <w:sz w:val="19"/>
          <w:szCs w:val="19"/>
        </w:rPr>
        <w:t xml:space="preserve"> OX1 3PH, UK</w:t>
      </w:r>
    </w:p>
    <w:p w14:paraId="7C0A9518" w14:textId="77777777" w:rsidR="0005092B" w:rsidRPr="00DD1B9A" w:rsidRDefault="0005092B" w:rsidP="0005092B">
      <w:pPr>
        <w:spacing w:line="276" w:lineRule="auto"/>
        <w:jc w:val="center"/>
        <w:rPr>
          <w:rFonts w:eastAsia="Arial" w:cstheme="minorHAnsi"/>
          <w:color w:val="000000"/>
          <w:sz w:val="19"/>
          <w:szCs w:val="19"/>
          <w:lang w:eastAsia="zh-CN"/>
        </w:rPr>
      </w:pPr>
      <w:r w:rsidRPr="00DD1B9A">
        <w:rPr>
          <w:rFonts w:eastAsia="Arial" w:cstheme="minorHAnsi"/>
          <w:color w:val="000000"/>
          <w:sz w:val="19"/>
          <w:szCs w:val="19"/>
          <w:lang w:eastAsia="zh-CN"/>
        </w:rPr>
        <w:t>*lee.johnson@nottingham.ac.uk</w:t>
      </w:r>
    </w:p>
    <w:p w14:paraId="4275C390" w14:textId="792B750F" w:rsidR="0005092B" w:rsidRDefault="0005092B" w:rsidP="00AE4313">
      <w:pPr>
        <w:spacing w:line="276" w:lineRule="auto"/>
        <w:jc w:val="center"/>
        <w:rPr>
          <w:rFonts w:eastAsia="Arial" w:cstheme="minorHAnsi"/>
          <w:b/>
          <w:color w:val="000000"/>
          <w:lang w:eastAsia="zh-CN"/>
        </w:rPr>
      </w:pPr>
    </w:p>
    <w:p w14:paraId="1336C5F9" w14:textId="77777777" w:rsidR="00F75C93" w:rsidRPr="00AE4313" w:rsidRDefault="00F75C93" w:rsidP="00AE4313">
      <w:pPr>
        <w:spacing w:line="276" w:lineRule="auto"/>
        <w:jc w:val="center"/>
        <w:rPr>
          <w:rFonts w:eastAsia="Arial" w:cstheme="minorHAnsi"/>
          <w:b/>
          <w:color w:val="000000"/>
          <w:lang w:eastAsia="zh-CN"/>
        </w:rPr>
      </w:pPr>
    </w:p>
    <w:p w14:paraId="3ADC31E5" w14:textId="77777777" w:rsidR="00A92DCF" w:rsidRDefault="00A92DCF" w:rsidP="00A92DCF">
      <w:r>
        <w:rPr>
          <w:b/>
          <w:bCs/>
        </w:rPr>
        <w:t>Experimental</w:t>
      </w:r>
    </w:p>
    <w:p w14:paraId="2C72FC14" w14:textId="77777777" w:rsidR="00A92DCF" w:rsidRDefault="00A92DCF" w:rsidP="00A92DCF">
      <w:pPr>
        <w:rPr>
          <w:b/>
          <w:bCs/>
        </w:rPr>
      </w:pPr>
      <w:r>
        <w:rPr>
          <w:b/>
          <w:bCs/>
        </w:rPr>
        <w:t>Materials</w:t>
      </w:r>
    </w:p>
    <w:p w14:paraId="523D5598" w14:textId="51640885" w:rsidR="00A92DCF" w:rsidRPr="00B625B5" w:rsidRDefault="00A92DCF" w:rsidP="00A92DCF">
      <w:pPr>
        <w:jc w:val="both"/>
      </w:pPr>
      <w:r>
        <w:t xml:space="preserve">Acetonitrile (MeCN, 99.999%, Aldrich) was dried for several days over freshly activated molecular sieves (type 4 </w:t>
      </w:r>
      <w:r>
        <w:rPr>
          <w:rFonts w:cstheme="minorHAnsi"/>
        </w:rPr>
        <w:t>Å</w:t>
      </w:r>
      <w:r>
        <w:t>, Aldrich) before use. Lithium perchlorate (LiClO</w:t>
      </w:r>
      <w:r>
        <w:rPr>
          <w:vertAlign w:val="subscript"/>
        </w:rPr>
        <w:t>4</w:t>
      </w:r>
      <w:r>
        <w:t>, 99.99%, Aldrich) was used as supplied without further purification. The dry electrolyte H</w:t>
      </w:r>
      <w:r>
        <w:rPr>
          <w:vertAlign w:val="subscript"/>
        </w:rPr>
        <w:t>2</w:t>
      </w:r>
      <w:r>
        <w:t xml:space="preserve">O content was </w:t>
      </w:r>
      <w:r w:rsidRPr="00BC5A88">
        <w:t>4 ppm</w:t>
      </w:r>
      <w:r>
        <w:t>, determined by Karl-Fischer titration. Wet electrolyte solutions were prepared using deionised H</w:t>
      </w:r>
      <w:r>
        <w:rPr>
          <w:vertAlign w:val="subscript"/>
        </w:rPr>
        <w:t>2</w:t>
      </w:r>
      <w:r>
        <w:t>O (18.2 M</w:t>
      </w:r>
      <w:r>
        <w:rPr>
          <w:rFonts w:cstheme="minorHAnsi"/>
        </w:rPr>
        <w:t>Ω cm, MilliQ).</w:t>
      </w:r>
      <w:r>
        <w:t xml:space="preserve"> All cell components were dried at temperature under vacuum and transferred to a N</w:t>
      </w:r>
      <w:r>
        <w:rPr>
          <w:vertAlign w:val="subscript"/>
        </w:rPr>
        <w:t>2</w:t>
      </w:r>
      <w:r>
        <w:t>-filled glovebox without exposure to air</w:t>
      </w:r>
      <w:r w:rsidR="0008557A">
        <w:t>.</w:t>
      </w:r>
      <w:r>
        <w:t xml:space="preserve"> All materials were prepared and stored in an N</w:t>
      </w:r>
      <w:r>
        <w:rPr>
          <w:vertAlign w:val="subscript"/>
        </w:rPr>
        <w:t>2</w:t>
      </w:r>
      <w:r>
        <w:t>-filled glovebox prior to use.</w:t>
      </w:r>
    </w:p>
    <w:p w14:paraId="16098941" w14:textId="77777777" w:rsidR="00A92DCF" w:rsidRDefault="00A92DCF" w:rsidP="00A92DCF">
      <w:r>
        <w:rPr>
          <w:b/>
          <w:bCs/>
        </w:rPr>
        <w:t>Pressure cell measurements</w:t>
      </w:r>
    </w:p>
    <w:p w14:paraId="06E33EB6" w14:textId="3BC3DADF" w:rsidR="00A92DCF" w:rsidRDefault="00A92DCF" w:rsidP="00A92DCF">
      <w:pPr>
        <w:jc w:val="both"/>
      </w:pPr>
      <w:r>
        <w:t xml:space="preserve">24 mm diameter Swagelok-type cells incorporating a pressure sensor (Omega Engineering) were used for </w:t>
      </w:r>
      <w:r w:rsidRPr="00F61638">
        <w:rPr>
          <w:i/>
          <w:iCs/>
        </w:rPr>
        <w:t>in situ</w:t>
      </w:r>
      <w:r>
        <w:t xml:space="preserve"> pressure analysis. Porous carbonaceous cathodes (</w:t>
      </w:r>
      <w:r w:rsidRPr="00BC5A88">
        <w:t>H23, QuinTech</w:t>
      </w:r>
      <w:r>
        <w:t xml:space="preserve">) were paired with freestanding </w:t>
      </w:r>
      <w:r w:rsidRPr="008C68F5">
        <w:t>Li</w:t>
      </w:r>
      <w:r w:rsidR="006E7DDF" w:rsidRPr="008C68F5">
        <w:rPr>
          <w:vertAlign w:val="subscript"/>
        </w:rPr>
        <w:t>1</w:t>
      </w:r>
      <w:r w:rsidR="006E7DDF" w:rsidRPr="008C68F5">
        <w:rPr>
          <w:rFonts w:cstheme="minorHAnsi"/>
          <w:vertAlign w:val="subscript"/>
        </w:rPr>
        <w:t>−</w:t>
      </w:r>
      <w:r w:rsidRPr="008C68F5">
        <w:rPr>
          <w:vertAlign w:val="subscript"/>
        </w:rPr>
        <w:t>x</w:t>
      </w:r>
      <w:r w:rsidRPr="008C68F5">
        <w:t>FePO</w:t>
      </w:r>
      <w:r w:rsidRPr="008C68F5">
        <w:rPr>
          <w:vertAlign w:val="subscript"/>
        </w:rPr>
        <w:t>4</w:t>
      </w:r>
      <w:r>
        <w:t xml:space="preserve"> anodes (pre-oxidised to ca. 20% of total capacity) that were prepared by combining LiFePO</w:t>
      </w:r>
      <w:r>
        <w:rPr>
          <w:vertAlign w:val="subscript"/>
        </w:rPr>
        <w:t>4</w:t>
      </w:r>
      <w:r>
        <w:t xml:space="preserve"> (MTI) with conductive carbon additive (Super P, Alfa Aesar) and 10% wt. PTFE in H</w:t>
      </w:r>
      <w:r>
        <w:rPr>
          <w:vertAlign w:val="subscript"/>
        </w:rPr>
        <w:t>2</w:t>
      </w:r>
      <w:r>
        <w:t>O (Aldrich) in an 8:1:1 ratio. Two glass fibre separators (</w:t>
      </w:r>
      <w:r w:rsidRPr="00780508">
        <w:t>GF/F</w:t>
      </w:r>
      <w:r>
        <w:t>, Whatman) were used to separate the electrodes. Stainless steel mesh (</w:t>
      </w:r>
      <w:r w:rsidRPr="00480032">
        <w:t>316</w:t>
      </w:r>
      <w:r w:rsidR="0008557A">
        <w:t xml:space="preserve"> garde</w:t>
      </w:r>
      <w:r w:rsidRPr="00480032">
        <w:t>, Advent</w:t>
      </w:r>
      <w:r>
        <w:t xml:space="preserve">) was placed on top of the cathode to ensure electrical contact. Electrolyte volume was 800 </w:t>
      </w:r>
      <w:r>
        <w:rPr>
          <w:rFonts w:cstheme="minorHAnsi"/>
        </w:rPr>
        <w:t>µ</w:t>
      </w:r>
      <w:r>
        <w:t>L. Prior to discharge, the cell headspace was purged with pure O</w:t>
      </w:r>
      <w:r>
        <w:rPr>
          <w:vertAlign w:val="subscript"/>
        </w:rPr>
        <w:t>2</w:t>
      </w:r>
      <w:r>
        <w:t xml:space="preserve"> for a total time of 3 minutes, alternating bypass and through cell to avoid MeCN evaporation. The cell was discharged at 20 </w:t>
      </w:r>
      <w:r w:rsidRPr="00E74999">
        <w:rPr>
          <w:rFonts w:cstheme="minorHAnsi"/>
        </w:rPr>
        <w:t>°</w:t>
      </w:r>
      <w:r>
        <w:t>C. The cell volume was determined post-discharge against a calibration tube of known volume. The H</w:t>
      </w:r>
      <w:r>
        <w:rPr>
          <w:vertAlign w:val="subscript"/>
        </w:rPr>
        <w:t>2</w:t>
      </w:r>
      <w:r>
        <w:t xml:space="preserve">O concentration of dry MeCN cells was determined to be </w:t>
      </w:r>
      <w:r w:rsidRPr="00471F86">
        <w:t xml:space="preserve">ca. </w:t>
      </w:r>
      <w:r w:rsidR="00320CDB">
        <w:t>15</w:t>
      </w:r>
      <w:r w:rsidR="00476018">
        <w:t>1</w:t>
      </w:r>
      <w:r w:rsidRPr="00471F86">
        <w:t xml:space="preserve"> ppm</w:t>
      </w:r>
      <w:r>
        <w:t xml:space="preserve"> through Karl-Fischer titration of electrolyte extracted from a cell rested for 72 hours</w:t>
      </w:r>
      <w:r w:rsidR="0008557A">
        <w:t>.</w:t>
      </w:r>
    </w:p>
    <w:p w14:paraId="2E96679C" w14:textId="193E18C3" w:rsidR="00070F49" w:rsidRDefault="002D0AE6" w:rsidP="00070F49">
      <w:pPr>
        <w:spacing w:line="276" w:lineRule="auto"/>
        <w:jc w:val="both"/>
        <w:rPr>
          <w:rFonts w:eastAsia="Arial" w:cstheme="minorHAnsi"/>
          <w:b/>
          <w:bCs/>
          <w:color w:val="000000"/>
          <w:lang w:eastAsia="zh-CN"/>
        </w:rPr>
      </w:pPr>
      <w:r>
        <w:rPr>
          <w:rFonts w:eastAsia="Arial" w:cstheme="minorHAnsi"/>
          <w:b/>
          <w:bCs/>
          <w:color w:val="000000"/>
          <w:lang w:eastAsia="zh-CN"/>
        </w:rPr>
        <w:t>%</w:t>
      </w:r>
      <w:r w:rsidR="00070F49">
        <w:rPr>
          <w:rFonts w:eastAsia="Arial" w:cstheme="minorHAnsi"/>
          <w:b/>
          <w:bCs/>
          <w:color w:val="000000"/>
          <w:lang w:eastAsia="zh-CN"/>
        </w:rPr>
        <w:t>Li</w:t>
      </w:r>
      <w:r w:rsidR="00070F49">
        <w:rPr>
          <w:rFonts w:eastAsia="Arial" w:cstheme="minorHAnsi"/>
          <w:b/>
          <w:bCs/>
          <w:color w:val="000000"/>
          <w:vertAlign w:val="subscript"/>
          <w:lang w:eastAsia="zh-CN"/>
        </w:rPr>
        <w:t>2</w:t>
      </w:r>
      <w:r w:rsidR="00070F49">
        <w:rPr>
          <w:rFonts w:eastAsia="Arial" w:cstheme="minorHAnsi"/>
          <w:b/>
          <w:bCs/>
          <w:color w:val="000000"/>
          <w:lang w:eastAsia="zh-CN"/>
        </w:rPr>
        <w:t>O</w:t>
      </w:r>
      <w:r w:rsidR="00070F49">
        <w:rPr>
          <w:rFonts w:eastAsia="Arial" w:cstheme="minorHAnsi"/>
          <w:b/>
          <w:bCs/>
          <w:color w:val="000000"/>
          <w:vertAlign w:val="subscript"/>
          <w:lang w:eastAsia="zh-CN"/>
        </w:rPr>
        <w:t>2</w:t>
      </w:r>
      <w:r w:rsidR="00070F49">
        <w:rPr>
          <w:rFonts w:eastAsia="Arial" w:cstheme="minorHAnsi"/>
          <w:b/>
          <w:bCs/>
          <w:color w:val="000000"/>
          <w:lang w:eastAsia="zh-CN"/>
        </w:rPr>
        <w:t xml:space="preserve"> yields</w:t>
      </w:r>
    </w:p>
    <w:p w14:paraId="5B11A67C" w14:textId="69D2E1DD" w:rsidR="00070F49" w:rsidRPr="00070F49" w:rsidRDefault="00070F49" w:rsidP="00070F49">
      <w:pPr>
        <w:spacing w:line="276" w:lineRule="auto"/>
        <w:jc w:val="both"/>
        <w:rPr>
          <w:rFonts w:eastAsia="Arial" w:cstheme="minorHAnsi"/>
          <w:color w:val="000000"/>
          <w:lang w:eastAsia="zh-CN"/>
        </w:rPr>
      </w:pPr>
      <w:r>
        <w:t>12 mm diameter Swagelok-type cells with a large headspace were used to prepare samples for Li</w:t>
      </w:r>
      <w:r w:rsidRPr="00950B3F">
        <w:rPr>
          <w:vertAlign w:val="subscript"/>
        </w:rPr>
        <w:t>2</w:t>
      </w:r>
      <w:r>
        <w:t>O</w:t>
      </w:r>
      <w:r w:rsidRPr="00950B3F">
        <w:rPr>
          <w:vertAlign w:val="subscript"/>
        </w:rPr>
        <w:t>2</w:t>
      </w:r>
      <w:r>
        <w:t xml:space="preserve"> yield analysis. Cells were assembled as described above for pressure cell measurements. Electrolyte volume was 200 </w:t>
      </w:r>
      <w:r>
        <w:rPr>
          <w:rFonts w:cstheme="minorHAnsi"/>
        </w:rPr>
        <w:t>µ</w:t>
      </w:r>
      <w:r>
        <w:t xml:space="preserve">L. Prior to discharge, the cell headspace was purged as described above. The cell was then discharged at 20 </w:t>
      </w:r>
      <w:r w:rsidRPr="00E74999">
        <w:rPr>
          <w:rFonts w:cstheme="minorHAnsi"/>
        </w:rPr>
        <w:t>°</w:t>
      </w:r>
      <w:r>
        <w:t>C to a capacity of 0.5 mAh. The quantity of Li</w:t>
      </w:r>
      <w:r w:rsidRPr="00070F49">
        <w:rPr>
          <w:vertAlign w:val="subscript"/>
        </w:rPr>
        <w:t>2</w:t>
      </w:r>
      <w:r>
        <w:t>O</w:t>
      </w:r>
      <w:r w:rsidRPr="00070F49">
        <w:rPr>
          <w:vertAlign w:val="subscript"/>
        </w:rPr>
        <w:t>2</w:t>
      </w:r>
      <w:r>
        <w:t xml:space="preserve"> formed was determined by UV-Vis spectrometry (Ocean Optics USB2000+ fiber optic spectrometer) using a UV-Vis titration method reported previously.</w:t>
      </w:r>
      <w:r w:rsidR="00FD7B4A">
        <w:fldChar w:fldCharType="begin"/>
      </w:r>
      <w:r w:rsidR="00FD7B4A">
        <w:instrText xml:space="preserve"> ADDIN ZOTERO_ITEM CSL_CITATION {"citationID":"WaD9WdtL","properties":{"formattedCitation":"\\super 1\\nosupersub{}","plainCitation":"1","noteIndex":0},"citationItems":[{"id":12100,"uris":["http://zotero.org/groups/4330633/items/USJMDJEQ"],"itemData":{"id":12100,"type":"article-journal","abstract":"This work reports on the cell chemistry of a room temperature sodium–oxygen battery using an electrolyte of diethylene glycol dimethyl ether (diglyme) and sodium trifluoromethanesulfonate (NaSO3CF3, sodium triflate). Different from lithium–oxygen cells, where lithium peroxide is found as the discharge product, sodium superoxide (NaO2) is formed in the present cell, with overpotentials as low as 100 mV during charging. Several analytical methods are used to follow the cell reaction during discharge and charge. Changes in structure and morphology are studied by SEM and XRD. It is found that NaO2 grows as cubic particles with feed sizes in the range of 10–50 μm; upon recharge the particles consecutively decompose. Pressure monitoring during galvanostatic cycling shows that the coulombic efficiency (e−/O2) for discharge and charge is approx. 1.0, the expected value for NaO2 formation. Also optical spectroscopy is identified as a convenient and useful tool to follow the discharge–charge process. The maximum discharge capacity is found to be limited by oxygen transport within the electrolyte soaked carbon fiber cathode and pore blocking near the oxygen interface is observed. Finally electrolyte decomposition and sodium dendrite growth are identified as possible reasons for the limited capacity retention of the cell. The occurrence of undesired side reactions is analyzed by DEMS measurements during cycling as well as by post mortem XPS investigations.","container-title":"Physical Chemistry Chemical Physics","DOI":"10.1039/C3CP50930C","ISSN":"1463-9084","issue":"28","journalAbbreviation":"Phys. Chem. Chem. Phys.","language":"en","note":"publisher: The Royal Society of Chemistry","page":"11661-11672","source":"pubs.rsc.org","title":"A comprehensive study on the cell chemistry of the sodium superoxide (NaO2) battery","volume":"15","author":[{"family":"Hartmann","given":"Pascal"},{"family":"Bender","given":"Conrad L."},{"family":"Sann","given":"Joachim"},{"family":"Dürr","given":"Anna Katharina"},{"family":"Jansen","given":"Martin"},{"family":"Janek","given":"Jürgen"},{"family":"Adelhelm","given":"Philipp"}],"issued":{"date-parts":[["2013",7,1]]}}}],"schema":"https://github.com/citation-style-language/schema/raw/master/csl-citation.json"} </w:instrText>
      </w:r>
      <w:r w:rsidR="00FD7B4A">
        <w:fldChar w:fldCharType="separate"/>
      </w:r>
      <w:r w:rsidR="00FD7B4A" w:rsidRPr="00FD7B4A">
        <w:rPr>
          <w:rFonts w:ascii="Calibri" w:hAnsi="Calibri" w:cs="Calibri"/>
          <w:szCs w:val="24"/>
          <w:vertAlign w:val="superscript"/>
        </w:rPr>
        <w:t>1</w:t>
      </w:r>
      <w:r w:rsidR="00FD7B4A">
        <w:fldChar w:fldCharType="end"/>
      </w:r>
      <w:r>
        <w:t xml:space="preserve"> The discharged electrodes and separators were added to a vial containing a 1:1 mixture of H</w:t>
      </w:r>
      <w:r w:rsidRPr="00070F49">
        <w:rPr>
          <w:vertAlign w:val="subscript"/>
        </w:rPr>
        <w:t>2</w:t>
      </w:r>
      <w:r>
        <w:t>O: TiOSO</w:t>
      </w:r>
      <w:r w:rsidRPr="00070F49">
        <w:rPr>
          <w:vertAlign w:val="subscript"/>
        </w:rPr>
        <w:t>4</w:t>
      </w:r>
      <w:r>
        <w:t xml:space="preserve"> </w:t>
      </w:r>
      <w:r w:rsidR="00D4706E">
        <w:t xml:space="preserve">(2 wt.%) </w:t>
      </w:r>
      <w:r>
        <w:t>in 1 M H</w:t>
      </w:r>
      <w:r w:rsidRPr="00070F49">
        <w:rPr>
          <w:vertAlign w:val="subscript"/>
        </w:rPr>
        <w:t>2</w:t>
      </w:r>
      <w:r>
        <w:t>SO</w:t>
      </w:r>
      <w:r w:rsidRPr="00070F49">
        <w:rPr>
          <w:vertAlign w:val="subscript"/>
        </w:rPr>
        <w:t>4</w:t>
      </w:r>
      <w:r>
        <w:t xml:space="preserve"> (H</w:t>
      </w:r>
      <w:r w:rsidRPr="00070F49">
        <w:rPr>
          <w:vertAlign w:val="subscript"/>
        </w:rPr>
        <w:t>2</w:t>
      </w:r>
      <w:r>
        <w:t>O). The H</w:t>
      </w:r>
      <w:r w:rsidRPr="00070F49">
        <w:rPr>
          <w:vertAlign w:val="subscript"/>
        </w:rPr>
        <w:t>2</w:t>
      </w:r>
      <w:r>
        <w:t>O reacts with Li</w:t>
      </w:r>
      <w:r w:rsidRPr="00070F49">
        <w:rPr>
          <w:vertAlign w:val="subscript"/>
        </w:rPr>
        <w:t>2</w:t>
      </w:r>
      <w:r>
        <w:t>O</w:t>
      </w:r>
      <w:r w:rsidRPr="00070F49">
        <w:rPr>
          <w:vertAlign w:val="subscript"/>
        </w:rPr>
        <w:t>2</w:t>
      </w:r>
      <w:r>
        <w:t xml:space="preserve"> to form H</w:t>
      </w:r>
      <w:r w:rsidRPr="00070F49">
        <w:rPr>
          <w:vertAlign w:val="subscript"/>
        </w:rPr>
        <w:t>2</w:t>
      </w:r>
      <w:r>
        <w:t>O</w:t>
      </w:r>
      <w:r w:rsidRPr="00070F49">
        <w:rPr>
          <w:vertAlign w:val="subscript"/>
        </w:rPr>
        <w:t>2</w:t>
      </w:r>
      <w:r>
        <w:t>, which in turn reacts with TiOSO</w:t>
      </w:r>
      <w:r w:rsidRPr="00070F49">
        <w:rPr>
          <w:vertAlign w:val="subscript"/>
        </w:rPr>
        <w:t>4</w:t>
      </w:r>
      <w:r>
        <w:t xml:space="preserve"> to produce a yellow complex [Ti(O</w:t>
      </w:r>
      <w:r w:rsidRPr="00070F49">
        <w:rPr>
          <w:vertAlign w:val="subscript"/>
        </w:rPr>
        <w:t>2</w:t>
      </w:r>
      <w:r>
        <w:t>)]</w:t>
      </w:r>
      <w:r w:rsidR="00CD4042" w:rsidRPr="008C68F5">
        <w:rPr>
          <w:vertAlign w:val="superscript"/>
        </w:rPr>
        <w:t>2</w:t>
      </w:r>
      <w:r>
        <w:rPr>
          <w:vertAlign w:val="superscript"/>
        </w:rPr>
        <w:t>+</w:t>
      </w:r>
      <w:r>
        <w:t xml:space="preserve"> (</w:t>
      </w:r>
      <w:r>
        <w:rPr>
          <w:rFonts w:cstheme="minorHAnsi"/>
        </w:rPr>
        <w:t>λ</w:t>
      </w:r>
      <w:r w:rsidRPr="00070F49">
        <w:rPr>
          <w:vertAlign w:val="subscript"/>
        </w:rPr>
        <w:t>max</w:t>
      </w:r>
      <w:r>
        <w:t xml:space="preserve"> = 405.2 nm) The UV-Vis spectra were compared to a calibration curve, which was obtained by using known standards of H</w:t>
      </w:r>
      <w:r w:rsidRPr="00070F49">
        <w:rPr>
          <w:vertAlign w:val="subscript"/>
        </w:rPr>
        <w:t>2</w:t>
      </w:r>
      <w:r>
        <w:t>O</w:t>
      </w:r>
      <w:r w:rsidRPr="00070F49">
        <w:rPr>
          <w:vertAlign w:val="subscript"/>
        </w:rPr>
        <w:t>2</w:t>
      </w:r>
      <w:r>
        <w:t>.</w:t>
      </w:r>
    </w:p>
    <w:p w14:paraId="56E97327" w14:textId="2B6D7AE4" w:rsidR="00A92DCF" w:rsidRDefault="00DB680B" w:rsidP="00A92DCF">
      <w:r>
        <w:rPr>
          <w:b/>
          <w:bCs/>
        </w:rPr>
        <w:lastRenderedPageBreak/>
        <w:t xml:space="preserve">Model </w:t>
      </w:r>
      <w:r w:rsidR="004213E9">
        <w:rPr>
          <w:b/>
          <w:bCs/>
        </w:rPr>
        <w:t>Reaction</w:t>
      </w:r>
      <w:r w:rsidR="007F3AA9">
        <w:rPr>
          <w:b/>
          <w:bCs/>
        </w:rPr>
        <w:t>s</w:t>
      </w:r>
      <w:r w:rsidR="004213E9">
        <w:rPr>
          <w:b/>
          <w:bCs/>
        </w:rPr>
        <w:t xml:space="preserve"> and </w:t>
      </w:r>
      <w:r w:rsidR="00A92DCF">
        <w:rPr>
          <w:b/>
          <w:bCs/>
        </w:rPr>
        <w:t>NMR spectroscopy</w:t>
      </w:r>
    </w:p>
    <w:p w14:paraId="54F3915C" w14:textId="55C3A017" w:rsidR="00A92DCF" w:rsidRPr="00A05CA2" w:rsidRDefault="00A92DCF" w:rsidP="00A92DCF">
      <w:pPr>
        <w:jc w:val="both"/>
      </w:pPr>
      <w:r>
        <w:t xml:space="preserve">Model </w:t>
      </w:r>
      <w:r w:rsidR="00F4793C">
        <w:t xml:space="preserve">system </w:t>
      </w:r>
      <w:r w:rsidR="00F06197">
        <w:t>reactions</w:t>
      </w:r>
      <w:r>
        <w:t xml:space="preserve"> were </w:t>
      </w:r>
      <w:r w:rsidR="00AA724E">
        <w:t>carried out under inert atmosphere (</w:t>
      </w:r>
      <w:r w:rsidR="00C6641B">
        <w:t>N</w:t>
      </w:r>
      <w:r w:rsidR="00C6641B" w:rsidRPr="008C68F5">
        <w:rPr>
          <w:vertAlign w:val="subscript"/>
        </w:rPr>
        <w:t>2</w:t>
      </w:r>
      <w:r w:rsidR="00C6641B">
        <w:t xml:space="preserve">) </w:t>
      </w:r>
      <w:r w:rsidR="00AA724E">
        <w:t xml:space="preserve">and </w:t>
      </w:r>
      <w:r>
        <w:t xml:space="preserve">prepared by </w:t>
      </w:r>
      <w:r w:rsidR="001B2FF5">
        <w:t xml:space="preserve">adding </w:t>
      </w:r>
      <w:r>
        <w:t>Li</w:t>
      </w:r>
      <w:r>
        <w:rPr>
          <w:vertAlign w:val="subscript"/>
        </w:rPr>
        <w:t>2</w:t>
      </w:r>
      <w:r>
        <w:t>O</w:t>
      </w:r>
      <w:r>
        <w:rPr>
          <w:vertAlign w:val="subscript"/>
        </w:rPr>
        <w:t>2</w:t>
      </w:r>
      <w:r>
        <w:t xml:space="preserve"> (10.7</w:t>
      </w:r>
      <w:r w:rsidR="00AA724E">
        <w:t> </w:t>
      </w:r>
      <w:r>
        <w:t>mg,</w:t>
      </w:r>
      <w:r w:rsidR="00F6660C">
        <w:t xml:space="preserve"> 0.23 mmol,</w:t>
      </w:r>
      <w:r>
        <w:t xml:space="preserve"> </w:t>
      </w:r>
      <w:r w:rsidRPr="007E31B9">
        <w:t>95%, A</w:t>
      </w:r>
      <w:r>
        <w:t xml:space="preserve">cros) </w:t>
      </w:r>
      <w:r w:rsidR="001B2FF5">
        <w:t xml:space="preserve">to a </w:t>
      </w:r>
      <w:r w:rsidR="00634958">
        <w:t xml:space="preserve">5 mL </w:t>
      </w:r>
      <w:r w:rsidR="001B2FF5">
        <w:t>solution of</w:t>
      </w:r>
      <w:r>
        <w:t xml:space="preserve"> </w:t>
      </w:r>
      <w:r w:rsidR="00C6641B">
        <w:t xml:space="preserve">anhydrous </w:t>
      </w:r>
      <w:r>
        <w:t>deuterated acetonitrile (d</w:t>
      </w:r>
      <w:r>
        <w:rPr>
          <w:vertAlign w:val="subscript"/>
        </w:rPr>
        <w:t>3</w:t>
      </w:r>
      <w:r>
        <w:t xml:space="preserve">-MeCN, </w:t>
      </w:r>
      <w:r w:rsidRPr="00E44652">
        <w:rPr>
          <w:rFonts w:cstheme="minorHAnsi"/>
        </w:rPr>
        <w:t>≥</w:t>
      </w:r>
      <w:r w:rsidRPr="00E44652">
        <w:t>99.8 atom%D</w:t>
      </w:r>
      <w:r>
        <w:t>, Aldrich) and H</w:t>
      </w:r>
      <w:r>
        <w:rPr>
          <w:vertAlign w:val="subscript"/>
        </w:rPr>
        <w:t>2</w:t>
      </w:r>
      <w:r>
        <w:t>O (</w:t>
      </w:r>
      <w:r w:rsidR="00330579">
        <w:t xml:space="preserve">5 </w:t>
      </w:r>
      <w:r w:rsidR="00330579">
        <w:rPr>
          <w:rFonts w:cstheme="minorHAnsi"/>
        </w:rPr>
        <w:t>μ</w:t>
      </w:r>
      <w:r w:rsidR="00330579">
        <w:t xml:space="preserve">L, 1000 ppm </w:t>
      </w:r>
      <w:r w:rsidR="0009474B">
        <w:t>or</w:t>
      </w:r>
      <w:r w:rsidR="00330579">
        <w:t xml:space="preserve"> </w:t>
      </w:r>
      <w:r w:rsidR="007D64D3">
        <w:t xml:space="preserve">100 </w:t>
      </w:r>
      <w:r w:rsidR="007D64D3">
        <w:rPr>
          <w:rFonts w:cstheme="minorHAnsi"/>
        </w:rPr>
        <w:t>μ</w:t>
      </w:r>
      <w:r w:rsidR="007D64D3">
        <w:t>L, 20000 ppm</w:t>
      </w:r>
      <w:r w:rsidR="00330579">
        <w:t>,</w:t>
      </w:r>
      <w:r w:rsidR="007D64D3">
        <w:t xml:space="preserve"> </w:t>
      </w:r>
      <w:r>
        <w:t>18.2 M</w:t>
      </w:r>
      <w:r>
        <w:rPr>
          <w:rFonts w:cstheme="minorHAnsi"/>
        </w:rPr>
        <w:t>Ω cm, MilliQ).</w:t>
      </w:r>
      <w:r w:rsidR="00634958">
        <w:rPr>
          <w:rFonts w:cstheme="minorHAnsi"/>
        </w:rPr>
        <w:t xml:space="preserve"> The reaction mixture was left at rest for the annotated time periods before using a</w:t>
      </w:r>
      <w:r>
        <w:rPr>
          <w:rFonts w:cstheme="minorHAnsi"/>
        </w:rPr>
        <w:t xml:space="preserve"> syringe filter (</w:t>
      </w:r>
      <w:r w:rsidRPr="00933985">
        <w:rPr>
          <w:rFonts w:cstheme="minorHAnsi"/>
        </w:rPr>
        <w:t>0.2 µm, Fisher</w:t>
      </w:r>
      <w:r>
        <w:rPr>
          <w:rFonts w:cstheme="minorHAnsi"/>
        </w:rPr>
        <w:t xml:space="preserve">) to extract ca. 1 mL of mixture into an </w:t>
      </w:r>
      <w:r>
        <w:t xml:space="preserve">airtight NMR tube fitted with a Young’s tap. Time-resolved </w:t>
      </w:r>
      <w:r>
        <w:rPr>
          <w:vertAlign w:val="superscript"/>
        </w:rPr>
        <w:t>1</w:t>
      </w:r>
      <w:r>
        <w:t xml:space="preserve">H NMR were recorded on a Bruker Ascend 400 MHz spectrometer with 128 scans. Analyte was </w:t>
      </w:r>
      <w:r>
        <w:rPr>
          <w:rFonts w:cstheme="minorHAnsi"/>
        </w:rPr>
        <w:t xml:space="preserve">re-incorporated into the mixture after analysis. </w:t>
      </w:r>
      <w:r>
        <w:t>Model system</w:t>
      </w:r>
      <w:r w:rsidR="00274B10">
        <w:t xml:space="preserve"> </w:t>
      </w:r>
      <w:r w:rsidR="00F4793C">
        <w:t>solution</w:t>
      </w:r>
      <w:r>
        <w:t xml:space="preserve"> and acetamide reference </w:t>
      </w:r>
      <w:r w:rsidRPr="00DA0CE9">
        <w:rPr>
          <w:vertAlign w:val="superscript"/>
        </w:rPr>
        <w:t>1</w:t>
      </w:r>
      <w:r>
        <w:t xml:space="preserve">H and </w:t>
      </w:r>
      <w:r>
        <w:rPr>
          <w:vertAlign w:val="superscript"/>
        </w:rPr>
        <w:t>13</w:t>
      </w:r>
      <w:r>
        <w:t xml:space="preserve">C NMR data were recorded on a Bruker AV(III)400 HD fitted with a 5mm BBFO probe and a Bruker AV(III)500 HD fitted with a 5mm Prodigy BBO probe, respectively. </w:t>
      </w:r>
      <w:r>
        <w:rPr>
          <w:vertAlign w:val="superscript"/>
        </w:rPr>
        <w:t>1</w:t>
      </w:r>
      <w:r>
        <w:t xml:space="preserve">H NMR were recorded at 400 MHz with 128 scans and </w:t>
      </w:r>
      <w:r>
        <w:rPr>
          <w:vertAlign w:val="superscript"/>
        </w:rPr>
        <w:t>13</w:t>
      </w:r>
      <w:r>
        <w:t xml:space="preserve">C NMR were recorded at 126 MHz with 16384 scans. Chemical shifts in </w:t>
      </w:r>
      <w:r>
        <w:rPr>
          <w:vertAlign w:val="superscript"/>
        </w:rPr>
        <w:t>1</w:t>
      </w:r>
      <w:r>
        <w:t xml:space="preserve">H and </w:t>
      </w:r>
      <w:r>
        <w:rPr>
          <w:vertAlign w:val="superscript"/>
        </w:rPr>
        <w:t>13</w:t>
      </w:r>
      <w:r>
        <w:t xml:space="preserve">C spectra were referenced to the residual (partially) non-dueterated solvent according to Fulmer </w:t>
      </w:r>
      <w:r>
        <w:rPr>
          <w:i/>
          <w:iCs/>
        </w:rPr>
        <w:t>et al.</w:t>
      </w:r>
      <w:r>
        <w:rPr>
          <w:i/>
          <w:iCs/>
        </w:rPr>
        <w:fldChar w:fldCharType="begin"/>
      </w:r>
      <w:r w:rsidR="00FD7B4A">
        <w:rPr>
          <w:i/>
          <w:iCs/>
        </w:rPr>
        <w:instrText xml:space="preserve"> ADDIN ZOTERO_ITEM CSL_CITATION {"citationID":"xE22m2hE","properties":{"formattedCitation":"\\super 2\\nosupersub{}","plainCitation":"2","noteIndex":0},"citationItems":[{"id":11626,"uris":["http://zotero.org/groups/4330633/items/36F9VULN"],"itemData":{"id":11626,"type":"article-journal","container-title":"Organometallics","DOI":"10.1021/om100106e","ISSN":"0276-7333, 1520-6041","issue":"9","journalAbbreviation":"Organometallics","language":"en","page":"2176-2179","source":"DOI.org (Crossref)","title":"NMR Chemical Shifts of Trace Impurities: Common Laboratory Solvents, Organics, and Gases in Deuterated Solvents Relevant to the Organometallic Chemist","title-short":"NMR Chemical Shifts of Trace Impurities","volume":"29","author":[{"family":"Fulmer","given":"Gregory R."},{"family":"Miller","given":"Alexander J. M."},{"family":"Sherden","given":"Nathaniel H."},{"family":"Gottlieb","given":"Hugo E."},{"family":"Nudelman","given":"Abraham"},{"family":"Stoltz","given":"Brian M."},{"family":"Bercaw","given":"John E."},{"family":"Goldberg","given":"Karen I."}],"issued":{"date-parts":[["2010",5,10]]}}}],"schema":"https://github.com/citation-style-language/schema/raw/master/csl-citation.json"} </w:instrText>
      </w:r>
      <w:r>
        <w:rPr>
          <w:i/>
          <w:iCs/>
        </w:rPr>
        <w:fldChar w:fldCharType="separate"/>
      </w:r>
      <w:r w:rsidR="00FD7B4A" w:rsidRPr="00FD7B4A">
        <w:rPr>
          <w:rFonts w:ascii="Calibri" w:hAnsi="Calibri" w:cs="Calibri"/>
          <w:szCs w:val="24"/>
          <w:vertAlign w:val="superscript"/>
        </w:rPr>
        <w:t>2</w:t>
      </w:r>
      <w:r>
        <w:rPr>
          <w:i/>
          <w:iCs/>
        </w:rPr>
        <w:fldChar w:fldCharType="end"/>
      </w:r>
      <w:r>
        <w:t xml:space="preserve"> Data was analysed using Bruker TopSpin software.</w:t>
      </w:r>
    </w:p>
    <w:p w14:paraId="1F1C495F" w14:textId="77777777" w:rsidR="00A92DCF" w:rsidRDefault="00A92DCF" w:rsidP="00A92DCF">
      <w:pPr>
        <w:rPr>
          <w:b/>
          <w:bCs/>
        </w:rPr>
      </w:pPr>
      <w:r>
        <w:rPr>
          <w:b/>
          <w:bCs/>
        </w:rPr>
        <w:t>HPLC-MS</w:t>
      </w:r>
    </w:p>
    <w:p w14:paraId="1B3777EA" w14:textId="77777777" w:rsidR="00A92DCF" w:rsidRPr="00B24957" w:rsidRDefault="00A92DCF" w:rsidP="00A92DCF">
      <w:pPr>
        <w:jc w:val="both"/>
        <w:rPr>
          <w:rFonts w:cstheme="minorHAnsi"/>
        </w:rPr>
      </w:pPr>
      <w:r>
        <w:t>The cathode and separator were extracted from a cell discharged to ca. 3.25 mAh cm</w:t>
      </w:r>
      <w:r>
        <w:rPr>
          <w:vertAlign w:val="superscript"/>
        </w:rPr>
        <w:t>-2</w:t>
      </w:r>
      <w:r>
        <w:t xml:space="preserve"> in a glovebox and the MeCN was allowed to evaporate. The components were then mixed with 2 mL of MilliQ H</w:t>
      </w:r>
      <w:r>
        <w:rPr>
          <w:vertAlign w:val="subscript"/>
        </w:rPr>
        <w:t>2</w:t>
      </w:r>
      <w:r>
        <w:t xml:space="preserve">O and the resultant suspension was extracted using a syringe filter. Samples from the model chemical systems were prepared by extracting 1 </w:t>
      </w:r>
      <w:r>
        <w:rPr>
          <w:rFonts w:cstheme="minorHAnsi"/>
        </w:rPr>
        <w:t>m</w:t>
      </w:r>
      <w:r>
        <w:t xml:space="preserve">L of mixture using a syringe filter. Reference samples were prepared by mixing a small quantity of analyte with acetonitrile. HPLC experiments were carried out on a </w:t>
      </w:r>
      <w:r w:rsidRPr="00E07D82">
        <w:t>Thermo Ultimate 3000 HPLC</w:t>
      </w:r>
      <w:r>
        <w:t xml:space="preserve">, equipped with a 239 nm UV-Vis detector. For HPLC-MS measurements, a Bruker microTOF II spectrometer with an electrospray ionisation (ESI) source was connected to the HPLC outlet. 10 </w:t>
      </w:r>
      <w:r>
        <w:rPr>
          <w:rFonts w:cstheme="minorHAnsi"/>
        </w:rPr>
        <w:t>µ</w:t>
      </w:r>
      <w:r>
        <w:t xml:space="preserve">L of sample was injected into an </w:t>
      </w:r>
      <w:r w:rsidRPr="0093471C">
        <w:t>Accucore aQ</w:t>
      </w:r>
      <w:r>
        <w:t xml:space="preserve"> (150 mm x 4.6 mm, 5 </w:t>
      </w:r>
      <w:r>
        <w:rPr>
          <w:rFonts w:cstheme="minorHAnsi"/>
        </w:rPr>
        <w:t>µ</w:t>
      </w:r>
      <w:r>
        <w:t>m) column using a 100% MilliQ H</w:t>
      </w:r>
      <w:r>
        <w:rPr>
          <w:vertAlign w:val="subscript"/>
        </w:rPr>
        <w:t>2</w:t>
      </w:r>
      <w:r>
        <w:t xml:space="preserve">O with 0.1% formic acid eluent at a constant flow rate </w:t>
      </w:r>
      <w:r w:rsidRPr="004F1A0C">
        <w:t>of 0.5 mL min</w:t>
      </w:r>
      <w:r w:rsidRPr="004F1A0C">
        <w:rPr>
          <w:vertAlign w:val="superscript"/>
        </w:rPr>
        <w:t>-1</w:t>
      </w:r>
      <w:r w:rsidRPr="004F1A0C">
        <w:t>.</w:t>
      </w:r>
      <w:r>
        <w:t xml:space="preserve"> MS data were collected in positive ion mode.</w:t>
      </w:r>
    </w:p>
    <w:p w14:paraId="0BF303FD" w14:textId="25740D1C" w:rsidR="00327AEC" w:rsidRPr="00EB58FD" w:rsidRDefault="00236342" w:rsidP="0042107C">
      <w:pPr>
        <w:spacing w:line="276" w:lineRule="auto"/>
        <w:rPr>
          <w:rFonts w:eastAsia="Arial" w:cstheme="minorHAnsi"/>
          <w:color w:val="000000"/>
          <w:lang w:eastAsia="zh-CN"/>
        </w:rPr>
      </w:pPr>
      <w:r w:rsidRPr="00EB58FD">
        <w:rPr>
          <w:rFonts w:eastAsia="Arial" w:cstheme="minorHAnsi"/>
          <w:b/>
          <w:bCs/>
          <w:color w:val="000000"/>
          <w:lang w:eastAsia="zh-CN"/>
        </w:rPr>
        <w:t>Drying cell components</w:t>
      </w:r>
    </w:p>
    <w:p w14:paraId="235127A3" w14:textId="07158DA1" w:rsidR="00F6592A" w:rsidRPr="00EB58FD" w:rsidRDefault="00236342" w:rsidP="0008557A">
      <w:pPr>
        <w:spacing w:line="276" w:lineRule="auto"/>
        <w:jc w:val="both"/>
        <w:rPr>
          <w:rFonts w:eastAsia="Arial" w:cstheme="minorHAnsi"/>
          <w:color w:val="000000"/>
          <w:lang w:eastAsia="zh-CN"/>
        </w:rPr>
      </w:pPr>
      <w:r w:rsidRPr="00EB58FD">
        <w:rPr>
          <w:rFonts w:eastAsia="Arial" w:cstheme="minorHAnsi"/>
          <w:color w:val="000000"/>
          <w:lang w:eastAsia="zh-CN"/>
        </w:rPr>
        <w:t xml:space="preserve">Cell components were dried </w:t>
      </w:r>
      <w:r w:rsidR="00F260B0" w:rsidRPr="00EB58FD">
        <w:rPr>
          <w:rFonts w:eastAsia="Arial" w:cstheme="minorHAnsi"/>
          <w:color w:val="000000"/>
          <w:lang w:eastAsia="zh-CN"/>
        </w:rPr>
        <w:t xml:space="preserve">at elevated temperatures under vacuum </w:t>
      </w:r>
      <w:r w:rsidR="00E054F9" w:rsidRPr="00EB58FD">
        <w:rPr>
          <w:rFonts w:eastAsia="Arial" w:cstheme="minorHAnsi"/>
          <w:color w:val="000000"/>
          <w:lang w:eastAsia="zh-CN"/>
        </w:rPr>
        <w:t>for a period of 24 hours prior to transport to a N</w:t>
      </w:r>
      <w:r w:rsidR="00E054F9" w:rsidRPr="00EB58FD">
        <w:rPr>
          <w:rFonts w:eastAsia="Arial" w:cstheme="minorHAnsi"/>
          <w:color w:val="000000"/>
          <w:vertAlign w:val="subscript"/>
          <w:lang w:eastAsia="zh-CN"/>
        </w:rPr>
        <w:t>2</w:t>
      </w:r>
      <w:r w:rsidR="00E054F9" w:rsidRPr="00EB58FD">
        <w:rPr>
          <w:rFonts w:eastAsia="Arial" w:cstheme="minorHAnsi"/>
          <w:color w:val="000000"/>
          <w:lang w:eastAsia="zh-CN"/>
        </w:rPr>
        <w:t xml:space="preserve">-filled glovebox without exposure to air. </w:t>
      </w:r>
      <w:r w:rsidR="0008557A">
        <w:rPr>
          <w:rFonts w:eastAsia="Arial" w:cstheme="minorHAnsi"/>
          <w:color w:val="000000"/>
          <w:lang w:eastAsia="zh-CN"/>
        </w:rPr>
        <w:t xml:space="preserve">The LFP anode, porous carbon cathode, and stainless steel mesh were dried at </w:t>
      </w:r>
      <w:r w:rsidR="0008557A" w:rsidRPr="0008557A">
        <w:rPr>
          <w:rFonts w:eastAsia="Arial" w:cstheme="minorHAnsi"/>
          <w:color w:val="000000"/>
          <w:lang w:eastAsia="zh-CN"/>
        </w:rPr>
        <w:t>120 °C</w:t>
      </w:r>
      <w:r w:rsidR="0008557A">
        <w:rPr>
          <w:rFonts w:eastAsia="Arial" w:cstheme="minorHAnsi"/>
          <w:color w:val="000000"/>
          <w:lang w:eastAsia="zh-CN"/>
        </w:rPr>
        <w:t xml:space="preserve">. Glass fibre separators were dried at 300 </w:t>
      </w:r>
      <w:r w:rsidR="0008557A" w:rsidRPr="0008557A">
        <w:rPr>
          <w:rFonts w:eastAsia="Arial" w:cstheme="minorHAnsi"/>
          <w:color w:val="000000"/>
          <w:lang w:eastAsia="zh-CN"/>
        </w:rPr>
        <w:t>°C</w:t>
      </w:r>
      <w:r w:rsidR="0008557A">
        <w:rPr>
          <w:rFonts w:eastAsia="Arial" w:cstheme="minorHAnsi"/>
          <w:color w:val="000000"/>
          <w:lang w:eastAsia="zh-CN"/>
        </w:rPr>
        <w:t xml:space="preserve">. Swagelok cell parts were dried at 70 </w:t>
      </w:r>
      <w:r w:rsidR="0008557A" w:rsidRPr="0008557A">
        <w:rPr>
          <w:rFonts w:eastAsia="Arial" w:cstheme="minorHAnsi"/>
          <w:color w:val="000000"/>
          <w:lang w:eastAsia="zh-CN"/>
        </w:rPr>
        <w:t>°C</w:t>
      </w:r>
      <w:r w:rsidR="0008557A">
        <w:rPr>
          <w:rFonts w:eastAsia="Arial" w:cstheme="minorHAnsi"/>
          <w:color w:val="000000"/>
          <w:lang w:eastAsia="zh-CN"/>
        </w:rPr>
        <w:t xml:space="preserve"> and transferred through atmosphere while hot to an N</w:t>
      </w:r>
      <w:r w:rsidR="0008557A">
        <w:rPr>
          <w:rFonts w:eastAsia="Arial" w:cstheme="minorHAnsi"/>
          <w:color w:val="000000"/>
          <w:vertAlign w:val="subscript"/>
          <w:lang w:eastAsia="zh-CN"/>
        </w:rPr>
        <w:t>2</w:t>
      </w:r>
      <w:r w:rsidR="0008557A">
        <w:rPr>
          <w:rFonts w:eastAsia="Arial" w:cstheme="minorHAnsi"/>
          <w:color w:val="000000"/>
          <w:lang w:eastAsia="zh-CN"/>
        </w:rPr>
        <w:t>-filled glovebox and allowed to cool to ambient temperature before cell assembly.</w:t>
      </w:r>
    </w:p>
    <w:p w14:paraId="0E5DE651" w14:textId="33A64E6D" w:rsidR="00C72F2F" w:rsidRPr="00EB58FD" w:rsidRDefault="00C72F2F" w:rsidP="00E054F9">
      <w:pPr>
        <w:spacing w:line="276" w:lineRule="auto"/>
        <w:jc w:val="both"/>
        <w:rPr>
          <w:rFonts w:eastAsia="Arial" w:cstheme="minorHAnsi"/>
          <w:color w:val="000000"/>
          <w:lang w:eastAsia="zh-CN"/>
        </w:rPr>
      </w:pPr>
      <w:r w:rsidRPr="00EB58FD">
        <w:rPr>
          <w:rFonts w:eastAsia="Arial" w:cstheme="minorHAnsi"/>
          <w:b/>
          <w:bCs/>
          <w:color w:val="000000"/>
          <w:lang w:eastAsia="zh-CN"/>
        </w:rPr>
        <w:t>Determining H</w:t>
      </w:r>
      <w:r w:rsidRPr="00EB58FD">
        <w:rPr>
          <w:rFonts w:eastAsia="Arial" w:cstheme="minorHAnsi"/>
          <w:b/>
          <w:bCs/>
          <w:color w:val="000000"/>
          <w:vertAlign w:val="subscript"/>
          <w:lang w:eastAsia="zh-CN"/>
        </w:rPr>
        <w:t>2</w:t>
      </w:r>
      <w:r w:rsidRPr="00EB58FD">
        <w:rPr>
          <w:rFonts w:eastAsia="Arial" w:cstheme="minorHAnsi"/>
          <w:b/>
          <w:bCs/>
          <w:color w:val="000000"/>
          <w:lang w:eastAsia="zh-CN"/>
        </w:rPr>
        <w:t>O concentration of ‘dry’ cells</w:t>
      </w:r>
    </w:p>
    <w:p w14:paraId="4D31D585" w14:textId="3408A6CE" w:rsidR="00C72F2F" w:rsidRPr="00EB58FD" w:rsidRDefault="00E469A4" w:rsidP="00E054F9">
      <w:pPr>
        <w:spacing w:line="276" w:lineRule="auto"/>
        <w:jc w:val="both"/>
        <w:rPr>
          <w:rFonts w:eastAsia="Arial" w:cstheme="minorHAnsi"/>
          <w:color w:val="000000"/>
          <w:lang w:eastAsia="zh-CN"/>
        </w:rPr>
      </w:pPr>
      <w:r w:rsidRPr="00EB58FD">
        <w:rPr>
          <w:rFonts w:eastAsia="Arial" w:cstheme="minorHAnsi"/>
          <w:color w:val="000000"/>
          <w:lang w:eastAsia="zh-CN"/>
        </w:rPr>
        <w:t xml:space="preserve">Multiple </w:t>
      </w:r>
      <w:r w:rsidR="0008557A">
        <w:rPr>
          <w:rFonts w:eastAsia="Arial" w:cstheme="minorHAnsi"/>
          <w:color w:val="000000"/>
          <w:lang w:eastAsia="zh-CN"/>
        </w:rPr>
        <w:t xml:space="preserve">pressure </w:t>
      </w:r>
      <w:r w:rsidRPr="00EB58FD">
        <w:rPr>
          <w:rFonts w:eastAsia="Arial" w:cstheme="minorHAnsi"/>
          <w:color w:val="000000"/>
          <w:lang w:eastAsia="zh-CN"/>
        </w:rPr>
        <w:t>c</w:t>
      </w:r>
      <w:r w:rsidR="00C72F2F" w:rsidRPr="00EB58FD">
        <w:rPr>
          <w:rFonts w:eastAsia="Arial" w:cstheme="minorHAnsi"/>
          <w:color w:val="000000"/>
          <w:lang w:eastAsia="zh-CN"/>
        </w:rPr>
        <w:t xml:space="preserve">ells were assembled as </w:t>
      </w:r>
      <w:r w:rsidR="0008557A">
        <w:rPr>
          <w:rFonts w:eastAsia="Arial" w:cstheme="minorHAnsi"/>
          <w:color w:val="000000"/>
          <w:lang w:eastAsia="zh-CN"/>
        </w:rPr>
        <w:t>described above</w:t>
      </w:r>
      <w:r w:rsidR="00C72F2F" w:rsidRPr="00EB58FD">
        <w:rPr>
          <w:rFonts w:eastAsia="Arial" w:cstheme="minorHAnsi"/>
          <w:color w:val="000000"/>
          <w:lang w:eastAsia="zh-CN"/>
        </w:rPr>
        <w:t xml:space="preserve"> </w:t>
      </w:r>
      <w:r w:rsidR="0008557A">
        <w:rPr>
          <w:rFonts w:eastAsia="Arial" w:cstheme="minorHAnsi"/>
          <w:color w:val="000000"/>
          <w:lang w:eastAsia="zh-CN"/>
        </w:rPr>
        <w:t xml:space="preserve">with an additional 800 µL (total 1600 µL) </w:t>
      </w:r>
      <w:r w:rsidR="001D3859" w:rsidRPr="00EB58FD">
        <w:t>of dry electrolyte</w:t>
      </w:r>
      <w:r w:rsidRPr="00EB58FD">
        <w:t>,</w:t>
      </w:r>
      <w:r w:rsidR="001D3859" w:rsidRPr="00EB58FD">
        <w:t xml:space="preserve"> </w:t>
      </w:r>
      <w:r w:rsidRPr="00EB58FD">
        <w:t xml:space="preserve">initial </w:t>
      </w:r>
      <w:r w:rsidR="001D3859" w:rsidRPr="00EB58FD">
        <w:t>H</w:t>
      </w:r>
      <w:r w:rsidR="001D3859" w:rsidRPr="00EB58FD">
        <w:rPr>
          <w:vertAlign w:val="subscript"/>
        </w:rPr>
        <w:t>2</w:t>
      </w:r>
      <w:r w:rsidR="001D3859" w:rsidRPr="00EB58FD">
        <w:t xml:space="preserve">O content </w:t>
      </w:r>
      <w:r w:rsidR="00F4084C">
        <w:t>ca</w:t>
      </w:r>
      <w:r w:rsidR="00F4084C" w:rsidRPr="00F4084C">
        <w:t>. 4</w:t>
      </w:r>
      <w:r w:rsidRPr="00F4084C">
        <w:t xml:space="preserve"> ppm</w:t>
      </w:r>
      <w:r w:rsidRPr="00EB58FD">
        <w:t xml:space="preserve">. The </w:t>
      </w:r>
      <w:r w:rsidR="006757DE" w:rsidRPr="00EB58FD">
        <w:t>headspace was purged with O</w:t>
      </w:r>
      <w:r w:rsidR="006757DE" w:rsidRPr="00EB58FD">
        <w:rPr>
          <w:vertAlign w:val="subscript"/>
        </w:rPr>
        <w:t>2</w:t>
      </w:r>
      <w:r w:rsidR="006757DE" w:rsidRPr="00EB58FD">
        <w:t xml:space="preserve"> and the cells were held at 20 </w:t>
      </w:r>
      <w:r w:rsidR="004B390D" w:rsidRPr="00EB58FD">
        <w:rPr>
          <w:rFonts w:cstheme="minorHAnsi"/>
        </w:rPr>
        <w:t>°</w:t>
      </w:r>
      <w:r w:rsidR="004B390D" w:rsidRPr="00EB58FD">
        <w:t xml:space="preserve">C for </w:t>
      </w:r>
      <w:r w:rsidR="000D67AF">
        <w:t>72</w:t>
      </w:r>
      <w:r w:rsidR="004B390D" w:rsidRPr="00EB58FD">
        <w:t xml:space="preserve"> hours </w:t>
      </w:r>
      <w:r w:rsidR="00235339" w:rsidRPr="00EB58FD">
        <w:t>before excess electrolyte was extracted and analysed through Karl-Fis</w:t>
      </w:r>
      <w:r w:rsidR="00B83586">
        <w:t>c</w:t>
      </w:r>
      <w:r w:rsidR="00235339" w:rsidRPr="00EB58FD">
        <w:t xml:space="preserve">her titration. The </w:t>
      </w:r>
      <w:r w:rsidR="00EB58FD" w:rsidRPr="00EB58FD">
        <w:t>reported H</w:t>
      </w:r>
      <w:r w:rsidR="00EB58FD" w:rsidRPr="00EB58FD">
        <w:rPr>
          <w:vertAlign w:val="subscript"/>
        </w:rPr>
        <w:t>2</w:t>
      </w:r>
      <w:r w:rsidR="00EB58FD" w:rsidRPr="00EB58FD">
        <w:t>O content</w:t>
      </w:r>
      <w:r w:rsidR="000D67AF">
        <w:t xml:space="preserve">, </w:t>
      </w:r>
      <w:r w:rsidR="006960C5">
        <w:t xml:space="preserve">151 </w:t>
      </w:r>
      <w:r w:rsidR="000D67AF" w:rsidRPr="00BD2040">
        <w:t>ppm</w:t>
      </w:r>
      <w:r w:rsidR="000D67AF">
        <w:t>,</w:t>
      </w:r>
      <w:r w:rsidR="00EB58FD" w:rsidRPr="00EB58FD">
        <w:t xml:space="preserve"> is the average result of these cells.</w:t>
      </w:r>
    </w:p>
    <w:p w14:paraId="3C7A59B6" w14:textId="0955606D" w:rsidR="00236342" w:rsidRDefault="00236342" w:rsidP="0042107C">
      <w:pPr>
        <w:spacing w:line="276" w:lineRule="auto"/>
        <w:rPr>
          <w:rFonts w:eastAsia="Arial" w:cstheme="minorHAnsi"/>
          <w:b/>
          <w:bCs/>
          <w:color w:val="000000"/>
          <w:sz w:val="19"/>
          <w:szCs w:val="19"/>
          <w:lang w:eastAsia="zh-CN"/>
        </w:rPr>
      </w:pPr>
    </w:p>
    <w:p w14:paraId="5CB2EC3D" w14:textId="756BB788" w:rsidR="00145366" w:rsidRPr="00AB12FC" w:rsidRDefault="007C5D70" w:rsidP="00CC22AB">
      <w:pPr>
        <w:rPr>
          <w:rFonts w:eastAsia="Arial" w:cstheme="minorHAnsi"/>
          <w:color w:val="000000"/>
          <w:sz w:val="19"/>
          <w:szCs w:val="19"/>
          <w:lang w:eastAsia="zh-CN"/>
        </w:rPr>
      </w:pPr>
      <w:r>
        <w:rPr>
          <w:rFonts w:eastAsia="Arial" w:cstheme="minorHAnsi"/>
          <w:b/>
          <w:bCs/>
          <w:color w:val="000000"/>
          <w:sz w:val="19"/>
          <w:szCs w:val="19"/>
          <w:lang w:eastAsia="zh-CN"/>
        </w:rPr>
        <w:br w:type="page"/>
      </w:r>
    </w:p>
    <w:p w14:paraId="79E28FEE" w14:textId="1328DD84" w:rsidR="00476018" w:rsidRDefault="00F51B63">
      <w:pPr>
        <w:rPr>
          <w:rFonts w:eastAsia="Arial" w:cstheme="minorHAnsi"/>
          <w:b/>
          <w:bCs/>
          <w:color w:val="000000"/>
          <w:sz w:val="19"/>
          <w:szCs w:val="19"/>
          <w:lang w:eastAsia="zh-CN"/>
        </w:rPr>
      </w:pPr>
      <w:r>
        <w:rPr>
          <w:rFonts w:eastAsia="Arial" w:cstheme="minorHAnsi"/>
          <w:b/>
          <w:bCs/>
          <w:noProof/>
          <w:color w:val="000000"/>
          <w:sz w:val="19"/>
          <w:szCs w:val="19"/>
          <w:lang w:eastAsia="en-GB"/>
        </w:rPr>
        <w:lastRenderedPageBreak/>
        <w:drawing>
          <wp:inline distT="0" distB="0" distL="0" distR="0" wp14:anchorId="2D29E23E" wp14:editId="40C7DC56">
            <wp:extent cx="5731510" cy="4387741"/>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4387741"/>
                    </a:xfrm>
                    <a:prstGeom prst="rect">
                      <a:avLst/>
                    </a:prstGeom>
                  </pic:spPr>
                </pic:pic>
              </a:graphicData>
            </a:graphic>
          </wp:inline>
        </w:drawing>
      </w:r>
    </w:p>
    <w:p w14:paraId="5E400096" w14:textId="6A7A7A2F" w:rsidR="00476018" w:rsidRPr="009927D4" w:rsidRDefault="00F51B63" w:rsidP="009927D4">
      <w:pPr>
        <w:jc w:val="both"/>
        <w:rPr>
          <w:rFonts w:eastAsia="Arial" w:cstheme="minorHAnsi"/>
          <w:b/>
          <w:bCs/>
          <w:color w:val="000000"/>
          <w:lang w:eastAsia="zh-CN"/>
        </w:rPr>
      </w:pPr>
      <w:r w:rsidRPr="009927D4">
        <w:rPr>
          <w:rFonts w:eastAsia="Arial" w:cstheme="minorHAnsi"/>
          <w:b/>
          <w:bCs/>
          <w:color w:val="000000"/>
          <w:lang w:eastAsia="zh-CN"/>
        </w:rPr>
        <w:t>Figure S1.</w:t>
      </w:r>
      <w:r w:rsidRPr="009927D4">
        <w:rPr>
          <w:rFonts w:eastAsia="Arial" w:cstheme="minorHAnsi"/>
          <w:color w:val="000000"/>
          <w:lang w:eastAsia="zh-CN"/>
        </w:rPr>
        <w:t xml:space="preserve"> </w:t>
      </w:r>
      <w:r w:rsidR="009927D4" w:rsidRPr="009927D4">
        <w:t>Pressure decay measurements during the first electrochemical discharge of a cell containing 0.25 M LiClO</w:t>
      </w:r>
      <w:r w:rsidR="009927D4" w:rsidRPr="009927D4">
        <w:rPr>
          <w:vertAlign w:val="subscript"/>
        </w:rPr>
        <w:t>4</w:t>
      </w:r>
      <w:r w:rsidR="009927D4" w:rsidRPr="009927D4">
        <w:t xml:space="preserve"> in MeCN</w:t>
      </w:r>
      <w:r w:rsidR="002D0AE6">
        <w:t xml:space="preserve"> doped with 1000 ppm H</w:t>
      </w:r>
      <w:r w:rsidR="002D0AE6" w:rsidRPr="002D0AE6">
        <w:rPr>
          <w:vertAlign w:val="subscript"/>
        </w:rPr>
        <w:t>2</w:t>
      </w:r>
      <w:r w:rsidR="002D0AE6">
        <w:t>O</w:t>
      </w:r>
      <w:r w:rsidR="009927D4" w:rsidRPr="009927D4">
        <w:t xml:space="preserve"> to 14.7 mAh (3.25 mAh cm</w:t>
      </w:r>
      <w:r w:rsidR="009927D4" w:rsidRPr="009927D4">
        <w:rPr>
          <w:vertAlign w:val="superscript"/>
        </w:rPr>
        <w:t>-2</w:t>
      </w:r>
      <w:r w:rsidR="009927D4" w:rsidRPr="009927D4">
        <w:t xml:space="preserve"> for our cell design) at a rate of 50 </w:t>
      </w:r>
      <w:r w:rsidR="009927D4" w:rsidRPr="009927D4">
        <w:rPr>
          <w:rFonts w:cstheme="minorHAnsi"/>
        </w:rPr>
        <w:t>µ</w:t>
      </w:r>
      <w:r w:rsidR="009927D4" w:rsidRPr="009927D4">
        <w:t>A cm</w:t>
      </w:r>
      <w:r w:rsidR="009927D4" w:rsidRPr="009927D4">
        <w:rPr>
          <w:vertAlign w:val="superscript"/>
        </w:rPr>
        <w:t>-2</w:t>
      </w:r>
      <w:r w:rsidR="009927D4" w:rsidRPr="009927D4">
        <w:t>, compared to the ideal 2.0e</w:t>
      </w:r>
      <w:r w:rsidR="009927D4" w:rsidRPr="009927D4">
        <w:rPr>
          <w:vertAlign w:val="superscript"/>
        </w:rPr>
        <w:t>-</w:t>
      </w:r>
      <w:r w:rsidR="009927D4" w:rsidRPr="009927D4">
        <w:t>/O</w:t>
      </w:r>
      <w:r w:rsidR="009927D4" w:rsidRPr="009927D4">
        <w:rPr>
          <w:vertAlign w:val="subscript"/>
        </w:rPr>
        <w:t>2</w:t>
      </w:r>
      <w:r w:rsidR="009927D4" w:rsidRPr="009927D4">
        <w:t xml:space="preserve"> (black dashed line) pressure decay gradient.</w:t>
      </w:r>
      <w:r w:rsidR="002913A9">
        <w:t xml:space="preserve"> </w:t>
      </w:r>
    </w:p>
    <w:p w14:paraId="051AB5EB" w14:textId="5E16194F" w:rsidR="009927D4" w:rsidRDefault="002D0AE6" w:rsidP="009927D4">
      <w:pPr>
        <w:jc w:val="both"/>
      </w:pPr>
      <w:r w:rsidRPr="00950B3F">
        <w:rPr>
          <w:rFonts w:eastAsia="Arial" w:cstheme="minorHAnsi"/>
          <w:b/>
          <w:bCs/>
          <w:noProof/>
          <w:color w:val="000000"/>
          <w:lang w:eastAsia="en-GB"/>
        </w:rPr>
        <w:drawing>
          <wp:anchor distT="0" distB="0" distL="114300" distR="114300" simplePos="0" relativeHeight="251661316" behindDoc="0" locked="0" layoutInCell="1" allowOverlap="1" wp14:anchorId="0AF48D83" wp14:editId="769043AD">
            <wp:simplePos x="0" y="0"/>
            <wp:positionH relativeFrom="margin">
              <wp:align>center</wp:align>
            </wp:positionH>
            <wp:positionV relativeFrom="paragraph">
              <wp:posOffset>0</wp:posOffset>
            </wp:positionV>
            <wp:extent cx="4679950" cy="3573145"/>
            <wp:effectExtent l="0" t="0" r="6350" b="825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cstate="print">
                      <a:extLst>
                        <a:ext uri="{28A0092B-C50C-407E-A947-70E740481C1C}">
                          <a14:useLocalDpi xmlns:a14="http://schemas.microsoft.com/office/drawing/2010/main" val="0"/>
                        </a:ext>
                      </a:extLst>
                    </a:blip>
                    <a:srcRect t="134" b="134"/>
                    <a:stretch>
                      <a:fillRect/>
                    </a:stretch>
                  </pic:blipFill>
                  <pic:spPr bwMode="auto">
                    <a:xfrm>
                      <a:off x="0" y="0"/>
                      <a:ext cx="4679950" cy="357314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9927D4" w:rsidRPr="00950B3F">
        <w:rPr>
          <w:rFonts w:eastAsia="Arial" w:cstheme="minorHAnsi"/>
          <w:b/>
          <w:bCs/>
          <w:noProof/>
          <w:color w:val="000000"/>
          <w:lang w:eastAsia="en-GB"/>
        </w:rPr>
        <w:drawing>
          <wp:anchor distT="0" distB="0" distL="114300" distR="114300" simplePos="0" relativeHeight="251660292" behindDoc="0" locked="0" layoutInCell="1" allowOverlap="1" wp14:anchorId="1FF6CD46" wp14:editId="10D5D670">
            <wp:simplePos x="0" y="0"/>
            <wp:positionH relativeFrom="margin">
              <wp:align>center</wp:align>
            </wp:positionH>
            <wp:positionV relativeFrom="paragraph">
              <wp:posOffset>4229010</wp:posOffset>
            </wp:positionV>
            <wp:extent cx="4679315" cy="3582670"/>
            <wp:effectExtent l="0" t="0" r="698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79315" cy="3582670"/>
                    </a:xfrm>
                    <a:prstGeom prst="rect">
                      <a:avLst/>
                    </a:prstGeom>
                  </pic:spPr>
                </pic:pic>
              </a:graphicData>
            </a:graphic>
          </wp:anchor>
        </w:drawing>
      </w:r>
      <w:r w:rsidR="000E7041" w:rsidRPr="00950B3F">
        <w:rPr>
          <w:rFonts w:eastAsia="Arial" w:cstheme="minorHAnsi"/>
          <w:b/>
          <w:bCs/>
          <w:color w:val="000000"/>
          <w:lang w:eastAsia="zh-CN"/>
        </w:rPr>
        <w:t>Figure S</w:t>
      </w:r>
      <w:r w:rsidR="00F51B63" w:rsidRPr="00950B3F">
        <w:rPr>
          <w:rFonts w:eastAsia="Arial" w:cstheme="minorHAnsi"/>
          <w:b/>
          <w:bCs/>
          <w:color w:val="000000"/>
          <w:lang w:eastAsia="zh-CN"/>
        </w:rPr>
        <w:t>2</w:t>
      </w:r>
      <w:r w:rsidR="000E7041" w:rsidRPr="00950B3F">
        <w:rPr>
          <w:rFonts w:eastAsia="Arial" w:cstheme="minorHAnsi"/>
          <w:b/>
          <w:bCs/>
          <w:color w:val="000000"/>
          <w:lang w:eastAsia="zh-CN"/>
        </w:rPr>
        <w:t>.</w:t>
      </w:r>
      <w:r w:rsidR="000E7041" w:rsidRPr="00950B3F">
        <w:rPr>
          <w:rFonts w:eastAsia="Arial" w:cstheme="minorHAnsi"/>
          <w:color w:val="000000"/>
          <w:lang w:eastAsia="zh-CN"/>
        </w:rPr>
        <w:t xml:space="preserve"> </w:t>
      </w:r>
      <w:r w:rsidR="009927D4" w:rsidRPr="00950B3F">
        <w:rPr>
          <w:vertAlign w:val="superscript"/>
        </w:rPr>
        <w:t>1</w:t>
      </w:r>
      <w:r w:rsidR="009927D4" w:rsidRPr="00950B3F">
        <w:t>H NMR spectra of a heterogeneous mixture of Li</w:t>
      </w:r>
      <w:r w:rsidR="009927D4" w:rsidRPr="00950B3F">
        <w:rPr>
          <w:vertAlign w:val="subscript"/>
        </w:rPr>
        <w:t>2</w:t>
      </w:r>
      <w:r w:rsidR="009927D4" w:rsidRPr="00950B3F">
        <w:t>O</w:t>
      </w:r>
      <w:r w:rsidR="009927D4" w:rsidRPr="00950B3F">
        <w:rPr>
          <w:vertAlign w:val="subscript"/>
        </w:rPr>
        <w:t>2</w:t>
      </w:r>
      <w:r w:rsidR="009927D4" w:rsidRPr="00950B3F">
        <w:t xml:space="preserve"> in d</w:t>
      </w:r>
      <w:r w:rsidR="009927D4" w:rsidRPr="00950B3F">
        <w:rPr>
          <w:vertAlign w:val="subscript"/>
        </w:rPr>
        <w:t>3</w:t>
      </w:r>
      <w:r w:rsidR="009927D4" w:rsidRPr="00950B3F">
        <w:t xml:space="preserve">-MeCN with </w:t>
      </w:r>
      <w:r>
        <w:t>20000</w:t>
      </w:r>
      <w:r w:rsidR="009927D4" w:rsidRPr="00950B3F">
        <w:t xml:space="preserve"> </w:t>
      </w:r>
      <w:r>
        <w:t>ppm</w:t>
      </w:r>
      <w:r w:rsidR="009927D4" w:rsidRPr="00950B3F">
        <w:t xml:space="preserve"> H</w:t>
      </w:r>
      <w:r w:rsidR="009927D4" w:rsidRPr="00950B3F">
        <w:rPr>
          <w:vertAlign w:val="subscript"/>
        </w:rPr>
        <w:t>2</w:t>
      </w:r>
      <w:r w:rsidR="009927D4" w:rsidRPr="00950B3F">
        <w:t>O taken at 0 h</w:t>
      </w:r>
      <w:r w:rsidR="00205B78">
        <w:t xml:space="preserve"> </w:t>
      </w:r>
      <w:r w:rsidR="00205B78" w:rsidRPr="00950B3F">
        <w:t>(black line)</w:t>
      </w:r>
      <w:r w:rsidR="009927D4" w:rsidRPr="00950B3F">
        <w:t xml:space="preserve"> and 72 h</w:t>
      </w:r>
      <w:r w:rsidR="00205B78">
        <w:t xml:space="preserve"> </w:t>
      </w:r>
      <w:r w:rsidR="00205B78" w:rsidRPr="00950B3F">
        <w:t>(red line)</w:t>
      </w:r>
      <w:r w:rsidR="009927D4" w:rsidRPr="00950B3F">
        <w:t xml:space="preserve">, showing the change </w:t>
      </w:r>
      <w:r w:rsidR="009927D4" w:rsidRPr="00950B3F">
        <w:rPr>
          <w:vertAlign w:val="superscript"/>
        </w:rPr>
        <w:t>1</w:t>
      </w:r>
      <w:r w:rsidR="009927D4" w:rsidRPr="00950B3F">
        <w:t>H chemical shift and intensity of the H</w:t>
      </w:r>
      <w:r w:rsidR="009927D4" w:rsidRPr="00950B3F">
        <w:rPr>
          <w:vertAlign w:val="subscript"/>
        </w:rPr>
        <w:t>2</w:t>
      </w:r>
      <w:r w:rsidR="009927D4" w:rsidRPr="00950B3F">
        <w:t>O peak.</w:t>
      </w:r>
    </w:p>
    <w:p w14:paraId="00CC0A6A" w14:textId="77777777" w:rsidR="00205B78" w:rsidRPr="00950B3F" w:rsidRDefault="00205B78" w:rsidP="009927D4">
      <w:pPr>
        <w:jc w:val="both"/>
      </w:pPr>
    </w:p>
    <w:p w14:paraId="72A75C20" w14:textId="28D7B027" w:rsidR="009927D4" w:rsidRPr="00950B3F" w:rsidRDefault="0082578E" w:rsidP="0082578E">
      <w:pPr>
        <w:jc w:val="both"/>
        <w:rPr>
          <w:rFonts w:eastAsia="Arial" w:cstheme="minorHAnsi"/>
          <w:b/>
          <w:bCs/>
          <w:color w:val="000000"/>
          <w:lang w:eastAsia="zh-CN"/>
        </w:rPr>
      </w:pPr>
      <w:r w:rsidRPr="00950B3F">
        <w:rPr>
          <w:rFonts w:eastAsia="Arial" w:cstheme="minorHAnsi"/>
          <w:b/>
          <w:bCs/>
          <w:color w:val="000000"/>
          <w:lang w:eastAsia="zh-CN"/>
        </w:rPr>
        <w:t>Figure S</w:t>
      </w:r>
      <w:r w:rsidR="009927D4" w:rsidRPr="00950B3F">
        <w:rPr>
          <w:rFonts w:eastAsia="Arial" w:cstheme="minorHAnsi"/>
          <w:b/>
          <w:bCs/>
          <w:color w:val="000000"/>
          <w:lang w:eastAsia="zh-CN"/>
        </w:rPr>
        <w:t>3</w:t>
      </w:r>
      <w:r w:rsidRPr="00950B3F">
        <w:rPr>
          <w:rFonts w:eastAsia="Arial" w:cstheme="minorHAnsi"/>
          <w:b/>
          <w:bCs/>
          <w:color w:val="000000"/>
          <w:lang w:eastAsia="zh-CN"/>
        </w:rPr>
        <w:t>.</w:t>
      </w:r>
      <w:r w:rsidR="009927D4" w:rsidRPr="00950B3F">
        <w:rPr>
          <w:rFonts w:eastAsia="Arial" w:cstheme="minorHAnsi"/>
          <w:b/>
          <w:bCs/>
          <w:color w:val="000000"/>
          <w:lang w:eastAsia="zh-CN"/>
        </w:rPr>
        <w:t xml:space="preserve"> </w:t>
      </w:r>
      <w:r w:rsidR="009927D4" w:rsidRPr="00950B3F">
        <w:t xml:space="preserve">HPLC chromatogram of </w:t>
      </w:r>
      <w:r w:rsidR="00205B78">
        <w:t xml:space="preserve">a </w:t>
      </w:r>
      <w:r w:rsidR="009927D4" w:rsidRPr="00950B3F">
        <w:rPr>
          <w:rFonts w:cstheme="minorHAnsi"/>
        </w:rPr>
        <w:t>0.25 M LiClO</w:t>
      </w:r>
      <w:r w:rsidR="009927D4" w:rsidRPr="00950B3F">
        <w:rPr>
          <w:rFonts w:cstheme="minorHAnsi"/>
          <w:vertAlign w:val="subscript"/>
        </w:rPr>
        <w:t>4</w:t>
      </w:r>
      <w:r w:rsidR="009927D4" w:rsidRPr="00950B3F">
        <w:rPr>
          <w:rFonts w:cstheme="minorHAnsi"/>
        </w:rPr>
        <w:t xml:space="preserve"> in MeCN electrolyte</w:t>
      </w:r>
      <w:r w:rsidR="009927D4" w:rsidRPr="00950B3F">
        <w:t xml:space="preserve"> solution. The sample was added to H</w:t>
      </w:r>
      <w:r w:rsidR="009927D4" w:rsidRPr="00950B3F">
        <w:rPr>
          <w:vertAlign w:val="subscript"/>
        </w:rPr>
        <w:t>2</w:t>
      </w:r>
      <w:r w:rsidR="009927D4" w:rsidRPr="00950B3F">
        <w:t>O before analysis.</w:t>
      </w:r>
    </w:p>
    <w:p w14:paraId="3DAB4B37" w14:textId="77777777" w:rsidR="0082578E" w:rsidRPr="00950B3F" w:rsidRDefault="0082578E" w:rsidP="000E7041"/>
    <w:p w14:paraId="4B1E64E7" w14:textId="5EAD4A98" w:rsidR="000E7041" w:rsidRPr="00950B3F" w:rsidRDefault="000E7041" w:rsidP="000E7041"/>
    <w:p w14:paraId="43413CF1" w14:textId="0A1C874E" w:rsidR="00DA7D0D" w:rsidRPr="00950B3F" w:rsidRDefault="009927D4" w:rsidP="00205B78">
      <w:r w:rsidRPr="00950B3F">
        <w:rPr>
          <w:noProof/>
          <w:lang w:eastAsia="en-GB"/>
        </w:rPr>
        <w:drawing>
          <wp:anchor distT="0" distB="0" distL="114300" distR="114300" simplePos="0" relativeHeight="251662340" behindDoc="0" locked="0" layoutInCell="1" allowOverlap="1" wp14:anchorId="09AB71CC" wp14:editId="52971C11">
            <wp:simplePos x="0" y="0"/>
            <wp:positionH relativeFrom="margin">
              <wp:align>center</wp:align>
            </wp:positionH>
            <wp:positionV relativeFrom="paragraph">
              <wp:posOffset>91</wp:posOffset>
            </wp:positionV>
            <wp:extent cx="4679315" cy="3670935"/>
            <wp:effectExtent l="0" t="0" r="6985" b="571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2" cstate="print">
                      <a:extLst>
                        <a:ext uri="{28A0092B-C50C-407E-A947-70E740481C1C}">
                          <a14:useLocalDpi xmlns:a14="http://schemas.microsoft.com/office/drawing/2010/main" val="0"/>
                        </a:ext>
                      </a:extLst>
                    </a:blip>
                    <a:srcRect l="1208" r="1208"/>
                    <a:stretch>
                      <a:fillRect/>
                    </a:stretch>
                  </pic:blipFill>
                  <pic:spPr bwMode="auto">
                    <a:xfrm>
                      <a:off x="0" y="0"/>
                      <a:ext cx="4679315" cy="3670935"/>
                    </a:xfrm>
                    <a:prstGeom prst="rect">
                      <a:avLst/>
                    </a:prstGeom>
                    <a:ln>
                      <a:noFill/>
                    </a:ln>
                    <a:extLst>
                      <a:ext uri="{53640926-AAD7-44D8-BBD7-CCE9431645EC}">
                        <a14:shadowObscured xmlns:a14="http://schemas.microsoft.com/office/drawing/2010/main"/>
                      </a:ext>
                    </a:extLst>
                  </pic:spPr>
                </pic:pic>
              </a:graphicData>
            </a:graphic>
          </wp:anchor>
        </w:drawing>
      </w:r>
      <w:r w:rsidR="00F51B63" w:rsidRPr="00950B3F">
        <w:rPr>
          <w:noProof/>
          <w:lang w:eastAsia="en-GB"/>
        </w:rPr>
        <w:drawing>
          <wp:anchor distT="0" distB="0" distL="114300" distR="114300" simplePos="0" relativeHeight="251663364" behindDoc="0" locked="0" layoutInCell="1" allowOverlap="1" wp14:anchorId="75689B1B" wp14:editId="50DC767F">
            <wp:simplePos x="0" y="0"/>
            <wp:positionH relativeFrom="margin">
              <wp:posOffset>520700</wp:posOffset>
            </wp:positionH>
            <wp:positionV relativeFrom="paragraph">
              <wp:posOffset>4083050</wp:posOffset>
            </wp:positionV>
            <wp:extent cx="4679950" cy="3671248"/>
            <wp:effectExtent l="0" t="0" r="6350" b="5715"/>
            <wp:wrapTopAndBottom/>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pic:cNvPicPr>
                  </pic:nvPicPr>
                  <pic:blipFill>
                    <a:blip r:embed="rId13" cstate="print">
                      <a:extLst>
                        <a:ext uri="{28A0092B-C50C-407E-A947-70E740481C1C}">
                          <a14:useLocalDpi xmlns:a14="http://schemas.microsoft.com/office/drawing/2010/main" val="0"/>
                        </a:ext>
                      </a:extLst>
                    </a:blip>
                    <a:srcRect l="1206" r="1206"/>
                    <a:stretch>
                      <a:fillRect/>
                    </a:stretch>
                  </pic:blipFill>
                  <pic:spPr bwMode="auto">
                    <a:xfrm>
                      <a:off x="0" y="0"/>
                      <a:ext cx="4679950" cy="3671248"/>
                    </a:xfrm>
                    <a:prstGeom prst="rect">
                      <a:avLst/>
                    </a:prstGeom>
                    <a:ln>
                      <a:noFill/>
                    </a:ln>
                    <a:extLst>
                      <a:ext uri="{53640926-AAD7-44D8-BBD7-CCE9431645EC}">
                        <a14:shadowObscured xmlns:a14="http://schemas.microsoft.com/office/drawing/2010/main"/>
                      </a:ext>
                    </a:extLst>
                  </pic:spPr>
                </pic:pic>
              </a:graphicData>
            </a:graphic>
          </wp:anchor>
        </w:drawing>
      </w:r>
      <w:r w:rsidR="00865B91" w:rsidRPr="00950B3F">
        <w:rPr>
          <w:b/>
          <w:bCs/>
        </w:rPr>
        <w:t>Figure S</w:t>
      </w:r>
      <w:r w:rsidR="00F51B63" w:rsidRPr="00950B3F">
        <w:rPr>
          <w:b/>
          <w:bCs/>
        </w:rPr>
        <w:t>4</w:t>
      </w:r>
      <w:r w:rsidR="00865B91" w:rsidRPr="00950B3F">
        <w:rPr>
          <w:b/>
          <w:bCs/>
        </w:rPr>
        <w:t xml:space="preserve">. </w:t>
      </w:r>
      <w:r w:rsidR="00865B91" w:rsidRPr="00950B3F">
        <w:t xml:space="preserve">HPLC chromatogram of a solution of </w:t>
      </w:r>
      <w:r w:rsidR="00BF258E" w:rsidRPr="00950B3F">
        <w:t xml:space="preserve">acetonitrile </w:t>
      </w:r>
      <w:r w:rsidR="00865B91" w:rsidRPr="00950B3F">
        <w:t>doped with LiClO</w:t>
      </w:r>
      <w:r w:rsidR="00865B91" w:rsidRPr="00950B3F">
        <w:rPr>
          <w:vertAlign w:val="subscript"/>
        </w:rPr>
        <w:t>4</w:t>
      </w:r>
      <w:r w:rsidR="00865B91" w:rsidRPr="00950B3F">
        <w:t xml:space="preserve"> and acetamide</w:t>
      </w:r>
      <w:r w:rsidR="00DA7D0D" w:rsidRPr="00950B3F">
        <w:t>. The sample was added to H</w:t>
      </w:r>
      <w:r w:rsidR="00DA7D0D" w:rsidRPr="00950B3F">
        <w:rPr>
          <w:vertAlign w:val="subscript"/>
        </w:rPr>
        <w:t>2</w:t>
      </w:r>
      <w:r w:rsidR="00DA7D0D" w:rsidRPr="00950B3F">
        <w:t>O before analysis.</w:t>
      </w:r>
    </w:p>
    <w:p w14:paraId="516F1EB3" w14:textId="3A44D63C" w:rsidR="00ED26E1" w:rsidRPr="00950B3F" w:rsidRDefault="00ED26E1" w:rsidP="00ED26E1">
      <w:pPr>
        <w:jc w:val="both"/>
        <w:rPr>
          <w:rFonts w:eastAsia="Arial" w:cstheme="minorHAnsi"/>
          <w:noProof/>
          <w:lang w:eastAsia="zh-CN"/>
        </w:rPr>
      </w:pPr>
      <w:r w:rsidRPr="00950B3F">
        <w:rPr>
          <w:b/>
          <w:bCs/>
        </w:rPr>
        <w:t>Figure S</w:t>
      </w:r>
      <w:r w:rsidR="00F51B63" w:rsidRPr="00950B3F">
        <w:rPr>
          <w:b/>
          <w:bCs/>
        </w:rPr>
        <w:t>5</w:t>
      </w:r>
      <w:r w:rsidRPr="00950B3F">
        <w:rPr>
          <w:b/>
          <w:bCs/>
        </w:rPr>
        <w:t xml:space="preserve">. </w:t>
      </w:r>
      <w:r w:rsidRPr="00950B3F">
        <w:t>HPLC chromatogram of a solution of H</w:t>
      </w:r>
      <w:r w:rsidRPr="00950B3F">
        <w:rPr>
          <w:vertAlign w:val="subscript"/>
        </w:rPr>
        <w:t>2</w:t>
      </w:r>
      <w:r w:rsidRPr="00950B3F">
        <w:t>O doped with acetamide.</w:t>
      </w:r>
    </w:p>
    <w:p w14:paraId="33F9323E" w14:textId="77777777" w:rsidR="00ED26E1" w:rsidRPr="00950B3F" w:rsidRDefault="00ED26E1">
      <w:pPr>
        <w:rPr>
          <w:rFonts w:eastAsia="Arial" w:cstheme="minorHAnsi"/>
          <w:b/>
          <w:bCs/>
          <w:color w:val="000000"/>
          <w:lang w:eastAsia="zh-CN"/>
        </w:rPr>
      </w:pPr>
    </w:p>
    <w:p w14:paraId="28251899" w14:textId="638DD985" w:rsidR="00205B78" w:rsidRPr="00682826" w:rsidRDefault="00925052" w:rsidP="00ED26E1">
      <w:pPr>
        <w:jc w:val="both"/>
      </w:pPr>
      <w:r w:rsidRPr="00682826">
        <w:rPr>
          <w:noProof/>
          <w:lang w:eastAsia="en-GB"/>
        </w:rPr>
        <w:drawing>
          <wp:anchor distT="0" distB="0" distL="114300" distR="114300" simplePos="0" relativeHeight="251658242" behindDoc="0" locked="0" layoutInCell="1" allowOverlap="1" wp14:anchorId="0E769E4C" wp14:editId="38BAFD88">
            <wp:simplePos x="0" y="0"/>
            <wp:positionH relativeFrom="margin">
              <wp:align>center</wp:align>
            </wp:positionH>
            <wp:positionV relativeFrom="paragraph">
              <wp:posOffset>0</wp:posOffset>
            </wp:positionV>
            <wp:extent cx="4679950" cy="3752850"/>
            <wp:effectExtent l="0" t="0" r="6350" b="0"/>
            <wp:wrapTopAndBottom/>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14" cstate="print">
                      <a:extLst>
                        <a:ext uri="{28A0092B-C50C-407E-A947-70E740481C1C}">
                          <a14:useLocalDpi xmlns:a14="http://schemas.microsoft.com/office/drawing/2010/main" val="0"/>
                        </a:ext>
                      </a:extLst>
                    </a:blip>
                    <a:srcRect l="2267" r="2267"/>
                    <a:stretch>
                      <a:fillRect/>
                    </a:stretch>
                  </pic:blipFill>
                  <pic:spPr bwMode="auto">
                    <a:xfrm>
                      <a:off x="0" y="0"/>
                      <a:ext cx="4679950" cy="37528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682826">
        <w:rPr>
          <w:b/>
          <w:bCs/>
        </w:rPr>
        <w:t>Figure S</w:t>
      </w:r>
      <w:r w:rsidR="00F51B63" w:rsidRPr="00682826">
        <w:rPr>
          <w:b/>
          <w:bCs/>
        </w:rPr>
        <w:t>6</w:t>
      </w:r>
      <w:r w:rsidRPr="00682826">
        <w:rPr>
          <w:b/>
          <w:bCs/>
        </w:rPr>
        <w:t xml:space="preserve">. </w:t>
      </w:r>
      <w:r w:rsidR="00205B78" w:rsidRPr="00682826">
        <w:t xml:space="preserve">HPLC chromatograms collected </w:t>
      </w:r>
      <w:r w:rsidR="00682826" w:rsidRPr="00682826">
        <w:t>from model chemical systems of Li</w:t>
      </w:r>
      <w:r w:rsidR="00682826" w:rsidRPr="00682826">
        <w:rPr>
          <w:vertAlign w:val="subscript"/>
        </w:rPr>
        <w:t>2</w:t>
      </w:r>
      <w:r w:rsidR="00682826" w:rsidRPr="00682826">
        <w:t>O</w:t>
      </w:r>
      <w:r w:rsidR="00682826" w:rsidRPr="00682826">
        <w:rPr>
          <w:vertAlign w:val="subscript"/>
        </w:rPr>
        <w:t>2</w:t>
      </w:r>
      <w:r w:rsidR="00682826" w:rsidRPr="00682826">
        <w:t xml:space="preserve"> in d</w:t>
      </w:r>
      <w:r w:rsidR="00682826" w:rsidRPr="00682826">
        <w:rPr>
          <w:vertAlign w:val="subscript"/>
        </w:rPr>
        <w:t>3</w:t>
      </w:r>
      <w:r w:rsidR="00682826" w:rsidRPr="00682826">
        <w:t xml:space="preserve">-MeCN doped with either </w:t>
      </w:r>
      <w:r w:rsidR="002D0AE6">
        <w:t>2</w:t>
      </w:r>
      <w:r w:rsidR="00682826" w:rsidRPr="00682826">
        <w:t>0000 ppm (black line) H</w:t>
      </w:r>
      <w:r w:rsidR="00682826" w:rsidRPr="00682826">
        <w:rPr>
          <w:vertAlign w:val="subscript"/>
        </w:rPr>
        <w:t>2</w:t>
      </w:r>
      <w:r w:rsidR="00682826" w:rsidRPr="00682826">
        <w:t>O, where a clear acetamide peak is observed, or 1000 ppm (blue line) H</w:t>
      </w:r>
      <w:r w:rsidR="00682826" w:rsidRPr="00682826">
        <w:rPr>
          <w:vertAlign w:val="subscript"/>
        </w:rPr>
        <w:t>2</w:t>
      </w:r>
      <w:r w:rsidR="00682826" w:rsidRPr="00682826">
        <w:t>O, where no acetamide peak is observed 72 h after mixing. HPLC-MS analysis revealed the presence of acetamide in both samples, albeit low concentration with 1000 ppm H</w:t>
      </w:r>
      <w:r w:rsidR="00682826" w:rsidRPr="00682826">
        <w:rPr>
          <w:vertAlign w:val="subscript"/>
        </w:rPr>
        <w:t>2</w:t>
      </w:r>
      <w:r w:rsidR="00682826" w:rsidRPr="00682826">
        <w:t>O. Samples were taken 72 h after the addition of H</w:t>
      </w:r>
      <w:r w:rsidR="00682826" w:rsidRPr="00682826">
        <w:rPr>
          <w:vertAlign w:val="subscript"/>
        </w:rPr>
        <w:t>2</w:t>
      </w:r>
      <w:r w:rsidR="00682826" w:rsidRPr="00682826">
        <w:t xml:space="preserve">O. </w:t>
      </w:r>
      <w:r w:rsidR="00205B78" w:rsidRPr="00682826">
        <w:t>The sample</w:t>
      </w:r>
      <w:r w:rsidR="00682826" w:rsidRPr="00682826">
        <w:t>s</w:t>
      </w:r>
      <w:r w:rsidR="00205B78" w:rsidRPr="00682826">
        <w:t xml:space="preserve"> w</w:t>
      </w:r>
      <w:r w:rsidR="00682826" w:rsidRPr="00682826">
        <w:t>ere</w:t>
      </w:r>
      <w:r w:rsidR="00205B78" w:rsidRPr="00682826">
        <w:t xml:space="preserve"> added to H</w:t>
      </w:r>
      <w:r w:rsidR="00205B78" w:rsidRPr="00682826">
        <w:rPr>
          <w:vertAlign w:val="subscript"/>
        </w:rPr>
        <w:t>2</w:t>
      </w:r>
      <w:r w:rsidR="00205B78" w:rsidRPr="00682826">
        <w:t>O before analysis.</w:t>
      </w:r>
    </w:p>
    <w:p w14:paraId="16666082" w14:textId="70292B62" w:rsidR="00925052" w:rsidRPr="00950B3F" w:rsidRDefault="00F51B63">
      <w:pPr>
        <w:rPr>
          <w:rFonts w:eastAsia="Arial" w:cstheme="minorHAnsi"/>
          <w:b/>
          <w:bCs/>
          <w:color w:val="000000"/>
          <w:lang w:eastAsia="zh-CN"/>
        </w:rPr>
      </w:pPr>
      <w:r w:rsidRPr="00950B3F">
        <w:rPr>
          <w:noProof/>
          <w:lang w:eastAsia="en-GB"/>
        </w:rPr>
        <w:drawing>
          <wp:anchor distT="0" distB="0" distL="114300" distR="114300" simplePos="0" relativeHeight="251658243" behindDoc="0" locked="0" layoutInCell="1" allowOverlap="1" wp14:anchorId="2F4B5F7E" wp14:editId="0863DA14">
            <wp:simplePos x="0" y="0"/>
            <wp:positionH relativeFrom="margin">
              <wp:align>left</wp:align>
            </wp:positionH>
            <wp:positionV relativeFrom="paragraph">
              <wp:posOffset>210820</wp:posOffset>
            </wp:positionV>
            <wp:extent cx="5724525" cy="2514600"/>
            <wp:effectExtent l="0" t="0" r="9525" b="0"/>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pic:cNvPicPr>
                  </pic:nvPicPr>
                  <pic:blipFill rotWithShape="1">
                    <a:blip r:embed="rId15" cstate="print">
                      <a:extLst>
                        <a:ext uri="{28A0092B-C50C-407E-A947-70E740481C1C}">
                          <a14:useLocalDpi xmlns:a14="http://schemas.microsoft.com/office/drawing/2010/main" val="0"/>
                        </a:ext>
                      </a:extLst>
                    </a:blip>
                    <a:srcRect l="1528" t="1326" r="46952" b="68493"/>
                    <a:stretch/>
                  </pic:blipFill>
                  <pic:spPr bwMode="auto">
                    <a:xfrm>
                      <a:off x="0" y="0"/>
                      <a:ext cx="5724525" cy="2514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462FCFA" w14:textId="2267695B" w:rsidR="00925052" w:rsidRPr="00682826" w:rsidRDefault="0065566D">
      <w:r w:rsidRPr="00950B3F">
        <w:rPr>
          <w:b/>
          <w:bCs/>
        </w:rPr>
        <w:t>Figure S</w:t>
      </w:r>
      <w:r w:rsidR="00F51B63" w:rsidRPr="00950B3F">
        <w:rPr>
          <w:b/>
          <w:bCs/>
        </w:rPr>
        <w:t>7</w:t>
      </w:r>
      <w:r w:rsidRPr="00950B3F">
        <w:rPr>
          <w:b/>
          <w:bCs/>
        </w:rPr>
        <w:t xml:space="preserve">. </w:t>
      </w:r>
      <w:r w:rsidR="00682826">
        <w:t xml:space="preserve">The regions of the a) </w:t>
      </w:r>
      <w:r w:rsidR="00682826">
        <w:rPr>
          <w:vertAlign w:val="superscript"/>
        </w:rPr>
        <w:t>1</w:t>
      </w:r>
      <w:r w:rsidR="00682826">
        <w:t xml:space="preserve">H and b) </w:t>
      </w:r>
      <w:r w:rsidR="00682826">
        <w:rPr>
          <w:vertAlign w:val="superscript"/>
        </w:rPr>
        <w:t>13</w:t>
      </w:r>
      <w:r w:rsidR="00682826">
        <w:t xml:space="preserve">C NMR spectra where acetamide peaks are expected. A sample taken from a heterogeneous mixture of </w:t>
      </w:r>
      <w:r w:rsidR="00682826" w:rsidRPr="00950B3F">
        <w:t>Li</w:t>
      </w:r>
      <w:r w:rsidR="00682826" w:rsidRPr="00950B3F">
        <w:rPr>
          <w:vertAlign w:val="subscript"/>
        </w:rPr>
        <w:t>2</w:t>
      </w:r>
      <w:r w:rsidR="00682826" w:rsidRPr="00950B3F">
        <w:t>O</w:t>
      </w:r>
      <w:r w:rsidR="00682826" w:rsidRPr="00950B3F">
        <w:rPr>
          <w:vertAlign w:val="subscript"/>
        </w:rPr>
        <w:t>2</w:t>
      </w:r>
      <w:r w:rsidR="00682826" w:rsidRPr="00950B3F">
        <w:t xml:space="preserve"> in d</w:t>
      </w:r>
      <w:r w:rsidR="00682826" w:rsidRPr="00950B3F">
        <w:rPr>
          <w:vertAlign w:val="subscript"/>
        </w:rPr>
        <w:t>3</w:t>
      </w:r>
      <w:r w:rsidR="00682826" w:rsidRPr="00950B3F">
        <w:t xml:space="preserve">-MeCN doped with </w:t>
      </w:r>
      <w:r w:rsidR="002D0AE6">
        <w:t>2</w:t>
      </w:r>
      <w:r w:rsidR="00682826">
        <w:t>0000</w:t>
      </w:r>
      <w:r w:rsidR="00682826" w:rsidRPr="00950B3F">
        <w:t xml:space="preserve"> </w:t>
      </w:r>
      <w:r w:rsidR="00682826">
        <w:t>ppm</w:t>
      </w:r>
      <w:r w:rsidR="00682826" w:rsidRPr="00950B3F">
        <w:t xml:space="preserve"> H</w:t>
      </w:r>
      <w:r w:rsidR="00682826" w:rsidRPr="00950B3F">
        <w:rPr>
          <w:vertAlign w:val="subscript"/>
        </w:rPr>
        <w:t>2</w:t>
      </w:r>
      <w:r w:rsidR="00682826" w:rsidRPr="00950B3F">
        <w:t>O</w:t>
      </w:r>
      <w:r w:rsidR="00682826">
        <w:t xml:space="preserve"> after 72 h (red lines) is compared to reference acetamide spectra (black lines).</w:t>
      </w:r>
    </w:p>
    <w:p w14:paraId="50783564" w14:textId="77777777" w:rsidR="00925052" w:rsidRPr="00950B3F" w:rsidRDefault="00925052">
      <w:pPr>
        <w:rPr>
          <w:rFonts w:eastAsia="Arial" w:cstheme="minorHAnsi"/>
          <w:b/>
          <w:bCs/>
          <w:color w:val="000000"/>
          <w:lang w:eastAsia="zh-CN"/>
        </w:rPr>
      </w:pPr>
    </w:p>
    <w:p w14:paraId="17A819CF" w14:textId="77777777" w:rsidR="00865B91" w:rsidRPr="00950B3F" w:rsidRDefault="00865B91">
      <w:pPr>
        <w:rPr>
          <w:rFonts w:eastAsia="Arial" w:cstheme="minorHAnsi"/>
          <w:b/>
          <w:bCs/>
          <w:color w:val="000000"/>
          <w:lang w:eastAsia="zh-CN"/>
        </w:rPr>
      </w:pPr>
    </w:p>
    <w:p w14:paraId="5CC6E898" w14:textId="7EE3EFCE" w:rsidR="0065566D" w:rsidRPr="00950B3F" w:rsidRDefault="007D662F">
      <w:pPr>
        <w:rPr>
          <w:rFonts w:eastAsia="Arial" w:cstheme="minorHAnsi"/>
          <w:b/>
          <w:bCs/>
          <w:color w:val="000000"/>
          <w:lang w:eastAsia="zh-CN"/>
        </w:rPr>
      </w:pPr>
      <w:r w:rsidRPr="00950B3F">
        <w:rPr>
          <w:b/>
          <w:bCs/>
          <w:noProof/>
          <w:lang w:eastAsia="en-GB"/>
        </w:rPr>
        <w:drawing>
          <wp:anchor distT="0" distB="0" distL="114300" distR="114300" simplePos="0" relativeHeight="251658244" behindDoc="0" locked="0" layoutInCell="1" allowOverlap="1" wp14:anchorId="370D6618" wp14:editId="6E2B6191">
            <wp:simplePos x="0" y="0"/>
            <wp:positionH relativeFrom="margin">
              <wp:posOffset>-1270</wp:posOffset>
            </wp:positionH>
            <wp:positionV relativeFrom="paragraph">
              <wp:posOffset>271780</wp:posOffset>
            </wp:positionV>
            <wp:extent cx="5737225" cy="3493770"/>
            <wp:effectExtent l="0" t="0" r="0" b="0"/>
            <wp:wrapTopAndBottom/>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pic:cNvPicPr>
                  </pic:nvPicPr>
                  <pic:blipFill rotWithShape="1">
                    <a:blip r:embed="rId16" cstate="print">
                      <a:extLst>
                        <a:ext uri="{28A0092B-C50C-407E-A947-70E740481C1C}">
                          <a14:useLocalDpi xmlns:a14="http://schemas.microsoft.com/office/drawing/2010/main" val="0"/>
                        </a:ext>
                      </a:extLst>
                    </a:blip>
                    <a:srcRect l="760" t="318" r="48708" b="58649"/>
                    <a:stretch/>
                  </pic:blipFill>
                  <pic:spPr bwMode="auto">
                    <a:xfrm>
                      <a:off x="0" y="0"/>
                      <a:ext cx="5737225" cy="34937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221ADDE" w14:textId="1AE407E5" w:rsidR="00A71D0C" w:rsidRPr="00950B3F" w:rsidRDefault="00957930">
      <w:pPr>
        <w:rPr>
          <w:rFonts w:eastAsia="Arial" w:cstheme="minorHAnsi"/>
          <w:color w:val="000000"/>
          <w:lang w:eastAsia="zh-CN"/>
        </w:rPr>
      </w:pPr>
      <w:r w:rsidRPr="00950B3F">
        <w:rPr>
          <w:rFonts w:eastAsia="Arial" w:cstheme="minorHAnsi"/>
          <w:b/>
          <w:bCs/>
          <w:color w:val="000000"/>
          <w:lang w:eastAsia="zh-CN"/>
        </w:rPr>
        <w:t>Figure S</w:t>
      </w:r>
      <w:r w:rsidR="00F51B63" w:rsidRPr="00950B3F">
        <w:rPr>
          <w:rFonts w:eastAsia="Arial" w:cstheme="minorHAnsi"/>
          <w:b/>
          <w:bCs/>
          <w:color w:val="000000"/>
          <w:lang w:eastAsia="zh-CN"/>
        </w:rPr>
        <w:t>8</w:t>
      </w:r>
      <w:r w:rsidRPr="00950B3F">
        <w:rPr>
          <w:rFonts w:eastAsia="Arial" w:cstheme="minorHAnsi"/>
          <w:b/>
          <w:bCs/>
          <w:color w:val="000000"/>
          <w:lang w:eastAsia="zh-CN"/>
        </w:rPr>
        <w:t xml:space="preserve">. </w:t>
      </w:r>
      <w:r w:rsidRPr="00950B3F">
        <w:rPr>
          <w:rFonts w:eastAsia="Arial" w:cstheme="minorHAnsi"/>
          <w:color w:val="000000"/>
          <w:lang w:eastAsia="zh-CN"/>
        </w:rPr>
        <w:t>Mass spectrum collected through HPLC-MS of a H</w:t>
      </w:r>
      <w:r w:rsidRPr="00950B3F">
        <w:rPr>
          <w:rFonts w:eastAsia="Arial" w:cstheme="minorHAnsi"/>
          <w:color w:val="000000"/>
          <w:vertAlign w:val="subscript"/>
          <w:lang w:eastAsia="zh-CN"/>
        </w:rPr>
        <w:t>2</w:t>
      </w:r>
      <w:r w:rsidRPr="00950B3F">
        <w:rPr>
          <w:rFonts w:eastAsia="Arial" w:cstheme="minorHAnsi"/>
          <w:color w:val="000000"/>
          <w:lang w:eastAsia="zh-CN"/>
        </w:rPr>
        <w:t>O solution doped with acetamide</w:t>
      </w:r>
      <w:r w:rsidR="00EB7130" w:rsidRPr="00950B3F">
        <w:rPr>
          <w:rFonts w:eastAsia="Arial" w:cstheme="minorHAnsi"/>
          <w:color w:val="000000"/>
          <w:lang w:eastAsia="zh-CN"/>
        </w:rPr>
        <w:t>.</w:t>
      </w:r>
    </w:p>
    <w:p w14:paraId="59F4DFE2" w14:textId="77777777" w:rsidR="00163625" w:rsidRDefault="00163625">
      <w:pPr>
        <w:rPr>
          <w:rFonts w:eastAsia="Arial" w:cstheme="minorHAnsi"/>
          <w:b/>
          <w:bCs/>
          <w:color w:val="000000"/>
          <w:sz w:val="19"/>
          <w:szCs w:val="19"/>
          <w:lang w:eastAsia="zh-CN"/>
        </w:rPr>
      </w:pPr>
    </w:p>
    <w:p w14:paraId="6E507715" w14:textId="77777777" w:rsidR="00F51B63" w:rsidRDefault="00F51B63">
      <w:pPr>
        <w:rPr>
          <w:rFonts w:eastAsia="Arial" w:cstheme="minorHAnsi"/>
          <w:b/>
          <w:bCs/>
          <w:color w:val="000000"/>
          <w:sz w:val="19"/>
          <w:szCs w:val="19"/>
          <w:lang w:eastAsia="zh-CN"/>
        </w:rPr>
      </w:pPr>
    </w:p>
    <w:p w14:paraId="399D62A7" w14:textId="0B7DA5DB" w:rsidR="006B002E" w:rsidRPr="00F51B63" w:rsidRDefault="006B002E">
      <w:pPr>
        <w:rPr>
          <w:rFonts w:eastAsia="Arial" w:cstheme="minorHAnsi"/>
          <w:b/>
          <w:bCs/>
          <w:color w:val="000000"/>
          <w:sz w:val="19"/>
          <w:szCs w:val="19"/>
          <w:lang w:eastAsia="zh-CN"/>
        </w:rPr>
      </w:pPr>
      <w:r>
        <w:rPr>
          <w:rFonts w:eastAsia="Arial" w:cstheme="minorHAnsi"/>
          <w:b/>
          <w:bCs/>
          <w:color w:val="000000"/>
          <w:sz w:val="19"/>
          <w:szCs w:val="19"/>
          <w:lang w:eastAsia="zh-CN"/>
        </w:rPr>
        <w:t>References</w:t>
      </w:r>
    </w:p>
    <w:p w14:paraId="5E922F19" w14:textId="77777777" w:rsidR="00FD7B4A" w:rsidRPr="00FD7B4A" w:rsidRDefault="001A7D1F" w:rsidP="00FD7B4A">
      <w:pPr>
        <w:pStyle w:val="Bibliography"/>
        <w:rPr>
          <w:rFonts w:ascii="Calibri" w:hAnsi="Calibri" w:cs="Calibri"/>
          <w:sz w:val="19"/>
        </w:rPr>
      </w:pPr>
      <w:r>
        <w:rPr>
          <w:rFonts w:eastAsia="Arial" w:cstheme="minorHAnsi"/>
          <w:color w:val="000000"/>
          <w:sz w:val="19"/>
          <w:szCs w:val="19"/>
          <w:lang w:eastAsia="zh-CN"/>
        </w:rPr>
        <w:fldChar w:fldCharType="begin"/>
      </w:r>
      <w:r w:rsidR="00FD7B4A">
        <w:rPr>
          <w:rFonts w:eastAsia="Arial" w:cstheme="minorHAnsi"/>
          <w:color w:val="000000"/>
          <w:sz w:val="19"/>
          <w:szCs w:val="19"/>
          <w:lang w:eastAsia="zh-CN"/>
        </w:rPr>
        <w:instrText xml:space="preserve"> ADDIN ZOTERO_BIBL {"uncited":[],"omitted":[],"custom":[]} CSL_BIBLIOGRAPHY </w:instrText>
      </w:r>
      <w:r>
        <w:rPr>
          <w:rFonts w:eastAsia="Arial" w:cstheme="minorHAnsi"/>
          <w:color w:val="000000"/>
          <w:sz w:val="19"/>
          <w:szCs w:val="19"/>
          <w:lang w:eastAsia="zh-CN"/>
        </w:rPr>
        <w:fldChar w:fldCharType="separate"/>
      </w:r>
      <w:r w:rsidR="00FD7B4A" w:rsidRPr="00FD7B4A">
        <w:rPr>
          <w:rFonts w:ascii="Calibri" w:hAnsi="Calibri" w:cs="Calibri"/>
          <w:sz w:val="19"/>
        </w:rPr>
        <w:t>1</w:t>
      </w:r>
      <w:r w:rsidR="00FD7B4A" w:rsidRPr="00FD7B4A">
        <w:rPr>
          <w:rFonts w:ascii="Calibri" w:hAnsi="Calibri" w:cs="Calibri"/>
          <w:sz w:val="19"/>
        </w:rPr>
        <w:tab/>
        <w:t xml:space="preserve">P. Hartmann, C. L. Bender, J. Sann, A. K. Dürr, M. Jansen, J. Janek and P. Adelhelm, </w:t>
      </w:r>
      <w:r w:rsidR="00FD7B4A" w:rsidRPr="00FD7B4A">
        <w:rPr>
          <w:rFonts w:ascii="Calibri" w:hAnsi="Calibri" w:cs="Calibri"/>
          <w:i/>
          <w:iCs/>
          <w:sz w:val="19"/>
        </w:rPr>
        <w:t>Phys. Chem. Chem. Phys.</w:t>
      </w:r>
      <w:r w:rsidR="00FD7B4A" w:rsidRPr="00FD7B4A">
        <w:rPr>
          <w:rFonts w:ascii="Calibri" w:hAnsi="Calibri" w:cs="Calibri"/>
          <w:sz w:val="19"/>
        </w:rPr>
        <w:t xml:space="preserve">, 2013, </w:t>
      </w:r>
      <w:r w:rsidR="00FD7B4A" w:rsidRPr="00FD7B4A">
        <w:rPr>
          <w:rFonts w:ascii="Calibri" w:hAnsi="Calibri" w:cs="Calibri"/>
          <w:b/>
          <w:bCs/>
          <w:sz w:val="19"/>
        </w:rPr>
        <w:t>15</w:t>
      </w:r>
      <w:r w:rsidR="00FD7B4A" w:rsidRPr="00FD7B4A">
        <w:rPr>
          <w:rFonts w:ascii="Calibri" w:hAnsi="Calibri" w:cs="Calibri"/>
          <w:sz w:val="19"/>
        </w:rPr>
        <w:t>, 11661–11672.</w:t>
      </w:r>
    </w:p>
    <w:p w14:paraId="2925C09A" w14:textId="77777777" w:rsidR="00FD7B4A" w:rsidRPr="00FD7B4A" w:rsidRDefault="00FD7B4A" w:rsidP="00FD7B4A">
      <w:pPr>
        <w:pStyle w:val="Bibliography"/>
        <w:rPr>
          <w:rFonts w:ascii="Calibri" w:hAnsi="Calibri" w:cs="Calibri"/>
          <w:sz w:val="19"/>
        </w:rPr>
      </w:pPr>
      <w:r w:rsidRPr="00FD7B4A">
        <w:rPr>
          <w:rFonts w:ascii="Calibri" w:hAnsi="Calibri" w:cs="Calibri"/>
          <w:sz w:val="19"/>
        </w:rPr>
        <w:t>2</w:t>
      </w:r>
      <w:r w:rsidRPr="00FD7B4A">
        <w:rPr>
          <w:rFonts w:ascii="Calibri" w:hAnsi="Calibri" w:cs="Calibri"/>
          <w:sz w:val="19"/>
        </w:rPr>
        <w:tab/>
        <w:t xml:space="preserve">G. R. Fulmer, A. J. M. Miller, N. H. Sherden, H. E. Gottlieb, A. Nudelman, B. M. Stoltz, J. E. Bercaw and K. I. Goldberg, </w:t>
      </w:r>
      <w:r w:rsidRPr="00FD7B4A">
        <w:rPr>
          <w:rFonts w:ascii="Calibri" w:hAnsi="Calibri" w:cs="Calibri"/>
          <w:i/>
          <w:iCs/>
          <w:sz w:val="19"/>
        </w:rPr>
        <w:t>Organometallics</w:t>
      </w:r>
      <w:r w:rsidRPr="00FD7B4A">
        <w:rPr>
          <w:rFonts w:ascii="Calibri" w:hAnsi="Calibri" w:cs="Calibri"/>
          <w:sz w:val="19"/>
        </w:rPr>
        <w:t xml:space="preserve">, 2010, </w:t>
      </w:r>
      <w:r w:rsidRPr="00FD7B4A">
        <w:rPr>
          <w:rFonts w:ascii="Calibri" w:hAnsi="Calibri" w:cs="Calibri"/>
          <w:b/>
          <w:bCs/>
          <w:sz w:val="19"/>
        </w:rPr>
        <w:t>29</w:t>
      </w:r>
      <w:r w:rsidRPr="00FD7B4A">
        <w:rPr>
          <w:rFonts w:ascii="Calibri" w:hAnsi="Calibri" w:cs="Calibri"/>
          <w:sz w:val="19"/>
        </w:rPr>
        <w:t>, 2176–2179.</w:t>
      </w:r>
    </w:p>
    <w:p w14:paraId="285AAAB7" w14:textId="77777777" w:rsidR="00FD7B4A" w:rsidRPr="00FD7B4A" w:rsidRDefault="00FD7B4A" w:rsidP="00FD7B4A">
      <w:pPr>
        <w:pStyle w:val="Bibliography"/>
        <w:rPr>
          <w:rFonts w:ascii="Calibri" w:hAnsi="Calibri" w:cs="Calibri"/>
          <w:sz w:val="19"/>
        </w:rPr>
      </w:pPr>
      <w:r w:rsidRPr="00FD7B4A">
        <w:rPr>
          <w:rFonts w:ascii="Calibri" w:hAnsi="Calibri" w:cs="Calibri"/>
          <w:sz w:val="19"/>
        </w:rPr>
        <w:t>3</w:t>
      </w:r>
      <w:r w:rsidRPr="00FD7B4A">
        <w:rPr>
          <w:rFonts w:ascii="Calibri" w:hAnsi="Calibri" w:cs="Calibri"/>
          <w:sz w:val="19"/>
        </w:rPr>
        <w:tab/>
        <w:t xml:space="preserve">J. Lai, Y. Xing, N. Chen, L. Li, F. Wu and R. Chen, </w:t>
      </w:r>
      <w:r w:rsidRPr="00FD7B4A">
        <w:rPr>
          <w:rFonts w:ascii="Calibri" w:hAnsi="Calibri" w:cs="Calibri"/>
          <w:i/>
          <w:iCs/>
          <w:sz w:val="19"/>
        </w:rPr>
        <w:t>Angew. Chem. Int. Ed.</w:t>
      </w:r>
      <w:r w:rsidRPr="00FD7B4A">
        <w:rPr>
          <w:rFonts w:ascii="Calibri" w:hAnsi="Calibri" w:cs="Calibri"/>
          <w:sz w:val="19"/>
        </w:rPr>
        <w:t xml:space="preserve">, 2020, </w:t>
      </w:r>
      <w:r w:rsidRPr="00FD7B4A">
        <w:rPr>
          <w:rFonts w:ascii="Calibri" w:hAnsi="Calibri" w:cs="Calibri"/>
          <w:b/>
          <w:bCs/>
          <w:sz w:val="19"/>
        </w:rPr>
        <w:t>59</w:t>
      </w:r>
      <w:r w:rsidRPr="00FD7B4A">
        <w:rPr>
          <w:rFonts w:ascii="Calibri" w:hAnsi="Calibri" w:cs="Calibri"/>
          <w:sz w:val="19"/>
        </w:rPr>
        <w:t>, 2974–2997.</w:t>
      </w:r>
    </w:p>
    <w:p w14:paraId="3953EEFF" w14:textId="77777777" w:rsidR="00FD7B4A" w:rsidRPr="00FD7B4A" w:rsidRDefault="00FD7B4A" w:rsidP="00FD7B4A">
      <w:pPr>
        <w:pStyle w:val="Bibliography"/>
        <w:rPr>
          <w:rFonts w:ascii="Calibri" w:hAnsi="Calibri" w:cs="Calibri"/>
          <w:sz w:val="19"/>
        </w:rPr>
      </w:pPr>
      <w:r w:rsidRPr="00FD7B4A">
        <w:rPr>
          <w:rFonts w:ascii="Calibri" w:hAnsi="Calibri" w:cs="Calibri"/>
          <w:sz w:val="19"/>
        </w:rPr>
        <w:t>4</w:t>
      </w:r>
      <w:r w:rsidRPr="00FD7B4A">
        <w:rPr>
          <w:rFonts w:ascii="Calibri" w:hAnsi="Calibri" w:cs="Calibri"/>
          <w:sz w:val="19"/>
        </w:rPr>
        <w:tab/>
        <w:t xml:space="preserve">T. Liu, J. P. Vivek, E. W. Zhao, J. Lei, N. Garcia-Araez and C. P. Grey, </w:t>
      </w:r>
      <w:r w:rsidRPr="00FD7B4A">
        <w:rPr>
          <w:rFonts w:ascii="Calibri" w:hAnsi="Calibri" w:cs="Calibri"/>
          <w:i/>
          <w:iCs/>
          <w:sz w:val="19"/>
        </w:rPr>
        <w:t>Chem. Rev.</w:t>
      </w:r>
      <w:r w:rsidRPr="00FD7B4A">
        <w:rPr>
          <w:rFonts w:ascii="Calibri" w:hAnsi="Calibri" w:cs="Calibri"/>
          <w:sz w:val="19"/>
        </w:rPr>
        <w:t xml:space="preserve">, 2020, </w:t>
      </w:r>
      <w:r w:rsidRPr="00FD7B4A">
        <w:rPr>
          <w:rFonts w:ascii="Calibri" w:hAnsi="Calibri" w:cs="Calibri"/>
          <w:b/>
          <w:bCs/>
          <w:sz w:val="19"/>
        </w:rPr>
        <w:t>120</w:t>
      </w:r>
      <w:r w:rsidRPr="00FD7B4A">
        <w:rPr>
          <w:rFonts w:ascii="Calibri" w:hAnsi="Calibri" w:cs="Calibri"/>
          <w:sz w:val="19"/>
        </w:rPr>
        <w:t>, 6558–6625.</w:t>
      </w:r>
    </w:p>
    <w:p w14:paraId="25CE4FB7" w14:textId="1929D037" w:rsidR="006B002E" w:rsidRPr="006B002E" w:rsidRDefault="001A7D1F">
      <w:pPr>
        <w:rPr>
          <w:rFonts w:eastAsia="Arial" w:cstheme="minorHAnsi"/>
          <w:color w:val="000000"/>
          <w:sz w:val="19"/>
          <w:szCs w:val="19"/>
          <w:lang w:eastAsia="zh-CN"/>
        </w:rPr>
      </w:pPr>
      <w:r>
        <w:rPr>
          <w:rFonts w:eastAsia="Arial" w:cstheme="minorHAnsi"/>
          <w:color w:val="000000"/>
          <w:sz w:val="19"/>
          <w:szCs w:val="19"/>
          <w:lang w:eastAsia="zh-CN"/>
        </w:rPr>
        <w:fldChar w:fldCharType="end"/>
      </w:r>
    </w:p>
    <w:sectPr w:rsidR="006B002E" w:rsidRPr="006B00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B30C97"/>
    <w:multiLevelType w:val="hybridMultilevel"/>
    <w:tmpl w:val="81447FE0"/>
    <w:lvl w:ilvl="0" w:tplc="FE966E8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F7D"/>
    <w:rsid w:val="00004FFB"/>
    <w:rsid w:val="0002469A"/>
    <w:rsid w:val="0003050F"/>
    <w:rsid w:val="00036046"/>
    <w:rsid w:val="00041ADF"/>
    <w:rsid w:val="00042B1C"/>
    <w:rsid w:val="00043423"/>
    <w:rsid w:val="0005092B"/>
    <w:rsid w:val="00070F49"/>
    <w:rsid w:val="0008557A"/>
    <w:rsid w:val="00091EBE"/>
    <w:rsid w:val="0009474B"/>
    <w:rsid w:val="000A469A"/>
    <w:rsid w:val="000B1644"/>
    <w:rsid w:val="000B7904"/>
    <w:rsid w:val="000C3F5D"/>
    <w:rsid w:val="000C465E"/>
    <w:rsid w:val="000C75A8"/>
    <w:rsid w:val="000D1C16"/>
    <w:rsid w:val="000D67AF"/>
    <w:rsid w:val="000E01E4"/>
    <w:rsid w:val="000E7041"/>
    <w:rsid w:val="000F3210"/>
    <w:rsid w:val="00115F33"/>
    <w:rsid w:val="00116AB9"/>
    <w:rsid w:val="0013524B"/>
    <w:rsid w:val="00137A50"/>
    <w:rsid w:val="00145366"/>
    <w:rsid w:val="001470D5"/>
    <w:rsid w:val="00163625"/>
    <w:rsid w:val="00165C2A"/>
    <w:rsid w:val="00180821"/>
    <w:rsid w:val="00180DB6"/>
    <w:rsid w:val="001A5858"/>
    <w:rsid w:val="001A7D1F"/>
    <w:rsid w:val="001B2FF5"/>
    <w:rsid w:val="001B34FB"/>
    <w:rsid w:val="001C4D43"/>
    <w:rsid w:val="001C5B85"/>
    <w:rsid w:val="001D3859"/>
    <w:rsid w:val="001D54D5"/>
    <w:rsid w:val="001E028D"/>
    <w:rsid w:val="001E0ED7"/>
    <w:rsid w:val="001E604B"/>
    <w:rsid w:val="001E6719"/>
    <w:rsid w:val="001E7D13"/>
    <w:rsid w:val="001F0D5E"/>
    <w:rsid w:val="001F716D"/>
    <w:rsid w:val="00201BAF"/>
    <w:rsid w:val="00205B78"/>
    <w:rsid w:val="002224A7"/>
    <w:rsid w:val="002249C3"/>
    <w:rsid w:val="002313B5"/>
    <w:rsid w:val="00232B73"/>
    <w:rsid w:val="00233870"/>
    <w:rsid w:val="00234638"/>
    <w:rsid w:val="00235339"/>
    <w:rsid w:val="00236342"/>
    <w:rsid w:val="00252BEB"/>
    <w:rsid w:val="002542AF"/>
    <w:rsid w:val="002655EB"/>
    <w:rsid w:val="002701EC"/>
    <w:rsid w:val="002731BB"/>
    <w:rsid w:val="00274B10"/>
    <w:rsid w:val="00281593"/>
    <w:rsid w:val="002851CD"/>
    <w:rsid w:val="002913A9"/>
    <w:rsid w:val="00291C85"/>
    <w:rsid w:val="002956CA"/>
    <w:rsid w:val="002C44CD"/>
    <w:rsid w:val="002C720D"/>
    <w:rsid w:val="002D0AE6"/>
    <w:rsid w:val="002E0C26"/>
    <w:rsid w:val="002E0D6A"/>
    <w:rsid w:val="002E1844"/>
    <w:rsid w:val="002F1AE3"/>
    <w:rsid w:val="0030278C"/>
    <w:rsid w:val="0030294B"/>
    <w:rsid w:val="00303D80"/>
    <w:rsid w:val="00320CDB"/>
    <w:rsid w:val="00327AEC"/>
    <w:rsid w:val="00330579"/>
    <w:rsid w:val="00332C4C"/>
    <w:rsid w:val="0033334E"/>
    <w:rsid w:val="00342462"/>
    <w:rsid w:val="003654C4"/>
    <w:rsid w:val="00366352"/>
    <w:rsid w:val="003747FE"/>
    <w:rsid w:val="00374DC9"/>
    <w:rsid w:val="00385F61"/>
    <w:rsid w:val="003919CE"/>
    <w:rsid w:val="003A15AB"/>
    <w:rsid w:val="003B3076"/>
    <w:rsid w:val="003C25B2"/>
    <w:rsid w:val="003F2CBF"/>
    <w:rsid w:val="00400769"/>
    <w:rsid w:val="0042107C"/>
    <w:rsid w:val="004213E9"/>
    <w:rsid w:val="0042463A"/>
    <w:rsid w:val="004473FC"/>
    <w:rsid w:val="004502CA"/>
    <w:rsid w:val="00451EB4"/>
    <w:rsid w:val="00476018"/>
    <w:rsid w:val="004967F7"/>
    <w:rsid w:val="004B1D0B"/>
    <w:rsid w:val="004B390D"/>
    <w:rsid w:val="004C00F1"/>
    <w:rsid w:val="004C55C8"/>
    <w:rsid w:val="004D11D1"/>
    <w:rsid w:val="004D5637"/>
    <w:rsid w:val="00524DCD"/>
    <w:rsid w:val="00530A74"/>
    <w:rsid w:val="00551331"/>
    <w:rsid w:val="00553031"/>
    <w:rsid w:val="00561F8A"/>
    <w:rsid w:val="005641F3"/>
    <w:rsid w:val="00570537"/>
    <w:rsid w:val="00576E2E"/>
    <w:rsid w:val="00577295"/>
    <w:rsid w:val="00593751"/>
    <w:rsid w:val="005A231E"/>
    <w:rsid w:val="005A708C"/>
    <w:rsid w:val="005B16F7"/>
    <w:rsid w:val="005B18EB"/>
    <w:rsid w:val="005B3107"/>
    <w:rsid w:val="005F0823"/>
    <w:rsid w:val="00620A1F"/>
    <w:rsid w:val="00623073"/>
    <w:rsid w:val="00625293"/>
    <w:rsid w:val="00626ECE"/>
    <w:rsid w:val="0062768D"/>
    <w:rsid w:val="006312DB"/>
    <w:rsid w:val="00634958"/>
    <w:rsid w:val="006372BF"/>
    <w:rsid w:val="0064127D"/>
    <w:rsid w:val="00646630"/>
    <w:rsid w:val="0065566D"/>
    <w:rsid w:val="00660CF7"/>
    <w:rsid w:val="00665372"/>
    <w:rsid w:val="006658D0"/>
    <w:rsid w:val="0066754C"/>
    <w:rsid w:val="006704D5"/>
    <w:rsid w:val="006757DE"/>
    <w:rsid w:val="00677B64"/>
    <w:rsid w:val="00682134"/>
    <w:rsid w:val="00682826"/>
    <w:rsid w:val="006855A5"/>
    <w:rsid w:val="00690F25"/>
    <w:rsid w:val="00693880"/>
    <w:rsid w:val="006960C5"/>
    <w:rsid w:val="006A016C"/>
    <w:rsid w:val="006A3F82"/>
    <w:rsid w:val="006B002E"/>
    <w:rsid w:val="006B183C"/>
    <w:rsid w:val="006B215F"/>
    <w:rsid w:val="006C438F"/>
    <w:rsid w:val="006C7166"/>
    <w:rsid w:val="006D1ED6"/>
    <w:rsid w:val="006E6147"/>
    <w:rsid w:val="006E7DDF"/>
    <w:rsid w:val="006F662E"/>
    <w:rsid w:val="007107AE"/>
    <w:rsid w:val="00713AA0"/>
    <w:rsid w:val="00714838"/>
    <w:rsid w:val="0072542E"/>
    <w:rsid w:val="00734AF7"/>
    <w:rsid w:val="00737FF5"/>
    <w:rsid w:val="007464FB"/>
    <w:rsid w:val="00754A4C"/>
    <w:rsid w:val="007743C2"/>
    <w:rsid w:val="0078344A"/>
    <w:rsid w:val="007A4809"/>
    <w:rsid w:val="007B136F"/>
    <w:rsid w:val="007B6BC8"/>
    <w:rsid w:val="007C32A1"/>
    <w:rsid w:val="007C48E4"/>
    <w:rsid w:val="007C5D70"/>
    <w:rsid w:val="007D4FBF"/>
    <w:rsid w:val="007D64D3"/>
    <w:rsid w:val="007D662F"/>
    <w:rsid w:val="007E05F0"/>
    <w:rsid w:val="007E5EB5"/>
    <w:rsid w:val="007E75EF"/>
    <w:rsid w:val="007F048D"/>
    <w:rsid w:val="007F1C37"/>
    <w:rsid w:val="007F3AA9"/>
    <w:rsid w:val="00814A1E"/>
    <w:rsid w:val="0082578E"/>
    <w:rsid w:val="00835E4D"/>
    <w:rsid w:val="00852E03"/>
    <w:rsid w:val="00860A36"/>
    <w:rsid w:val="00863EA0"/>
    <w:rsid w:val="00864D00"/>
    <w:rsid w:val="00865B91"/>
    <w:rsid w:val="00867B6D"/>
    <w:rsid w:val="00885992"/>
    <w:rsid w:val="00886148"/>
    <w:rsid w:val="0088638F"/>
    <w:rsid w:val="008A38FA"/>
    <w:rsid w:val="008A5D21"/>
    <w:rsid w:val="008C68F5"/>
    <w:rsid w:val="008D0943"/>
    <w:rsid w:val="008E6A68"/>
    <w:rsid w:val="008E7412"/>
    <w:rsid w:val="008F11F7"/>
    <w:rsid w:val="00906E10"/>
    <w:rsid w:val="00912935"/>
    <w:rsid w:val="00925052"/>
    <w:rsid w:val="00925E01"/>
    <w:rsid w:val="00927A92"/>
    <w:rsid w:val="009335A4"/>
    <w:rsid w:val="00950B3F"/>
    <w:rsid w:val="00957930"/>
    <w:rsid w:val="00957E9D"/>
    <w:rsid w:val="0096163E"/>
    <w:rsid w:val="0096480E"/>
    <w:rsid w:val="0096650C"/>
    <w:rsid w:val="00970B71"/>
    <w:rsid w:val="00970DD7"/>
    <w:rsid w:val="00977938"/>
    <w:rsid w:val="00987DF6"/>
    <w:rsid w:val="009927D4"/>
    <w:rsid w:val="009A08FF"/>
    <w:rsid w:val="009B2EB6"/>
    <w:rsid w:val="009C208F"/>
    <w:rsid w:val="009D6402"/>
    <w:rsid w:val="009F4FEC"/>
    <w:rsid w:val="00A17E05"/>
    <w:rsid w:val="00A263E8"/>
    <w:rsid w:val="00A36AEB"/>
    <w:rsid w:val="00A4463E"/>
    <w:rsid w:val="00A71D0C"/>
    <w:rsid w:val="00A92DCF"/>
    <w:rsid w:val="00A93A7B"/>
    <w:rsid w:val="00A9623C"/>
    <w:rsid w:val="00A967BB"/>
    <w:rsid w:val="00AA465B"/>
    <w:rsid w:val="00AA724E"/>
    <w:rsid w:val="00AB12FC"/>
    <w:rsid w:val="00AB22D1"/>
    <w:rsid w:val="00AB5973"/>
    <w:rsid w:val="00AC1051"/>
    <w:rsid w:val="00AC358D"/>
    <w:rsid w:val="00AD2E1B"/>
    <w:rsid w:val="00AD5F0E"/>
    <w:rsid w:val="00AE1E6D"/>
    <w:rsid w:val="00AE2BE9"/>
    <w:rsid w:val="00AE4313"/>
    <w:rsid w:val="00AF3EE5"/>
    <w:rsid w:val="00AF5FAD"/>
    <w:rsid w:val="00B010AF"/>
    <w:rsid w:val="00B056C1"/>
    <w:rsid w:val="00B207C5"/>
    <w:rsid w:val="00B239DD"/>
    <w:rsid w:val="00B24096"/>
    <w:rsid w:val="00B30408"/>
    <w:rsid w:val="00B3204F"/>
    <w:rsid w:val="00B32052"/>
    <w:rsid w:val="00B44563"/>
    <w:rsid w:val="00B4503B"/>
    <w:rsid w:val="00B54BE8"/>
    <w:rsid w:val="00B57C7D"/>
    <w:rsid w:val="00B654B6"/>
    <w:rsid w:val="00B70AC2"/>
    <w:rsid w:val="00B73E40"/>
    <w:rsid w:val="00B762A7"/>
    <w:rsid w:val="00B7661B"/>
    <w:rsid w:val="00B83586"/>
    <w:rsid w:val="00B917DF"/>
    <w:rsid w:val="00B91DBD"/>
    <w:rsid w:val="00BB01D3"/>
    <w:rsid w:val="00BB5B70"/>
    <w:rsid w:val="00BB6988"/>
    <w:rsid w:val="00BC1724"/>
    <w:rsid w:val="00BC1D9D"/>
    <w:rsid w:val="00BC65A2"/>
    <w:rsid w:val="00BD2040"/>
    <w:rsid w:val="00BF0D24"/>
    <w:rsid w:val="00BF258E"/>
    <w:rsid w:val="00BF3641"/>
    <w:rsid w:val="00BF3938"/>
    <w:rsid w:val="00BF7989"/>
    <w:rsid w:val="00C00CCF"/>
    <w:rsid w:val="00C02718"/>
    <w:rsid w:val="00C05F23"/>
    <w:rsid w:val="00C342E8"/>
    <w:rsid w:val="00C447D3"/>
    <w:rsid w:val="00C4784F"/>
    <w:rsid w:val="00C47DDF"/>
    <w:rsid w:val="00C51F22"/>
    <w:rsid w:val="00C550BF"/>
    <w:rsid w:val="00C6641B"/>
    <w:rsid w:val="00C72F2F"/>
    <w:rsid w:val="00C730F4"/>
    <w:rsid w:val="00C95F7D"/>
    <w:rsid w:val="00CA567D"/>
    <w:rsid w:val="00CC22AB"/>
    <w:rsid w:val="00CD4042"/>
    <w:rsid w:val="00CE0A1F"/>
    <w:rsid w:val="00CE51BE"/>
    <w:rsid w:val="00CF6F41"/>
    <w:rsid w:val="00D05649"/>
    <w:rsid w:val="00D14103"/>
    <w:rsid w:val="00D1679F"/>
    <w:rsid w:val="00D20334"/>
    <w:rsid w:val="00D32AB9"/>
    <w:rsid w:val="00D42B64"/>
    <w:rsid w:val="00D4706E"/>
    <w:rsid w:val="00D5657A"/>
    <w:rsid w:val="00DA1EA1"/>
    <w:rsid w:val="00DA45C3"/>
    <w:rsid w:val="00DA7D0D"/>
    <w:rsid w:val="00DB680B"/>
    <w:rsid w:val="00DC168E"/>
    <w:rsid w:val="00DC1FBD"/>
    <w:rsid w:val="00DC2590"/>
    <w:rsid w:val="00DC74B8"/>
    <w:rsid w:val="00DE1AAF"/>
    <w:rsid w:val="00DE57C7"/>
    <w:rsid w:val="00E054F9"/>
    <w:rsid w:val="00E0672A"/>
    <w:rsid w:val="00E106BC"/>
    <w:rsid w:val="00E10863"/>
    <w:rsid w:val="00E14901"/>
    <w:rsid w:val="00E1683E"/>
    <w:rsid w:val="00E210A4"/>
    <w:rsid w:val="00E33F10"/>
    <w:rsid w:val="00E355CA"/>
    <w:rsid w:val="00E371AB"/>
    <w:rsid w:val="00E469A4"/>
    <w:rsid w:val="00E4786D"/>
    <w:rsid w:val="00E52F4B"/>
    <w:rsid w:val="00E61068"/>
    <w:rsid w:val="00E62352"/>
    <w:rsid w:val="00E62919"/>
    <w:rsid w:val="00E74B23"/>
    <w:rsid w:val="00E760C1"/>
    <w:rsid w:val="00E76D66"/>
    <w:rsid w:val="00E94699"/>
    <w:rsid w:val="00EB58FD"/>
    <w:rsid w:val="00EB7130"/>
    <w:rsid w:val="00EC00EA"/>
    <w:rsid w:val="00ED26E1"/>
    <w:rsid w:val="00ED2895"/>
    <w:rsid w:val="00EF0370"/>
    <w:rsid w:val="00EF25F1"/>
    <w:rsid w:val="00EF2A11"/>
    <w:rsid w:val="00EF578C"/>
    <w:rsid w:val="00F04BB0"/>
    <w:rsid w:val="00F05023"/>
    <w:rsid w:val="00F06197"/>
    <w:rsid w:val="00F151E7"/>
    <w:rsid w:val="00F17A6D"/>
    <w:rsid w:val="00F260B0"/>
    <w:rsid w:val="00F2630C"/>
    <w:rsid w:val="00F27618"/>
    <w:rsid w:val="00F277C1"/>
    <w:rsid w:val="00F4084C"/>
    <w:rsid w:val="00F41B20"/>
    <w:rsid w:val="00F4793C"/>
    <w:rsid w:val="00F507B6"/>
    <w:rsid w:val="00F51442"/>
    <w:rsid w:val="00F51B63"/>
    <w:rsid w:val="00F53B13"/>
    <w:rsid w:val="00F55296"/>
    <w:rsid w:val="00F6592A"/>
    <w:rsid w:val="00F6660C"/>
    <w:rsid w:val="00F740D5"/>
    <w:rsid w:val="00F759E3"/>
    <w:rsid w:val="00F75C93"/>
    <w:rsid w:val="00F807DC"/>
    <w:rsid w:val="00F84FE9"/>
    <w:rsid w:val="00F864C2"/>
    <w:rsid w:val="00F91A1C"/>
    <w:rsid w:val="00F93458"/>
    <w:rsid w:val="00FA60FB"/>
    <w:rsid w:val="00FA77AB"/>
    <w:rsid w:val="00FB551F"/>
    <w:rsid w:val="00FD36BF"/>
    <w:rsid w:val="00FD7B4A"/>
    <w:rsid w:val="12903DB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62CCD"/>
  <w15:chartTrackingRefBased/>
  <w15:docId w15:val="{28D7CDA4-1C0A-45DE-A8BA-AC7606778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1644"/>
    <w:rPr>
      <w:sz w:val="16"/>
      <w:szCs w:val="16"/>
    </w:rPr>
  </w:style>
  <w:style w:type="paragraph" w:styleId="CommentText">
    <w:name w:val="annotation text"/>
    <w:basedOn w:val="Normal"/>
    <w:link w:val="CommentTextChar"/>
    <w:uiPriority w:val="99"/>
    <w:unhideWhenUsed/>
    <w:rsid w:val="000B1644"/>
    <w:pPr>
      <w:spacing w:line="240" w:lineRule="auto"/>
    </w:pPr>
    <w:rPr>
      <w:sz w:val="20"/>
      <w:szCs w:val="20"/>
    </w:rPr>
  </w:style>
  <w:style w:type="character" w:customStyle="1" w:styleId="CommentTextChar">
    <w:name w:val="Comment Text Char"/>
    <w:basedOn w:val="DefaultParagraphFont"/>
    <w:link w:val="CommentText"/>
    <w:uiPriority w:val="99"/>
    <w:rsid w:val="000B1644"/>
    <w:rPr>
      <w:sz w:val="20"/>
      <w:szCs w:val="20"/>
    </w:rPr>
  </w:style>
  <w:style w:type="paragraph" w:customStyle="1" w:styleId="RSCB01ARTAbstract">
    <w:name w:val="RSC B01 ART Abstract"/>
    <w:basedOn w:val="Normal"/>
    <w:link w:val="RSCB01ARTAbstractChar"/>
    <w:qFormat/>
    <w:rsid w:val="001C5B85"/>
    <w:pPr>
      <w:spacing w:after="200" w:line="240" w:lineRule="exact"/>
      <w:jc w:val="both"/>
    </w:pPr>
    <w:rPr>
      <w:noProof/>
      <w:sz w:val="16"/>
      <w:lang w:eastAsia="en-GB"/>
    </w:rPr>
  </w:style>
  <w:style w:type="character" w:customStyle="1" w:styleId="RSCB01ARTAbstractChar">
    <w:name w:val="RSC B01 ART Abstract Char"/>
    <w:basedOn w:val="DefaultParagraphFont"/>
    <w:link w:val="RSCB01ARTAbstract"/>
    <w:rsid w:val="001C5B85"/>
    <w:rPr>
      <w:noProof/>
      <w:sz w:val="16"/>
      <w:lang w:eastAsia="en-GB"/>
    </w:rPr>
  </w:style>
  <w:style w:type="paragraph" w:styleId="ListParagraph">
    <w:name w:val="List Paragraph"/>
    <w:basedOn w:val="Normal"/>
    <w:uiPriority w:val="34"/>
    <w:qFormat/>
    <w:rsid w:val="00852E03"/>
    <w:pPr>
      <w:ind w:left="720"/>
      <w:contextualSpacing/>
    </w:pPr>
  </w:style>
  <w:style w:type="paragraph" w:styleId="CommentSubject">
    <w:name w:val="annotation subject"/>
    <w:basedOn w:val="CommentText"/>
    <w:next w:val="CommentText"/>
    <w:link w:val="CommentSubjectChar"/>
    <w:uiPriority w:val="99"/>
    <w:semiHidden/>
    <w:unhideWhenUsed/>
    <w:rsid w:val="00886148"/>
    <w:rPr>
      <w:b/>
      <w:bCs/>
    </w:rPr>
  </w:style>
  <w:style w:type="character" w:customStyle="1" w:styleId="CommentSubjectChar">
    <w:name w:val="Comment Subject Char"/>
    <w:basedOn w:val="CommentTextChar"/>
    <w:link w:val="CommentSubject"/>
    <w:uiPriority w:val="99"/>
    <w:semiHidden/>
    <w:rsid w:val="00886148"/>
    <w:rPr>
      <w:b/>
      <w:bCs/>
      <w:sz w:val="20"/>
      <w:szCs w:val="20"/>
    </w:rPr>
  </w:style>
  <w:style w:type="character" w:styleId="PlaceholderText">
    <w:name w:val="Placeholder Text"/>
    <w:basedOn w:val="DefaultParagraphFont"/>
    <w:uiPriority w:val="99"/>
    <w:semiHidden/>
    <w:rsid w:val="006C438F"/>
    <w:rPr>
      <w:color w:val="808080"/>
    </w:rPr>
  </w:style>
  <w:style w:type="character" w:styleId="Hyperlink">
    <w:name w:val="Hyperlink"/>
    <w:basedOn w:val="DefaultParagraphFont"/>
    <w:uiPriority w:val="99"/>
    <w:unhideWhenUsed/>
    <w:rsid w:val="00AE2BE9"/>
    <w:rPr>
      <w:color w:val="0563C1" w:themeColor="hyperlink"/>
      <w:u w:val="single"/>
    </w:rPr>
  </w:style>
  <w:style w:type="character" w:customStyle="1" w:styleId="UnresolvedMention">
    <w:name w:val="Unresolved Mention"/>
    <w:basedOn w:val="DefaultParagraphFont"/>
    <w:uiPriority w:val="99"/>
    <w:semiHidden/>
    <w:unhideWhenUsed/>
    <w:rsid w:val="00AE2BE9"/>
    <w:rPr>
      <w:color w:val="605E5C"/>
      <w:shd w:val="clear" w:color="auto" w:fill="E1DFDD"/>
    </w:rPr>
  </w:style>
  <w:style w:type="paragraph" w:styleId="Caption">
    <w:name w:val="caption"/>
    <w:basedOn w:val="Normal"/>
    <w:next w:val="Normal"/>
    <w:uiPriority w:val="35"/>
    <w:unhideWhenUsed/>
    <w:qFormat/>
    <w:rsid w:val="00327AEC"/>
    <w:pPr>
      <w:spacing w:after="200" w:line="240" w:lineRule="auto"/>
    </w:pPr>
    <w:rPr>
      <w:i/>
      <w:iCs/>
      <w:color w:val="44546A" w:themeColor="text2"/>
      <w:sz w:val="18"/>
      <w:szCs w:val="18"/>
    </w:rPr>
  </w:style>
  <w:style w:type="character" w:customStyle="1" w:styleId="cf01">
    <w:name w:val="cf01"/>
    <w:basedOn w:val="DefaultParagraphFont"/>
    <w:rsid w:val="0005092B"/>
    <w:rPr>
      <w:rFonts w:ascii="Segoe UI" w:hAnsi="Segoe UI" w:cs="Segoe UI" w:hint="default"/>
      <w:sz w:val="18"/>
      <w:szCs w:val="18"/>
    </w:rPr>
  </w:style>
  <w:style w:type="table" w:styleId="TableGrid">
    <w:name w:val="Table Grid"/>
    <w:basedOn w:val="TableNormal"/>
    <w:uiPriority w:val="39"/>
    <w:rsid w:val="004D1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1A7D1F"/>
    <w:pPr>
      <w:tabs>
        <w:tab w:val="left" w:pos="144"/>
      </w:tabs>
      <w:spacing w:after="0" w:line="240" w:lineRule="auto"/>
      <w:ind w:left="144" w:hanging="144"/>
    </w:pPr>
  </w:style>
  <w:style w:type="paragraph" w:styleId="Revision">
    <w:name w:val="Revision"/>
    <w:hidden/>
    <w:uiPriority w:val="99"/>
    <w:semiHidden/>
    <w:rsid w:val="00AE4313"/>
    <w:pPr>
      <w:spacing w:after="0" w:line="240" w:lineRule="auto"/>
    </w:pPr>
  </w:style>
  <w:style w:type="character" w:customStyle="1" w:styleId="Mention">
    <w:name w:val="Mention"/>
    <w:basedOn w:val="DefaultParagraphFont"/>
    <w:uiPriority w:val="99"/>
    <w:unhideWhenUsed/>
    <w:rsid w:val="00AE4313"/>
    <w:rPr>
      <w:color w:val="2B579A"/>
      <w:shd w:val="clear" w:color="auto" w:fill="E1DFDD"/>
    </w:rPr>
  </w:style>
  <w:style w:type="character" w:customStyle="1" w:styleId="cf11">
    <w:name w:val="cf11"/>
    <w:basedOn w:val="DefaultParagraphFont"/>
    <w:rsid w:val="002913A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948541">
      <w:bodyDiv w:val="1"/>
      <w:marLeft w:val="0"/>
      <w:marRight w:val="0"/>
      <w:marTop w:val="0"/>
      <w:marBottom w:val="0"/>
      <w:divBdr>
        <w:top w:val="none" w:sz="0" w:space="0" w:color="auto"/>
        <w:left w:val="none" w:sz="0" w:space="0" w:color="auto"/>
        <w:bottom w:val="none" w:sz="0" w:space="0" w:color="auto"/>
        <w:right w:val="none" w:sz="0" w:space="0" w:color="auto"/>
      </w:divBdr>
      <w:divsChild>
        <w:div w:id="1426657939">
          <w:marLeft w:val="480"/>
          <w:marRight w:val="0"/>
          <w:marTop w:val="0"/>
          <w:marBottom w:val="0"/>
          <w:divBdr>
            <w:top w:val="none" w:sz="0" w:space="0" w:color="auto"/>
            <w:left w:val="none" w:sz="0" w:space="0" w:color="auto"/>
            <w:bottom w:val="none" w:sz="0" w:space="0" w:color="auto"/>
            <w:right w:val="none" w:sz="0" w:space="0" w:color="auto"/>
          </w:divBdr>
          <w:divsChild>
            <w:div w:id="66323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680817">
      <w:bodyDiv w:val="1"/>
      <w:marLeft w:val="0"/>
      <w:marRight w:val="0"/>
      <w:marTop w:val="0"/>
      <w:marBottom w:val="0"/>
      <w:divBdr>
        <w:top w:val="none" w:sz="0" w:space="0" w:color="auto"/>
        <w:left w:val="none" w:sz="0" w:space="0" w:color="auto"/>
        <w:bottom w:val="none" w:sz="0" w:space="0" w:color="auto"/>
        <w:right w:val="none" w:sz="0" w:space="0" w:color="auto"/>
      </w:divBdr>
      <w:divsChild>
        <w:div w:id="1242250497">
          <w:marLeft w:val="480"/>
          <w:marRight w:val="0"/>
          <w:marTop w:val="0"/>
          <w:marBottom w:val="0"/>
          <w:divBdr>
            <w:top w:val="none" w:sz="0" w:space="0" w:color="auto"/>
            <w:left w:val="none" w:sz="0" w:space="0" w:color="auto"/>
            <w:bottom w:val="none" w:sz="0" w:space="0" w:color="auto"/>
            <w:right w:val="none" w:sz="0" w:space="0" w:color="auto"/>
          </w:divBdr>
          <w:divsChild>
            <w:div w:id="98659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D84162DCEF5D4991C7328554726FEE" ma:contentTypeVersion="14" ma:contentTypeDescription="Create a new document." ma:contentTypeScope="" ma:versionID="e093469f5e35b22381cdd95fa871b08d">
  <xsd:schema xmlns:xsd="http://www.w3.org/2001/XMLSchema" xmlns:xs="http://www.w3.org/2001/XMLSchema" xmlns:p="http://schemas.microsoft.com/office/2006/metadata/properties" xmlns:ns3="6966272a-8d4a-4ec3-9063-ddfefe2b2668" xmlns:ns4="820b8a8b-37e4-44b0-899b-61f3ad52bb13" targetNamespace="http://schemas.microsoft.com/office/2006/metadata/properties" ma:root="true" ma:fieldsID="b3b51a71df1b8d451fe497e497253b70" ns3:_="" ns4:_="">
    <xsd:import namespace="6966272a-8d4a-4ec3-9063-ddfefe2b2668"/>
    <xsd:import namespace="820b8a8b-37e4-44b0-899b-61f3ad52bb1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6272a-8d4a-4ec3-9063-ddfefe2b26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0b8a8b-37e4-44b0-899b-61f3ad52bb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4A2BF-2D88-4BE8-AE9F-5CCE97537571}">
  <ds:schemaRefs>
    <ds:schemaRef ds:uri="820b8a8b-37e4-44b0-899b-61f3ad52bb13"/>
    <ds:schemaRef ds:uri="http://schemas.microsoft.com/office/2006/metadata/properties"/>
    <ds:schemaRef ds:uri="http://purl.org/dc/elements/1.1/"/>
    <ds:schemaRef ds:uri="http://schemas.microsoft.com/office/2006/documentManagement/types"/>
    <ds:schemaRef ds:uri="http://purl.org/dc/dcmitype/"/>
    <ds:schemaRef ds:uri="http://schemas.microsoft.com/office/infopath/2007/PartnerControls"/>
    <ds:schemaRef ds:uri="6966272a-8d4a-4ec3-9063-ddfefe2b2668"/>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672E21B4-8F25-4944-BBF6-6A44A039E8AB}">
  <ds:schemaRefs>
    <ds:schemaRef ds:uri="http://schemas.microsoft.com/sharepoint/v3/contenttype/forms"/>
  </ds:schemaRefs>
</ds:datastoreItem>
</file>

<file path=customXml/itemProps3.xml><?xml version="1.0" encoding="utf-8"?>
<ds:datastoreItem xmlns:ds="http://schemas.openxmlformats.org/officeDocument/2006/customXml" ds:itemID="{CD5AB47F-B589-4440-ABF1-41F547FE6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6272a-8d4a-4ec3-9063-ddfefe2b2668"/>
    <ds:schemaRef ds:uri="820b8a8b-37e4-44b0-899b-61f3ad52b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A23FDA-F33F-4F58-9F9B-E76943B47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1845</Words>
  <Characters>10523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Rory McNulty</dc:creator>
  <cp:keywords/>
  <dc:description/>
  <cp:lastModifiedBy>Paul Adamson</cp:lastModifiedBy>
  <cp:revision>2</cp:revision>
  <dcterms:created xsi:type="dcterms:W3CDTF">2023-04-28T11:07:00Z</dcterms:created>
  <dcterms:modified xsi:type="dcterms:W3CDTF">2023-04-28T11:07:00Z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0x01010077D84162DCEF5D4991C7328554726FEE</vt:lpwstr>
  </property>
  <property fmtid="{D5CDD505-2E9C-101B-9397-08002B2CF9AE}" pid="3" name="MediaServiceImageTags">
    <vt:lpwstr/>
  </property>
  <property fmtid="{D5CDD505-2E9C-101B-9397-08002B2CF9AE}" pid="4" name="ZOTERO_PREF_1">
    <vt:lpwstr>&lt;data data-version="3" zotero-version="6.0.20"&gt;&lt;session id="JgOAaPsl"/&gt;&lt;style id="http://www.zotero.org/styles/royal-society-of-chemistry" hasBibliography="1" bibliographyStyleHasBeenSet="1"/&gt;&lt;prefs&gt;&lt;pref name="fieldType" value="Field"/&gt;&lt;/prefs&gt;&lt;/data&gt;</vt:lpwstr>
  </property>
</Properties>
</file>