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6F4C5" w14:textId="77777777" w:rsidR="00996419" w:rsidRPr="00B459E7" w:rsidRDefault="00996419" w:rsidP="00980FA3">
      <w:pPr>
        <w:pStyle w:val="MDPI11articletype"/>
        <w:rPr>
          <w:lang w:val="en-GB"/>
        </w:rPr>
      </w:pPr>
      <w:r w:rsidRPr="00B459E7">
        <w:rPr>
          <w:lang w:val="en-GB"/>
        </w:rPr>
        <w:t>Article</w:t>
      </w:r>
    </w:p>
    <w:p w14:paraId="271D7957" w14:textId="66AA66E8" w:rsidR="00BB27FD" w:rsidRPr="00F84F07" w:rsidRDefault="00BB27FD" w:rsidP="00980FA3">
      <w:pPr>
        <w:pStyle w:val="MDPI12title"/>
        <w:rPr>
          <w:lang w:val="en-GB"/>
        </w:rPr>
      </w:pPr>
      <w:r w:rsidRPr="00B459E7">
        <w:rPr>
          <w:lang w:val="en-GB"/>
        </w:rPr>
        <w:t xml:space="preserve">Beneficial </w:t>
      </w:r>
      <w:r w:rsidR="00C5547C" w:rsidRPr="00B459E7">
        <w:rPr>
          <w:lang w:val="en-GB"/>
        </w:rPr>
        <w:t xml:space="preserve">Effects </w:t>
      </w:r>
      <w:r w:rsidRPr="00B459E7">
        <w:rPr>
          <w:lang w:val="en-GB"/>
        </w:rPr>
        <w:t xml:space="preserve">of Acetyl-DL-Leucine (ADLL) in a </w:t>
      </w:r>
      <w:r w:rsidR="00C5547C" w:rsidRPr="00F84F07">
        <w:rPr>
          <w:lang w:val="en-GB"/>
        </w:rPr>
        <w:t xml:space="preserve">Mouse Model </w:t>
      </w:r>
      <w:r w:rsidRPr="00F84F07">
        <w:rPr>
          <w:lang w:val="en-GB"/>
        </w:rPr>
        <w:t xml:space="preserve">of </w:t>
      </w:r>
      <w:proofErr w:type="spellStart"/>
      <w:r w:rsidRPr="00F84F07">
        <w:rPr>
          <w:lang w:val="en-GB"/>
        </w:rPr>
        <w:t>Sandhoff</w:t>
      </w:r>
      <w:proofErr w:type="spellEnd"/>
      <w:r w:rsidRPr="00F84F07">
        <w:rPr>
          <w:lang w:val="en-GB"/>
        </w:rPr>
        <w:t xml:space="preserve"> Disease</w:t>
      </w:r>
    </w:p>
    <w:p w14:paraId="05D976D4" w14:textId="680277CD" w:rsidR="00BB27FD" w:rsidRPr="00F84F07" w:rsidRDefault="00BB27FD" w:rsidP="00980FA3">
      <w:pPr>
        <w:pStyle w:val="MDPI13authornames"/>
        <w:rPr>
          <w:lang w:val="en-GB"/>
        </w:rPr>
      </w:pPr>
      <w:proofErr w:type="spellStart"/>
      <w:r w:rsidRPr="00F84F07">
        <w:rPr>
          <w:lang w:val="en-GB"/>
        </w:rPr>
        <w:t>Ecem</w:t>
      </w:r>
      <w:proofErr w:type="spellEnd"/>
      <w:r w:rsidRPr="00F84F07">
        <w:rPr>
          <w:lang w:val="en-GB"/>
        </w:rPr>
        <w:t xml:space="preserve"> Kaya</w:t>
      </w:r>
      <w:r w:rsidR="00980FA3" w:rsidRPr="00F84F07">
        <w:rPr>
          <w:lang w:val="en-GB"/>
        </w:rPr>
        <w:t xml:space="preserve"> </w:t>
      </w:r>
      <w:r w:rsidRPr="00F84F07">
        <w:rPr>
          <w:vertAlign w:val="superscript"/>
          <w:lang w:val="en-GB"/>
        </w:rPr>
        <w:t>1</w:t>
      </w:r>
      <w:r w:rsidRPr="00F84F07">
        <w:rPr>
          <w:lang w:val="en-GB"/>
        </w:rPr>
        <w:t xml:space="preserve">, </w:t>
      </w:r>
      <w:r w:rsidR="00D4196F" w:rsidRPr="00F84F07">
        <w:rPr>
          <w:lang w:val="en-GB"/>
        </w:rPr>
        <w:t>David A. Smith</w:t>
      </w:r>
      <w:r w:rsidR="00980FA3" w:rsidRPr="00F84F07">
        <w:rPr>
          <w:lang w:val="en-GB"/>
        </w:rPr>
        <w:t xml:space="preserve"> </w:t>
      </w:r>
      <w:r w:rsidRPr="00F84F07">
        <w:rPr>
          <w:vertAlign w:val="superscript"/>
          <w:lang w:val="en-GB"/>
        </w:rPr>
        <w:t>1</w:t>
      </w:r>
      <w:r w:rsidRPr="00F84F07">
        <w:rPr>
          <w:lang w:val="en-GB"/>
        </w:rPr>
        <w:t xml:space="preserve">, Claire </w:t>
      </w:r>
      <w:r w:rsidR="0009299B" w:rsidRPr="00F84F07">
        <w:rPr>
          <w:lang w:val="en-GB"/>
        </w:rPr>
        <w:t xml:space="preserve">Smith </w:t>
      </w:r>
      <w:r w:rsidRPr="00F84F07">
        <w:rPr>
          <w:vertAlign w:val="superscript"/>
          <w:lang w:val="en-GB"/>
        </w:rPr>
        <w:t>1</w:t>
      </w:r>
      <w:r w:rsidRPr="00F84F07">
        <w:rPr>
          <w:lang w:val="en-GB"/>
        </w:rPr>
        <w:t>, Barry Boland</w:t>
      </w:r>
      <w:r w:rsidR="00980FA3" w:rsidRPr="00F84F07">
        <w:rPr>
          <w:lang w:val="en-GB"/>
        </w:rPr>
        <w:t xml:space="preserve"> </w:t>
      </w:r>
      <w:r w:rsidRPr="00F84F07">
        <w:rPr>
          <w:vertAlign w:val="superscript"/>
          <w:lang w:val="en-GB"/>
        </w:rPr>
        <w:t>2</w:t>
      </w:r>
      <w:r w:rsidRPr="00F84F07">
        <w:rPr>
          <w:lang w:val="en-GB"/>
        </w:rPr>
        <w:t xml:space="preserve">, Michael </w:t>
      </w:r>
      <w:proofErr w:type="spellStart"/>
      <w:r w:rsidRPr="00F84F07">
        <w:rPr>
          <w:lang w:val="en-GB"/>
        </w:rPr>
        <w:t>Strupp</w:t>
      </w:r>
      <w:proofErr w:type="spellEnd"/>
      <w:r w:rsidR="00435CFD" w:rsidRPr="00F84F07">
        <w:rPr>
          <w:lang w:val="en-GB"/>
        </w:rPr>
        <w:t xml:space="preserve"> </w:t>
      </w:r>
      <w:r w:rsidRPr="00F84F07">
        <w:rPr>
          <w:vertAlign w:val="superscript"/>
          <w:lang w:val="en-GB"/>
        </w:rPr>
        <w:t>3</w:t>
      </w:r>
      <w:r w:rsidRPr="00F84F07">
        <w:rPr>
          <w:lang w:val="en-GB"/>
        </w:rPr>
        <w:t xml:space="preserve"> and </w:t>
      </w:r>
      <w:r w:rsidR="007476CB" w:rsidRPr="00F84F07">
        <w:rPr>
          <w:lang w:val="en-GB"/>
        </w:rPr>
        <w:br/>
      </w:r>
      <w:r w:rsidRPr="00F84F07">
        <w:rPr>
          <w:lang w:val="en-GB"/>
        </w:rPr>
        <w:t>Frances M</w:t>
      </w:r>
      <w:r w:rsidR="00E77A6C" w:rsidRPr="00F84F07">
        <w:rPr>
          <w:lang w:val="en-GB"/>
        </w:rPr>
        <w:t xml:space="preserve">. </w:t>
      </w:r>
      <w:r w:rsidRPr="00F84F07">
        <w:rPr>
          <w:lang w:val="en-GB"/>
        </w:rPr>
        <w:t>Platt</w:t>
      </w:r>
      <w:r w:rsidR="00980FA3" w:rsidRPr="00F84F07">
        <w:rPr>
          <w:lang w:val="en-GB"/>
        </w:rPr>
        <w:t xml:space="preserve"> </w:t>
      </w:r>
      <w:r w:rsidR="00996419" w:rsidRPr="00F84F07">
        <w:rPr>
          <w:vertAlign w:val="superscript"/>
          <w:lang w:val="en-GB"/>
        </w:rPr>
        <w:t>1</w:t>
      </w:r>
      <w:r w:rsidR="00980FA3" w:rsidRPr="00F84F07">
        <w:rPr>
          <w:vertAlign w:val="superscript"/>
          <w:lang w:val="en-GB"/>
        </w:rPr>
        <w:t>,</w:t>
      </w:r>
      <w:r w:rsidR="00980FA3" w:rsidRPr="00F84F07">
        <w:rPr>
          <w:lang w:val="en-GB"/>
        </w:rPr>
        <w:t>*</w:t>
      </w:r>
    </w:p>
    <w:p w14:paraId="02B06183" w14:textId="384BF1C0" w:rsidR="00BB27FD" w:rsidRPr="00F84F07" w:rsidRDefault="00BB27FD" w:rsidP="00980FA3">
      <w:pPr>
        <w:pStyle w:val="MDPI16affiliation"/>
        <w:rPr>
          <w:lang w:val="en-GB"/>
        </w:rPr>
      </w:pPr>
      <w:r w:rsidRPr="00F84F07">
        <w:rPr>
          <w:vertAlign w:val="superscript"/>
          <w:lang w:val="en-GB"/>
        </w:rPr>
        <w:t>1</w:t>
      </w:r>
      <w:r w:rsidRPr="00F84F07">
        <w:rPr>
          <w:lang w:val="en-GB"/>
        </w:rPr>
        <w:tab/>
        <w:t>Department of Pharmacology, University of Oxford, Mansfield Road, Oxford OX1 3QT</w:t>
      </w:r>
      <w:r w:rsidR="00980FA3" w:rsidRPr="00F84F07">
        <w:rPr>
          <w:lang w:val="en-GB"/>
        </w:rPr>
        <w:t>, UK</w:t>
      </w:r>
      <w:r w:rsidR="00656382" w:rsidRPr="00F84F07">
        <w:rPr>
          <w:lang w:val="en-GB"/>
        </w:rPr>
        <w:t xml:space="preserve">; </w:t>
      </w:r>
      <w:r w:rsidR="001213A3" w:rsidRPr="00F84F07">
        <w:rPr>
          <w:lang w:val="en-GB"/>
        </w:rPr>
        <w:t>ecem.kaya@sf.mpg.de</w:t>
      </w:r>
      <w:r w:rsidR="001213A3" w:rsidRPr="00F84F07" w:rsidDel="001213A3">
        <w:rPr>
          <w:lang w:val="en-GB"/>
        </w:rPr>
        <w:t xml:space="preserve"> </w:t>
      </w:r>
      <w:r w:rsidR="00435CFD" w:rsidRPr="00F84F07">
        <w:rPr>
          <w:lang w:val="en-GB"/>
        </w:rPr>
        <w:t>(E.K.); Dave.smith@pharm.ox.ac.uk (D.S.); claire.fletcher@pharm.ox.ac.uk (C.</w:t>
      </w:r>
      <w:r w:rsidR="007476CB" w:rsidRPr="00F84F07">
        <w:rPr>
          <w:rFonts w:ascii="DengXian" w:eastAsia="DengXian" w:hAnsi="DengXian" w:hint="eastAsia"/>
          <w:lang w:val="en-GB" w:eastAsia="zh-CN"/>
        </w:rPr>
        <w:t>S</w:t>
      </w:r>
      <w:r w:rsidR="00435CFD" w:rsidRPr="00F84F07">
        <w:rPr>
          <w:lang w:val="en-GB"/>
        </w:rPr>
        <w:t>.)</w:t>
      </w:r>
    </w:p>
    <w:p w14:paraId="43997E6F" w14:textId="38D700A2" w:rsidR="00996419" w:rsidRPr="00F84F07" w:rsidRDefault="00996419" w:rsidP="00980FA3">
      <w:pPr>
        <w:pStyle w:val="MDPI16affiliation"/>
        <w:rPr>
          <w:lang w:val="en-GB"/>
        </w:rPr>
      </w:pPr>
      <w:r w:rsidRPr="00F84F07">
        <w:rPr>
          <w:vertAlign w:val="superscript"/>
          <w:lang w:val="en-GB"/>
        </w:rPr>
        <w:t>2</w:t>
      </w:r>
      <w:r w:rsidR="00BB27FD" w:rsidRPr="00F84F07">
        <w:rPr>
          <w:lang w:val="en-GB"/>
        </w:rPr>
        <w:tab/>
        <w:t>Department of Pharmacology and Therapeutics, Western Gateway Building, College of Medicine and Health, University College Cork,</w:t>
      </w:r>
      <w:r w:rsidR="00656382" w:rsidRPr="00F84F07">
        <w:rPr>
          <w:lang w:val="en-GB"/>
        </w:rPr>
        <w:t xml:space="preserve"> </w:t>
      </w:r>
      <w:r w:rsidR="00136ECB" w:rsidRPr="00F84F07">
        <w:rPr>
          <w:lang w:val="en-GB"/>
        </w:rPr>
        <w:t>T12XF62</w:t>
      </w:r>
      <w:r w:rsidR="007476CB" w:rsidRPr="00F84F07">
        <w:rPr>
          <w:lang w:val="en-GB"/>
        </w:rPr>
        <w:t xml:space="preserve"> Cork</w:t>
      </w:r>
      <w:r w:rsidR="00136ECB" w:rsidRPr="00F84F07">
        <w:rPr>
          <w:lang w:val="en-GB"/>
        </w:rPr>
        <w:t xml:space="preserve">, </w:t>
      </w:r>
      <w:r w:rsidR="00BB27FD" w:rsidRPr="00F84F07">
        <w:rPr>
          <w:lang w:val="en-GB"/>
        </w:rPr>
        <w:t>Ireland</w:t>
      </w:r>
      <w:r w:rsidR="00435CFD" w:rsidRPr="00F84F07">
        <w:rPr>
          <w:lang w:val="en-GB"/>
        </w:rPr>
        <w:t>; barry.boland@ucc.ie</w:t>
      </w:r>
    </w:p>
    <w:p w14:paraId="729449BB" w14:textId="0439AF52" w:rsidR="00BB27FD" w:rsidRPr="00F84F07" w:rsidRDefault="00BB27FD" w:rsidP="001213A3">
      <w:pPr>
        <w:pStyle w:val="MDPI16affiliation"/>
      </w:pPr>
      <w:r w:rsidRPr="00F84F07">
        <w:rPr>
          <w:vertAlign w:val="superscript"/>
          <w:lang w:val="en-GB"/>
        </w:rPr>
        <w:t>3</w:t>
      </w:r>
      <w:r w:rsidRPr="00F84F07">
        <w:rPr>
          <w:lang w:val="en-GB"/>
        </w:rPr>
        <w:tab/>
      </w:r>
      <w:r w:rsidRPr="00F84F07">
        <w:t xml:space="preserve">Department of Neurology and German Center for Vertigo and Balance Disorders, Ludwig </w:t>
      </w:r>
      <w:proofErr w:type="spellStart"/>
      <w:r w:rsidRPr="00F84F07">
        <w:t>Maximilians</w:t>
      </w:r>
      <w:proofErr w:type="spellEnd"/>
      <w:r w:rsidRPr="00F84F07">
        <w:t xml:space="preserve"> University</w:t>
      </w:r>
      <w:r w:rsidR="0009299B" w:rsidRPr="00F84F07">
        <w:t xml:space="preserve"> of </w:t>
      </w:r>
      <w:r w:rsidRPr="00F84F07">
        <w:t>Munich,</w:t>
      </w:r>
      <w:r w:rsidR="00F74718" w:rsidRPr="00F84F07">
        <w:t xml:space="preserve"> D-81377 Munich, </w:t>
      </w:r>
      <w:r w:rsidRPr="00F84F07">
        <w:t>Germany</w:t>
      </w:r>
      <w:r w:rsidR="00435CFD" w:rsidRPr="00F84F07">
        <w:t>; Michael.Strupp@med.uni-muenchen.de</w:t>
      </w:r>
    </w:p>
    <w:p w14:paraId="75A5C140" w14:textId="248121A2" w:rsidR="00996419" w:rsidRPr="00B459E7" w:rsidRDefault="00996419" w:rsidP="00980FA3">
      <w:pPr>
        <w:pStyle w:val="MDPI16affiliation"/>
        <w:rPr>
          <w:lang w:val="en-GB"/>
        </w:rPr>
      </w:pPr>
      <w:r w:rsidRPr="00F84F07">
        <w:rPr>
          <w:b/>
          <w:lang w:val="en-GB"/>
        </w:rPr>
        <w:t>*</w:t>
      </w:r>
      <w:r w:rsidR="001428A5" w:rsidRPr="00F84F07">
        <w:rPr>
          <w:b/>
          <w:lang w:val="en-GB"/>
        </w:rPr>
        <w:tab/>
      </w:r>
      <w:r w:rsidRPr="00F84F07">
        <w:rPr>
          <w:lang w:val="en-GB"/>
        </w:rPr>
        <w:t xml:space="preserve">Correspondence: </w:t>
      </w:r>
      <w:r w:rsidR="00BB27FD" w:rsidRPr="00F84F07">
        <w:rPr>
          <w:lang w:val="en-GB"/>
        </w:rPr>
        <w:t>frances.platt@pharm.ox.ac.uk</w:t>
      </w:r>
    </w:p>
    <w:p w14:paraId="2E7BA554" w14:textId="2041FD5F" w:rsidR="00980FA3" w:rsidRPr="00B459E7" w:rsidRDefault="00980FA3" w:rsidP="00980FA3">
      <w:pPr>
        <w:pStyle w:val="MDPI14history"/>
        <w:rPr>
          <w:lang w:val="en-GB"/>
        </w:rPr>
      </w:pPr>
      <w:r w:rsidRPr="00B459E7">
        <w:rPr>
          <w:lang w:val="en-GB"/>
        </w:rPr>
        <w:t xml:space="preserve">Received: </w:t>
      </w:r>
      <w:r w:rsidR="007476CB">
        <w:t>18 February 2020</w:t>
      </w:r>
      <w:r w:rsidRPr="00B459E7">
        <w:rPr>
          <w:lang w:val="en-GB"/>
        </w:rPr>
        <w:t>; Accept</w:t>
      </w:r>
      <w:r w:rsidR="00435CFD" w:rsidRPr="00B459E7">
        <w:rPr>
          <w:lang w:val="en-GB"/>
        </w:rPr>
        <w:t xml:space="preserve">ed: </w:t>
      </w:r>
      <w:r w:rsidR="007476CB">
        <w:t>2 April 2020</w:t>
      </w:r>
      <w:r w:rsidR="00435CFD" w:rsidRPr="00B459E7">
        <w:rPr>
          <w:lang w:val="en-GB"/>
        </w:rPr>
        <w:t>; Published: date</w:t>
      </w:r>
    </w:p>
    <w:p w14:paraId="0AC33371" w14:textId="42BD8BB1" w:rsidR="00996419" w:rsidRPr="00B459E7" w:rsidRDefault="00996419" w:rsidP="00435CFD">
      <w:pPr>
        <w:pStyle w:val="MDPI17abstract"/>
        <w:rPr>
          <w:color w:val="auto"/>
          <w:lang w:val="en-GB"/>
        </w:rPr>
      </w:pPr>
      <w:r w:rsidRPr="00B459E7">
        <w:rPr>
          <w:b/>
          <w:lang w:val="en-GB"/>
        </w:rPr>
        <w:t xml:space="preserve">Abstract: </w:t>
      </w:r>
      <w:proofErr w:type="spellStart"/>
      <w:r w:rsidR="00BB27FD" w:rsidRPr="00B459E7">
        <w:rPr>
          <w:lang w:val="en-GB"/>
        </w:rPr>
        <w:t>Sandhoff</w:t>
      </w:r>
      <w:proofErr w:type="spellEnd"/>
      <w:r w:rsidR="00BB27FD" w:rsidRPr="00B459E7">
        <w:rPr>
          <w:lang w:val="en-GB"/>
        </w:rPr>
        <w:t xml:space="preserve"> disease is a rare neurodegenerative lysosomal storage disease associated with the storage of GM2 ganglioside in late endosomes/lysosomes. Here, we explored the efficacy of acetyl-DL-leucine (ADLL), which has been shown to improve ataxia in observational studies in patients with Niemann</w:t>
      </w:r>
      <w:r w:rsidR="005D2D2E" w:rsidRPr="00E11DBD">
        <w:rPr>
          <w:szCs w:val="20"/>
        </w:rPr>
        <w:t>–</w:t>
      </w:r>
      <w:r w:rsidR="00BB27FD" w:rsidRPr="00B459E7">
        <w:rPr>
          <w:lang w:val="en-GB"/>
        </w:rPr>
        <w:t xml:space="preserve">Pick Type C1 and other cerebellar ataxias. We treated a mouse model of </w:t>
      </w:r>
      <w:proofErr w:type="spellStart"/>
      <w:r w:rsidR="00BB27FD" w:rsidRPr="00B459E7">
        <w:rPr>
          <w:lang w:val="en-GB"/>
        </w:rPr>
        <w:t>Sandhoff</w:t>
      </w:r>
      <w:proofErr w:type="spellEnd"/>
      <w:r w:rsidR="00BB27FD" w:rsidRPr="00B459E7">
        <w:rPr>
          <w:lang w:val="en-GB"/>
        </w:rPr>
        <w:t xml:space="preserve"> disease (</w:t>
      </w:r>
      <w:proofErr w:type="spellStart"/>
      <w:r w:rsidR="00BB27FD" w:rsidRPr="00B459E7">
        <w:rPr>
          <w:i/>
          <w:iCs/>
          <w:lang w:val="en-GB"/>
        </w:rPr>
        <w:t>Hexb</w:t>
      </w:r>
      <w:proofErr w:type="spellEnd"/>
      <w:r w:rsidR="00BB27FD" w:rsidRPr="00B459E7">
        <w:rPr>
          <w:i/>
          <w:iCs/>
          <w:vertAlign w:val="superscript"/>
          <w:lang w:val="en-GB"/>
        </w:rPr>
        <w:t>-/-</w:t>
      </w:r>
      <w:r w:rsidR="00BB27FD" w:rsidRPr="00B459E7">
        <w:rPr>
          <w:lang w:val="en-GB"/>
        </w:rPr>
        <w:t xml:space="preserve">) (0.1 g/kg/day) from 3 weeks of age with this orally available drug. ADLL produced a modest but significant increase in life span, accompanied by improved motor function and reduced </w:t>
      </w:r>
      <w:r w:rsidR="00297669" w:rsidRPr="00B459E7">
        <w:rPr>
          <w:lang w:val="en-GB"/>
        </w:rPr>
        <w:t>glycosphingolipid</w:t>
      </w:r>
      <w:r w:rsidR="00BB27FD" w:rsidRPr="00B459E7">
        <w:rPr>
          <w:lang w:val="en-GB"/>
        </w:rPr>
        <w:t xml:space="preserve"> (GSL) storage in the forebrain and cerebellum, in particular GA2. ADLL was also found to </w:t>
      </w:r>
      <w:r w:rsidR="00795204" w:rsidRPr="00B459E7">
        <w:rPr>
          <w:lang w:val="en-GB"/>
        </w:rPr>
        <w:t>normalize</w:t>
      </w:r>
      <w:r w:rsidR="00BB27FD" w:rsidRPr="00B459E7">
        <w:rPr>
          <w:lang w:val="en-GB"/>
        </w:rPr>
        <w:t xml:space="preserve"> altered glucose and glutamate metabolism</w:t>
      </w:r>
      <w:r w:rsidR="00E1002E" w:rsidRPr="00B459E7">
        <w:rPr>
          <w:lang w:val="en-GB"/>
        </w:rPr>
        <w:t>, as well</w:t>
      </w:r>
      <w:r w:rsidR="00BB27FD" w:rsidRPr="00B459E7">
        <w:rPr>
          <w:lang w:val="en-GB"/>
        </w:rPr>
        <w:t xml:space="preserve"> a</w:t>
      </w:r>
      <w:r w:rsidR="00E1002E" w:rsidRPr="00B459E7">
        <w:rPr>
          <w:lang w:val="en-GB"/>
        </w:rPr>
        <w:t xml:space="preserve">s </w:t>
      </w:r>
      <w:r w:rsidR="00BB27FD" w:rsidRPr="00B459E7">
        <w:rPr>
          <w:lang w:val="en-GB"/>
        </w:rPr>
        <w:t>increas</w:t>
      </w:r>
      <w:r w:rsidR="00E1002E" w:rsidRPr="00B459E7">
        <w:rPr>
          <w:lang w:val="en-GB"/>
        </w:rPr>
        <w:t>ing</w:t>
      </w:r>
      <w:r w:rsidR="00BB27FD" w:rsidRPr="00B459E7">
        <w:rPr>
          <w:lang w:val="en-GB"/>
        </w:rPr>
        <w:t xml:space="preserve"> autophagy and the reactive oxygen species (ROS) scavenger, superoxide dismutase (SOD1). Our findings provide new insights into metabolic abnormalities in </w:t>
      </w:r>
      <w:proofErr w:type="spellStart"/>
      <w:r w:rsidR="00BB27FD" w:rsidRPr="00B459E7">
        <w:rPr>
          <w:lang w:val="en-GB"/>
        </w:rPr>
        <w:t>Sandhoff</w:t>
      </w:r>
      <w:proofErr w:type="spellEnd"/>
      <w:r w:rsidR="00BB27FD" w:rsidRPr="00B459E7">
        <w:rPr>
          <w:lang w:val="en-GB"/>
        </w:rPr>
        <w:t xml:space="preserve"> disease, which could be targeted with new therapeutic approaches, including ADLL. </w:t>
      </w:r>
    </w:p>
    <w:p w14:paraId="7D9919F0" w14:textId="7CA4EFD8" w:rsidR="00996419" w:rsidRPr="00B459E7" w:rsidRDefault="00980FA3" w:rsidP="00980FA3">
      <w:pPr>
        <w:pStyle w:val="MDPI18keywords"/>
        <w:rPr>
          <w:lang w:val="en-GB"/>
        </w:rPr>
      </w:pPr>
      <w:r w:rsidRPr="00B459E7">
        <w:rPr>
          <w:b/>
          <w:lang w:val="en-GB"/>
        </w:rPr>
        <w:t>Keywords:</w:t>
      </w:r>
      <w:r w:rsidR="00996419" w:rsidRPr="00B459E7">
        <w:rPr>
          <w:b/>
          <w:lang w:val="en-GB"/>
        </w:rPr>
        <w:t xml:space="preserve"> </w:t>
      </w:r>
      <w:proofErr w:type="spellStart"/>
      <w:r w:rsidR="00DD1438">
        <w:rPr>
          <w:lang w:val="en-GB"/>
        </w:rPr>
        <w:t>S</w:t>
      </w:r>
      <w:r w:rsidR="00DD1438" w:rsidRPr="00B459E7">
        <w:rPr>
          <w:lang w:val="en-GB"/>
        </w:rPr>
        <w:t>andhoff</w:t>
      </w:r>
      <w:proofErr w:type="spellEnd"/>
      <w:r w:rsidR="00DD1438" w:rsidRPr="00B459E7">
        <w:rPr>
          <w:lang w:val="en-GB"/>
        </w:rPr>
        <w:t xml:space="preserve"> </w:t>
      </w:r>
      <w:r w:rsidR="00BB27FD" w:rsidRPr="00B459E7">
        <w:rPr>
          <w:lang w:val="en-GB"/>
        </w:rPr>
        <w:t>disease</w:t>
      </w:r>
      <w:r w:rsidRPr="00B459E7">
        <w:rPr>
          <w:lang w:val="en-GB"/>
        </w:rPr>
        <w:t xml:space="preserve">; </w:t>
      </w:r>
      <w:r w:rsidR="00957FA8">
        <w:rPr>
          <w:lang w:val="en-GB"/>
        </w:rPr>
        <w:t>a</w:t>
      </w:r>
      <w:r w:rsidR="00957FA8" w:rsidRPr="00B459E7">
        <w:rPr>
          <w:lang w:val="en-GB"/>
        </w:rPr>
        <w:t>cetyl</w:t>
      </w:r>
      <w:r w:rsidR="00BB27FD" w:rsidRPr="00B459E7">
        <w:rPr>
          <w:lang w:val="en-GB"/>
        </w:rPr>
        <w:t>-DL-Leucine</w:t>
      </w:r>
      <w:r w:rsidRPr="00B459E7">
        <w:rPr>
          <w:lang w:val="en-GB"/>
        </w:rPr>
        <w:t xml:space="preserve">; </w:t>
      </w:r>
      <w:proofErr w:type="spellStart"/>
      <w:r w:rsidR="007A55AC">
        <w:rPr>
          <w:lang w:val="en-GB"/>
        </w:rPr>
        <w:t>T</w:t>
      </w:r>
      <w:r w:rsidR="007A55AC" w:rsidRPr="00B459E7">
        <w:rPr>
          <w:lang w:val="en-GB"/>
        </w:rPr>
        <w:t>anganil</w:t>
      </w:r>
      <w:proofErr w:type="spellEnd"/>
      <w:r w:rsidRPr="00B459E7">
        <w:rPr>
          <w:lang w:val="en-GB"/>
        </w:rPr>
        <w:t xml:space="preserve">; </w:t>
      </w:r>
      <w:r w:rsidR="00BB27FD" w:rsidRPr="00B459E7">
        <w:rPr>
          <w:lang w:val="en-GB"/>
        </w:rPr>
        <w:t>substrate reduction therapy</w:t>
      </w:r>
      <w:r w:rsidRPr="00B459E7">
        <w:rPr>
          <w:lang w:val="en-GB"/>
        </w:rPr>
        <w:t xml:space="preserve">; </w:t>
      </w:r>
      <w:r w:rsidR="00BB27FD" w:rsidRPr="00B459E7">
        <w:rPr>
          <w:lang w:val="en-GB"/>
        </w:rPr>
        <w:t>metabolism</w:t>
      </w:r>
    </w:p>
    <w:p w14:paraId="75850C9D" w14:textId="77777777" w:rsidR="00996419" w:rsidRPr="00B459E7" w:rsidRDefault="00996419" w:rsidP="00980FA3">
      <w:pPr>
        <w:pStyle w:val="MDPI19line"/>
        <w:pBdr>
          <w:bottom w:val="single" w:sz="4" w:space="1" w:color="000000"/>
        </w:pBdr>
        <w:adjustRightInd w:val="0"/>
        <w:snapToGrid w:val="0"/>
        <w:spacing w:after="480"/>
        <w:rPr>
          <w:lang w:val="en-GB"/>
        </w:rPr>
      </w:pPr>
    </w:p>
    <w:p w14:paraId="413138BE" w14:textId="230437C1" w:rsidR="00996419" w:rsidRPr="00B459E7" w:rsidRDefault="007F45E7" w:rsidP="007F45E7">
      <w:pPr>
        <w:pStyle w:val="MDPI21heading1"/>
        <w:rPr>
          <w:lang w:val="en-GB"/>
        </w:rPr>
      </w:pPr>
      <w:r w:rsidRPr="00B459E7">
        <w:rPr>
          <w:lang w:val="en-GB" w:eastAsia="zh-CN"/>
        </w:rPr>
        <w:t xml:space="preserve">1. </w:t>
      </w:r>
      <w:r w:rsidR="00996419" w:rsidRPr="00B459E7">
        <w:rPr>
          <w:lang w:val="en-GB"/>
        </w:rPr>
        <w:t>Introduction</w:t>
      </w:r>
    </w:p>
    <w:p w14:paraId="185AA53F" w14:textId="0E938BA7" w:rsidR="00795204" w:rsidRPr="00B459E7" w:rsidRDefault="00795204" w:rsidP="007F45E7">
      <w:pPr>
        <w:pStyle w:val="MDPI31text"/>
        <w:rPr>
          <w:lang w:val="en-GB"/>
        </w:rPr>
      </w:pPr>
      <w:r w:rsidRPr="00B459E7">
        <w:rPr>
          <w:lang w:val="en-GB"/>
        </w:rPr>
        <w:t xml:space="preserve">The GM2 </w:t>
      </w:r>
      <w:proofErr w:type="spellStart"/>
      <w:r w:rsidRPr="00B459E7">
        <w:rPr>
          <w:lang w:val="en-GB"/>
        </w:rPr>
        <w:t>gangliosidoses</w:t>
      </w:r>
      <w:proofErr w:type="spellEnd"/>
      <w:r w:rsidR="003F128D" w:rsidRPr="00B459E7">
        <w:rPr>
          <w:lang w:val="en-GB"/>
        </w:rPr>
        <w:t xml:space="preserve"> </w:t>
      </w:r>
      <w:r w:rsidR="00661EC9" w:rsidRPr="00B459E7">
        <w:rPr>
          <w:noProof/>
          <w:lang w:val="en-GB"/>
        </w:rPr>
        <w:t>[1]</w:t>
      </w:r>
      <w:r w:rsidRPr="00B459E7">
        <w:rPr>
          <w:lang w:val="en-GB"/>
        </w:rPr>
        <w:t xml:space="preserve"> are lysosomal storage diseases that include Tay</w:t>
      </w:r>
      <w:r w:rsidR="00E22727" w:rsidRPr="00E11DBD">
        <w:rPr>
          <w:szCs w:val="20"/>
        </w:rPr>
        <w:t>–</w:t>
      </w:r>
      <w:r w:rsidRPr="00B459E7">
        <w:rPr>
          <w:lang w:val="en-GB"/>
        </w:rPr>
        <w:t xml:space="preserve">Sachs disease, </w:t>
      </w:r>
      <w:proofErr w:type="spellStart"/>
      <w:r w:rsidRPr="00B459E7">
        <w:rPr>
          <w:lang w:val="en-GB"/>
        </w:rPr>
        <w:t>Sandhoff</w:t>
      </w:r>
      <w:proofErr w:type="spellEnd"/>
      <w:r w:rsidRPr="00B459E7">
        <w:rPr>
          <w:lang w:val="en-GB"/>
        </w:rPr>
        <w:t xml:space="preserve"> disease and GM2 activator deficiency. </w:t>
      </w:r>
      <w:proofErr w:type="spellStart"/>
      <w:r w:rsidRPr="00B459E7">
        <w:rPr>
          <w:lang w:val="en-GB"/>
        </w:rPr>
        <w:t>Sandhoff</w:t>
      </w:r>
      <w:proofErr w:type="spellEnd"/>
      <w:r w:rsidRPr="00B459E7">
        <w:rPr>
          <w:lang w:val="en-GB"/>
        </w:rPr>
        <w:t xml:space="preserve"> disease is caused by mutations in </w:t>
      </w:r>
      <w:r w:rsidRPr="00B459E7">
        <w:rPr>
          <w:i/>
          <w:lang w:val="en-GB"/>
        </w:rPr>
        <w:t>HEXB</w:t>
      </w:r>
      <w:r w:rsidRPr="00B459E7">
        <w:rPr>
          <w:lang w:val="en-GB"/>
        </w:rPr>
        <w:t xml:space="preserve">, a gene that encodes the beta subunit of </w:t>
      </w:r>
      <w:r w:rsidR="00E77A6C" w:rsidRPr="00B459E7">
        <w:rPr>
          <w:rFonts w:ascii="Symbol" w:hAnsi="Symbol"/>
          <w:lang w:val="en-GB"/>
        </w:rPr>
        <w:t></w:t>
      </w:r>
      <w:r w:rsidRPr="00B459E7">
        <w:rPr>
          <w:lang w:val="en-GB"/>
        </w:rPr>
        <w:t xml:space="preserve">-hexosaminidase, leading to storage of GM2 ganglioside and other glycoconjugate substrates in the central </w:t>
      </w:r>
      <w:r w:rsidR="002A5C2B" w:rsidRPr="00B459E7">
        <w:rPr>
          <w:lang w:val="en-GB"/>
        </w:rPr>
        <w:t>nervous</w:t>
      </w:r>
      <w:r w:rsidRPr="00B459E7">
        <w:rPr>
          <w:lang w:val="en-GB"/>
        </w:rPr>
        <w:t xml:space="preserve"> system (CNS), resulting in progressive neurodegeneration, CNS inflammation and premature death</w:t>
      </w:r>
      <w:r w:rsidR="007F45E7" w:rsidRPr="00B459E7">
        <w:rPr>
          <w:lang w:val="en-GB"/>
        </w:rPr>
        <w:t xml:space="preserve"> </w:t>
      </w:r>
      <w:r w:rsidR="00661EC9" w:rsidRPr="00B459E7">
        <w:rPr>
          <w:noProof/>
          <w:lang w:val="en-GB"/>
        </w:rPr>
        <w:t>[2]</w:t>
      </w:r>
      <w:r w:rsidRPr="00B459E7">
        <w:rPr>
          <w:lang w:val="en-GB"/>
        </w:rPr>
        <w:t>. Symptom onset can occur in infancy or during childhood/adolescence or adulthood</w:t>
      </w:r>
      <w:r w:rsidR="007F45E7" w:rsidRPr="00B459E7">
        <w:rPr>
          <w:lang w:val="en-GB"/>
        </w:rPr>
        <w:t xml:space="preserve"> </w:t>
      </w:r>
      <w:r w:rsidR="00661EC9" w:rsidRPr="00B459E7">
        <w:rPr>
          <w:noProof/>
          <w:lang w:val="en-GB"/>
        </w:rPr>
        <w:t>[3]</w:t>
      </w:r>
      <w:r w:rsidRPr="00B459E7">
        <w:rPr>
          <w:lang w:val="en-GB"/>
        </w:rPr>
        <w:t xml:space="preserve">. Early-onset disease results from more disabling mutations that lead to attenuated residual enzyme activity and rapid disease progression, while later-onset forms with some residual enzyme activity progress more slowly </w:t>
      </w:r>
      <w:r w:rsidR="00661EC9" w:rsidRPr="00B459E7">
        <w:rPr>
          <w:noProof/>
          <w:lang w:val="en-GB"/>
        </w:rPr>
        <w:t>[3]</w:t>
      </w:r>
      <w:r w:rsidRPr="00B459E7">
        <w:rPr>
          <w:lang w:val="en-GB"/>
        </w:rPr>
        <w:t xml:space="preserve">. Currently, there are no approved disease-specific treatments for </w:t>
      </w:r>
      <w:proofErr w:type="spellStart"/>
      <w:r w:rsidRPr="00B459E7">
        <w:rPr>
          <w:lang w:val="en-GB"/>
        </w:rPr>
        <w:t>Sandhoff</w:t>
      </w:r>
      <w:proofErr w:type="spellEnd"/>
      <w:r w:rsidRPr="00B459E7">
        <w:rPr>
          <w:lang w:val="en-GB"/>
        </w:rPr>
        <w:t xml:space="preserve"> disease</w:t>
      </w:r>
      <w:r w:rsidR="00702552">
        <w:rPr>
          <w:lang w:val="en-GB"/>
        </w:rPr>
        <w:t>.</w:t>
      </w:r>
      <w:r w:rsidRPr="00B459E7">
        <w:rPr>
          <w:lang w:val="en-GB"/>
        </w:rPr>
        <w:t xml:space="preserve"> </w:t>
      </w:r>
      <w:r w:rsidR="00702552">
        <w:rPr>
          <w:lang w:val="en-GB"/>
        </w:rPr>
        <w:t>H</w:t>
      </w:r>
      <w:r w:rsidRPr="00B459E7">
        <w:rPr>
          <w:lang w:val="en-GB"/>
        </w:rPr>
        <w:t>owever, several experimental approaches have been evaluated over the years, including bone marrow transplantation, substrate reduction therapy (SRT) and gene therapy</w:t>
      </w:r>
      <w:r w:rsidR="007F45E7" w:rsidRPr="00B459E7">
        <w:rPr>
          <w:lang w:val="en-GB"/>
        </w:rPr>
        <w:t xml:space="preserve"> </w:t>
      </w:r>
      <w:r w:rsidR="00661EC9" w:rsidRPr="00B459E7">
        <w:rPr>
          <w:noProof/>
          <w:lang w:val="en-GB"/>
        </w:rPr>
        <w:t>[4–7]</w:t>
      </w:r>
      <w:r w:rsidRPr="00B459E7">
        <w:rPr>
          <w:lang w:val="en-GB"/>
        </w:rPr>
        <w:t xml:space="preserve">. For example, the SRT drug, </w:t>
      </w:r>
      <w:proofErr w:type="spellStart"/>
      <w:r w:rsidRPr="00B459E7">
        <w:rPr>
          <w:lang w:val="en-GB"/>
        </w:rPr>
        <w:t>miglustat</w:t>
      </w:r>
      <w:proofErr w:type="spellEnd"/>
      <w:r w:rsidRPr="00B459E7">
        <w:rPr>
          <w:lang w:val="en-GB"/>
        </w:rPr>
        <w:t xml:space="preserve">, reduced levels of GM2 and GA2 in a mouse model of </w:t>
      </w:r>
      <w:proofErr w:type="spellStart"/>
      <w:r w:rsidRPr="00B459E7">
        <w:rPr>
          <w:lang w:val="en-GB"/>
        </w:rPr>
        <w:t>Sandhoff</w:t>
      </w:r>
      <w:proofErr w:type="spellEnd"/>
      <w:r w:rsidRPr="00B459E7">
        <w:rPr>
          <w:lang w:val="en-GB"/>
        </w:rPr>
        <w:t xml:space="preserve"> disease (</w:t>
      </w:r>
      <w:proofErr w:type="spellStart"/>
      <w:r w:rsidRPr="00B459E7">
        <w:rPr>
          <w:lang w:val="en-GB"/>
        </w:rPr>
        <w:t>H</w:t>
      </w:r>
      <w:r w:rsidRPr="00B459E7">
        <w:rPr>
          <w:i/>
          <w:lang w:val="en-GB"/>
        </w:rPr>
        <w:t>exb</w:t>
      </w:r>
      <w:proofErr w:type="spellEnd"/>
      <w:r w:rsidRPr="00B459E7">
        <w:rPr>
          <w:vertAlign w:val="superscript"/>
          <w:lang w:val="en-GB"/>
        </w:rPr>
        <w:t>-/-</w:t>
      </w:r>
      <w:r w:rsidRPr="00B459E7">
        <w:rPr>
          <w:lang w:val="en-GB"/>
        </w:rPr>
        <w:t>), resulting in functional benefit</w:t>
      </w:r>
      <w:r w:rsidR="007F45E7" w:rsidRPr="00B459E7">
        <w:rPr>
          <w:lang w:val="en-GB"/>
        </w:rPr>
        <w:t xml:space="preserve"> </w:t>
      </w:r>
      <w:r w:rsidR="00661EC9" w:rsidRPr="00B459E7">
        <w:rPr>
          <w:noProof/>
          <w:lang w:val="en-GB"/>
        </w:rPr>
        <w:t>[4,8]</w:t>
      </w:r>
      <w:r w:rsidRPr="00B459E7">
        <w:rPr>
          <w:lang w:val="en-GB"/>
        </w:rPr>
        <w:t xml:space="preserve">. In observational clinical studies, </w:t>
      </w:r>
      <w:proofErr w:type="spellStart"/>
      <w:r w:rsidRPr="00B459E7">
        <w:rPr>
          <w:lang w:val="en-GB"/>
        </w:rPr>
        <w:t>miglustat</w:t>
      </w:r>
      <w:proofErr w:type="spellEnd"/>
      <w:r w:rsidRPr="00B459E7">
        <w:rPr>
          <w:lang w:val="en-GB"/>
        </w:rPr>
        <w:t xml:space="preserve"> also provided some benefit </w:t>
      </w:r>
      <w:r w:rsidR="00E1002E" w:rsidRPr="00B459E7">
        <w:rPr>
          <w:lang w:val="en-GB"/>
        </w:rPr>
        <w:t>to</w:t>
      </w:r>
      <w:r w:rsidRPr="00B459E7">
        <w:rPr>
          <w:lang w:val="en-GB"/>
        </w:rPr>
        <w:t xml:space="preserve"> juvenile onset </w:t>
      </w:r>
      <w:proofErr w:type="spellStart"/>
      <w:r w:rsidRPr="00B459E7">
        <w:rPr>
          <w:lang w:val="en-GB"/>
        </w:rPr>
        <w:t>Sandhoff</w:t>
      </w:r>
      <w:proofErr w:type="spellEnd"/>
      <w:r w:rsidRPr="00B459E7">
        <w:rPr>
          <w:lang w:val="en-GB"/>
        </w:rPr>
        <w:t xml:space="preserve"> patients</w:t>
      </w:r>
      <w:r w:rsidR="007F45E7" w:rsidRPr="00B459E7">
        <w:rPr>
          <w:lang w:val="en-GB"/>
        </w:rPr>
        <w:t xml:space="preserve"> </w:t>
      </w:r>
      <w:r w:rsidR="00661EC9" w:rsidRPr="00B459E7">
        <w:rPr>
          <w:noProof/>
          <w:lang w:val="en-GB"/>
        </w:rPr>
        <w:t>[9,10]</w:t>
      </w:r>
      <w:r w:rsidRPr="00B459E7">
        <w:rPr>
          <w:lang w:val="en-GB"/>
        </w:rPr>
        <w:t xml:space="preserve">. </w:t>
      </w:r>
    </w:p>
    <w:p w14:paraId="68821BA7" w14:textId="5F953078" w:rsidR="00795204" w:rsidRPr="00B459E7" w:rsidRDefault="00795204" w:rsidP="00980FA3">
      <w:pPr>
        <w:adjustRightInd w:val="0"/>
        <w:snapToGrid w:val="0"/>
        <w:spacing w:line="240" w:lineRule="auto"/>
        <w:ind w:firstLine="420"/>
        <w:rPr>
          <w:rFonts w:ascii="Palatino Linotype" w:hAnsi="Palatino Linotype"/>
          <w:sz w:val="20"/>
          <w:lang w:val="en-GB"/>
        </w:rPr>
      </w:pPr>
      <w:r w:rsidRPr="00B459E7">
        <w:rPr>
          <w:rFonts w:ascii="Palatino Linotype" w:hAnsi="Palatino Linotype"/>
          <w:sz w:val="20"/>
          <w:lang w:val="en-GB"/>
        </w:rPr>
        <w:t>Acetyl-</w:t>
      </w:r>
      <w:r w:rsidRPr="00B459E7">
        <w:rPr>
          <w:rFonts w:ascii="Palatino Linotype" w:hAnsi="Palatino Linotype"/>
          <w:i/>
          <w:iCs/>
          <w:sz w:val="20"/>
          <w:lang w:val="en-GB"/>
        </w:rPr>
        <w:t>DL</w:t>
      </w:r>
      <w:r w:rsidRPr="00B459E7">
        <w:rPr>
          <w:rFonts w:ascii="Palatino Linotype" w:hAnsi="Palatino Linotype"/>
          <w:sz w:val="20"/>
          <w:lang w:val="en-GB"/>
        </w:rPr>
        <w:t>-leucine (ADLL) is a derivative of the branched chain amino acid leucine, which has been used since 1957 as a treatment for acute vertigo and vertiginous symptoms (</w:t>
      </w:r>
      <w:proofErr w:type="spellStart"/>
      <w:r w:rsidRPr="00B459E7">
        <w:rPr>
          <w:rFonts w:ascii="Palatino Linotype" w:hAnsi="Palatino Linotype"/>
          <w:sz w:val="20"/>
          <w:lang w:val="en-GB"/>
        </w:rPr>
        <w:t>Tanganil</w:t>
      </w:r>
      <w:proofErr w:type="spellEnd"/>
      <w:r w:rsidR="00435CFD" w:rsidRPr="00B459E7">
        <w:rPr>
          <w:rFonts w:ascii="Palatino Linotype" w:hAnsi="Palatino Linotype"/>
          <w:sz w:val="20"/>
          <w:vertAlign w:val="superscript"/>
          <w:lang w:val="en-GB"/>
        </w:rPr>
        <w:t>®</w:t>
      </w:r>
      <w:r w:rsidRPr="00B459E7">
        <w:rPr>
          <w:rFonts w:ascii="Palatino Linotype" w:hAnsi="Palatino Linotype"/>
          <w:sz w:val="20"/>
          <w:lang w:val="en-GB"/>
        </w:rPr>
        <w:t xml:space="preserve">). It is </w:t>
      </w:r>
      <w:r w:rsidRPr="00B459E7">
        <w:rPr>
          <w:rFonts w:ascii="Palatino Linotype" w:hAnsi="Palatino Linotype"/>
          <w:sz w:val="20"/>
          <w:lang w:val="en-GB"/>
        </w:rPr>
        <w:lastRenderedPageBreak/>
        <w:t xml:space="preserve">orally available and has an excellent safety profile; however, its mechanism(s) of action is not fully understood. Drug distribution of </w:t>
      </w:r>
      <w:r w:rsidR="00E10230" w:rsidRPr="00B459E7">
        <w:rPr>
          <w:rFonts w:ascii="Palatino Linotype" w:hAnsi="Palatino Linotype"/>
          <w:sz w:val="20"/>
          <w:lang w:val="en-GB"/>
        </w:rPr>
        <w:t>intravenous (</w:t>
      </w:r>
      <w:proofErr w:type="spellStart"/>
      <w:r w:rsidR="00E10230" w:rsidRPr="00B459E7">
        <w:rPr>
          <w:rFonts w:ascii="Palatino Linotype" w:hAnsi="Palatino Linotype"/>
          <w:sz w:val="20"/>
          <w:lang w:val="en-GB"/>
        </w:rPr>
        <w:t>i.v</w:t>
      </w:r>
      <w:r w:rsidR="00E1002E" w:rsidRPr="00B459E7">
        <w:rPr>
          <w:rFonts w:ascii="Palatino Linotype" w:hAnsi="Palatino Linotype"/>
          <w:sz w:val="20"/>
          <w:lang w:val="en-GB"/>
        </w:rPr>
        <w:t>.</w:t>
      </w:r>
      <w:proofErr w:type="spellEnd"/>
      <w:r w:rsidR="00E10230" w:rsidRPr="00B459E7">
        <w:rPr>
          <w:rFonts w:ascii="Palatino Linotype" w:hAnsi="Palatino Linotype"/>
          <w:sz w:val="20"/>
          <w:lang w:val="en-GB"/>
        </w:rPr>
        <w:t xml:space="preserve">) </w:t>
      </w:r>
      <w:r w:rsidRPr="00B459E7">
        <w:rPr>
          <w:rFonts w:ascii="Palatino Linotype" w:hAnsi="Palatino Linotype"/>
          <w:sz w:val="20"/>
          <w:lang w:val="en-GB"/>
        </w:rPr>
        <w:t>ADLL is rapid and prominent in brain regions responsible for balance, coordination and central vestibular compensation</w:t>
      </w:r>
      <w:r w:rsidR="005119EE" w:rsidRPr="00B459E7">
        <w:rPr>
          <w:rFonts w:ascii="Palatino Linotype" w:hAnsi="Palatino Linotype"/>
          <w:sz w:val="20"/>
          <w:lang w:val="en-GB"/>
        </w:rPr>
        <w:t xml:space="preserve"> </w:t>
      </w:r>
      <w:r w:rsidR="00661EC9" w:rsidRPr="00B459E7">
        <w:rPr>
          <w:rFonts w:ascii="Palatino Linotype" w:hAnsi="Palatino Linotype"/>
          <w:noProof/>
          <w:sz w:val="20"/>
          <w:lang w:val="en-GB"/>
        </w:rPr>
        <w:t>[11]</w:t>
      </w:r>
      <w:r w:rsidRPr="00B459E7">
        <w:rPr>
          <w:rFonts w:ascii="Palatino Linotype" w:hAnsi="Palatino Linotype"/>
          <w:sz w:val="20"/>
          <w:lang w:val="en-GB"/>
        </w:rPr>
        <w:t xml:space="preserve">. </w:t>
      </w:r>
      <w:r w:rsidR="006D48A3" w:rsidRPr="00B459E7">
        <w:rPr>
          <w:rFonts w:ascii="Palatino Linotype" w:hAnsi="Palatino Linotype"/>
          <w:sz w:val="20"/>
          <w:lang w:val="en-GB"/>
        </w:rPr>
        <w:t xml:space="preserve">Electrophysiological studies on vestibular-related networks </w:t>
      </w:r>
      <w:r w:rsidRPr="00B459E7">
        <w:rPr>
          <w:rFonts w:ascii="Palatino Linotype" w:hAnsi="Palatino Linotype"/>
          <w:sz w:val="20"/>
          <w:lang w:val="en-GB"/>
        </w:rPr>
        <w:t xml:space="preserve">in a guinea pig model of vertigo suggested ADLL’s anti-vertigo effect </w:t>
      </w:r>
      <w:r w:rsidRPr="00F84F07">
        <w:rPr>
          <w:rFonts w:ascii="Palatino Linotype" w:hAnsi="Palatino Linotype"/>
          <w:sz w:val="20"/>
          <w:lang w:val="en-GB"/>
        </w:rPr>
        <w:t xml:space="preserve">might be due to its </w:t>
      </w:r>
      <w:r w:rsidR="001E784E" w:rsidRPr="00F84F07">
        <w:rPr>
          <w:rFonts w:ascii="Palatino Linotype" w:hAnsi="Palatino Linotype"/>
          <w:sz w:val="20"/>
          <w:lang w:val="en-GB"/>
        </w:rPr>
        <w:t xml:space="preserve">normalisation </w:t>
      </w:r>
      <w:r w:rsidRPr="00F84F07">
        <w:rPr>
          <w:rFonts w:ascii="Palatino Linotype" w:hAnsi="Palatino Linotype"/>
          <w:sz w:val="20"/>
          <w:lang w:val="en-GB"/>
        </w:rPr>
        <w:t>of abnormal neuronal membrane potentials</w:t>
      </w:r>
      <w:r w:rsidR="00E10230" w:rsidRPr="00F84F07">
        <w:rPr>
          <w:rFonts w:ascii="Palatino Linotype" w:hAnsi="Palatino Linotype"/>
          <w:sz w:val="20"/>
          <w:lang w:val="en-GB"/>
        </w:rPr>
        <w:t xml:space="preserve"> </w:t>
      </w:r>
      <w:r w:rsidR="00E10230" w:rsidRPr="00F84F07">
        <w:rPr>
          <w:rFonts w:ascii="Palatino Linotype" w:hAnsi="Palatino Linotype"/>
          <w:noProof/>
          <w:sz w:val="20"/>
          <w:lang w:val="en-GB"/>
        </w:rPr>
        <w:t>[12]</w:t>
      </w:r>
      <w:r w:rsidRPr="00F84F07">
        <w:rPr>
          <w:rFonts w:ascii="Palatino Linotype" w:hAnsi="Palatino Linotype"/>
          <w:sz w:val="20"/>
          <w:lang w:val="en-GB"/>
        </w:rPr>
        <w:t xml:space="preserve">. ADLL has also been </w:t>
      </w:r>
      <w:r w:rsidR="009E5947" w:rsidRPr="00F84F07">
        <w:rPr>
          <w:rFonts w:ascii="Palatino Linotype" w:hAnsi="Palatino Linotype"/>
          <w:sz w:val="20"/>
          <w:lang w:val="en-GB"/>
        </w:rPr>
        <w:t>trialled</w:t>
      </w:r>
      <w:r w:rsidRPr="00F84F07">
        <w:rPr>
          <w:rFonts w:ascii="Palatino Linotype" w:hAnsi="Palatino Linotype"/>
          <w:sz w:val="20"/>
          <w:lang w:val="en-GB"/>
        </w:rPr>
        <w:t xml:space="preserve"> in observational studies </w:t>
      </w:r>
      <w:r w:rsidR="00C73C4A" w:rsidRPr="00F84F07">
        <w:rPr>
          <w:rFonts w:ascii="Palatino Linotype" w:hAnsi="Palatino Linotype"/>
          <w:sz w:val="20"/>
          <w:lang w:val="en-GB"/>
        </w:rPr>
        <w:t xml:space="preserve">via oral administration </w:t>
      </w:r>
      <w:r w:rsidRPr="00F84F07">
        <w:rPr>
          <w:rFonts w:ascii="Palatino Linotype" w:hAnsi="Palatino Linotype"/>
          <w:sz w:val="20"/>
          <w:lang w:val="en-GB"/>
        </w:rPr>
        <w:t xml:space="preserve">in monogenic cerebellar ataxia patients, producing significant improvement in gait and other symptoms </w:t>
      </w:r>
      <w:r w:rsidR="00661EC9" w:rsidRPr="00F84F07">
        <w:rPr>
          <w:rFonts w:ascii="Palatino Linotype" w:hAnsi="Palatino Linotype"/>
          <w:noProof/>
          <w:sz w:val="20"/>
          <w:lang w:val="en-GB"/>
        </w:rPr>
        <w:t>[13,14]</w:t>
      </w:r>
      <w:r w:rsidRPr="00F84F07">
        <w:rPr>
          <w:rFonts w:ascii="Palatino Linotype" w:hAnsi="Palatino Linotype"/>
          <w:sz w:val="20"/>
          <w:lang w:val="en-GB"/>
        </w:rPr>
        <w:t>. Another case s</w:t>
      </w:r>
      <w:r w:rsidR="00426557" w:rsidRPr="00F84F07">
        <w:rPr>
          <w:rFonts w:ascii="Palatino Linotype" w:hAnsi="Palatino Linotype"/>
          <w:sz w:val="20"/>
          <w:lang w:val="en-GB"/>
        </w:rPr>
        <w:t>tudy</w:t>
      </w:r>
      <w:r w:rsidRPr="00F84F07">
        <w:rPr>
          <w:rFonts w:ascii="Palatino Linotype" w:hAnsi="Palatino Linotype"/>
          <w:sz w:val="20"/>
          <w:lang w:val="en-GB"/>
        </w:rPr>
        <w:t xml:space="preserve"> that adopted an injectable administration of ADLL for cerebellar ataxia did not find benefit </w:t>
      </w:r>
      <w:r w:rsidR="00661EC9" w:rsidRPr="00F84F07">
        <w:rPr>
          <w:rFonts w:ascii="Palatino Linotype" w:hAnsi="Palatino Linotype"/>
          <w:noProof/>
          <w:sz w:val="20"/>
          <w:lang w:val="en-GB"/>
        </w:rPr>
        <w:t>[15]</w:t>
      </w:r>
      <w:r w:rsidRPr="00F84F07">
        <w:rPr>
          <w:rFonts w:ascii="Palatino Linotype" w:hAnsi="Palatino Linotype"/>
          <w:sz w:val="20"/>
          <w:lang w:val="en-GB"/>
        </w:rPr>
        <w:t>, implying</w:t>
      </w:r>
      <w:r w:rsidR="00FB0DCD" w:rsidRPr="00F84F07">
        <w:rPr>
          <w:rFonts w:ascii="Palatino Linotype" w:hAnsi="Palatino Linotype"/>
          <w:sz w:val="20"/>
          <w:lang w:val="en-GB"/>
        </w:rPr>
        <w:t xml:space="preserve"> that</w:t>
      </w:r>
      <w:r w:rsidRPr="00F84F07">
        <w:rPr>
          <w:rFonts w:ascii="Palatino Linotype" w:hAnsi="Palatino Linotype"/>
          <w:sz w:val="20"/>
          <w:lang w:val="en-GB"/>
        </w:rPr>
        <w:t xml:space="preserve"> pharmacokinetic parameters are important for its efficacy. Later, </w:t>
      </w:r>
      <w:r w:rsidR="009257B1" w:rsidRPr="00F84F07">
        <w:rPr>
          <w:rFonts w:ascii="Palatino Linotype" w:hAnsi="Palatino Linotype"/>
          <w:sz w:val="20"/>
          <w:lang w:val="en-GB"/>
        </w:rPr>
        <w:t xml:space="preserve">oral </w:t>
      </w:r>
      <w:r w:rsidRPr="00F84F07">
        <w:rPr>
          <w:rFonts w:ascii="Palatino Linotype" w:hAnsi="Palatino Linotype"/>
          <w:sz w:val="20"/>
          <w:lang w:val="en-GB"/>
        </w:rPr>
        <w:t xml:space="preserve">ADLL was </w:t>
      </w:r>
      <w:r w:rsidR="00D4196F" w:rsidRPr="00F84F07">
        <w:rPr>
          <w:rFonts w:ascii="Palatino Linotype" w:hAnsi="Palatino Linotype"/>
          <w:sz w:val="20"/>
          <w:lang w:val="en-GB"/>
        </w:rPr>
        <w:t xml:space="preserve">trialled </w:t>
      </w:r>
      <w:r w:rsidRPr="00F84F07">
        <w:rPr>
          <w:rFonts w:ascii="Palatino Linotype" w:hAnsi="Palatino Linotype"/>
          <w:sz w:val="20"/>
          <w:lang w:val="en-GB"/>
        </w:rPr>
        <w:t>in patients with another lysosomal lipid storage disorder, Niemann</w:t>
      </w:r>
      <w:r w:rsidR="005D2D2E" w:rsidRPr="00F84F07">
        <w:rPr>
          <w:rFonts w:ascii="Palatino Linotype" w:hAnsi="Palatino Linotype"/>
          <w:sz w:val="20"/>
        </w:rPr>
        <w:t>–</w:t>
      </w:r>
      <w:r w:rsidRPr="00F84F07">
        <w:rPr>
          <w:rFonts w:ascii="Palatino Linotype" w:hAnsi="Palatino Linotype"/>
          <w:sz w:val="20"/>
          <w:lang w:val="en-GB"/>
        </w:rPr>
        <w:t>Pick Type C</w:t>
      </w:r>
      <w:r w:rsidR="00E1002E" w:rsidRPr="00F84F07">
        <w:rPr>
          <w:rFonts w:ascii="Palatino Linotype" w:hAnsi="Palatino Linotype"/>
          <w:sz w:val="20"/>
          <w:lang w:val="en-GB"/>
        </w:rPr>
        <w:t>1</w:t>
      </w:r>
      <w:r w:rsidRPr="00F84F07">
        <w:rPr>
          <w:rFonts w:ascii="Palatino Linotype" w:hAnsi="Palatino Linotype"/>
          <w:sz w:val="20"/>
          <w:lang w:val="en-GB"/>
        </w:rPr>
        <w:t xml:space="preserve"> (NPC</w:t>
      </w:r>
      <w:r w:rsidR="00E1002E" w:rsidRPr="00F84F07">
        <w:rPr>
          <w:rFonts w:ascii="Palatino Linotype" w:hAnsi="Palatino Linotype"/>
          <w:sz w:val="20"/>
          <w:lang w:val="en-GB"/>
        </w:rPr>
        <w:t>1</w:t>
      </w:r>
      <w:r w:rsidRPr="00F84F07">
        <w:rPr>
          <w:rFonts w:ascii="Palatino Linotype" w:hAnsi="Palatino Linotype"/>
          <w:sz w:val="20"/>
          <w:lang w:val="en-GB"/>
        </w:rPr>
        <w:t xml:space="preserve">), where ataxia and dysmetria were reported to improve </w:t>
      </w:r>
      <w:r w:rsidR="00661EC9" w:rsidRPr="00F84F07">
        <w:rPr>
          <w:rFonts w:ascii="Palatino Linotype" w:hAnsi="Palatino Linotype"/>
          <w:noProof/>
          <w:sz w:val="20"/>
          <w:lang w:val="en-GB"/>
        </w:rPr>
        <w:t>[14,16]</w:t>
      </w:r>
      <w:r w:rsidRPr="00F84F07">
        <w:rPr>
          <w:rFonts w:ascii="Palatino Linotype" w:hAnsi="Palatino Linotype"/>
          <w:sz w:val="20"/>
          <w:lang w:val="en-GB"/>
        </w:rPr>
        <w:t>. In addition, cognitive improvements were anecdotally reported by parents of some NPC</w:t>
      </w:r>
      <w:r w:rsidR="00E1002E" w:rsidRPr="00F84F07">
        <w:rPr>
          <w:rFonts w:ascii="Palatino Linotype" w:hAnsi="Palatino Linotype"/>
          <w:sz w:val="20"/>
          <w:lang w:val="en-GB"/>
        </w:rPr>
        <w:t>1</w:t>
      </w:r>
      <w:r w:rsidRPr="00F84F07">
        <w:rPr>
          <w:rFonts w:ascii="Palatino Linotype" w:hAnsi="Palatino Linotype"/>
          <w:sz w:val="20"/>
          <w:lang w:val="en-GB"/>
        </w:rPr>
        <w:t xml:space="preserve"> patients who received ADLL treatment, suggesting potential functional benefit beyond the cerebellar system </w:t>
      </w:r>
      <w:r w:rsidR="00661EC9" w:rsidRPr="00F84F07">
        <w:rPr>
          <w:rFonts w:ascii="Palatino Linotype" w:hAnsi="Palatino Linotype"/>
          <w:noProof/>
          <w:sz w:val="20"/>
          <w:lang w:val="en-GB"/>
        </w:rPr>
        <w:t>[16]</w:t>
      </w:r>
      <w:r w:rsidRPr="00F84F07">
        <w:rPr>
          <w:rFonts w:ascii="Palatino Linotype" w:hAnsi="Palatino Linotype"/>
          <w:sz w:val="20"/>
          <w:lang w:val="en-GB"/>
        </w:rPr>
        <w:t xml:space="preserve">. ADLL was also found to correct lysosomal pathology in </w:t>
      </w:r>
      <w:r w:rsidR="00B074F7" w:rsidRPr="00F84F07">
        <w:rPr>
          <w:rFonts w:ascii="Palatino Linotype" w:hAnsi="Palatino Linotype"/>
          <w:sz w:val="20"/>
          <w:lang w:val="en-GB"/>
        </w:rPr>
        <w:t xml:space="preserve">fibroblasts </w:t>
      </w:r>
      <w:r w:rsidR="008A7E38" w:rsidRPr="00F84F07">
        <w:rPr>
          <w:rFonts w:ascii="Palatino Linotype" w:hAnsi="Palatino Linotype"/>
          <w:sz w:val="20"/>
          <w:lang w:val="en-GB"/>
        </w:rPr>
        <w:t xml:space="preserve">of </w:t>
      </w:r>
      <w:r w:rsidRPr="00F84F07">
        <w:rPr>
          <w:rFonts w:ascii="Palatino Linotype" w:hAnsi="Palatino Linotype"/>
          <w:sz w:val="20"/>
          <w:lang w:val="en-GB"/>
        </w:rPr>
        <w:t>Tangier disease patient</w:t>
      </w:r>
      <w:r w:rsidR="008A7E38" w:rsidRPr="00F84F07">
        <w:rPr>
          <w:rFonts w:ascii="Palatino Linotype" w:hAnsi="Palatino Linotype"/>
          <w:sz w:val="20"/>
          <w:lang w:val="en-GB"/>
        </w:rPr>
        <w:t>s</w:t>
      </w:r>
      <w:r w:rsidR="00B16BBF" w:rsidRPr="00F84F07">
        <w:rPr>
          <w:rFonts w:ascii="Palatino Linotype" w:hAnsi="Palatino Linotype"/>
          <w:sz w:val="20"/>
          <w:lang w:val="en-GB"/>
        </w:rPr>
        <w:t xml:space="preserve"> </w:t>
      </w:r>
      <w:r w:rsidR="007A55AC" w:rsidRPr="00F84F07">
        <w:rPr>
          <w:rFonts w:ascii="Palatino Linotype" w:hAnsi="Palatino Linotype"/>
          <w:noProof/>
          <w:sz w:val="20"/>
          <w:lang w:val="en-GB"/>
        </w:rPr>
        <w:t>[17]</w:t>
      </w:r>
      <w:r w:rsidRPr="00F84F07">
        <w:rPr>
          <w:rFonts w:ascii="Palatino Linotype" w:hAnsi="Palatino Linotype"/>
          <w:sz w:val="20"/>
          <w:lang w:val="en-GB"/>
        </w:rPr>
        <w:t xml:space="preserve">. Tangier disease is due to mutations in </w:t>
      </w:r>
      <w:r w:rsidR="00D4196F" w:rsidRPr="00F84F07">
        <w:rPr>
          <w:rFonts w:ascii="Palatino Linotype" w:hAnsi="Palatino Linotype"/>
          <w:sz w:val="20"/>
          <w:lang w:val="en-GB"/>
        </w:rPr>
        <w:t>the</w:t>
      </w:r>
      <w:r w:rsidR="00D4196F">
        <w:rPr>
          <w:rFonts w:ascii="Palatino Linotype" w:hAnsi="Palatino Linotype"/>
          <w:sz w:val="20"/>
          <w:lang w:val="en-GB"/>
        </w:rPr>
        <w:t xml:space="preserve"> </w:t>
      </w:r>
      <w:r w:rsidR="00E1002E" w:rsidRPr="00B459E7">
        <w:rPr>
          <w:rFonts w:ascii="Palatino Linotype" w:hAnsi="Palatino Linotype"/>
          <w:iCs/>
          <w:sz w:val="20"/>
          <w:lang w:val="en-GB"/>
        </w:rPr>
        <w:t xml:space="preserve">ATP-binding cassette transporter </w:t>
      </w:r>
      <w:r w:rsidR="00F6731A" w:rsidRPr="00B459E7">
        <w:rPr>
          <w:rFonts w:ascii="Palatino Linotype" w:hAnsi="Palatino Linotype"/>
          <w:iCs/>
          <w:sz w:val="20"/>
          <w:lang w:val="en-GB"/>
        </w:rPr>
        <w:t>subfamily A number 1</w:t>
      </w:r>
      <w:r w:rsidR="001543E8">
        <w:rPr>
          <w:rFonts w:ascii="Palatino Linotype" w:hAnsi="Palatino Linotype"/>
          <w:iCs/>
          <w:sz w:val="20"/>
          <w:lang w:val="en-GB"/>
        </w:rPr>
        <w:t xml:space="preserve"> (</w:t>
      </w:r>
      <w:r w:rsidR="001543E8" w:rsidRPr="00B459E7">
        <w:rPr>
          <w:rFonts w:ascii="Palatino Linotype" w:hAnsi="Palatino Linotype"/>
          <w:i/>
          <w:sz w:val="20"/>
          <w:lang w:val="en-GB"/>
        </w:rPr>
        <w:t>ABCA1</w:t>
      </w:r>
      <w:r w:rsidR="00E1002E" w:rsidRPr="00B459E7">
        <w:rPr>
          <w:rFonts w:ascii="Palatino Linotype" w:hAnsi="Palatino Linotype"/>
          <w:iCs/>
          <w:sz w:val="20"/>
          <w:lang w:val="en-GB"/>
        </w:rPr>
        <w:t>)</w:t>
      </w:r>
      <w:r w:rsidR="00F6731A" w:rsidRPr="00B459E7">
        <w:rPr>
          <w:rFonts w:ascii="Palatino Linotype" w:hAnsi="Palatino Linotype"/>
          <w:iCs/>
          <w:sz w:val="20"/>
          <w:lang w:val="en-GB"/>
        </w:rPr>
        <w:t>,</w:t>
      </w:r>
      <w:r w:rsidRPr="00B459E7">
        <w:rPr>
          <w:rFonts w:ascii="Palatino Linotype" w:hAnsi="Palatino Linotype"/>
          <w:sz w:val="20"/>
          <w:lang w:val="en-GB"/>
        </w:rPr>
        <w:t xml:space="preserve"> and has convergent cellular pathology with NPC</w:t>
      </w:r>
      <w:r w:rsidR="00027AF7" w:rsidRPr="00B459E7">
        <w:rPr>
          <w:rFonts w:ascii="Palatino Linotype" w:hAnsi="Palatino Linotype"/>
          <w:sz w:val="20"/>
          <w:lang w:val="en-GB"/>
        </w:rPr>
        <w:t xml:space="preserve"> </w:t>
      </w:r>
      <w:r w:rsidR="00661EC9" w:rsidRPr="00B459E7">
        <w:rPr>
          <w:rFonts w:ascii="Palatino Linotype" w:hAnsi="Palatino Linotype"/>
          <w:noProof/>
          <w:sz w:val="20"/>
          <w:lang w:val="en-GB"/>
        </w:rPr>
        <w:t>[17]</w:t>
      </w:r>
      <w:r w:rsidRPr="00B459E7">
        <w:rPr>
          <w:rFonts w:ascii="Palatino Linotype" w:hAnsi="Palatino Linotype"/>
          <w:sz w:val="20"/>
          <w:lang w:val="en-GB"/>
        </w:rPr>
        <w:t xml:space="preserve">, suggesting </w:t>
      </w:r>
      <w:r w:rsidR="00D2689D">
        <w:rPr>
          <w:rFonts w:ascii="Palatino Linotype" w:hAnsi="Palatino Linotype"/>
          <w:sz w:val="20"/>
          <w:lang w:val="en-GB"/>
        </w:rPr>
        <w:t xml:space="preserve">that </w:t>
      </w:r>
      <w:r w:rsidRPr="00B459E7">
        <w:rPr>
          <w:rFonts w:ascii="Palatino Linotype" w:hAnsi="Palatino Linotype"/>
          <w:sz w:val="20"/>
          <w:lang w:val="en-GB"/>
        </w:rPr>
        <w:t xml:space="preserve">this modified leucine amino acid can display benefit as a disease modifier in diseases with different </w:t>
      </w:r>
      <w:r w:rsidR="00D2689D" w:rsidRPr="00B459E7">
        <w:rPr>
          <w:rFonts w:ascii="Palatino Linotype" w:hAnsi="Palatino Linotype"/>
          <w:sz w:val="20"/>
          <w:lang w:val="en-GB"/>
        </w:rPr>
        <w:t>aetiologies</w:t>
      </w:r>
      <w:r w:rsidRPr="00B459E7">
        <w:rPr>
          <w:rFonts w:ascii="Palatino Linotype" w:hAnsi="Palatino Linotype"/>
          <w:sz w:val="20"/>
          <w:lang w:val="en-GB"/>
        </w:rPr>
        <w:t xml:space="preserve">. Recently, acetyl-L-leucine has been identified as the pharmacologically active enantiomer </w:t>
      </w:r>
      <w:r w:rsidR="00661EC9" w:rsidRPr="00B459E7">
        <w:rPr>
          <w:rFonts w:ascii="Palatino Linotype" w:hAnsi="Palatino Linotype"/>
          <w:noProof/>
          <w:sz w:val="20"/>
          <w:lang w:val="en-GB"/>
        </w:rPr>
        <w:t>[18,19]</w:t>
      </w:r>
      <w:r w:rsidRPr="00B459E7">
        <w:rPr>
          <w:rFonts w:ascii="Palatino Linotype" w:hAnsi="Palatino Linotype"/>
          <w:sz w:val="20"/>
          <w:lang w:val="en-GB"/>
        </w:rPr>
        <w:t>. Currently</w:t>
      </w:r>
      <w:r w:rsidR="00426557" w:rsidRPr="00B459E7">
        <w:rPr>
          <w:rFonts w:ascii="Palatino Linotype" w:hAnsi="Palatino Linotype"/>
          <w:sz w:val="20"/>
          <w:lang w:val="en-GB"/>
        </w:rPr>
        <w:t>,</w:t>
      </w:r>
      <w:r w:rsidRPr="00B459E7">
        <w:rPr>
          <w:rFonts w:ascii="Palatino Linotype" w:hAnsi="Palatino Linotype"/>
          <w:sz w:val="20"/>
          <w:lang w:val="en-GB"/>
        </w:rPr>
        <w:t xml:space="preserve"> there are three ongoing trials with </w:t>
      </w:r>
      <w:r w:rsidR="00426557" w:rsidRPr="00B459E7">
        <w:rPr>
          <w:rFonts w:ascii="Palatino Linotype" w:hAnsi="Palatino Linotype"/>
          <w:sz w:val="20"/>
          <w:lang w:val="en-GB"/>
        </w:rPr>
        <w:t>a</w:t>
      </w:r>
      <w:r w:rsidRPr="00B459E7">
        <w:rPr>
          <w:rFonts w:ascii="Palatino Linotype" w:hAnsi="Palatino Linotype"/>
          <w:sz w:val="20"/>
          <w:lang w:val="en-GB"/>
        </w:rPr>
        <w:t xml:space="preserve">cetyl-L-leucine in </w:t>
      </w:r>
      <w:r w:rsidR="0042460F">
        <w:rPr>
          <w:rFonts w:ascii="Palatino Linotype" w:hAnsi="Palatino Linotype"/>
          <w:sz w:val="20"/>
          <w:lang w:val="en-GB"/>
        </w:rPr>
        <w:t>NPC1</w:t>
      </w:r>
      <w:r w:rsidRPr="00B459E7">
        <w:rPr>
          <w:rFonts w:ascii="Palatino Linotype" w:hAnsi="Palatino Linotype"/>
          <w:sz w:val="20"/>
          <w:lang w:val="en-GB"/>
        </w:rPr>
        <w:t xml:space="preserve">, GM2 </w:t>
      </w:r>
      <w:proofErr w:type="spellStart"/>
      <w:r w:rsidRPr="00B459E7">
        <w:rPr>
          <w:rFonts w:ascii="Palatino Linotype" w:hAnsi="Palatino Linotype"/>
          <w:sz w:val="20"/>
          <w:lang w:val="en-GB"/>
        </w:rPr>
        <w:t>gangliosidosis</w:t>
      </w:r>
      <w:proofErr w:type="spellEnd"/>
      <w:r w:rsidRPr="00B459E7">
        <w:rPr>
          <w:rFonts w:ascii="Palatino Linotype" w:hAnsi="Palatino Linotype"/>
          <w:sz w:val="20"/>
          <w:lang w:val="en-GB"/>
        </w:rPr>
        <w:t xml:space="preserve"> and ataxia telangiectasia (clinicaltrials.gov NCT03759639</w:t>
      </w:r>
      <w:r w:rsidR="008759EE">
        <w:rPr>
          <w:rFonts w:ascii="Palatino Linotype" w:hAnsi="Palatino Linotype"/>
          <w:sz w:val="20"/>
          <w:lang w:val="en-GB"/>
        </w:rPr>
        <w:t>,</w:t>
      </w:r>
      <w:r w:rsidR="008759EE" w:rsidRPr="00B459E7">
        <w:rPr>
          <w:rFonts w:ascii="Palatino Linotype" w:hAnsi="Palatino Linotype"/>
          <w:sz w:val="20"/>
          <w:lang w:val="en-GB"/>
        </w:rPr>
        <w:t xml:space="preserve"> </w:t>
      </w:r>
      <w:r w:rsidRPr="00B459E7">
        <w:rPr>
          <w:rFonts w:ascii="Palatino Linotype" w:hAnsi="Palatino Linotype"/>
          <w:sz w:val="20"/>
          <w:lang w:val="en-GB"/>
        </w:rPr>
        <w:t>NCT03759665</w:t>
      </w:r>
      <w:r w:rsidR="008759EE">
        <w:rPr>
          <w:rFonts w:ascii="Palatino Linotype" w:hAnsi="Palatino Linotype"/>
          <w:sz w:val="20"/>
          <w:lang w:val="en-GB"/>
        </w:rPr>
        <w:t>,</w:t>
      </w:r>
      <w:r w:rsidR="008759EE" w:rsidRPr="00B459E7">
        <w:rPr>
          <w:rFonts w:ascii="Palatino Linotype" w:hAnsi="Palatino Linotype"/>
          <w:sz w:val="20"/>
          <w:lang w:val="en-GB"/>
        </w:rPr>
        <w:t xml:space="preserve"> </w:t>
      </w:r>
      <w:r w:rsidRPr="00B459E7">
        <w:rPr>
          <w:rFonts w:ascii="Palatino Linotype" w:hAnsi="Palatino Linotype"/>
          <w:sz w:val="20"/>
          <w:lang w:val="en-GB"/>
        </w:rPr>
        <w:t>NCT</w:t>
      </w:r>
      <w:r w:rsidR="00661EC9" w:rsidRPr="00B459E7">
        <w:rPr>
          <w:rFonts w:ascii="Palatino Linotype" w:hAnsi="Palatino Linotype"/>
          <w:sz w:val="20"/>
          <w:lang w:val="en-GB"/>
        </w:rPr>
        <w:t>03759678</w:t>
      </w:r>
      <w:r w:rsidR="008759EE">
        <w:rPr>
          <w:rFonts w:ascii="Palatino Linotype" w:hAnsi="Palatino Linotype"/>
          <w:sz w:val="20"/>
          <w:lang w:val="en-GB"/>
        </w:rPr>
        <w:t>, and</w:t>
      </w:r>
      <w:r w:rsidR="008759EE" w:rsidRPr="00B459E7">
        <w:rPr>
          <w:rFonts w:ascii="Palatino Linotype" w:hAnsi="Palatino Linotype"/>
          <w:sz w:val="20"/>
          <w:lang w:val="en-GB"/>
        </w:rPr>
        <w:t xml:space="preserve"> </w:t>
      </w:r>
      <w:r w:rsidR="00661EC9" w:rsidRPr="00B459E7">
        <w:rPr>
          <w:rFonts w:ascii="Palatino Linotype" w:hAnsi="Palatino Linotype"/>
          <w:sz w:val="20"/>
          <w:lang w:val="en-GB"/>
        </w:rPr>
        <w:t>EudraCT</w:t>
      </w:r>
      <w:r w:rsidRPr="00B459E7">
        <w:rPr>
          <w:rFonts w:ascii="Palatino Linotype" w:hAnsi="Palatino Linotype"/>
          <w:sz w:val="20"/>
          <w:lang w:val="en-GB"/>
        </w:rPr>
        <w:t xml:space="preserve"> (2018-004331-71; 018-004406-25; 2018-004407-39)</w:t>
      </w:r>
      <w:r w:rsidR="0004437B">
        <w:rPr>
          <w:rFonts w:ascii="Palatino Linotype" w:hAnsi="Palatino Linotype"/>
          <w:sz w:val="20"/>
          <w:lang w:val="en-GB"/>
        </w:rPr>
        <w:t>)</w:t>
      </w:r>
      <w:r w:rsidRPr="00B459E7">
        <w:rPr>
          <w:rFonts w:ascii="Palatino Linotype" w:hAnsi="Palatino Linotype"/>
          <w:sz w:val="20"/>
          <w:lang w:val="en-GB"/>
        </w:rPr>
        <w:t>.</w:t>
      </w:r>
    </w:p>
    <w:p w14:paraId="5E3ABAB5" w14:textId="51D2F530" w:rsidR="00795204" w:rsidRPr="00B459E7" w:rsidRDefault="00795204" w:rsidP="00980FA3">
      <w:pPr>
        <w:adjustRightInd w:val="0"/>
        <w:snapToGrid w:val="0"/>
        <w:spacing w:line="240" w:lineRule="auto"/>
        <w:ind w:firstLine="420"/>
        <w:rPr>
          <w:rFonts w:ascii="Palatino Linotype" w:hAnsi="Palatino Linotype"/>
          <w:bCs/>
          <w:sz w:val="20"/>
          <w:lang w:val="en-GB"/>
        </w:rPr>
      </w:pPr>
      <w:r w:rsidRPr="00D4196F">
        <w:rPr>
          <w:rFonts w:ascii="Palatino Linotype" w:hAnsi="Palatino Linotype"/>
          <w:sz w:val="20"/>
          <w:lang w:val="en-GB"/>
        </w:rPr>
        <w:t xml:space="preserve">In this study, we explored the effect </w:t>
      </w:r>
      <w:r w:rsidRPr="00842FCA">
        <w:rPr>
          <w:rFonts w:ascii="Palatino Linotype" w:hAnsi="Palatino Linotype"/>
          <w:sz w:val="20"/>
          <w:lang w:val="en-GB"/>
        </w:rPr>
        <w:t xml:space="preserve">of ADLL </w:t>
      </w:r>
      <w:r w:rsidR="00842FCA" w:rsidRPr="00842FCA">
        <w:rPr>
          <w:rFonts w:ascii="Palatino Linotype" w:hAnsi="Palatino Linotype"/>
          <w:sz w:val="20"/>
          <w:lang w:val="en-GB"/>
        </w:rPr>
        <w:t xml:space="preserve">(a </w:t>
      </w:r>
      <w:r w:rsidR="00842FCA" w:rsidRPr="00842FCA">
        <w:rPr>
          <w:sz w:val="20"/>
        </w:rPr>
        <w:t>50:50 racemic mixture of a</w:t>
      </w:r>
      <w:proofErr w:type="spellStart"/>
      <w:r w:rsidR="00842FCA" w:rsidRPr="00842FCA">
        <w:rPr>
          <w:rFonts w:ascii="Palatino Linotype" w:hAnsi="Palatino Linotype"/>
          <w:sz w:val="20"/>
          <w:lang w:val="en-GB"/>
        </w:rPr>
        <w:t>cetyl</w:t>
      </w:r>
      <w:proofErr w:type="spellEnd"/>
      <w:r w:rsidR="00842FCA" w:rsidRPr="00842FCA">
        <w:rPr>
          <w:rFonts w:ascii="Palatino Linotype" w:hAnsi="Palatino Linotype"/>
          <w:sz w:val="20"/>
          <w:lang w:val="en-GB"/>
        </w:rPr>
        <w:t>-L-leucine (</w:t>
      </w:r>
      <w:r w:rsidR="00842FCA" w:rsidRPr="00842FCA">
        <w:rPr>
          <w:sz w:val="20"/>
        </w:rPr>
        <w:t xml:space="preserve">ALL) and </w:t>
      </w:r>
      <w:r w:rsidR="00842FCA" w:rsidRPr="00842FCA">
        <w:rPr>
          <w:rFonts w:ascii="Palatino Linotype" w:hAnsi="Palatino Linotype"/>
          <w:sz w:val="20"/>
          <w:lang w:val="en-GB"/>
        </w:rPr>
        <w:t>acetyl-D-leucine (</w:t>
      </w:r>
      <w:r w:rsidR="00842FCA" w:rsidRPr="00842FCA">
        <w:rPr>
          <w:sz w:val="20"/>
        </w:rPr>
        <w:t>ADL)</w:t>
      </w:r>
      <w:r w:rsidR="00842FCA" w:rsidRPr="00842FCA">
        <w:rPr>
          <w:rFonts w:ascii="Palatino Linotype" w:hAnsi="Palatino Linotype"/>
          <w:sz w:val="20"/>
          <w:lang w:val="en-GB"/>
        </w:rPr>
        <w:t xml:space="preserve"> </w:t>
      </w:r>
      <w:r w:rsidRPr="00842FCA">
        <w:rPr>
          <w:rFonts w:ascii="Palatino Linotype" w:hAnsi="Palatino Linotype"/>
          <w:sz w:val="20"/>
          <w:lang w:val="en-GB"/>
        </w:rPr>
        <w:t xml:space="preserve">in a mouse model of </w:t>
      </w:r>
      <w:proofErr w:type="spellStart"/>
      <w:r w:rsidRPr="00842FCA">
        <w:rPr>
          <w:rFonts w:ascii="Palatino Linotype" w:hAnsi="Palatino Linotype"/>
          <w:sz w:val="20"/>
          <w:lang w:val="en-GB"/>
        </w:rPr>
        <w:t>Sandhoff</w:t>
      </w:r>
      <w:proofErr w:type="spellEnd"/>
      <w:r w:rsidRPr="00842FCA">
        <w:rPr>
          <w:rFonts w:ascii="Palatino Linotype" w:hAnsi="Palatino Linotype"/>
          <w:sz w:val="20"/>
          <w:lang w:val="en-GB"/>
        </w:rPr>
        <w:t xml:space="preserve"> disease (</w:t>
      </w:r>
      <w:proofErr w:type="spellStart"/>
      <w:r w:rsidRPr="00842FCA">
        <w:rPr>
          <w:rFonts w:ascii="Palatino Linotype" w:hAnsi="Palatino Linotype"/>
          <w:bCs/>
          <w:i/>
          <w:sz w:val="20"/>
          <w:lang w:val="en-GB"/>
        </w:rPr>
        <w:t>Hexb</w:t>
      </w:r>
      <w:proofErr w:type="spellEnd"/>
      <w:r w:rsidRPr="00842FCA">
        <w:rPr>
          <w:rFonts w:ascii="Palatino Linotype" w:hAnsi="Palatino Linotype"/>
          <w:bCs/>
          <w:sz w:val="20"/>
          <w:vertAlign w:val="superscript"/>
          <w:lang w:val="en-GB"/>
        </w:rPr>
        <w:t>-/-</w:t>
      </w:r>
      <w:r w:rsidRPr="00842FCA">
        <w:rPr>
          <w:rFonts w:ascii="Palatino Linotype" w:hAnsi="Palatino Linotype"/>
          <w:bCs/>
          <w:sz w:val="20"/>
          <w:lang w:val="en-GB"/>
        </w:rPr>
        <w:t>)</w:t>
      </w:r>
      <w:r w:rsidR="00842FCA" w:rsidRPr="00842FCA">
        <w:rPr>
          <w:rFonts w:ascii="Palatino Linotype" w:hAnsi="Palatino Linotype"/>
          <w:sz w:val="20"/>
          <w:lang w:val="en-GB"/>
        </w:rPr>
        <w:t>. Effects of t</w:t>
      </w:r>
      <w:r w:rsidRPr="00842FCA">
        <w:rPr>
          <w:rFonts w:ascii="Palatino Linotype" w:hAnsi="Palatino Linotype"/>
          <w:sz w:val="20"/>
          <w:lang w:val="en-GB"/>
        </w:rPr>
        <w:t xml:space="preserve">he </w:t>
      </w:r>
      <w:r w:rsidRPr="00842FCA">
        <w:rPr>
          <w:rFonts w:ascii="Palatino Linotype" w:hAnsi="Palatino Linotype"/>
          <w:strike/>
          <w:sz w:val="20"/>
          <w:lang w:val="en-GB"/>
        </w:rPr>
        <w:t>stereoisomers</w:t>
      </w:r>
      <w:r w:rsidR="00D4196F" w:rsidRPr="00842FCA">
        <w:rPr>
          <w:rFonts w:ascii="Palatino Linotype" w:hAnsi="Palatino Linotype"/>
          <w:sz w:val="20"/>
          <w:lang w:val="en-GB"/>
        </w:rPr>
        <w:t xml:space="preserve"> individual enantiomers</w:t>
      </w:r>
      <w:r w:rsidRPr="00842FCA">
        <w:rPr>
          <w:rFonts w:ascii="Palatino Linotype" w:hAnsi="Palatino Linotype"/>
          <w:sz w:val="20"/>
          <w:lang w:val="en-GB"/>
        </w:rPr>
        <w:t xml:space="preserve"> </w:t>
      </w:r>
      <w:r w:rsidR="00842FCA" w:rsidRPr="00842FCA">
        <w:rPr>
          <w:rFonts w:ascii="Palatino Linotype" w:hAnsi="Palatino Linotype"/>
          <w:sz w:val="20"/>
          <w:lang w:val="en-GB"/>
        </w:rPr>
        <w:t>ALL</w:t>
      </w:r>
      <w:r w:rsidRPr="00842FCA">
        <w:rPr>
          <w:rFonts w:ascii="Palatino Linotype" w:hAnsi="Palatino Linotype"/>
          <w:sz w:val="20"/>
          <w:lang w:val="en-GB"/>
        </w:rPr>
        <w:t xml:space="preserve"> </w:t>
      </w:r>
      <w:r w:rsidR="00E1042B" w:rsidRPr="00842FCA">
        <w:rPr>
          <w:rFonts w:ascii="Palatino Linotype" w:hAnsi="Palatino Linotype"/>
          <w:sz w:val="20"/>
          <w:lang w:val="en-GB"/>
        </w:rPr>
        <w:t xml:space="preserve">and </w:t>
      </w:r>
      <w:r w:rsidR="00842FCA" w:rsidRPr="00842FCA">
        <w:rPr>
          <w:rFonts w:ascii="Palatino Linotype" w:hAnsi="Palatino Linotype"/>
          <w:sz w:val="20"/>
          <w:lang w:val="en-GB"/>
        </w:rPr>
        <w:t>ADL</w:t>
      </w:r>
      <w:r w:rsidRPr="00842FCA">
        <w:rPr>
          <w:rFonts w:ascii="Palatino Linotype" w:hAnsi="Palatino Linotype"/>
          <w:sz w:val="20"/>
          <w:lang w:val="en-GB"/>
        </w:rPr>
        <w:t xml:space="preserve"> were</w:t>
      </w:r>
      <w:r w:rsidRPr="00D4196F">
        <w:rPr>
          <w:rFonts w:ascii="Palatino Linotype" w:hAnsi="Palatino Linotype"/>
          <w:sz w:val="20"/>
          <w:lang w:val="en-GB"/>
        </w:rPr>
        <w:t xml:space="preserve"> not investigated</w:t>
      </w:r>
      <w:r w:rsidR="00D4196F">
        <w:rPr>
          <w:rFonts w:ascii="Palatino Linotype" w:hAnsi="Palatino Linotype"/>
          <w:sz w:val="20"/>
          <w:lang w:val="en-GB"/>
        </w:rPr>
        <w:t xml:space="preserve"> </w:t>
      </w:r>
      <w:r w:rsidR="00675ED1">
        <w:rPr>
          <w:rFonts w:ascii="Palatino Linotype" w:hAnsi="Palatino Linotype"/>
          <w:sz w:val="20"/>
          <w:lang w:val="en-GB"/>
        </w:rPr>
        <w:t>separately</w:t>
      </w:r>
      <w:r w:rsidRPr="00D4196F">
        <w:rPr>
          <w:rFonts w:ascii="Palatino Linotype" w:hAnsi="Palatino Linotype"/>
          <w:sz w:val="20"/>
          <w:lang w:val="en-GB"/>
        </w:rPr>
        <w:t xml:space="preserve">. </w:t>
      </w:r>
      <w:r w:rsidRPr="00B459E7">
        <w:rPr>
          <w:rFonts w:ascii="Palatino Linotype" w:hAnsi="Palatino Linotype"/>
          <w:bCs/>
          <w:sz w:val="20"/>
          <w:lang w:val="en-GB"/>
        </w:rPr>
        <w:t xml:space="preserve">When ADLL treatment was initiated at weaning (3 weeks of age) in </w:t>
      </w:r>
      <w:proofErr w:type="spellStart"/>
      <w:r w:rsidRPr="00B459E7">
        <w:rPr>
          <w:rFonts w:ascii="Palatino Linotype" w:hAnsi="Palatino Linotype"/>
          <w:bCs/>
          <w:i/>
          <w:sz w:val="20"/>
          <w:lang w:val="en-GB"/>
        </w:rPr>
        <w:t>Hexb</w:t>
      </w:r>
      <w:proofErr w:type="spellEnd"/>
      <w:r w:rsidRPr="00B459E7">
        <w:rPr>
          <w:rFonts w:ascii="Palatino Linotype" w:hAnsi="Palatino Linotype"/>
          <w:bCs/>
          <w:sz w:val="20"/>
          <w:vertAlign w:val="superscript"/>
          <w:lang w:val="en-GB"/>
        </w:rPr>
        <w:t>-/-</w:t>
      </w:r>
      <w:r w:rsidRPr="00B459E7">
        <w:rPr>
          <w:rFonts w:ascii="Palatino Linotype" w:hAnsi="Palatino Linotype"/>
          <w:bCs/>
          <w:sz w:val="20"/>
          <w:lang w:val="en-GB"/>
        </w:rPr>
        <w:t xml:space="preserve"> mice, there was a modest but significant extension in life span, delayed</w:t>
      </w:r>
      <w:r w:rsidR="005B496E">
        <w:rPr>
          <w:rFonts w:ascii="Palatino Linotype" w:hAnsi="Palatino Linotype"/>
          <w:bCs/>
          <w:sz w:val="20"/>
          <w:lang w:val="en-GB"/>
        </w:rPr>
        <w:t xml:space="preserve"> </w:t>
      </w:r>
      <w:r w:rsidRPr="00B459E7">
        <w:rPr>
          <w:rFonts w:ascii="Palatino Linotype" w:hAnsi="Palatino Linotype"/>
          <w:bCs/>
          <w:sz w:val="20"/>
          <w:lang w:val="en-GB"/>
        </w:rPr>
        <w:t xml:space="preserve">onset of motor function impairment, and reduced lipid storage in the brain. </w:t>
      </w:r>
      <w:r w:rsidRPr="00B459E7">
        <w:rPr>
          <w:rFonts w:ascii="Palatino Linotype" w:hAnsi="Palatino Linotype"/>
          <w:sz w:val="20"/>
          <w:lang w:val="en-GB"/>
        </w:rPr>
        <w:t xml:space="preserve">We also explored ADLL’s potential mechanism of action, and its impact when used in combination with </w:t>
      </w:r>
      <w:proofErr w:type="spellStart"/>
      <w:r w:rsidRPr="00B459E7">
        <w:rPr>
          <w:rFonts w:ascii="Palatino Linotype" w:hAnsi="Palatino Linotype"/>
          <w:sz w:val="20"/>
          <w:lang w:val="en-GB"/>
        </w:rPr>
        <w:t>miglustat</w:t>
      </w:r>
      <w:proofErr w:type="spellEnd"/>
      <w:r w:rsidRPr="00B459E7">
        <w:rPr>
          <w:rFonts w:ascii="Palatino Linotype" w:hAnsi="Palatino Linotype"/>
          <w:sz w:val="20"/>
          <w:lang w:val="en-GB"/>
        </w:rPr>
        <w:t>.</w:t>
      </w:r>
      <w:r w:rsidRPr="00B459E7">
        <w:rPr>
          <w:rFonts w:ascii="Palatino Linotype" w:hAnsi="Palatino Linotype"/>
          <w:bCs/>
          <w:sz w:val="20"/>
          <w:lang w:val="en-GB"/>
        </w:rPr>
        <w:t xml:space="preserve"> In the </w:t>
      </w:r>
      <w:proofErr w:type="spellStart"/>
      <w:r w:rsidRPr="00B459E7">
        <w:rPr>
          <w:rFonts w:ascii="Palatino Linotype" w:hAnsi="Palatino Linotype"/>
          <w:bCs/>
          <w:i/>
          <w:sz w:val="20"/>
          <w:lang w:val="en-GB"/>
        </w:rPr>
        <w:t>Hexb</w:t>
      </w:r>
      <w:proofErr w:type="spellEnd"/>
      <w:r w:rsidRPr="00B459E7">
        <w:rPr>
          <w:rFonts w:ascii="Palatino Linotype" w:hAnsi="Palatino Linotype"/>
          <w:bCs/>
          <w:sz w:val="20"/>
          <w:vertAlign w:val="superscript"/>
          <w:lang w:val="en-GB"/>
        </w:rPr>
        <w:t>-/-</w:t>
      </w:r>
      <w:r w:rsidRPr="00B459E7">
        <w:rPr>
          <w:rFonts w:ascii="Palatino Linotype" w:hAnsi="Palatino Linotype"/>
          <w:bCs/>
          <w:sz w:val="20"/>
          <w:lang w:val="en-GB"/>
        </w:rPr>
        <w:t xml:space="preserve"> mouse cerebellum, ADLL treatment increased autophagy and normalized key enzymes in the metabolism of glucose and glutamate. ADLL also showed an additive effect when combined with </w:t>
      </w:r>
      <w:r w:rsidR="00F6731A" w:rsidRPr="00B459E7">
        <w:rPr>
          <w:rFonts w:ascii="Palatino Linotype" w:hAnsi="Palatino Linotype"/>
          <w:bCs/>
          <w:sz w:val="20"/>
          <w:lang w:val="en-GB"/>
        </w:rPr>
        <w:t>the</w:t>
      </w:r>
      <w:r w:rsidRPr="00B459E7">
        <w:rPr>
          <w:rFonts w:ascii="Palatino Linotype" w:hAnsi="Palatino Linotype"/>
          <w:bCs/>
          <w:sz w:val="20"/>
          <w:lang w:val="en-GB"/>
        </w:rPr>
        <w:t xml:space="preserve"> disease</w:t>
      </w:r>
      <w:r w:rsidR="00B119CE">
        <w:rPr>
          <w:rFonts w:ascii="Palatino Linotype" w:hAnsi="Palatino Linotype"/>
          <w:bCs/>
          <w:sz w:val="20"/>
          <w:lang w:val="en-GB"/>
        </w:rPr>
        <w:t>-</w:t>
      </w:r>
      <w:r w:rsidRPr="00B459E7">
        <w:rPr>
          <w:rFonts w:ascii="Palatino Linotype" w:hAnsi="Palatino Linotype"/>
          <w:bCs/>
          <w:sz w:val="20"/>
          <w:lang w:val="en-GB"/>
        </w:rPr>
        <w:t>modif</w:t>
      </w:r>
      <w:r w:rsidR="00F6731A" w:rsidRPr="00B459E7">
        <w:rPr>
          <w:rFonts w:ascii="Palatino Linotype" w:hAnsi="Palatino Linotype"/>
          <w:bCs/>
          <w:sz w:val="20"/>
          <w:lang w:val="en-GB"/>
        </w:rPr>
        <w:t>ying drug,</w:t>
      </w:r>
      <w:r w:rsidRPr="00B459E7">
        <w:rPr>
          <w:rFonts w:ascii="Palatino Linotype" w:hAnsi="Palatino Linotype"/>
          <w:bCs/>
          <w:sz w:val="20"/>
          <w:lang w:val="en-GB"/>
        </w:rPr>
        <w:t xml:space="preserve"> </w:t>
      </w:r>
      <w:proofErr w:type="spellStart"/>
      <w:r w:rsidRPr="00B459E7">
        <w:rPr>
          <w:rFonts w:ascii="Palatino Linotype" w:hAnsi="Palatino Linotype"/>
          <w:bCs/>
          <w:sz w:val="20"/>
          <w:lang w:val="en-GB"/>
        </w:rPr>
        <w:t>miglustat</w:t>
      </w:r>
      <w:proofErr w:type="spellEnd"/>
      <w:r w:rsidRPr="00B459E7">
        <w:rPr>
          <w:rFonts w:ascii="Palatino Linotype" w:hAnsi="Palatino Linotype"/>
          <w:bCs/>
          <w:sz w:val="20"/>
          <w:lang w:val="en-GB"/>
        </w:rPr>
        <w:t xml:space="preserve">. These findings suggest </w:t>
      </w:r>
      <w:r w:rsidR="00B119CE">
        <w:rPr>
          <w:rFonts w:ascii="Palatino Linotype" w:hAnsi="Palatino Linotype"/>
          <w:bCs/>
          <w:sz w:val="20"/>
          <w:lang w:val="en-GB"/>
        </w:rPr>
        <w:t xml:space="preserve">that </w:t>
      </w:r>
      <w:r w:rsidRPr="00B459E7">
        <w:rPr>
          <w:rFonts w:ascii="Palatino Linotype" w:hAnsi="Palatino Linotype"/>
          <w:bCs/>
          <w:sz w:val="20"/>
          <w:lang w:val="en-GB"/>
        </w:rPr>
        <w:t>ADLL may be of benefit in diseases involving metabolic imbalance in the CNS.</w:t>
      </w:r>
    </w:p>
    <w:p w14:paraId="0E199F74" w14:textId="0E7D4E37" w:rsidR="00996419" w:rsidRPr="00B459E7" w:rsidRDefault="00C00EDC" w:rsidP="00C00EDC">
      <w:pPr>
        <w:pStyle w:val="MDPI21heading1"/>
        <w:rPr>
          <w:lang w:val="en-GB"/>
        </w:rPr>
      </w:pPr>
      <w:r w:rsidRPr="00B459E7">
        <w:rPr>
          <w:lang w:val="en-GB" w:eastAsia="zh-CN"/>
        </w:rPr>
        <w:t xml:space="preserve">2. </w:t>
      </w:r>
      <w:r w:rsidR="00996419" w:rsidRPr="00B459E7">
        <w:rPr>
          <w:lang w:val="en-GB" w:eastAsia="en-US"/>
        </w:rPr>
        <w:t>Experimental Section</w:t>
      </w:r>
    </w:p>
    <w:p w14:paraId="0806D59F" w14:textId="5EE7E3B1" w:rsidR="00795204" w:rsidRPr="00B459E7" w:rsidRDefault="00C00EDC" w:rsidP="00C00EDC">
      <w:pPr>
        <w:pStyle w:val="MDPI22heading2"/>
        <w:rPr>
          <w:lang w:val="en-GB"/>
        </w:rPr>
      </w:pPr>
      <w:bookmarkStart w:id="0" w:name="_Toc410478810"/>
      <w:r w:rsidRPr="00B459E7">
        <w:rPr>
          <w:lang w:val="en-GB"/>
        </w:rPr>
        <w:t xml:space="preserve">2.1. </w:t>
      </w:r>
      <w:r w:rsidR="00795204" w:rsidRPr="00B459E7">
        <w:rPr>
          <w:lang w:val="en-GB"/>
        </w:rPr>
        <w:t>Mice</w:t>
      </w:r>
      <w:bookmarkEnd w:id="0"/>
    </w:p>
    <w:p w14:paraId="093DFC3F" w14:textId="2B2D5C15" w:rsidR="00795204" w:rsidRPr="00B459E7" w:rsidRDefault="0090656C" w:rsidP="00C00EDC">
      <w:pPr>
        <w:pStyle w:val="MDPI31text"/>
        <w:rPr>
          <w:lang w:val="en-GB"/>
        </w:rPr>
      </w:pPr>
      <w:proofErr w:type="spellStart"/>
      <w:r>
        <w:rPr>
          <w:lang w:val="en-GB"/>
        </w:rPr>
        <w:t>Sandhoff</w:t>
      </w:r>
      <w:proofErr w:type="spellEnd"/>
      <w:r>
        <w:rPr>
          <w:lang w:val="en-GB"/>
        </w:rPr>
        <w:t xml:space="preserve"> disease mice</w:t>
      </w:r>
      <w:r w:rsidR="00BA47A0">
        <w:rPr>
          <w:lang w:val="en-GB"/>
        </w:rPr>
        <w:t xml:space="preserve"> </w:t>
      </w:r>
      <w:r w:rsidR="00661EC9" w:rsidRPr="00B459E7">
        <w:rPr>
          <w:noProof/>
          <w:lang w:val="en-GB"/>
        </w:rPr>
        <w:t>[20]</w:t>
      </w:r>
      <w:r w:rsidR="00795204" w:rsidRPr="00B459E7">
        <w:rPr>
          <w:lang w:val="en-GB"/>
        </w:rPr>
        <w:t xml:space="preserve"> (</w:t>
      </w:r>
      <w:proofErr w:type="spellStart"/>
      <w:r w:rsidR="00795204" w:rsidRPr="00B459E7">
        <w:rPr>
          <w:bCs/>
          <w:i/>
          <w:lang w:val="en-GB"/>
        </w:rPr>
        <w:t>Hexb</w:t>
      </w:r>
      <w:proofErr w:type="spellEnd"/>
      <w:r w:rsidR="00795204" w:rsidRPr="00B459E7">
        <w:rPr>
          <w:bCs/>
          <w:vertAlign w:val="superscript"/>
          <w:lang w:val="en-GB"/>
        </w:rPr>
        <w:t>-/-</w:t>
      </w:r>
      <w:r w:rsidR="00795204" w:rsidRPr="00B459E7">
        <w:rPr>
          <w:bCs/>
          <w:lang w:val="en-GB"/>
        </w:rPr>
        <w:t xml:space="preserve">) </w:t>
      </w:r>
      <w:r w:rsidR="00795204" w:rsidRPr="00B459E7">
        <w:rPr>
          <w:lang w:val="en-GB"/>
        </w:rPr>
        <w:t>were bred as heterozygotes (</w:t>
      </w:r>
      <w:proofErr w:type="spellStart"/>
      <w:r w:rsidR="00795204" w:rsidRPr="00B459E7">
        <w:rPr>
          <w:bCs/>
          <w:i/>
          <w:lang w:val="en-GB"/>
        </w:rPr>
        <w:t>Hexb</w:t>
      </w:r>
      <w:proofErr w:type="spellEnd"/>
      <w:r w:rsidR="00795204" w:rsidRPr="00B459E7">
        <w:rPr>
          <w:bCs/>
          <w:vertAlign w:val="superscript"/>
          <w:lang w:val="en-GB"/>
        </w:rPr>
        <w:t>+/-</w:t>
      </w:r>
      <w:r w:rsidR="00795204" w:rsidRPr="00B459E7">
        <w:rPr>
          <w:bCs/>
          <w:lang w:val="en-GB"/>
        </w:rPr>
        <w:t>)</w:t>
      </w:r>
      <w:r w:rsidR="00795204" w:rsidRPr="00B459E7">
        <w:rPr>
          <w:lang w:val="en-GB"/>
        </w:rPr>
        <w:t xml:space="preserve"> to generate affected mice (</w:t>
      </w:r>
      <w:proofErr w:type="spellStart"/>
      <w:r w:rsidR="00795204" w:rsidRPr="00B459E7">
        <w:rPr>
          <w:i/>
          <w:lang w:val="en-GB"/>
        </w:rPr>
        <w:t>Hexb</w:t>
      </w:r>
      <w:proofErr w:type="spellEnd"/>
      <w:r w:rsidR="00795204" w:rsidRPr="00B459E7">
        <w:rPr>
          <w:vertAlign w:val="superscript"/>
          <w:lang w:val="en-GB"/>
        </w:rPr>
        <w:t>-/-</w:t>
      </w:r>
      <w:r w:rsidR="00795204" w:rsidRPr="00B459E7">
        <w:rPr>
          <w:i/>
          <w:lang w:val="en-GB"/>
        </w:rPr>
        <w:t>)</w:t>
      </w:r>
      <w:r w:rsidR="00795204" w:rsidRPr="00B459E7">
        <w:rPr>
          <w:lang w:val="en-GB"/>
        </w:rPr>
        <w:t xml:space="preserve"> and wild-type controls (</w:t>
      </w:r>
      <w:proofErr w:type="spellStart"/>
      <w:r w:rsidR="00795204" w:rsidRPr="00B459E7">
        <w:rPr>
          <w:i/>
          <w:lang w:val="en-GB"/>
        </w:rPr>
        <w:t>Hexb</w:t>
      </w:r>
      <w:proofErr w:type="spellEnd"/>
      <w:r w:rsidR="00795204" w:rsidRPr="00B459E7">
        <w:rPr>
          <w:i/>
          <w:vertAlign w:val="superscript"/>
          <w:lang w:val="en-GB"/>
        </w:rPr>
        <w:t>+/+</w:t>
      </w:r>
      <w:r w:rsidR="00795204" w:rsidRPr="00B459E7">
        <w:rPr>
          <w:i/>
          <w:lang w:val="en-GB"/>
        </w:rPr>
        <w:t>)</w:t>
      </w:r>
      <w:r w:rsidR="00795204" w:rsidRPr="00B459E7">
        <w:rPr>
          <w:lang w:val="en-GB"/>
        </w:rPr>
        <w:t xml:space="preserve"> and were housed under non-sterile conditions, with food and water available </w:t>
      </w:r>
      <w:r w:rsidR="00795204" w:rsidRPr="005B4650">
        <w:rPr>
          <w:iCs/>
          <w:lang w:val="en-GB"/>
        </w:rPr>
        <w:t>ad libitum</w:t>
      </w:r>
      <w:r w:rsidR="00795204" w:rsidRPr="00B459E7">
        <w:rPr>
          <w:lang w:val="en-GB"/>
        </w:rPr>
        <w:t xml:space="preserve">. All experiments were conducted using protocols approved by the UK Home Office Animal Scientific Procedures Act, 1986. </w:t>
      </w:r>
      <w:bookmarkStart w:id="1" w:name="_Toc410478811"/>
      <w:r w:rsidR="004A72FD" w:rsidRPr="00B459E7">
        <w:rPr>
          <w:lang w:val="en-GB"/>
        </w:rPr>
        <w:t xml:space="preserve"> All animal works </w:t>
      </w:r>
      <w:r w:rsidR="007F5699">
        <w:rPr>
          <w:lang w:val="en-GB"/>
        </w:rPr>
        <w:t>were</w:t>
      </w:r>
      <w:r w:rsidR="007F5699" w:rsidRPr="00B459E7">
        <w:rPr>
          <w:lang w:val="en-GB"/>
        </w:rPr>
        <w:t xml:space="preserve"> </w:t>
      </w:r>
      <w:r w:rsidR="004A72FD" w:rsidRPr="00B459E7">
        <w:rPr>
          <w:lang w:val="en-GB"/>
        </w:rPr>
        <w:t>conducted under the UK Home Office licensing authority</w:t>
      </w:r>
      <w:r w:rsidR="009915E5">
        <w:rPr>
          <w:lang w:val="en-GB"/>
        </w:rPr>
        <w:t>,</w:t>
      </w:r>
      <w:r w:rsidR="004A72FD" w:rsidRPr="00B459E7">
        <w:rPr>
          <w:lang w:val="en-GB"/>
        </w:rPr>
        <w:t xml:space="preserve"> and the </w:t>
      </w:r>
      <w:r w:rsidR="007F5699">
        <w:rPr>
          <w:lang w:val="en-GB"/>
        </w:rPr>
        <w:t>p</w:t>
      </w:r>
      <w:r w:rsidR="004A72FD" w:rsidRPr="00B459E7">
        <w:rPr>
          <w:lang w:val="en-GB"/>
        </w:rPr>
        <w:t>roject license number is P8088558D. The ethical review committee with oversight of the research that was conducted using animals (mice) is the Committee on Animal Care and Ethical Review (ACER). No human subjects were involved in this study.</w:t>
      </w:r>
    </w:p>
    <w:p w14:paraId="2A02BB4E" w14:textId="11F1D15D" w:rsidR="00795204" w:rsidRPr="00B459E7" w:rsidRDefault="00C00EDC" w:rsidP="00C00EDC">
      <w:pPr>
        <w:pStyle w:val="MDPI22heading2"/>
        <w:rPr>
          <w:lang w:val="en-GB"/>
        </w:rPr>
      </w:pPr>
      <w:r w:rsidRPr="00B459E7">
        <w:rPr>
          <w:lang w:val="en-GB"/>
        </w:rPr>
        <w:t xml:space="preserve">2.2. </w:t>
      </w:r>
      <w:r w:rsidR="00795204" w:rsidRPr="00B459E7">
        <w:rPr>
          <w:lang w:val="en-GB"/>
        </w:rPr>
        <w:t xml:space="preserve">Drug </w:t>
      </w:r>
      <w:r w:rsidR="00C5547C" w:rsidRPr="00B459E7">
        <w:rPr>
          <w:lang w:val="en-GB"/>
        </w:rPr>
        <w:t>Treatments</w:t>
      </w:r>
      <w:bookmarkEnd w:id="1"/>
    </w:p>
    <w:p w14:paraId="45D85E93" w14:textId="42A1F2FB" w:rsidR="00795204" w:rsidRPr="00B459E7" w:rsidRDefault="00795204" w:rsidP="00C00EDC">
      <w:pPr>
        <w:pStyle w:val="MDPI31text"/>
        <w:rPr>
          <w:lang w:val="en-GB"/>
        </w:rPr>
      </w:pPr>
      <w:r w:rsidRPr="00B459E7">
        <w:rPr>
          <w:lang w:val="en-GB"/>
        </w:rPr>
        <w:t>ADLL (</w:t>
      </w:r>
      <w:proofErr w:type="spellStart"/>
      <w:r w:rsidRPr="00B459E7">
        <w:rPr>
          <w:lang w:val="en-GB"/>
        </w:rPr>
        <w:t>Molekula</w:t>
      </w:r>
      <w:proofErr w:type="spellEnd"/>
      <w:r w:rsidRPr="00B459E7">
        <w:rPr>
          <w:lang w:val="en-GB"/>
        </w:rPr>
        <w:t xml:space="preserve"> #73891210) (0.1</w:t>
      </w:r>
      <w:r w:rsidR="00C00EDC" w:rsidRPr="00B459E7">
        <w:rPr>
          <w:lang w:val="en-GB"/>
        </w:rPr>
        <w:t xml:space="preserve"> </w:t>
      </w:r>
      <w:r w:rsidRPr="00B459E7">
        <w:rPr>
          <w:lang w:val="en-GB"/>
        </w:rPr>
        <w:t xml:space="preserve">g/kg/day) </w:t>
      </w:r>
      <w:r w:rsidR="00FB146A" w:rsidRPr="00B459E7">
        <w:rPr>
          <w:lang w:val="en-GB"/>
        </w:rPr>
        <w:t xml:space="preserve">and </w:t>
      </w:r>
      <w:proofErr w:type="spellStart"/>
      <w:r w:rsidR="00604F27">
        <w:rPr>
          <w:lang w:val="en-GB"/>
        </w:rPr>
        <w:t>m</w:t>
      </w:r>
      <w:r w:rsidR="00604F27" w:rsidRPr="00B459E7">
        <w:rPr>
          <w:lang w:val="en-GB"/>
        </w:rPr>
        <w:t>iglustat</w:t>
      </w:r>
      <w:proofErr w:type="spellEnd"/>
      <w:r w:rsidR="00604F27" w:rsidRPr="00B459E7">
        <w:rPr>
          <w:lang w:val="en-GB"/>
        </w:rPr>
        <w:t xml:space="preserve"> </w:t>
      </w:r>
      <w:r w:rsidR="00FB146A" w:rsidRPr="00B459E7">
        <w:rPr>
          <w:lang w:val="en-GB"/>
        </w:rPr>
        <w:t>(</w:t>
      </w:r>
      <w:r w:rsidR="00BD080F" w:rsidRPr="00B459E7">
        <w:rPr>
          <w:lang w:val="en-GB"/>
        </w:rPr>
        <w:t>600</w:t>
      </w:r>
      <w:r w:rsidR="00C00EDC" w:rsidRPr="00B459E7">
        <w:rPr>
          <w:lang w:val="en-GB"/>
        </w:rPr>
        <w:t xml:space="preserve"> </w:t>
      </w:r>
      <w:r w:rsidR="00BD080F" w:rsidRPr="00B459E7">
        <w:rPr>
          <w:lang w:val="en-GB"/>
        </w:rPr>
        <w:t>mg</w:t>
      </w:r>
      <w:r w:rsidR="00FB146A" w:rsidRPr="00B459E7">
        <w:rPr>
          <w:lang w:val="en-GB"/>
        </w:rPr>
        <w:t xml:space="preserve">/kg/day) </w:t>
      </w:r>
      <w:r w:rsidR="00BD080F" w:rsidRPr="00B459E7">
        <w:rPr>
          <w:lang w:val="en-GB"/>
        </w:rPr>
        <w:t xml:space="preserve">(Oxford </w:t>
      </w:r>
      <w:proofErr w:type="spellStart"/>
      <w:r w:rsidR="00BD080F" w:rsidRPr="00B459E7">
        <w:rPr>
          <w:lang w:val="en-GB"/>
        </w:rPr>
        <w:t>GlycoSciences</w:t>
      </w:r>
      <w:proofErr w:type="spellEnd"/>
      <w:r w:rsidR="00BD080F" w:rsidRPr="00B459E7">
        <w:rPr>
          <w:lang w:val="en-GB"/>
        </w:rPr>
        <w:t xml:space="preserve">) </w:t>
      </w:r>
      <w:r w:rsidR="00FB146A" w:rsidRPr="00B459E7">
        <w:rPr>
          <w:lang w:val="en-GB"/>
        </w:rPr>
        <w:t xml:space="preserve">were </w:t>
      </w:r>
      <w:r w:rsidRPr="00B459E7">
        <w:rPr>
          <w:lang w:val="en-GB"/>
        </w:rPr>
        <w:t>administered by mixing the drug in powdered chow (</w:t>
      </w:r>
      <w:proofErr w:type="spellStart"/>
      <w:r w:rsidRPr="00B459E7">
        <w:rPr>
          <w:lang w:val="en-GB"/>
        </w:rPr>
        <w:t>PicoLab</w:t>
      </w:r>
      <w:proofErr w:type="spellEnd"/>
      <w:r w:rsidRPr="00B459E7">
        <w:rPr>
          <w:lang w:val="en-GB"/>
        </w:rPr>
        <w:t xml:space="preserve"> Rodent Diet 20/5053, </w:t>
      </w:r>
      <w:proofErr w:type="spellStart"/>
      <w:r w:rsidRPr="00B459E7">
        <w:rPr>
          <w:lang w:val="en-GB"/>
        </w:rPr>
        <w:t>LabDiet</w:t>
      </w:r>
      <w:proofErr w:type="spellEnd"/>
      <w:r w:rsidRPr="00B459E7">
        <w:rPr>
          <w:lang w:val="en-GB"/>
        </w:rPr>
        <w:t>).</w:t>
      </w:r>
      <w:r w:rsidR="007A55AC">
        <w:rPr>
          <w:lang w:val="en-GB"/>
        </w:rPr>
        <w:t xml:space="preserve"> </w:t>
      </w:r>
      <w:r w:rsidR="007A55AC" w:rsidRPr="00B459E7">
        <w:rPr>
          <w:lang w:val="en-GB"/>
        </w:rPr>
        <w:t xml:space="preserve">Mice were randomly assigned to treatment groups and staff were blinded to treatment when performing </w:t>
      </w:r>
      <w:r w:rsidR="007A55AC">
        <w:rPr>
          <w:lang w:val="en-GB"/>
        </w:rPr>
        <w:t>behaviour</w:t>
      </w:r>
      <w:r w:rsidR="007A55AC" w:rsidRPr="00B459E7">
        <w:rPr>
          <w:lang w:val="en-GB"/>
        </w:rPr>
        <w:t xml:space="preserve">al analysis. </w:t>
      </w:r>
    </w:p>
    <w:p w14:paraId="18B112EF" w14:textId="2BA81EDE" w:rsidR="00795204" w:rsidRPr="00B459E7" w:rsidRDefault="00C00EDC" w:rsidP="00C00EDC">
      <w:pPr>
        <w:pStyle w:val="MDPI22heading2"/>
        <w:rPr>
          <w:lang w:val="en-GB"/>
        </w:rPr>
      </w:pPr>
      <w:bookmarkStart w:id="2" w:name="_Toc410478812"/>
      <w:r w:rsidRPr="00B459E7">
        <w:rPr>
          <w:lang w:val="en-GB"/>
        </w:rPr>
        <w:t xml:space="preserve">2.3. </w:t>
      </w:r>
      <w:r w:rsidR="005A33FB">
        <w:rPr>
          <w:lang w:val="en-GB"/>
        </w:rPr>
        <w:t>Behaviour</w:t>
      </w:r>
      <w:r w:rsidR="00661EC9" w:rsidRPr="00B459E7">
        <w:rPr>
          <w:lang w:val="en-GB"/>
        </w:rPr>
        <w:t>al</w:t>
      </w:r>
      <w:r w:rsidR="00795204" w:rsidRPr="00B459E7">
        <w:rPr>
          <w:lang w:val="en-GB"/>
        </w:rPr>
        <w:t xml:space="preserve"> </w:t>
      </w:r>
      <w:r w:rsidR="00C5547C" w:rsidRPr="00B459E7">
        <w:rPr>
          <w:lang w:val="en-GB"/>
        </w:rPr>
        <w:t>Analysis</w:t>
      </w:r>
      <w:bookmarkEnd w:id="2"/>
    </w:p>
    <w:p w14:paraId="5C301305" w14:textId="0DBE214A" w:rsidR="00795204" w:rsidRPr="00B459E7" w:rsidRDefault="00856DBB" w:rsidP="00C00EDC">
      <w:pPr>
        <w:pStyle w:val="MDPI31text"/>
        <w:rPr>
          <w:lang w:val="en-GB"/>
        </w:rPr>
      </w:pPr>
      <w:r w:rsidRPr="00B459E7">
        <w:rPr>
          <w:lang w:val="en-GB"/>
        </w:rPr>
        <w:lastRenderedPageBreak/>
        <w:t xml:space="preserve">Weekly </w:t>
      </w:r>
      <w:r w:rsidR="005A33FB">
        <w:rPr>
          <w:lang w:val="en-GB"/>
        </w:rPr>
        <w:t>behaviour</w:t>
      </w:r>
      <w:r w:rsidR="00795204" w:rsidRPr="00B459E7">
        <w:rPr>
          <w:lang w:val="en-GB"/>
        </w:rPr>
        <w:t xml:space="preserve">al tests </w:t>
      </w:r>
      <w:r w:rsidRPr="00B459E7">
        <w:rPr>
          <w:lang w:val="en-GB"/>
        </w:rPr>
        <w:t>(9</w:t>
      </w:r>
      <w:r w:rsidR="00C00EDC" w:rsidRPr="00B459E7">
        <w:rPr>
          <w:lang w:val="en-GB"/>
        </w:rPr>
        <w:t>–</w:t>
      </w:r>
      <w:r w:rsidRPr="00B459E7">
        <w:rPr>
          <w:lang w:val="en-GB"/>
        </w:rPr>
        <w:t xml:space="preserve">14 weeks) </w:t>
      </w:r>
      <w:r w:rsidR="00795204" w:rsidRPr="00B459E7">
        <w:rPr>
          <w:lang w:val="en-GB"/>
        </w:rPr>
        <w:t>were conducted in a blinded manner</w:t>
      </w:r>
      <w:r w:rsidR="00D32E72" w:rsidRPr="00B459E7">
        <w:rPr>
          <w:lang w:val="en-GB"/>
        </w:rPr>
        <w:t xml:space="preserve"> for the first cohort of mice</w:t>
      </w:r>
      <w:r w:rsidR="00795204" w:rsidRPr="00B459E7">
        <w:rPr>
          <w:lang w:val="en-GB"/>
        </w:rPr>
        <w:t xml:space="preserve">. Gait analysis was performed using the </w:t>
      </w:r>
      <w:proofErr w:type="spellStart"/>
      <w:r w:rsidR="00795204" w:rsidRPr="00B459E7">
        <w:rPr>
          <w:lang w:val="en-GB"/>
        </w:rPr>
        <w:t>CatWalk</w:t>
      </w:r>
      <w:proofErr w:type="spellEnd"/>
      <w:r w:rsidR="00795204" w:rsidRPr="00B459E7">
        <w:rPr>
          <w:lang w:val="en-GB"/>
        </w:rPr>
        <w:t xml:space="preserve"> 10.5 system (</w:t>
      </w:r>
      <w:proofErr w:type="spellStart"/>
      <w:r w:rsidR="00795204" w:rsidRPr="00B459E7">
        <w:rPr>
          <w:lang w:val="en-GB"/>
        </w:rPr>
        <w:t>Noldus</w:t>
      </w:r>
      <w:proofErr w:type="spellEnd"/>
      <w:r w:rsidR="00795204" w:rsidRPr="00B459E7">
        <w:rPr>
          <w:lang w:val="en-GB"/>
        </w:rPr>
        <w:t xml:space="preserve"> Information Technology) according to the manufacturer’s instructions and five compliant runs were recorded per animal at each time point. The camera was set to 40</w:t>
      </w:r>
      <w:r w:rsidR="00C00EDC" w:rsidRPr="00B459E7">
        <w:rPr>
          <w:lang w:val="en-GB"/>
        </w:rPr>
        <w:t xml:space="preserve"> </w:t>
      </w:r>
      <w:r w:rsidR="00795204" w:rsidRPr="00B459E7">
        <w:rPr>
          <w:lang w:val="en-GB"/>
        </w:rPr>
        <w:t>cm below the walkway, the walkway was approximately 4</w:t>
      </w:r>
      <w:r w:rsidR="002E25A5" w:rsidRPr="00B459E7">
        <w:rPr>
          <w:lang w:val="en-GB"/>
        </w:rPr>
        <w:t xml:space="preserve"> </w:t>
      </w:r>
      <w:r w:rsidR="00795204" w:rsidRPr="00B459E7">
        <w:rPr>
          <w:lang w:val="en-GB"/>
        </w:rPr>
        <w:t xml:space="preserve">cm wide, and detection settings </w:t>
      </w:r>
      <w:r w:rsidR="00DE6F5C">
        <w:rPr>
          <w:lang w:val="en-GB"/>
        </w:rPr>
        <w:t xml:space="preserve">were </w:t>
      </w:r>
      <w:r w:rsidR="00795204" w:rsidRPr="00B459E7">
        <w:rPr>
          <w:lang w:val="en-GB"/>
        </w:rPr>
        <w:t xml:space="preserve">set to </w:t>
      </w:r>
      <w:r w:rsidR="00CF02FF" w:rsidRPr="00B459E7">
        <w:rPr>
          <w:lang w:val="en-GB"/>
        </w:rPr>
        <w:t xml:space="preserve">14.05 </w:t>
      </w:r>
      <w:r w:rsidR="00795204" w:rsidRPr="00B459E7">
        <w:rPr>
          <w:lang w:val="en-GB"/>
        </w:rPr>
        <w:t xml:space="preserve">camera gain and </w:t>
      </w:r>
      <w:r w:rsidR="00CF02FF" w:rsidRPr="00B459E7">
        <w:rPr>
          <w:lang w:val="en-GB"/>
        </w:rPr>
        <w:t>0.12</w:t>
      </w:r>
      <w:r w:rsidR="00CF02FF">
        <w:rPr>
          <w:lang w:val="en-GB"/>
        </w:rPr>
        <w:t xml:space="preserve"> </w:t>
      </w:r>
      <w:r w:rsidR="00795204" w:rsidRPr="00B459E7">
        <w:rPr>
          <w:lang w:val="en-GB"/>
        </w:rPr>
        <w:t xml:space="preserve">green intensity. Motor function </w:t>
      </w:r>
      <w:r w:rsidR="00F6731A" w:rsidRPr="00B459E7">
        <w:rPr>
          <w:lang w:val="en-GB"/>
        </w:rPr>
        <w:t xml:space="preserve">of mice </w:t>
      </w:r>
      <w:r w:rsidR="00795204" w:rsidRPr="00B459E7">
        <w:rPr>
          <w:lang w:val="en-GB"/>
        </w:rPr>
        <w:t>was measured using</w:t>
      </w:r>
      <w:r w:rsidR="00F6731A" w:rsidRPr="00B459E7">
        <w:rPr>
          <w:lang w:val="en-GB"/>
        </w:rPr>
        <w:t xml:space="preserve"> a Ugo Basile</w:t>
      </w:r>
      <w:r w:rsidR="00795204" w:rsidRPr="00B459E7">
        <w:rPr>
          <w:lang w:val="en-GB"/>
        </w:rPr>
        <w:t xml:space="preserve"> </w:t>
      </w:r>
      <w:proofErr w:type="spellStart"/>
      <w:r w:rsidR="00795204" w:rsidRPr="00B459E7">
        <w:rPr>
          <w:lang w:val="en-GB"/>
        </w:rPr>
        <w:t>RotaRod</w:t>
      </w:r>
      <w:proofErr w:type="spellEnd"/>
      <w:r w:rsidR="00795204" w:rsidRPr="00B459E7">
        <w:rPr>
          <w:lang w:val="en-GB"/>
        </w:rPr>
        <w:t xml:space="preserve"> </w:t>
      </w:r>
      <w:r w:rsidR="00F6731A" w:rsidRPr="00B459E7">
        <w:rPr>
          <w:lang w:val="en-GB"/>
        </w:rPr>
        <w:t>NG</w:t>
      </w:r>
      <w:r w:rsidR="00795204" w:rsidRPr="00B459E7">
        <w:rPr>
          <w:lang w:val="en-GB"/>
        </w:rPr>
        <w:t xml:space="preserve"> (Italy), starting from 1</w:t>
      </w:r>
      <w:r w:rsidR="002E25A5" w:rsidRPr="00B459E7">
        <w:rPr>
          <w:lang w:val="en-GB"/>
        </w:rPr>
        <w:t xml:space="preserve"> </w:t>
      </w:r>
      <w:r w:rsidR="00795204" w:rsidRPr="00B459E7">
        <w:rPr>
          <w:lang w:val="en-GB"/>
        </w:rPr>
        <w:t>to 10 rpm,</w:t>
      </w:r>
      <w:r w:rsidR="001549D9">
        <w:rPr>
          <w:lang w:val="en-GB"/>
        </w:rPr>
        <w:t xml:space="preserve"> and</w:t>
      </w:r>
      <w:r w:rsidR="00795204" w:rsidRPr="00B459E7">
        <w:rPr>
          <w:lang w:val="en-GB"/>
        </w:rPr>
        <w:t xml:space="preserve"> accelerating every 30 </w:t>
      </w:r>
      <w:r w:rsidR="00435CFD" w:rsidRPr="00B459E7">
        <w:rPr>
          <w:lang w:val="en-GB"/>
        </w:rPr>
        <w:t>s</w:t>
      </w:r>
      <w:r w:rsidR="00795204" w:rsidRPr="00B459E7">
        <w:rPr>
          <w:lang w:val="en-GB"/>
        </w:rPr>
        <w:t xml:space="preserve"> by one rpm.</w:t>
      </w:r>
    </w:p>
    <w:p w14:paraId="3B56897F" w14:textId="1D1A69E6" w:rsidR="00795204" w:rsidRPr="00B459E7" w:rsidRDefault="00795204" w:rsidP="00C00EDC">
      <w:pPr>
        <w:pStyle w:val="MDPI31text"/>
        <w:rPr>
          <w:lang w:val="en-GB"/>
        </w:rPr>
      </w:pPr>
      <w:r w:rsidRPr="00B459E7">
        <w:rPr>
          <w:lang w:val="en-GB"/>
        </w:rPr>
        <w:t>Bar crossing experiments were conducted to measure motor strength and coordination</w:t>
      </w:r>
      <w:r w:rsidRPr="00B459E7" w:rsidDel="0018011C">
        <w:rPr>
          <w:lang w:val="en-GB"/>
        </w:rPr>
        <w:t xml:space="preserve"> </w:t>
      </w:r>
      <w:r w:rsidR="00661EC9" w:rsidRPr="00B459E7">
        <w:rPr>
          <w:noProof/>
          <w:lang w:val="en-GB"/>
        </w:rPr>
        <w:t>[21]</w:t>
      </w:r>
      <w:r w:rsidRPr="00B459E7">
        <w:rPr>
          <w:lang w:val="en-GB"/>
        </w:rPr>
        <w:t xml:space="preserve">. Briefly, a metal bar (1.2 mm </w:t>
      </w:r>
      <w:r w:rsidR="00B80FED">
        <w:rPr>
          <w:lang w:val="en-GB"/>
        </w:rPr>
        <w:t xml:space="preserve">in </w:t>
      </w:r>
      <w:r w:rsidRPr="00B459E7">
        <w:rPr>
          <w:lang w:val="en-GB"/>
        </w:rPr>
        <w:t>width and 26 cm in length) was suspended horizontally between two wooden supports</w:t>
      </w:r>
      <w:r w:rsidR="00B25F44">
        <w:rPr>
          <w:lang w:val="en-GB"/>
        </w:rPr>
        <w:t>,</w:t>
      </w:r>
      <w:r w:rsidRPr="00B459E7">
        <w:rPr>
          <w:lang w:val="en-GB"/>
        </w:rPr>
        <w:t xml:space="preserve"> 30 cm </w:t>
      </w:r>
      <w:r w:rsidR="00717CC9">
        <w:rPr>
          <w:lang w:val="en-GB"/>
        </w:rPr>
        <w:t>in height,</w:t>
      </w:r>
      <w:r w:rsidR="00717CC9" w:rsidRPr="00B459E7">
        <w:rPr>
          <w:lang w:val="en-GB"/>
        </w:rPr>
        <w:t xml:space="preserve"> </w:t>
      </w:r>
      <w:r w:rsidRPr="00B459E7">
        <w:rPr>
          <w:lang w:val="en-GB"/>
        </w:rPr>
        <w:t>over a cushioned surface</w:t>
      </w:r>
      <w:r w:rsidR="00E33B71">
        <w:rPr>
          <w:lang w:val="en-GB"/>
        </w:rPr>
        <w:t>,</w:t>
      </w:r>
      <w:r w:rsidRPr="00B459E7">
        <w:rPr>
          <w:lang w:val="en-GB"/>
        </w:rPr>
        <w:t xml:space="preserve"> and animals were allowed to grasp the </w:t>
      </w:r>
      <w:r w:rsidR="00221BC5" w:rsidRPr="00B459E7">
        <w:rPr>
          <w:lang w:val="en-GB"/>
        </w:rPr>
        <w:t>centre</w:t>
      </w:r>
      <w:r w:rsidRPr="00B459E7">
        <w:rPr>
          <w:lang w:val="en-GB"/>
        </w:rPr>
        <w:t xml:space="preserve"> of the bar with forepaws only, the tail was released, and the clock was started. Latency to cross or fall from the bar was scored, with </w:t>
      </w:r>
      <w:r w:rsidR="00842FCA">
        <w:rPr>
          <w:lang w:val="en-GB"/>
        </w:rPr>
        <w:t xml:space="preserve">a </w:t>
      </w:r>
      <w:r w:rsidRPr="00B459E7">
        <w:rPr>
          <w:lang w:val="en-GB"/>
        </w:rPr>
        <w:t>1</w:t>
      </w:r>
      <w:r w:rsidR="001213A3">
        <w:rPr>
          <w:lang w:val="en-GB"/>
        </w:rPr>
        <w:t>80</w:t>
      </w:r>
      <w:r w:rsidRPr="00B459E7">
        <w:rPr>
          <w:lang w:val="en-GB"/>
        </w:rPr>
        <w:t xml:space="preserve"> s maximum to termination of each trial. A score was given </w:t>
      </w:r>
      <w:r w:rsidR="00F42FC8">
        <w:rPr>
          <w:lang w:val="en-GB"/>
        </w:rPr>
        <w:t>for</w:t>
      </w:r>
      <w:r w:rsidR="00F42FC8" w:rsidRPr="00B459E7">
        <w:rPr>
          <w:lang w:val="en-GB"/>
        </w:rPr>
        <w:t xml:space="preserve"> </w:t>
      </w:r>
      <w:r w:rsidRPr="00B459E7">
        <w:rPr>
          <w:lang w:val="en-GB"/>
        </w:rPr>
        <w:t>each animal between +1</w:t>
      </w:r>
      <w:r w:rsidR="001213A3">
        <w:rPr>
          <w:lang w:val="en-GB"/>
        </w:rPr>
        <w:t>80</w:t>
      </w:r>
      <w:r w:rsidRPr="00B459E7">
        <w:rPr>
          <w:lang w:val="en-GB"/>
        </w:rPr>
        <w:t xml:space="preserve"> and </w:t>
      </w:r>
      <w:r w:rsidR="00C00EDC" w:rsidRPr="00B459E7">
        <w:rPr>
          <w:lang w:val="en-GB"/>
        </w:rPr>
        <w:t>−</w:t>
      </w:r>
      <w:r w:rsidRPr="00B459E7">
        <w:rPr>
          <w:lang w:val="en-GB"/>
        </w:rPr>
        <w:t>1</w:t>
      </w:r>
      <w:r w:rsidR="001213A3">
        <w:rPr>
          <w:lang w:val="en-GB"/>
        </w:rPr>
        <w:t>80</w:t>
      </w:r>
      <w:r w:rsidRPr="00B459E7">
        <w:rPr>
          <w:lang w:val="en-GB"/>
        </w:rPr>
        <w:t>. If crossing time (CT) was greater than 0, then score = 1</w:t>
      </w:r>
      <w:r w:rsidR="001213A3">
        <w:rPr>
          <w:lang w:val="en-GB"/>
        </w:rPr>
        <w:t>80</w:t>
      </w:r>
      <w:r w:rsidRPr="00B459E7">
        <w:rPr>
          <w:lang w:val="en-GB"/>
        </w:rPr>
        <w:t xml:space="preserve"> </w:t>
      </w:r>
      <w:r w:rsidR="00C00EDC" w:rsidRPr="00B459E7">
        <w:rPr>
          <w:lang w:val="en-GB"/>
        </w:rPr>
        <w:t>−</w:t>
      </w:r>
      <w:r w:rsidRPr="00B459E7">
        <w:rPr>
          <w:lang w:val="en-GB"/>
        </w:rPr>
        <w:t xml:space="preserve"> CT; if falling time (FT) was greater than 0, the</w:t>
      </w:r>
      <w:r w:rsidR="006C76DE">
        <w:rPr>
          <w:lang w:val="en-GB"/>
        </w:rPr>
        <w:t>n</w:t>
      </w:r>
      <w:r w:rsidRPr="00B459E7">
        <w:rPr>
          <w:lang w:val="en-GB"/>
        </w:rPr>
        <w:t xml:space="preserve"> score = FT</w:t>
      </w:r>
      <w:r w:rsidR="00C00EDC" w:rsidRPr="00B459E7">
        <w:rPr>
          <w:lang w:val="en-GB"/>
        </w:rPr>
        <w:t xml:space="preserve"> − </w:t>
      </w:r>
      <w:r w:rsidRPr="00B459E7">
        <w:rPr>
          <w:lang w:val="en-GB"/>
        </w:rPr>
        <w:t>1</w:t>
      </w:r>
      <w:r w:rsidR="00910398">
        <w:rPr>
          <w:lang w:val="en-GB"/>
        </w:rPr>
        <w:t>80</w:t>
      </w:r>
      <w:r w:rsidRPr="00B459E7">
        <w:rPr>
          <w:lang w:val="en-GB"/>
        </w:rPr>
        <w:t>.</w:t>
      </w:r>
    </w:p>
    <w:p w14:paraId="01E5AF72" w14:textId="06F2D583" w:rsidR="00795204" w:rsidRPr="00B459E7" w:rsidRDefault="00C00EDC" w:rsidP="00C00EDC">
      <w:pPr>
        <w:pStyle w:val="MDPI22heading2"/>
        <w:rPr>
          <w:lang w:val="en-GB"/>
        </w:rPr>
      </w:pPr>
      <w:bookmarkStart w:id="3" w:name="_Toc410478813"/>
      <w:r w:rsidRPr="00B459E7">
        <w:rPr>
          <w:lang w:val="en-GB"/>
        </w:rPr>
        <w:t xml:space="preserve">2.4. </w:t>
      </w:r>
      <w:r w:rsidR="006F162A" w:rsidRPr="00B459E7">
        <w:rPr>
          <w:lang w:val="en-GB"/>
        </w:rPr>
        <w:t>Tissue</w:t>
      </w:r>
      <w:r w:rsidR="00795204" w:rsidRPr="00B459E7">
        <w:rPr>
          <w:lang w:val="en-GB"/>
        </w:rPr>
        <w:t xml:space="preserve"> </w:t>
      </w:r>
      <w:r w:rsidR="00C5547C" w:rsidRPr="00B459E7">
        <w:rPr>
          <w:lang w:val="en-GB"/>
        </w:rPr>
        <w:t>Handling</w:t>
      </w:r>
      <w:bookmarkEnd w:id="3"/>
    </w:p>
    <w:p w14:paraId="638867E0" w14:textId="2D0E6B1F" w:rsidR="00795204" w:rsidRPr="00B459E7" w:rsidRDefault="008B4E0A" w:rsidP="00C00EDC">
      <w:pPr>
        <w:pStyle w:val="MDPI31text"/>
        <w:rPr>
          <w:lang w:val="en-GB"/>
        </w:rPr>
      </w:pPr>
      <w:bookmarkStart w:id="4" w:name="_Toc410478814"/>
      <w:r w:rsidRPr="00B459E7">
        <w:rPr>
          <w:lang w:val="en-GB"/>
        </w:rPr>
        <w:t>A s</w:t>
      </w:r>
      <w:r w:rsidR="00D32E72" w:rsidRPr="00B459E7">
        <w:rPr>
          <w:lang w:val="en-GB"/>
        </w:rPr>
        <w:t>econd cohort of m</w:t>
      </w:r>
      <w:r w:rsidR="00795204" w:rsidRPr="00B459E7">
        <w:rPr>
          <w:lang w:val="en-GB"/>
        </w:rPr>
        <w:t>ice</w:t>
      </w:r>
      <w:r w:rsidR="00D32E72" w:rsidRPr="00B459E7">
        <w:rPr>
          <w:lang w:val="en-GB"/>
        </w:rPr>
        <w:t xml:space="preserve"> was</w:t>
      </w:r>
      <w:r w:rsidR="00E0066A" w:rsidRPr="00B459E7">
        <w:rPr>
          <w:lang w:val="en-GB"/>
        </w:rPr>
        <w:t xml:space="preserve"> sacrificed at 86 days of age (late symptomatic stage)</w:t>
      </w:r>
      <w:r w:rsidR="00795204" w:rsidRPr="00B459E7">
        <w:rPr>
          <w:lang w:val="en-GB"/>
        </w:rPr>
        <w:t xml:space="preserve"> </w:t>
      </w:r>
      <w:r w:rsidR="00E0066A" w:rsidRPr="00B459E7">
        <w:rPr>
          <w:lang w:val="en-GB"/>
        </w:rPr>
        <w:t>and</w:t>
      </w:r>
      <w:r w:rsidR="00795204" w:rsidRPr="00B459E7">
        <w:rPr>
          <w:lang w:val="en-GB"/>
        </w:rPr>
        <w:t xml:space="preserve"> perfused with phosphate</w:t>
      </w:r>
      <w:r w:rsidR="008930CE">
        <w:rPr>
          <w:lang w:val="en-GB"/>
        </w:rPr>
        <w:t>-</w:t>
      </w:r>
      <w:r w:rsidR="00795204" w:rsidRPr="00B459E7">
        <w:rPr>
          <w:lang w:val="en-GB"/>
        </w:rPr>
        <w:t>buffered saline (PBS, pH 7.4) (Gibco #10010023). Tissues for biochemical a</w:t>
      </w:r>
      <w:r w:rsidR="00645E7A" w:rsidRPr="00B459E7">
        <w:rPr>
          <w:lang w:val="en-GB"/>
        </w:rPr>
        <w:t>nalysis were snap</w:t>
      </w:r>
      <w:r w:rsidR="00BF3249">
        <w:rPr>
          <w:lang w:val="en-GB"/>
        </w:rPr>
        <w:t xml:space="preserve"> </w:t>
      </w:r>
      <w:r w:rsidR="00645E7A" w:rsidRPr="00B459E7">
        <w:rPr>
          <w:lang w:val="en-GB"/>
        </w:rPr>
        <w:t>frozen in ice-</w:t>
      </w:r>
      <w:r w:rsidR="00795204" w:rsidRPr="00B459E7">
        <w:rPr>
          <w:lang w:val="en-GB"/>
        </w:rPr>
        <w:t xml:space="preserve">cold </w:t>
      </w:r>
      <w:proofErr w:type="spellStart"/>
      <w:r w:rsidR="00795204" w:rsidRPr="00B459E7">
        <w:rPr>
          <w:lang w:val="en-GB"/>
        </w:rPr>
        <w:t>isopentane</w:t>
      </w:r>
      <w:proofErr w:type="spellEnd"/>
      <w:r w:rsidR="00795204" w:rsidRPr="00B459E7">
        <w:rPr>
          <w:lang w:val="en-GB"/>
        </w:rPr>
        <w:t xml:space="preserve"> (</w:t>
      </w:r>
      <w:r w:rsidR="00C00EDC" w:rsidRPr="00B459E7">
        <w:rPr>
          <w:lang w:val="en-GB"/>
        </w:rPr>
        <w:t>−</w:t>
      </w:r>
      <w:r w:rsidR="00795204" w:rsidRPr="00B459E7">
        <w:rPr>
          <w:lang w:val="en-GB"/>
        </w:rPr>
        <w:t>80</w:t>
      </w:r>
      <w:r w:rsidR="00C00EDC" w:rsidRPr="00B459E7">
        <w:rPr>
          <w:lang w:val="en-GB"/>
        </w:rPr>
        <w:t xml:space="preserve"> °</w:t>
      </w:r>
      <w:r w:rsidR="00795204" w:rsidRPr="00B459E7">
        <w:rPr>
          <w:lang w:val="en-GB"/>
        </w:rPr>
        <w:t>C). Biochemical analyses were performed on water-</w:t>
      </w:r>
      <w:r w:rsidR="00661EC9" w:rsidRPr="00B459E7">
        <w:rPr>
          <w:lang w:val="en-GB"/>
        </w:rPr>
        <w:t>homogenized</w:t>
      </w:r>
      <w:r w:rsidR="00795204" w:rsidRPr="00B459E7">
        <w:rPr>
          <w:lang w:val="en-GB"/>
        </w:rPr>
        <w:t xml:space="preserve"> tissues (mg/mL) and protein content was determined using a BCA protein assay (Thermo Fisher #23227) according to the manufacturer’s instructions.</w:t>
      </w:r>
    </w:p>
    <w:p w14:paraId="0305F6D0" w14:textId="0D641D09" w:rsidR="00795204" w:rsidRPr="00B459E7" w:rsidRDefault="00C00EDC" w:rsidP="00C00EDC">
      <w:pPr>
        <w:pStyle w:val="MDPI22heading2"/>
        <w:rPr>
          <w:lang w:val="en-GB"/>
        </w:rPr>
      </w:pPr>
      <w:r w:rsidRPr="00B459E7">
        <w:rPr>
          <w:lang w:val="en-GB"/>
        </w:rPr>
        <w:t xml:space="preserve">2.5. </w:t>
      </w:r>
      <w:r w:rsidR="00795204" w:rsidRPr="00B459E7">
        <w:rPr>
          <w:lang w:val="en-GB"/>
        </w:rPr>
        <w:t xml:space="preserve">Glycosphingolipid </w:t>
      </w:r>
      <w:r w:rsidR="00C5547C" w:rsidRPr="00B459E7">
        <w:rPr>
          <w:lang w:val="en-GB"/>
        </w:rPr>
        <w:t>Measurements</w:t>
      </w:r>
      <w:bookmarkEnd w:id="4"/>
    </w:p>
    <w:p w14:paraId="16DA4C67" w14:textId="2B00AD2A" w:rsidR="00795204" w:rsidRPr="00B459E7" w:rsidRDefault="00795204" w:rsidP="00C00EDC">
      <w:pPr>
        <w:pStyle w:val="MDPI31text"/>
        <w:rPr>
          <w:rStyle w:val="Heading2Char"/>
          <w:bCs w:val="0"/>
          <w:color w:val="000000"/>
          <w:sz w:val="20"/>
          <w:szCs w:val="20"/>
          <w:lang w:val="en-GB" w:eastAsia="en-US"/>
        </w:rPr>
      </w:pPr>
      <w:r w:rsidRPr="00B459E7">
        <w:rPr>
          <w:lang w:val="en-GB"/>
        </w:rPr>
        <w:t>Glycosphingolipids (GSL</w:t>
      </w:r>
      <w:r w:rsidR="00BB2CD9">
        <w:rPr>
          <w:lang w:val="en-GB"/>
        </w:rPr>
        <w:t>s</w:t>
      </w:r>
      <w:r w:rsidRPr="00B459E7">
        <w:rPr>
          <w:lang w:val="en-GB"/>
        </w:rPr>
        <w:t>) were measured according to published methods</w:t>
      </w:r>
      <w:r w:rsidR="00645E7A" w:rsidRPr="00B459E7">
        <w:rPr>
          <w:lang w:val="en-GB"/>
        </w:rPr>
        <w:t xml:space="preserve"> </w:t>
      </w:r>
      <w:r w:rsidR="00645E7A" w:rsidRPr="00B459E7">
        <w:rPr>
          <w:noProof/>
          <w:lang w:val="en-GB"/>
        </w:rPr>
        <w:t>[22]</w:t>
      </w:r>
      <w:r w:rsidRPr="00B459E7">
        <w:rPr>
          <w:lang w:val="en-GB"/>
        </w:rPr>
        <w:t>. Briefly, GSLs were extracted from tissue homogenates in chloroform/methanol (C:M) (1:2 v/v) overnight at 4</w:t>
      </w:r>
      <w:r w:rsidR="00C00EDC" w:rsidRPr="00B459E7">
        <w:rPr>
          <w:lang w:val="en-GB"/>
        </w:rPr>
        <w:t xml:space="preserve"> </w:t>
      </w:r>
      <w:r w:rsidRPr="00B459E7">
        <w:rPr>
          <w:lang w:val="en-GB"/>
        </w:rPr>
        <w:t>°C. The mixture was centrifuged (3000</w:t>
      </w:r>
      <w:r w:rsidR="00C00EDC" w:rsidRPr="00B459E7">
        <w:rPr>
          <w:lang w:val="en-GB"/>
        </w:rPr>
        <w:t xml:space="preserve"> </w:t>
      </w:r>
      <w:r w:rsidRPr="00B459E7">
        <w:rPr>
          <w:lang w:val="en-GB"/>
        </w:rPr>
        <w:t>rpm/10</w:t>
      </w:r>
      <w:r w:rsidR="00C00EDC" w:rsidRPr="00B459E7">
        <w:rPr>
          <w:lang w:val="en-GB"/>
        </w:rPr>
        <w:t xml:space="preserve"> </w:t>
      </w:r>
      <w:r w:rsidRPr="00B459E7">
        <w:rPr>
          <w:lang w:val="en-GB"/>
        </w:rPr>
        <w:t>min) and 1</w:t>
      </w:r>
      <w:r w:rsidR="002E25A5" w:rsidRPr="00B459E7">
        <w:rPr>
          <w:lang w:val="en-GB"/>
        </w:rPr>
        <w:t xml:space="preserve"> </w:t>
      </w:r>
      <w:r w:rsidRPr="00B459E7">
        <w:rPr>
          <w:lang w:val="en-GB"/>
        </w:rPr>
        <w:t>mL chloroform and 1</w:t>
      </w:r>
      <w:r w:rsidR="00BD4E48">
        <w:rPr>
          <w:lang w:val="en-GB"/>
        </w:rPr>
        <w:t xml:space="preserve"> </w:t>
      </w:r>
      <w:r w:rsidRPr="00B459E7">
        <w:rPr>
          <w:lang w:val="en-GB"/>
        </w:rPr>
        <w:t>mL PBS were added to the supernatant and centrifuged (3000</w:t>
      </w:r>
      <w:r w:rsidR="00C00EDC" w:rsidRPr="00B459E7">
        <w:rPr>
          <w:lang w:val="en-GB"/>
        </w:rPr>
        <w:t xml:space="preserve"> </w:t>
      </w:r>
      <w:r w:rsidRPr="00B459E7">
        <w:rPr>
          <w:lang w:val="en-GB"/>
        </w:rPr>
        <w:t>rpm/10</w:t>
      </w:r>
      <w:r w:rsidR="00C00EDC" w:rsidRPr="00B459E7">
        <w:rPr>
          <w:lang w:val="en-GB"/>
        </w:rPr>
        <w:t xml:space="preserve"> </w:t>
      </w:r>
      <w:r w:rsidRPr="00B459E7">
        <w:rPr>
          <w:lang w:val="en-GB"/>
        </w:rPr>
        <w:t>min). The lower phase was dried under N</w:t>
      </w:r>
      <w:r w:rsidRPr="00B459E7">
        <w:rPr>
          <w:vertAlign w:val="subscript"/>
          <w:lang w:val="en-GB"/>
        </w:rPr>
        <w:t>2</w:t>
      </w:r>
      <w:r w:rsidRPr="00B459E7">
        <w:rPr>
          <w:lang w:val="en-GB"/>
        </w:rPr>
        <w:t>, resuspended in 50</w:t>
      </w:r>
      <w:r w:rsidR="00C00EDC" w:rsidRPr="00B459E7">
        <w:rPr>
          <w:lang w:val="en-GB"/>
        </w:rPr>
        <w:t xml:space="preserve"> </w:t>
      </w:r>
      <w:proofErr w:type="spellStart"/>
      <w:r w:rsidRPr="00B459E7">
        <w:rPr>
          <w:lang w:val="en-GB"/>
        </w:rPr>
        <w:t>uL</w:t>
      </w:r>
      <w:proofErr w:type="spellEnd"/>
      <w:r w:rsidRPr="00B459E7">
        <w:rPr>
          <w:lang w:val="en-GB"/>
        </w:rPr>
        <w:t xml:space="preserve"> C:M 1:3 v/v and combined with the upper phase. Subsequently, GSLs were recovered using </w:t>
      </w:r>
      <w:r w:rsidR="007A55AC" w:rsidRPr="00F84F07">
        <w:rPr>
          <w:color w:val="auto"/>
          <w:lang w:val="en-GB"/>
        </w:rPr>
        <w:t xml:space="preserve">ISOLUTE® C18 </w:t>
      </w:r>
      <w:r w:rsidRPr="00F84F07">
        <w:rPr>
          <w:color w:val="auto"/>
          <w:lang w:val="en-GB"/>
        </w:rPr>
        <w:t xml:space="preserve">columns </w:t>
      </w:r>
      <w:r w:rsidRPr="00B459E7">
        <w:rPr>
          <w:lang w:val="en-GB"/>
        </w:rPr>
        <w:t>(</w:t>
      </w:r>
      <w:proofErr w:type="spellStart"/>
      <w:r w:rsidRPr="00B459E7">
        <w:rPr>
          <w:lang w:val="en-GB"/>
        </w:rPr>
        <w:t>Biotage</w:t>
      </w:r>
      <w:proofErr w:type="spellEnd"/>
      <w:r w:rsidR="00F6731A" w:rsidRPr="00B459E7">
        <w:rPr>
          <w:lang w:val="en-GB"/>
        </w:rPr>
        <w:t>, Sweden</w:t>
      </w:r>
      <w:r w:rsidRPr="00B459E7">
        <w:rPr>
          <w:lang w:val="en-GB"/>
        </w:rPr>
        <w:t>), pre-equilibrated with 4</w:t>
      </w:r>
      <w:r w:rsidR="00F6731A" w:rsidRPr="00B459E7">
        <w:rPr>
          <w:lang w:val="en-GB"/>
        </w:rPr>
        <w:t xml:space="preserve"> </w:t>
      </w:r>
      <w:r w:rsidR="00C00EDC" w:rsidRPr="00B459E7">
        <w:rPr>
          <w:lang w:val="en-GB"/>
        </w:rPr>
        <w:t>×</w:t>
      </w:r>
      <w:r w:rsidR="00F6731A" w:rsidRPr="00B459E7">
        <w:rPr>
          <w:lang w:val="en-GB"/>
        </w:rPr>
        <w:t xml:space="preserve"> </w:t>
      </w:r>
      <w:r w:rsidRPr="00B459E7">
        <w:rPr>
          <w:lang w:val="en-GB"/>
        </w:rPr>
        <w:t>1</w:t>
      </w:r>
      <w:r w:rsidR="00C00EDC" w:rsidRPr="00B459E7">
        <w:rPr>
          <w:lang w:val="en-GB"/>
        </w:rPr>
        <w:t xml:space="preserve"> </w:t>
      </w:r>
      <w:r w:rsidRPr="00B459E7">
        <w:rPr>
          <w:lang w:val="en-GB"/>
        </w:rPr>
        <w:t>mL MeOH and 2</w:t>
      </w:r>
      <w:r w:rsidR="00F6731A" w:rsidRPr="00B459E7">
        <w:rPr>
          <w:lang w:val="en-GB"/>
        </w:rPr>
        <w:t xml:space="preserve"> </w:t>
      </w:r>
      <w:r w:rsidR="00C00EDC" w:rsidRPr="00B459E7">
        <w:rPr>
          <w:lang w:val="en-GB"/>
        </w:rPr>
        <w:t>×</w:t>
      </w:r>
      <w:r w:rsidR="00F6731A" w:rsidRPr="00B459E7">
        <w:rPr>
          <w:lang w:val="en-GB"/>
        </w:rPr>
        <w:t xml:space="preserve"> </w:t>
      </w:r>
      <w:r w:rsidRPr="00B459E7">
        <w:rPr>
          <w:lang w:val="en-GB"/>
        </w:rPr>
        <w:t>1</w:t>
      </w:r>
      <w:r w:rsidR="00C00EDC" w:rsidRPr="00B459E7">
        <w:rPr>
          <w:lang w:val="en-GB"/>
        </w:rPr>
        <w:t xml:space="preserve"> </w:t>
      </w:r>
      <w:r w:rsidRPr="00B459E7">
        <w:rPr>
          <w:lang w:val="en-GB"/>
        </w:rPr>
        <w:t>mL H</w:t>
      </w:r>
      <w:r w:rsidRPr="00B459E7">
        <w:rPr>
          <w:vertAlign w:val="subscript"/>
          <w:lang w:val="en-GB"/>
        </w:rPr>
        <w:t>2</w:t>
      </w:r>
      <w:r w:rsidRPr="00B459E7">
        <w:rPr>
          <w:lang w:val="en-GB"/>
        </w:rPr>
        <w:t xml:space="preserve">O. Samples were washed </w:t>
      </w:r>
      <w:r w:rsidR="005A0D9F">
        <w:rPr>
          <w:lang w:val="en-GB"/>
        </w:rPr>
        <w:t xml:space="preserve">with </w:t>
      </w:r>
      <w:r w:rsidRPr="00B459E7">
        <w:rPr>
          <w:lang w:val="en-GB"/>
        </w:rPr>
        <w:t>3</w:t>
      </w:r>
      <w:r w:rsidR="00F6731A" w:rsidRPr="00B459E7">
        <w:rPr>
          <w:lang w:val="en-GB"/>
        </w:rPr>
        <w:t xml:space="preserve"> </w:t>
      </w:r>
      <w:r w:rsidR="00C00EDC" w:rsidRPr="00B459E7">
        <w:rPr>
          <w:lang w:val="en-GB"/>
        </w:rPr>
        <w:t>×</w:t>
      </w:r>
      <w:r w:rsidR="00F6731A" w:rsidRPr="00B459E7">
        <w:rPr>
          <w:lang w:val="en-GB"/>
        </w:rPr>
        <w:t xml:space="preserve"> </w:t>
      </w:r>
      <w:r w:rsidRPr="00B459E7">
        <w:rPr>
          <w:lang w:val="en-GB"/>
        </w:rPr>
        <w:t>1</w:t>
      </w:r>
      <w:r w:rsidR="00C00EDC" w:rsidRPr="00B459E7">
        <w:rPr>
          <w:lang w:val="en-GB"/>
        </w:rPr>
        <w:t xml:space="preserve"> </w:t>
      </w:r>
      <w:r w:rsidRPr="00B459E7">
        <w:rPr>
          <w:lang w:val="en-GB"/>
        </w:rPr>
        <w:t>mL H</w:t>
      </w:r>
      <w:r w:rsidRPr="00B459E7">
        <w:rPr>
          <w:vertAlign w:val="subscript"/>
          <w:lang w:val="en-GB"/>
        </w:rPr>
        <w:t>2</w:t>
      </w:r>
      <w:r w:rsidRPr="00B459E7">
        <w:rPr>
          <w:lang w:val="en-GB"/>
        </w:rPr>
        <w:t>O and eluted with 1</w:t>
      </w:r>
      <w:r w:rsidR="00C00EDC" w:rsidRPr="00B459E7">
        <w:rPr>
          <w:lang w:val="en-GB"/>
        </w:rPr>
        <w:t xml:space="preserve"> </w:t>
      </w:r>
      <w:r w:rsidRPr="00B459E7">
        <w:rPr>
          <w:lang w:val="en-GB"/>
        </w:rPr>
        <w:t>mL C:M 98:2, 2</w:t>
      </w:r>
      <w:r w:rsidR="00C00EDC" w:rsidRPr="00B459E7">
        <w:rPr>
          <w:lang w:val="en-GB"/>
        </w:rPr>
        <w:t xml:space="preserve"> × </w:t>
      </w:r>
      <w:r w:rsidRPr="00B459E7">
        <w:rPr>
          <w:lang w:val="en-GB"/>
        </w:rPr>
        <w:t>1</w:t>
      </w:r>
      <w:r w:rsidR="00C00EDC" w:rsidRPr="00B459E7">
        <w:rPr>
          <w:lang w:val="en-GB"/>
        </w:rPr>
        <w:t xml:space="preserve"> </w:t>
      </w:r>
      <w:r w:rsidRPr="00B459E7">
        <w:rPr>
          <w:lang w:val="en-GB"/>
        </w:rPr>
        <w:t xml:space="preserve">mL C:M 1:3, </w:t>
      </w:r>
      <w:r w:rsidR="00D8660E">
        <w:rPr>
          <w:lang w:val="en-GB"/>
        </w:rPr>
        <w:t xml:space="preserve">and </w:t>
      </w:r>
      <w:r w:rsidRPr="00B459E7">
        <w:rPr>
          <w:lang w:val="en-GB"/>
        </w:rPr>
        <w:t>1</w:t>
      </w:r>
      <w:r w:rsidR="00D8660E">
        <w:rPr>
          <w:lang w:val="en-GB"/>
        </w:rPr>
        <w:t xml:space="preserve"> </w:t>
      </w:r>
      <w:r w:rsidRPr="00B459E7">
        <w:rPr>
          <w:lang w:val="en-GB"/>
        </w:rPr>
        <w:t>mL MeOH. The column eluate was dried under N</w:t>
      </w:r>
      <w:r w:rsidRPr="00B459E7">
        <w:rPr>
          <w:vertAlign w:val="subscript"/>
          <w:lang w:val="en-GB"/>
        </w:rPr>
        <w:t>2</w:t>
      </w:r>
      <w:r w:rsidRPr="00B459E7">
        <w:rPr>
          <w:lang w:val="en-GB"/>
        </w:rPr>
        <w:t>, resuspended in 100</w:t>
      </w:r>
      <w:r w:rsidR="00C00EDC" w:rsidRPr="00B459E7">
        <w:rPr>
          <w:lang w:val="en-GB"/>
        </w:rPr>
        <w:t xml:space="preserve"> </w:t>
      </w:r>
      <w:proofErr w:type="spellStart"/>
      <w:r w:rsidRPr="00B459E7">
        <w:rPr>
          <w:lang w:val="en-GB"/>
        </w:rPr>
        <w:t>uL</w:t>
      </w:r>
      <w:proofErr w:type="spellEnd"/>
      <w:r w:rsidRPr="00B459E7">
        <w:rPr>
          <w:lang w:val="en-GB"/>
        </w:rPr>
        <w:t xml:space="preserve"> C:M 2:1, dried again under N</w:t>
      </w:r>
      <w:r w:rsidRPr="00B459E7">
        <w:rPr>
          <w:vertAlign w:val="subscript"/>
          <w:lang w:val="en-GB"/>
        </w:rPr>
        <w:t>2</w:t>
      </w:r>
      <w:r w:rsidRPr="00B459E7">
        <w:rPr>
          <w:lang w:val="en-GB"/>
        </w:rPr>
        <w:t xml:space="preserve"> and resuspended in ceramide </w:t>
      </w:r>
      <w:proofErr w:type="spellStart"/>
      <w:r w:rsidRPr="00B459E7">
        <w:rPr>
          <w:lang w:val="en-GB"/>
        </w:rPr>
        <w:t>glycanase</w:t>
      </w:r>
      <w:proofErr w:type="spellEnd"/>
      <w:r w:rsidRPr="00B459E7">
        <w:rPr>
          <w:lang w:val="en-GB"/>
        </w:rPr>
        <w:t xml:space="preserve"> (</w:t>
      </w:r>
      <w:proofErr w:type="spellStart"/>
      <w:r w:rsidRPr="00B459E7">
        <w:rPr>
          <w:lang w:val="en-GB"/>
        </w:rPr>
        <w:t>CGase</w:t>
      </w:r>
      <w:proofErr w:type="spellEnd"/>
      <w:r w:rsidRPr="00B459E7">
        <w:rPr>
          <w:lang w:val="en-GB"/>
        </w:rPr>
        <w:t>) buffer (50</w:t>
      </w:r>
      <w:r w:rsidR="00C00EDC" w:rsidRPr="00B459E7">
        <w:rPr>
          <w:lang w:val="en-GB"/>
        </w:rPr>
        <w:t xml:space="preserve"> </w:t>
      </w:r>
      <w:proofErr w:type="spellStart"/>
      <w:r w:rsidRPr="00B459E7">
        <w:rPr>
          <w:lang w:val="en-GB"/>
        </w:rPr>
        <w:t>mM</w:t>
      </w:r>
      <w:proofErr w:type="spellEnd"/>
      <w:r w:rsidRPr="00B459E7">
        <w:rPr>
          <w:lang w:val="en-GB"/>
        </w:rPr>
        <w:t xml:space="preserve"> sodium acetate pH 5.5, 1</w:t>
      </w:r>
      <w:r w:rsidR="002E25A5" w:rsidRPr="00B459E7">
        <w:rPr>
          <w:lang w:val="en-GB"/>
        </w:rPr>
        <w:t xml:space="preserve"> </w:t>
      </w:r>
      <w:r w:rsidRPr="00B459E7">
        <w:rPr>
          <w:lang w:val="en-GB"/>
        </w:rPr>
        <w:t xml:space="preserve">mg/mL sodium </w:t>
      </w:r>
      <w:proofErr w:type="spellStart"/>
      <w:r w:rsidRPr="00B459E7">
        <w:rPr>
          <w:lang w:val="en-GB"/>
        </w:rPr>
        <w:t>taurodeoxycholate</w:t>
      </w:r>
      <w:proofErr w:type="spellEnd"/>
      <w:r w:rsidRPr="00B459E7">
        <w:rPr>
          <w:lang w:val="en-GB"/>
        </w:rPr>
        <w:t xml:space="preserve">). </w:t>
      </w:r>
      <w:r w:rsidR="00CE5536">
        <w:rPr>
          <w:lang w:val="en-GB"/>
        </w:rPr>
        <w:t xml:space="preserve">The </w:t>
      </w:r>
      <w:r w:rsidRPr="00B459E7">
        <w:rPr>
          <w:lang w:val="en-GB"/>
        </w:rPr>
        <w:t>50</w:t>
      </w:r>
      <w:r w:rsidR="00C00EDC" w:rsidRPr="00B459E7">
        <w:rPr>
          <w:lang w:val="en-GB"/>
        </w:rPr>
        <w:t xml:space="preserve"> </w:t>
      </w:r>
      <w:proofErr w:type="spellStart"/>
      <w:r w:rsidRPr="00B459E7">
        <w:rPr>
          <w:lang w:val="en-GB"/>
        </w:rPr>
        <w:t>mU</w:t>
      </w:r>
      <w:proofErr w:type="spellEnd"/>
      <w:r w:rsidRPr="00B459E7">
        <w:rPr>
          <w:lang w:val="en-GB"/>
        </w:rPr>
        <w:t xml:space="preserve"> </w:t>
      </w:r>
      <w:proofErr w:type="spellStart"/>
      <w:r w:rsidRPr="00B459E7">
        <w:rPr>
          <w:lang w:val="en-GB"/>
        </w:rPr>
        <w:t>CGase</w:t>
      </w:r>
      <w:proofErr w:type="spellEnd"/>
      <w:r w:rsidRPr="00B459E7">
        <w:rPr>
          <w:lang w:val="en-GB"/>
        </w:rPr>
        <w:t xml:space="preserve"> was added, and samples </w:t>
      </w:r>
      <w:r w:rsidR="00385343">
        <w:rPr>
          <w:lang w:val="en-GB"/>
        </w:rPr>
        <w:t xml:space="preserve">were </w:t>
      </w:r>
      <w:r w:rsidRPr="00B459E7">
        <w:rPr>
          <w:lang w:val="en-GB"/>
        </w:rPr>
        <w:t>incubated at 37</w:t>
      </w:r>
      <w:r w:rsidR="00C00EDC" w:rsidRPr="00B459E7">
        <w:rPr>
          <w:lang w:val="en-GB"/>
        </w:rPr>
        <w:t xml:space="preserve"> </w:t>
      </w:r>
      <w:r w:rsidRPr="00B459E7">
        <w:rPr>
          <w:lang w:val="en-GB"/>
        </w:rPr>
        <w:t>°C overnight. Released oligosaccharides were labelled with anthranilic acid (2-AA) and purified by mixing with 1</w:t>
      </w:r>
      <w:r w:rsidR="00D8660E">
        <w:rPr>
          <w:lang w:val="en-GB"/>
        </w:rPr>
        <w:t xml:space="preserve"> </w:t>
      </w:r>
      <w:r w:rsidRPr="00B459E7">
        <w:rPr>
          <w:lang w:val="en-GB"/>
        </w:rPr>
        <w:t>mL acetonitrile:H</w:t>
      </w:r>
      <w:r w:rsidRPr="00B459E7">
        <w:rPr>
          <w:vertAlign w:val="subscript"/>
          <w:lang w:val="en-GB"/>
        </w:rPr>
        <w:t>2</w:t>
      </w:r>
      <w:r w:rsidRPr="00B459E7">
        <w:rPr>
          <w:lang w:val="en-GB"/>
        </w:rPr>
        <w:t>O (97:3 v/v), and added to Discovery DPA-6S columns (SUPELCO, # 52625-U) pre-equilibrated with 1</w:t>
      </w:r>
      <w:r w:rsidR="00C00EDC" w:rsidRPr="00B459E7">
        <w:rPr>
          <w:lang w:val="en-GB"/>
        </w:rPr>
        <w:t xml:space="preserve"> </w:t>
      </w:r>
      <w:r w:rsidRPr="00B459E7">
        <w:rPr>
          <w:lang w:val="en-GB"/>
        </w:rPr>
        <w:t>mL acetonitrile, 2</w:t>
      </w:r>
      <w:r w:rsidR="00E72AF9" w:rsidRPr="00B459E7">
        <w:rPr>
          <w:lang w:val="en-GB"/>
        </w:rPr>
        <w:t xml:space="preserve"> </w:t>
      </w:r>
      <w:r w:rsidR="00C00EDC" w:rsidRPr="00B459E7">
        <w:rPr>
          <w:lang w:val="en-GB"/>
        </w:rPr>
        <w:t>×</w:t>
      </w:r>
      <w:r w:rsidR="00E72AF9" w:rsidRPr="00B459E7">
        <w:rPr>
          <w:lang w:val="en-GB"/>
        </w:rPr>
        <w:t xml:space="preserve"> </w:t>
      </w:r>
      <w:r w:rsidRPr="00B459E7">
        <w:rPr>
          <w:lang w:val="en-GB"/>
        </w:rPr>
        <w:t>1</w:t>
      </w:r>
      <w:r w:rsidR="00C00EDC" w:rsidRPr="00B459E7">
        <w:rPr>
          <w:lang w:val="en-GB"/>
        </w:rPr>
        <w:t xml:space="preserve"> </w:t>
      </w:r>
      <w:r w:rsidRPr="00B459E7">
        <w:rPr>
          <w:lang w:val="en-GB"/>
        </w:rPr>
        <w:t>mL H</w:t>
      </w:r>
      <w:r w:rsidRPr="00F84F07">
        <w:rPr>
          <w:vertAlign w:val="subscript"/>
          <w:lang w:val="en-GB"/>
        </w:rPr>
        <w:t>2</w:t>
      </w:r>
      <w:r w:rsidRPr="00B459E7">
        <w:rPr>
          <w:lang w:val="en-GB"/>
        </w:rPr>
        <w:t>O, and 2</w:t>
      </w:r>
      <w:r w:rsidR="00E72AF9" w:rsidRPr="00B459E7">
        <w:rPr>
          <w:lang w:val="en-GB"/>
        </w:rPr>
        <w:t xml:space="preserve"> </w:t>
      </w:r>
      <w:r w:rsidR="00C00EDC" w:rsidRPr="00B459E7">
        <w:rPr>
          <w:lang w:val="en-GB"/>
        </w:rPr>
        <w:t>×</w:t>
      </w:r>
      <w:r w:rsidR="00E72AF9" w:rsidRPr="00B459E7">
        <w:rPr>
          <w:lang w:val="en-GB"/>
        </w:rPr>
        <w:t xml:space="preserve"> </w:t>
      </w:r>
      <w:r w:rsidRPr="00B459E7">
        <w:rPr>
          <w:lang w:val="en-GB"/>
        </w:rPr>
        <w:t>1</w:t>
      </w:r>
      <w:r w:rsidR="00C00EDC" w:rsidRPr="00B459E7">
        <w:rPr>
          <w:lang w:val="en-GB"/>
        </w:rPr>
        <w:t xml:space="preserve"> </w:t>
      </w:r>
      <w:r w:rsidRPr="00B459E7">
        <w:rPr>
          <w:lang w:val="en-GB"/>
        </w:rPr>
        <w:t>mL acetonitrile. Columns were washed with 2</w:t>
      </w:r>
      <w:r w:rsidR="00E72AF9" w:rsidRPr="00B459E7">
        <w:rPr>
          <w:lang w:val="en-GB"/>
        </w:rPr>
        <w:t xml:space="preserve"> </w:t>
      </w:r>
      <w:r w:rsidR="00C00EDC" w:rsidRPr="00B459E7">
        <w:rPr>
          <w:lang w:val="en-GB"/>
        </w:rPr>
        <w:t>×</w:t>
      </w:r>
      <w:r w:rsidR="00E72AF9" w:rsidRPr="00B459E7">
        <w:rPr>
          <w:lang w:val="en-GB"/>
        </w:rPr>
        <w:t xml:space="preserve"> </w:t>
      </w:r>
      <w:r w:rsidRPr="00B459E7">
        <w:rPr>
          <w:lang w:val="en-GB"/>
        </w:rPr>
        <w:t>1</w:t>
      </w:r>
      <w:r w:rsidR="00C00EDC" w:rsidRPr="00B459E7">
        <w:rPr>
          <w:lang w:val="en-GB"/>
        </w:rPr>
        <w:t xml:space="preserve"> </w:t>
      </w:r>
      <w:r w:rsidRPr="00B459E7">
        <w:rPr>
          <w:lang w:val="en-GB"/>
        </w:rPr>
        <w:t xml:space="preserve">mL </w:t>
      </w:r>
      <w:proofErr w:type="gramStart"/>
      <w:r w:rsidR="00297669" w:rsidRPr="00B459E7">
        <w:rPr>
          <w:lang w:val="en-GB"/>
        </w:rPr>
        <w:t>acetonitrile:H</w:t>
      </w:r>
      <w:r w:rsidR="00297669" w:rsidRPr="00F84F07">
        <w:rPr>
          <w:vertAlign w:val="subscript"/>
          <w:lang w:val="en-GB"/>
        </w:rPr>
        <w:t>2</w:t>
      </w:r>
      <w:r w:rsidR="00297669" w:rsidRPr="00B459E7">
        <w:rPr>
          <w:lang w:val="en-GB"/>
        </w:rPr>
        <w:t>O</w:t>
      </w:r>
      <w:proofErr w:type="gramEnd"/>
      <w:r w:rsidRPr="00B459E7">
        <w:rPr>
          <w:lang w:val="en-GB"/>
        </w:rPr>
        <w:t xml:space="preserve"> (95:5 v/v) and eluted in 2</w:t>
      </w:r>
      <w:r w:rsidR="00E72AF9" w:rsidRPr="00B459E7">
        <w:rPr>
          <w:lang w:val="en-GB"/>
        </w:rPr>
        <w:t xml:space="preserve"> </w:t>
      </w:r>
      <w:r w:rsidR="00C00EDC" w:rsidRPr="00B459E7">
        <w:rPr>
          <w:lang w:val="en-GB"/>
        </w:rPr>
        <w:t>×</w:t>
      </w:r>
      <w:r w:rsidRPr="00B459E7">
        <w:rPr>
          <w:lang w:val="en-GB"/>
        </w:rPr>
        <w:t xml:space="preserve"> 0.75</w:t>
      </w:r>
      <w:r w:rsidR="00C00EDC" w:rsidRPr="00B459E7">
        <w:rPr>
          <w:lang w:val="en-GB"/>
        </w:rPr>
        <w:t xml:space="preserve"> </w:t>
      </w:r>
      <w:r w:rsidRPr="00B459E7">
        <w:rPr>
          <w:lang w:val="en-GB"/>
        </w:rPr>
        <w:t>mL H</w:t>
      </w:r>
      <w:r w:rsidRPr="00B459E7">
        <w:rPr>
          <w:vertAlign w:val="subscript"/>
          <w:lang w:val="en-GB"/>
        </w:rPr>
        <w:t>2</w:t>
      </w:r>
      <w:r w:rsidRPr="00B459E7">
        <w:rPr>
          <w:lang w:val="en-GB"/>
        </w:rPr>
        <w:t xml:space="preserve">O. Samples were loaded 30:70 </w:t>
      </w:r>
      <w:proofErr w:type="gramStart"/>
      <w:r w:rsidRPr="00B459E7">
        <w:rPr>
          <w:lang w:val="en-GB"/>
        </w:rPr>
        <w:t>H</w:t>
      </w:r>
      <w:r w:rsidRPr="00B459E7">
        <w:rPr>
          <w:vertAlign w:val="subscript"/>
          <w:lang w:val="en-GB"/>
        </w:rPr>
        <w:t>2</w:t>
      </w:r>
      <w:r w:rsidRPr="00B459E7">
        <w:rPr>
          <w:lang w:val="en-GB"/>
        </w:rPr>
        <w:t>O:MeCN</w:t>
      </w:r>
      <w:proofErr w:type="gramEnd"/>
      <w:r w:rsidRPr="00B459E7">
        <w:rPr>
          <w:lang w:val="en-GB"/>
        </w:rPr>
        <w:t xml:space="preserve"> (v/v) for normal</w:t>
      </w:r>
      <w:r w:rsidR="00B26D2F">
        <w:rPr>
          <w:lang w:val="en-GB"/>
        </w:rPr>
        <w:t>-</w:t>
      </w:r>
      <w:r w:rsidRPr="00B459E7">
        <w:rPr>
          <w:lang w:val="en-GB"/>
        </w:rPr>
        <w:t>phase</w:t>
      </w:r>
      <w:r w:rsidR="006C1F68">
        <w:rPr>
          <w:lang w:val="en-GB"/>
        </w:rPr>
        <w:t xml:space="preserve"> (NP)</w:t>
      </w:r>
      <w:r w:rsidRPr="00B459E7">
        <w:rPr>
          <w:lang w:val="en-GB"/>
        </w:rPr>
        <w:t xml:space="preserve"> HPLC. </w:t>
      </w:r>
      <w:r w:rsidR="006C1F68" w:rsidRPr="006C1F68">
        <w:rPr>
          <w:lang w:val="en-GB"/>
        </w:rPr>
        <w:t>2AA-labeled oligosaccharides were separated and quantified by NP-HPLC as previously described</w:t>
      </w:r>
      <w:r w:rsidR="006C1F68">
        <w:rPr>
          <w:lang w:val="en-GB"/>
        </w:rPr>
        <w:t xml:space="preserve"> </w:t>
      </w:r>
      <w:r w:rsidR="006C1F68" w:rsidRPr="006C1F68">
        <w:rPr>
          <w:noProof/>
          <w:lang w:val="en-GB"/>
        </w:rPr>
        <w:t>[22]</w:t>
      </w:r>
      <w:r w:rsidR="006C1F68">
        <w:rPr>
          <w:lang w:val="en-GB"/>
        </w:rPr>
        <w:t xml:space="preserve">. </w:t>
      </w:r>
      <w:r w:rsidRPr="00B459E7">
        <w:rPr>
          <w:lang w:val="en-GB"/>
        </w:rPr>
        <w:t>Separation was carried out at 30</w:t>
      </w:r>
      <w:r w:rsidR="00C00EDC" w:rsidRPr="00B459E7">
        <w:rPr>
          <w:lang w:val="en-GB"/>
        </w:rPr>
        <w:t xml:space="preserve"> </w:t>
      </w:r>
      <w:r w:rsidRPr="00B459E7">
        <w:rPr>
          <w:lang w:val="en-GB"/>
        </w:rPr>
        <w:t>°C using</w:t>
      </w:r>
      <w:r w:rsidR="00794CD4">
        <w:rPr>
          <w:lang w:val="en-GB"/>
        </w:rPr>
        <w:t xml:space="preserve"> a</w:t>
      </w:r>
      <w:r w:rsidRPr="00B459E7">
        <w:rPr>
          <w:lang w:val="en-GB"/>
        </w:rPr>
        <w:t xml:space="preserve"> Waters Alliance 2695 separation module,</w:t>
      </w:r>
      <w:r w:rsidR="005E161E">
        <w:rPr>
          <w:lang w:val="en-GB"/>
        </w:rPr>
        <w:t xml:space="preserve"> with</w:t>
      </w:r>
      <w:r w:rsidRPr="00B459E7">
        <w:rPr>
          <w:lang w:val="en-GB"/>
        </w:rPr>
        <w:t xml:space="preserve"> excitation </w:t>
      </w:r>
      <w:r w:rsidR="005E161E">
        <w:rPr>
          <w:lang w:val="en-GB"/>
        </w:rPr>
        <w:t xml:space="preserve">at </w:t>
      </w:r>
      <w:r w:rsidRPr="00B459E7">
        <w:rPr>
          <w:lang w:val="en-GB"/>
        </w:rPr>
        <w:t>360</w:t>
      </w:r>
      <w:r w:rsidR="00C00EDC" w:rsidRPr="00B459E7">
        <w:rPr>
          <w:lang w:val="en-GB"/>
        </w:rPr>
        <w:t xml:space="preserve"> </w:t>
      </w:r>
      <w:r w:rsidRPr="00B459E7">
        <w:rPr>
          <w:lang w:val="en-GB"/>
        </w:rPr>
        <w:t>nm</w:t>
      </w:r>
      <w:r w:rsidR="005E161E">
        <w:rPr>
          <w:lang w:val="en-GB"/>
        </w:rPr>
        <w:t xml:space="preserve"> and</w:t>
      </w:r>
      <w:r w:rsidRPr="00B459E7">
        <w:rPr>
          <w:lang w:val="en-GB"/>
        </w:rPr>
        <w:t xml:space="preserve"> emission </w:t>
      </w:r>
      <w:r w:rsidR="005E161E">
        <w:rPr>
          <w:lang w:val="en-GB"/>
        </w:rPr>
        <w:t xml:space="preserve">at </w:t>
      </w:r>
      <w:r w:rsidRPr="00B459E7">
        <w:rPr>
          <w:lang w:val="en-GB"/>
        </w:rPr>
        <w:t>425</w:t>
      </w:r>
      <w:r w:rsidR="00C00EDC" w:rsidRPr="00B459E7">
        <w:rPr>
          <w:lang w:val="en-GB"/>
        </w:rPr>
        <w:t xml:space="preserve"> </w:t>
      </w:r>
      <w:r w:rsidRPr="00B459E7">
        <w:rPr>
          <w:lang w:val="en-GB"/>
        </w:rPr>
        <w:t>nm</w:t>
      </w:r>
      <w:r w:rsidR="0027712E">
        <w:rPr>
          <w:lang w:val="en-GB"/>
        </w:rPr>
        <w:t>,</w:t>
      </w:r>
      <w:r w:rsidRPr="00B459E7">
        <w:rPr>
          <w:lang w:val="en-GB"/>
        </w:rPr>
        <w:t xml:space="preserve"> using a Waters 2475 fluorescence detector.</w:t>
      </w:r>
    </w:p>
    <w:p w14:paraId="4FB1BFCB" w14:textId="45026DF3" w:rsidR="00795204" w:rsidRPr="00B459E7" w:rsidRDefault="00C00EDC" w:rsidP="00C00EDC">
      <w:pPr>
        <w:pStyle w:val="MDPI22heading2"/>
        <w:rPr>
          <w:lang w:val="en-GB"/>
        </w:rPr>
      </w:pPr>
      <w:r w:rsidRPr="00B459E7">
        <w:rPr>
          <w:lang w:val="en-GB"/>
        </w:rPr>
        <w:t xml:space="preserve">2.6. </w:t>
      </w:r>
      <w:r w:rsidR="00795204" w:rsidRPr="00B459E7">
        <w:rPr>
          <w:lang w:val="en-GB"/>
        </w:rPr>
        <w:t>Western Blotting</w:t>
      </w:r>
    </w:p>
    <w:p w14:paraId="1960B049" w14:textId="7E6CE49F" w:rsidR="00C00EDC" w:rsidRPr="00B459E7" w:rsidRDefault="00795204" w:rsidP="00C00EDC">
      <w:pPr>
        <w:pStyle w:val="MDPI31text"/>
        <w:rPr>
          <w:lang w:val="en-GB"/>
        </w:rPr>
      </w:pPr>
      <w:r w:rsidRPr="00B459E7">
        <w:rPr>
          <w:lang w:val="en-GB"/>
        </w:rPr>
        <w:t xml:space="preserve">Western blot analysis was carried out by </w:t>
      </w:r>
      <w:r w:rsidR="00661EC9" w:rsidRPr="00B459E7">
        <w:rPr>
          <w:lang w:val="en-GB"/>
        </w:rPr>
        <w:t>homogenizing</w:t>
      </w:r>
      <w:r w:rsidRPr="00B459E7">
        <w:rPr>
          <w:lang w:val="en-GB"/>
        </w:rPr>
        <w:t xml:space="preserve"> cerebellar hemispheres to 50</w:t>
      </w:r>
      <w:r w:rsidR="00C00EDC" w:rsidRPr="00B459E7">
        <w:rPr>
          <w:lang w:val="en-GB"/>
        </w:rPr>
        <w:t xml:space="preserve"> </w:t>
      </w:r>
      <w:r w:rsidRPr="00B459E7">
        <w:rPr>
          <w:lang w:val="en-GB"/>
        </w:rPr>
        <w:t xml:space="preserve">mg/mL (w/v) in RIPA buffer (Pierce RIPA Buffer, Thermo Fischer Scientific-89900) </w:t>
      </w:r>
      <w:r w:rsidR="00842FCA">
        <w:rPr>
          <w:lang w:val="en-GB"/>
        </w:rPr>
        <w:t xml:space="preserve">containing </w:t>
      </w:r>
      <w:r w:rsidR="00EB0FD3">
        <w:rPr>
          <w:lang w:val="en-GB"/>
        </w:rPr>
        <w:t>a</w:t>
      </w:r>
      <w:r w:rsidRPr="00B459E7">
        <w:rPr>
          <w:lang w:val="en-GB"/>
        </w:rPr>
        <w:t xml:space="preserve"> protease/phosphatase inhibitor cocktail (Halt™ Protease and Phosphatase Inhibitor Cocktail-100X, Cat No: 78440), followed by a 30</w:t>
      </w:r>
      <w:r w:rsidR="00C00EDC" w:rsidRPr="00B459E7">
        <w:rPr>
          <w:lang w:val="en-GB"/>
        </w:rPr>
        <w:t xml:space="preserve"> </w:t>
      </w:r>
      <w:r w:rsidR="00435CFD" w:rsidRPr="00B459E7">
        <w:rPr>
          <w:lang w:val="en-GB"/>
        </w:rPr>
        <w:t>min</w:t>
      </w:r>
      <w:r w:rsidRPr="00B459E7">
        <w:rPr>
          <w:lang w:val="en-GB"/>
        </w:rPr>
        <w:t xml:space="preserve"> incubation on ice.</w:t>
      </w:r>
      <w:r w:rsidR="00435CFD" w:rsidRPr="00B459E7">
        <w:rPr>
          <w:lang w:val="en-GB"/>
        </w:rPr>
        <w:t xml:space="preserve"> </w:t>
      </w:r>
      <w:r w:rsidRPr="00B459E7">
        <w:rPr>
          <w:lang w:val="en-GB"/>
        </w:rPr>
        <w:t>Samples were centrifuged at 13</w:t>
      </w:r>
      <w:r w:rsidRPr="00F84F07">
        <w:rPr>
          <w:color w:val="auto"/>
          <w:lang w:val="en-GB"/>
        </w:rPr>
        <w:t>,000</w:t>
      </w:r>
      <w:r w:rsidR="007476CB" w:rsidRPr="00F84F07">
        <w:rPr>
          <w:color w:val="auto"/>
          <w:lang w:val="en-GB"/>
        </w:rPr>
        <w:t xml:space="preserve"> </w:t>
      </w:r>
      <w:r w:rsidR="00C00EDC" w:rsidRPr="00F84F07">
        <w:rPr>
          <w:color w:val="auto"/>
          <w:lang w:val="en-GB"/>
        </w:rPr>
        <w:t xml:space="preserve">× </w:t>
      </w:r>
      <w:r w:rsidRPr="00F84F07">
        <w:rPr>
          <w:i/>
          <w:iCs/>
          <w:color w:val="auto"/>
          <w:lang w:val="en-GB"/>
        </w:rPr>
        <w:t>g</w:t>
      </w:r>
      <w:r w:rsidRPr="00F84F07">
        <w:rPr>
          <w:color w:val="auto"/>
          <w:lang w:val="en-GB"/>
        </w:rPr>
        <w:t xml:space="preserve"> at 4</w:t>
      </w:r>
      <w:r w:rsidR="00C00EDC" w:rsidRPr="00F84F07">
        <w:rPr>
          <w:color w:val="auto"/>
          <w:lang w:val="en-GB"/>
        </w:rPr>
        <w:t xml:space="preserve"> </w:t>
      </w:r>
      <w:r w:rsidRPr="00F84F07">
        <w:rPr>
          <w:color w:val="auto"/>
          <w:lang w:val="en-GB"/>
        </w:rPr>
        <w:t>°C</w:t>
      </w:r>
      <w:r w:rsidR="00EA6886" w:rsidRPr="00F84F07">
        <w:rPr>
          <w:color w:val="auto"/>
          <w:lang w:val="en-GB"/>
        </w:rPr>
        <w:t>,</w:t>
      </w:r>
      <w:r w:rsidRPr="00F84F07">
        <w:rPr>
          <w:b/>
          <w:color w:val="auto"/>
          <w:lang w:val="en-GB"/>
        </w:rPr>
        <w:t xml:space="preserve"> </w:t>
      </w:r>
      <w:r w:rsidRPr="00F84F07">
        <w:rPr>
          <w:color w:val="auto"/>
          <w:lang w:val="en-GB"/>
        </w:rPr>
        <w:t xml:space="preserve">and supernatants were retained for further BCA protein assay and </w:t>
      </w:r>
      <w:r w:rsidR="00EA6886" w:rsidRPr="00F84F07">
        <w:rPr>
          <w:color w:val="auto"/>
          <w:lang w:val="en-GB"/>
        </w:rPr>
        <w:t>Western</w:t>
      </w:r>
      <w:r w:rsidRPr="00F84F07">
        <w:rPr>
          <w:color w:val="auto"/>
          <w:lang w:val="en-GB"/>
        </w:rPr>
        <w:t xml:space="preserve"> blot. Protein </w:t>
      </w:r>
      <w:r w:rsidRPr="00B459E7">
        <w:rPr>
          <w:lang w:val="en-GB"/>
        </w:rPr>
        <w:t xml:space="preserve">extracts from cerebellar homogenates were obtained from samples lysed and stored in 1% </w:t>
      </w:r>
      <w:proofErr w:type="spellStart"/>
      <w:r w:rsidRPr="00B459E7">
        <w:rPr>
          <w:lang w:val="en-GB"/>
        </w:rPr>
        <w:t>Igepal</w:t>
      </w:r>
      <w:proofErr w:type="spellEnd"/>
      <w:r w:rsidRPr="00B459E7">
        <w:rPr>
          <w:lang w:val="en-GB"/>
        </w:rPr>
        <w:t xml:space="preserve"> CA, 0.5% sodium deoxycholate, 0.1% SDS, 1% protease-phosphatase inhibitor cocktail and 3X SDS blue loading buffer (New England </w:t>
      </w:r>
      <w:r w:rsidR="003F128D" w:rsidRPr="00B459E7">
        <w:rPr>
          <w:lang w:val="en-GB"/>
        </w:rPr>
        <w:t>Biolabs</w:t>
      </w:r>
      <w:r w:rsidR="00E72AF9" w:rsidRPr="00B459E7">
        <w:rPr>
          <w:lang w:val="en-GB"/>
        </w:rPr>
        <w:t>;</w:t>
      </w:r>
      <w:r w:rsidRPr="00B459E7">
        <w:rPr>
          <w:lang w:val="en-GB"/>
        </w:rPr>
        <w:t xml:space="preserve"> #50-811-554). Samples were resolved using 4</w:t>
      </w:r>
      <w:r w:rsidR="00C00EDC" w:rsidRPr="00B459E7">
        <w:rPr>
          <w:lang w:val="en-GB"/>
        </w:rPr>
        <w:t>–</w:t>
      </w:r>
      <w:r w:rsidRPr="00B459E7">
        <w:rPr>
          <w:lang w:val="en-GB"/>
        </w:rPr>
        <w:t xml:space="preserve">12% SDS </w:t>
      </w:r>
      <w:r w:rsidR="00996090">
        <w:rPr>
          <w:lang w:val="en-GB"/>
        </w:rPr>
        <w:lastRenderedPageBreak/>
        <w:t>t</w:t>
      </w:r>
      <w:r w:rsidRPr="00B459E7">
        <w:rPr>
          <w:lang w:val="en-GB"/>
        </w:rPr>
        <w:t>ris-glycine (</w:t>
      </w:r>
      <w:proofErr w:type="spellStart"/>
      <w:r w:rsidRPr="00B459E7">
        <w:rPr>
          <w:lang w:val="en-GB"/>
        </w:rPr>
        <w:t>Biorad</w:t>
      </w:r>
      <w:proofErr w:type="spellEnd"/>
      <w:r w:rsidRPr="00B459E7">
        <w:rPr>
          <w:lang w:val="en-GB"/>
        </w:rPr>
        <w:t xml:space="preserve">) gel electrophoresis and transferred to </w:t>
      </w:r>
      <w:r w:rsidR="00A50E3C">
        <w:rPr>
          <w:lang w:val="en-GB"/>
        </w:rPr>
        <w:t xml:space="preserve">a </w:t>
      </w:r>
      <w:r w:rsidRPr="00B459E7">
        <w:rPr>
          <w:lang w:val="en-GB"/>
        </w:rPr>
        <w:t>low</w:t>
      </w:r>
      <w:r w:rsidR="00A50E3C">
        <w:rPr>
          <w:lang w:val="en-GB"/>
        </w:rPr>
        <w:t>-</w:t>
      </w:r>
      <w:r w:rsidRPr="00B459E7">
        <w:rPr>
          <w:lang w:val="en-GB"/>
        </w:rPr>
        <w:t>fluorescen</w:t>
      </w:r>
      <w:r w:rsidR="00A50E3C">
        <w:rPr>
          <w:lang w:val="en-GB"/>
        </w:rPr>
        <w:t>ce</w:t>
      </w:r>
      <w:r w:rsidRPr="00B459E7">
        <w:rPr>
          <w:lang w:val="en-GB"/>
        </w:rPr>
        <w:t xml:space="preserve"> PVDF membrane (</w:t>
      </w:r>
      <w:proofErr w:type="spellStart"/>
      <w:r w:rsidRPr="00B459E7">
        <w:rPr>
          <w:lang w:val="en-GB"/>
        </w:rPr>
        <w:t>Biorad</w:t>
      </w:r>
      <w:proofErr w:type="spellEnd"/>
      <w:r w:rsidRPr="00B459E7">
        <w:rPr>
          <w:lang w:val="en-GB"/>
        </w:rPr>
        <w:t xml:space="preserve"> </w:t>
      </w:r>
      <w:proofErr w:type="spellStart"/>
      <w:r w:rsidRPr="00B459E7">
        <w:rPr>
          <w:lang w:val="en-GB"/>
        </w:rPr>
        <w:t>Immun</w:t>
      </w:r>
      <w:proofErr w:type="spellEnd"/>
      <w:r w:rsidR="00E72AF9" w:rsidRPr="00B459E7">
        <w:rPr>
          <w:lang w:val="en-GB"/>
        </w:rPr>
        <w:t>-B</w:t>
      </w:r>
      <w:r w:rsidRPr="00B459E7">
        <w:rPr>
          <w:lang w:val="en-GB"/>
        </w:rPr>
        <w:t>lot Low Fluorescence PVDF paper</w:t>
      </w:r>
      <w:r w:rsidR="00E72AF9" w:rsidRPr="00B459E7">
        <w:rPr>
          <w:lang w:val="en-GB"/>
        </w:rPr>
        <w:t xml:space="preserve">; </w:t>
      </w:r>
      <w:r w:rsidRPr="00B459E7">
        <w:rPr>
          <w:lang w:val="en-GB"/>
        </w:rPr>
        <w:t>#1620262) using a semidry transfer apparatus (Trans-Blot Turbo Transfer System (</w:t>
      </w:r>
      <w:proofErr w:type="spellStart"/>
      <w:r w:rsidRPr="00B459E7">
        <w:rPr>
          <w:lang w:val="en-GB"/>
        </w:rPr>
        <w:t>Biorad</w:t>
      </w:r>
      <w:proofErr w:type="spellEnd"/>
      <w:r w:rsidR="00E72AF9" w:rsidRPr="00B459E7">
        <w:rPr>
          <w:lang w:val="en-GB"/>
        </w:rPr>
        <w:t>;</w:t>
      </w:r>
      <w:r w:rsidRPr="00B459E7">
        <w:rPr>
          <w:lang w:val="en-GB"/>
        </w:rPr>
        <w:t xml:space="preserve"> #1704150)). The antibodies used are summarized in Table 1.</w:t>
      </w:r>
    </w:p>
    <w:p w14:paraId="747A4AEC" w14:textId="190C1068" w:rsidR="00103E13" w:rsidRPr="00B459E7" w:rsidRDefault="00103E13" w:rsidP="00103E13">
      <w:pPr>
        <w:pStyle w:val="MDPI41tablecaption"/>
        <w:jc w:val="center"/>
        <w:rPr>
          <w:lang w:val="en-GB"/>
        </w:rPr>
      </w:pPr>
      <w:r w:rsidRPr="00B459E7">
        <w:rPr>
          <w:b/>
          <w:lang w:val="en-GB"/>
        </w:rPr>
        <w:t xml:space="preserve">Table 1. </w:t>
      </w:r>
      <w:r w:rsidRPr="00B459E7">
        <w:rPr>
          <w:lang w:val="en-GB"/>
        </w:rPr>
        <w:t>List of antibodies and reagents used along with their usage conditions.</w:t>
      </w:r>
    </w:p>
    <w:tbl>
      <w:tblPr>
        <w:tblW w:w="0" w:type="auto"/>
        <w:jc w:val="center"/>
        <w:tblBorders>
          <w:top w:val="single" w:sz="8" w:space="0" w:color="auto"/>
          <w:bottom w:val="single" w:sz="8" w:space="0" w:color="auto"/>
          <w:insideH w:val="single" w:sz="4" w:space="0" w:color="000000"/>
        </w:tblBorders>
        <w:tblLayout w:type="fixed"/>
        <w:tblLook w:val="04A0" w:firstRow="1" w:lastRow="0" w:firstColumn="1" w:lastColumn="0" w:noHBand="0" w:noVBand="1"/>
      </w:tblPr>
      <w:tblGrid>
        <w:gridCol w:w="2376"/>
        <w:gridCol w:w="1418"/>
        <w:gridCol w:w="878"/>
        <w:gridCol w:w="1413"/>
        <w:gridCol w:w="1117"/>
        <w:gridCol w:w="1020"/>
      </w:tblGrid>
      <w:tr w:rsidR="00103E13" w:rsidRPr="00B459E7" w14:paraId="638CAC47" w14:textId="77777777" w:rsidTr="00F84F07">
        <w:trPr>
          <w:jc w:val="center"/>
        </w:trPr>
        <w:tc>
          <w:tcPr>
            <w:tcW w:w="2376" w:type="dxa"/>
            <w:shd w:val="clear" w:color="auto" w:fill="auto"/>
            <w:noWrap/>
            <w:vAlign w:val="center"/>
          </w:tcPr>
          <w:p w14:paraId="3A8C9CF1" w14:textId="3671D380" w:rsidR="00661EC9" w:rsidRPr="005B4650" w:rsidRDefault="00103E13" w:rsidP="00103E13">
            <w:pPr>
              <w:autoSpaceDE w:val="0"/>
              <w:autoSpaceDN w:val="0"/>
              <w:adjustRightInd w:val="0"/>
              <w:snapToGrid w:val="0"/>
              <w:spacing w:line="240" w:lineRule="auto"/>
              <w:jc w:val="center"/>
              <w:rPr>
                <w:rFonts w:ascii="Palatino Linotype" w:hAnsi="Palatino Linotype"/>
                <w:b/>
                <w:bCs/>
                <w:color w:val="auto"/>
                <w:sz w:val="18"/>
                <w:szCs w:val="18"/>
                <w:highlight w:val="yellow"/>
                <w:lang w:val="en-GB" w:eastAsia="zh-CN"/>
              </w:rPr>
            </w:pPr>
            <w:r w:rsidRPr="00F84F07">
              <w:rPr>
                <w:rFonts w:ascii="Palatino Linotype" w:hAnsi="Palatino Linotype"/>
                <w:b/>
                <w:bCs/>
                <w:color w:val="auto"/>
                <w:sz w:val="18"/>
                <w:szCs w:val="18"/>
                <w:lang w:val="en-GB" w:bidi="en-US"/>
              </w:rPr>
              <w:t>Protein/</w:t>
            </w:r>
            <w:r w:rsidR="00661EC9" w:rsidRPr="00F84F07">
              <w:rPr>
                <w:rFonts w:ascii="Palatino Linotype" w:hAnsi="Palatino Linotype"/>
                <w:b/>
                <w:bCs/>
                <w:color w:val="auto"/>
                <w:sz w:val="18"/>
                <w:szCs w:val="18"/>
                <w:lang w:val="en-GB" w:bidi="en-US"/>
              </w:rPr>
              <w:t>Epitope</w:t>
            </w:r>
          </w:p>
        </w:tc>
        <w:tc>
          <w:tcPr>
            <w:tcW w:w="1418" w:type="dxa"/>
            <w:shd w:val="clear" w:color="auto" w:fill="auto"/>
            <w:noWrap/>
            <w:vAlign w:val="center"/>
          </w:tcPr>
          <w:p w14:paraId="3F6D9155" w14:textId="77777777" w:rsidR="00661EC9" w:rsidRPr="005B4650" w:rsidRDefault="00661EC9" w:rsidP="00103E13">
            <w:pPr>
              <w:autoSpaceDE w:val="0"/>
              <w:autoSpaceDN w:val="0"/>
              <w:adjustRightInd w:val="0"/>
              <w:snapToGrid w:val="0"/>
              <w:spacing w:line="240" w:lineRule="auto"/>
              <w:jc w:val="center"/>
              <w:rPr>
                <w:rFonts w:ascii="Palatino Linotype" w:hAnsi="Palatino Linotype"/>
                <w:b/>
                <w:bCs/>
                <w:color w:val="auto"/>
                <w:sz w:val="18"/>
                <w:szCs w:val="18"/>
                <w:lang w:val="en-GB"/>
              </w:rPr>
            </w:pPr>
            <w:r w:rsidRPr="005B4650">
              <w:rPr>
                <w:rFonts w:ascii="Palatino Linotype" w:hAnsi="Palatino Linotype"/>
                <w:b/>
                <w:bCs/>
                <w:color w:val="auto"/>
                <w:sz w:val="18"/>
                <w:szCs w:val="18"/>
                <w:lang w:val="en-GB" w:bidi="en-US"/>
              </w:rPr>
              <w:t>Antibody Type</w:t>
            </w:r>
          </w:p>
        </w:tc>
        <w:tc>
          <w:tcPr>
            <w:tcW w:w="878" w:type="dxa"/>
            <w:shd w:val="clear" w:color="auto" w:fill="auto"/>
            <w:noWrap/>
            <w:vAlign w:val="center"/>
          </w:tcPr>
          <w:p w14:paraId="696D442A" w14:textId="77777777" w:rsidR="00661EC9" w:rsidRPr="005B4650" w:rsidRDefault="00661EC9" w:rsidP="00103E13">
            <w:pPr>
              <w:autoSpaceDE w:val="0"/>
              <w:autoSpaceDN w:val="0"/>
              <w:adjustRightInd w:val="0"/>
              <w:snapToGrid w:val="0"/>
              <w:spacing w:line="240" w:lineRule="auto"/>
              <w:jc w:val="center"/>
              <w:rPr>
                <w:rFonts w:ascii="Palatino Linotype" w:hAnsi="Palatino Linotype"/>
                <w:b/>
                <w:bCs/>
                <w:color w:val="auto"/>
                <w:sz w:val="18"/>
                <w:szCs w:val="18"/>
                <w:lang w:val="en-GB"/>
              </w:rPr>
            </w:pPr>
            <w:r w:rsidRPr="005B4650">
              <w:rPr>
                <w:rFonts w:ascii="Palatino Linotype" w:hAnsi="Palatino Linotype"/>
                <w:b/>
                <w:bCs/>
                <w:color w:val="auto"/>
                <w:sz w:val="18"/>
                <w:szCs w:val="18"/>
                <w:lang w:val="en-GB" w:bidi="en-US"/>
              </w:rPr>
              <w:t>Host</w:t>
            </w:r>
          </w:p>
        </w:tc>
        <w:tc>
          <w:tcPr>
            <w:tcW w:w="1413" w:type="dxa"/>
            <w:shd w:val="clear" w:color="auto" w:fill="auto"/>
            <w:noWrap/>
            <w:vAlign w:val="center"/>
          </w:tcPr>
          <w:p w14:paraId="1FDCFABE" w14:textId="77777777" w:rsidR="00661EC9" w:rsidRPr="005B4650" w:rsidRDefault="00661EC9" w:rsidP="00103E13">
            <w:pPr>
              <w:autoSpaceDE w:val="0"/>
              <w:autoSpaceDN w:val="0"/>
              <w:adjustRightInd w:val="0"/>
              <w:snapToGrid w:val="0"/>
              <w:spacing w:line="240" w:lineRule="auto"/>
              <w:jc w:val="center"/>
              <w:rPr>
                <w:rFonts w:ascii="Palatino Linotype" w:hAnsi="Palatino Linotype"/>
                <w:b/>
                <w:bCs/>
                <w:color w:val="auto"/>
                <w:sz w:val="18"/>
                <w:szCs w:val="18"/>
                <w:lang w:val="en-GB"/>
              </w:rPr>
            </w:pPr>
            <w:r w:rsidRPr="005B4650">
              <w:rPr>
                <w:rFonts w:ascii="Palatino Linotype" w:hAnsi="Palatino Linotype"/>
                <w:b/>
                <w:bCs/>
                <w:color w:val="auto"/>
                <w:sz w:val="18"/>
                <w:szCs w:val="18"/>
                <w:lang w:val="en-GB" w:bidi="en-US"/>
              </w:rPr>
              <w:t>Source</w:t>
            </w:r>
          </w:p>
        </w:tc>
        <w:tc>
          <w:tcPr>
            <w:tcW w:w="1117" w:type="dxa"/>
            <w:shd w:val="clear" w:color="auto" w:fill="auto"/>
            <w:noWrap/>
            <w:vAlign w:val="center"/>
          </w:tcPr>
          <w:p w14:paraId="7B8C0BAF" w14:textId="45B1FB22" w:rsidR="00661EC9" w:rsidRPr="005B4650" w:rsidRDefault="00661EC9" w:rsidP="00103E13">
            <w:pPr>
              <w:autoSpaceDE w:val="0"/>
              <w:autoSpaceDN w:val="0"/>
              <w:adjustRightInd w:val="0"/>
              <w:snapToGrid w:val="0"/>
              <w:spacing w:line="240" w:lineRule="auto"/>
              <w:jc w:val="center"/>
              <w:rPr>
                <w:rFonts w:ascii="Palatino Linotype" w:hAnsi="Palatino Linotype"/>
                <w:b/>
                <w:bCs/>
                <w:color w:val="auto"/>
                <w:sz w:val="18"/>
                <w:szCs w:val="18"/>
                <w:lang w:val="en-GB"/>
              </w:rPr>
            </w:pPr>
            <w:r w:rsidRPr="005B4650">
              <w:rPr>
                <w:rFonts w:ascii="Palatino Linotype" w:hAnsi="Palatino Linotype"/>
                <w:b/>
                <w:bCs/>
                <w:color w:val="auto"/>
                <w:sz w:val="18"/>
                <w:szCs w:val="18"/>
                <w:lang w:val="en-GB" w:bidi="en-US"/>
              </w:rPr>
              <w:t>Catalogue</w:t>
            </w:r>
            <w:r w:rsidR="009542F2">
              <w:rPr>
                <w:rFonts w:ascii="Palatino Linotype" w:hAnsi="Palatino Linotype"/>
                <w:b/>
                <w:bCs/>
                <w:color w:val="auto"/>
                <w:sz w:val="18"/>
                <w:szCs w:val="18"/>
                <w:lang w:val="en-GB" w:bidi="en-US"/>
              </w:rPr>
              <w:t xml:space="preserve"> Number</w:t>
            </w:r>
          </w:p>
        </w:tc>
        <w:tc>
          <w:tcPr>
            <w:tcW w:w="1020" w:type="dxa"/>
            <w:shd w:val="clear" w:color="auto" w:fill="auto"/>
            <w:vAlign w:val="center"/>
          </w:tcPr>
          <w:p w14:paraId="46A92F69" w14:textId="77777777" w:rsidR="00661EC9" w:rsidRPr="005B4650" w:rsidRDefault="00661EC9" w:rsidP="00103E13">
            <w:pPr>
              <w:autoSpaceDE w:val="0"/>
              <w:autoSpaceDN w:val="0"/>
              <w:adjustRightInd w:val="0"/>
              <w:snapToGrid w:val="0"/>
              <w:spacing w:line="240" w:lineRule="auto"/>
              <w:jc w:val="center"/>
              <w:rPr>
                <w:rFonts w:ascii="Palatino Linotype" w:hAnsi="Palatino Linotype"/>
                <w:b/>
                <w:bCs/>
                <w:color w:val="auto"/>
                <w:sz w:val="18"/>
                <w:szCs w:val="18"/>
                <w:lang w:val="en-GB"/>
              </w:rPr>
            </w:pPr>
            <w:r w:rsidRPr="005B4650">
              <w:rPr>
                <w:rFonts w:ascii="Palatino Linotype" w:hAnsi="Palatino Linotype"/>
                <w:b/>
                <w:bCs/>
                <w:color w:val="auto"/>
                <w:sz w:val="18"/>
                <w:szCs w:val="18"/>
                <w:lang w:val="en-GB" w:bidi="en-US"/>
              </w:rPr>
              <w:t>Dilution</w:t>
            </w:r>
          </w:p>
        </w:tc>
      </w:tr>
      <w:tr w:rsidR="00103E13" w:rsidRPr="00B459E7" w14:paraId="2D5186B2" w14:textId="77777777" w:rsidTr="00F84F07">
        <w:trPr>
          <w:jc w:val="center"/>
        </w:trPr>
        <w:tc>
          <w:tcPr>
            <w:tcW w:w="2376" w:type="dxa"/>
            <w:shd w:val="clear" w:color="auto" w:fill="auto"/>
            <w:noWrap/>
            <w:vAlign w:val="center"/>
          </w:tcPr>
          <w:p w14:paraId="26BA1788"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Symbol" w:hAnsi="Symbol"/>
                <w:color w:val="auto"/>
                <w:sz w:val="18"/>
                <w:szCs w:val="18"/>
                <w:lang w:val="en-GB" w:bidi="en-US"/>
              </w:rPr>
              <w:t></w:t>
            </w:r>
            <w:r w:rsidRPr="00B459E7">
              <w:rPr>
                <w:rFonts w:ascii="Palatino Linotype" w:hAnsi="Palatino Linotype"/>
                <w:color w:val="auto"/>
                <w:sz w:val="18"/>
                <w:szCs w:val="18"/>
                <w:lang w:val="en-GB" w:bidi="en-US"/>
              </w:rPr>
              <w:t>-Actin (HRP conjugated)</w:t>
            </w:r>
          </w:p>
        </w:tc>
        <w:tc>
          <w:tcPr>
            <w:tcW w:w="1418" w:type="dxa"/>
            <w:shd w:val="clear" w:color="auto" w:fill="auto"/>
            <w:noWrap/>
            <w:vAlign w:val="center"/>
          </w:tcPr>
          <w:p w14:paraId="4C2579E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Monoclonal</w:t>
            </w:r>
          </w:p>
        </w:tc>
        <w:tc>
          <w:tcPr>
            <w:tcW w:w="878" w:type="dxa"/>
            <w:shd w:val="clear" w:color="auto" w:fill="auto"/>
            <w:noWrap/>
            <w:vAlign w:val="center"/>
          </w:tcPr>
          <w:p w14:paraId="54C33171"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Mouse</w:t>
            </w:r>
          </w:p>
        </w:tc>
        <w:tc>
          <w:tcPr>
            <w:tcW w:w="1413" w:type="dxa"/>
            <w:shd w:val="clear" w:color="auto" w:fill="auto"/>
            <w:noWrap/>
            <w:vAlign w:val="center"/>
          </w:tcPr>
          <w:p w14:paraId="5F4CACAB"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Invitrogen</w:t>
            </w:r>
          </w:p>
        </w:tc>
        <w:tc>
          <w:tcPr>
            <w:tcW w:w="1117" w:type="dxa"/>
            <w:shd w:val="clear" w:color="auto" w:fill="auto"/>
            <w:noWrap/>
            <w:vAlign w:val="center"/>
          </w:tcPr>
          <w:p w14:paraId="1B88F63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MA5-15739-HRP</w:t>
            </w:r>
          </w:p>
        </w:tc>
        <w:tc>
          <w:tcPr>
            <w:tcW w:w="1020" w:type="dxa"/>
            <w:shd w:val="clear" w:color="auto" w:fill="auto"/>
            <w:vAlign w:val="center"/>
          </w:tcPr>
          <w:p w14:paraId="70594FA6" w14:textId="0FD3996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1:15</w:t>
            </w:r>
            <w:r w:rsidR="00103E13" w:rsidRPr="00B459E7">
              <w:rPr>
                <w:rFonts w:ascii="Palatino Linotype" w:hAnsi="Palatino Linotype"/>
                <w:color w:val="auto"/>
                <w:sz w:val="18"/>
                <w:szCs w:val="18"/>
                <w:lang w:val="en-GB" w:bidi="en-US"/>
              </w:rPr>
              <w:t>,</w:t>
            </w:r>
            <w:r w:rsidRPr="00B459E7">
              <w:rPr>
                <w:rFonts w:ascii="Palatino Linotype" w:hAnsi="Palatino Linotype"/>
                <w:color w:val="auto"/>
                <w:sz w:val="18"/>
                <w:szCs w:val="18"/>
                <w:lang w:val="en-GB" w:bidi="en-US"/>
              </w:rPr>
              <w:t>000</w:t>
            </w:r>
          </w:p>
        </w:tc>
      </w:tr>
      <w:tr w:rsidR="00103E13" w:rsidRPr="00B459E7" w14:paraId="2DADE338" w14:textId="77777777" w:rsidTr="00F84F07">
        <w:trPr>
          <w:jc w:val="center"/>
        </w:trPr>
        <w:tc>
          <w:tcPr>
            <w:tcW w:w="2376" w:type="dxa"/>
            <w:shd w:val="clear" w:color="auto" w:fill="auto"/>
            <w:noWrap/>
            <w:vAlign w:val="center"/>
          </w:tcPr>
          <w:p w14:paraId="2BA92A04"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BCKADH-A</w:t>
            </w:r>
          </w:p>
        </w:tc>
        <w:tc>
          <w:tcPr>
            <w:tcW w:w="1418" w:type="dxa"/>
            <w:shd w:val="clear" w:color="auto" w:fill="auto"/>
            <w:noWrap/>
            <w:vAlign w:val="center"/>
          </w:tcPr>
          <w:p w14:paraId="13BD9CA5"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tcPr>
          <w:p w14:paraId="6C2F1A7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tcPr>
          <w:p w14:paraId="66172DBB"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tcPr>
          <w:p w14:paraId="22424B5B"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ab90691</w:t>
            </w:r>
          </w:p>
        </w:tc>
        <w:tc>
          <w:tcPr>
            <w:tcW w:w="1020" w:type="dxa"/>
            <w:shd w:val="clear" w:color="auto" w:fill="auto"/>
            <w:vAlign w:val="center"/>
          </w:tcPr>
          <w:p w14:paraId="6451B58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w:t>
            </w:r>
          </w:p>
        </w:tc>
      </w:tr>
      <w:tr w:rsidR="00103E13" w:rsidRPr="00B459E7" w14:paraId="069DE1A9" w14:textId="77777777" w:rsidTr="00F84F07">
        <w:trPr>
          <w:jc w:val="center"/>
        </w:trPr>
        <w:tc>
          <w:tcPr>
            <w:tcW w:w="2376" w:type="dxa"/>
            <w:shd w:val="clear" w:color="auto" w:fill="auto"/>
            <w:noWrap/>
            <w:vAlign w:val="center"/>
          </w:tcPr>
          <w:p w14:paraId="02F2B9C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p-BCKADH-A</w:t>
            </w:r>
          </w:p>
        </w:tc>
        <w:tc>
          <w:tcPr>
            <w:tcW w:w="1418" w:type="dxa"/>
            <w:shd w:val="clear" w:color="auto" w:fill="auto"/>
            <w:noWrap/>
            <w:vAlign w:val="center"/>
          </w:tcPr>
          <w:p w14:paraId="34CCF5D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tcPr>
          <w:p w14:paraId="3600BD1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tcPr>
          <w:p w14:paraId="5563B0E4"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tcPr>
          <w:p w14:paraId="6C85ECDF"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ab200577</w:t>
            </w:r>
          </w:p>
        </w:tc>
        <w:tc>
          <w:tcPr>
            <w:tcW w:w="1020" w:type="dxa"/>
            <w:shd w:val="clear" w:color="auto" w:fill="auto"/>
            <w:vAlign w:val="center"/>
          </w:tcPr>
          <w:p w14:paraId="68DD233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w:t>
            </w:r>
          </w:p>
        </w:tc>
      </w:tr>
      <w:tr w:rsidR="00103E13" w:rsidRPr="00B459E7" w14:paraId="56DA73F1" w14:textId="77777777" w:rsidTr="00F84F07">
        <w:trPr>
          <w:jc w:val="center"/>
        </w:trPr>
        <w:tc>
          <w:tcPr>
            <w:tcW w:w="2376" w:type="dxa"/>
            <w:shd w:val="clear" w:color="auto" w:fill="auto"/>
            <w:noWrap/>
            <w:vAlign w:val="center"/>
            <w:hideMark/>
          </w:tcPr>
          <w:p w14:paraId="71E6C59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GDH</w:t>
            </w:r>
          </w:p>
        </w:tc>
        <w:tc>
          <w:tcPr>
            <w:tcW w:w="1418" w:type="dxa"/>
            <w:shd w:val="clear" w:color="auto" w:fill="auto"/>
            <w:noWrap/>
            <w:vAlign w:val="center"/>
            <w:hideMark/>
          </w:tcPr>
          <w:p w14:paraId="3D3730B6"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Monoclonal</w:t>
            </w:r>
          </w:p>
        </w:tc>
        <w:tc>
          <w:tcPr>
            <w:tcW w:w="878" w:type="dxa"/>
            <w:shd w:val="clear" w:color="auto" w:fill="auto"/>
            <w:noWrap/>
            <w:vAlign w:val="center"/>
            <w:hideMark/>
          </w:tcPr>
          <w:p w14:paraId="09547D8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09605B7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Cell Signalling</w:t>
            </w:r>
          </w:p>
        </w:tc>
        <w:tc>
          <w:tcPr>
            <w:tcW w:w="1117" w:type="dxa"/>
            <w:shd w:val="clear" w:color="auto" w:fill="auto"/>
            <w:noWrap/>
            <w:vAlign w:val="center"/>
            <w:hideMark/>
          </w:tcPr>
          <w:p w14:paraId="50A2B42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D9F7P</w:t>
            </w:r>
          </w:p>
        </w:tc>
        <w:tc>
          <w:tcPr>
            <w:tcW w:w="1020" w:type="dxa"/>
            <w:shd w:val="clear" w:color="auto" w:fill="auto"/>
            <w:vAlign w:val="center"/>
          </w:tcPr>
          <w:p w14:paraId="0CE5618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w:t>
            </w:r>
          </w:p>
        </w:tc>
      </w:tr>
      <w:tr w:rsidR="00103E13" w:rsidRPr="00B459E7" w14:paraId="4FD3DCB6" w14:textId="77777777" w:rsidTr="00F84F07">
        <w:trPr>
          <w:jc w:val="center"/>
        </w:trPr>
        <w:tc>
          <w:tcPr>
            <w:tcW w:w="2376" w:type="dxa"/>
            <w:shd w:val="clear" w:color="auto" w:fill="auto"/>
            <w:noWrap/>
            <w:vAlign w:val="center"/>
            <w:hideMark/>
          </w:tcPr>
          <w:p w14:paraId="159EDBD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LC3B</w:t>
            </w:r>
          </w:p>
        </w:tc>
        <w:tc>
          <w:tcPr>
            <w:tcW w:w="1418" w:type="dxa"/>
            <w:shd w:val="clear" w:color="auto" w:fill="auto"/>
            <w:noWrap/>
            <w:vAlign w:val="center"/>
            <w:hideMark/>
          </w:tcPr>
          <w:p w14:paraId="0A64812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4CBC6C6B"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7398333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30F29A5B"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ab51520</w:t>
            </w:r>
          </w:p>
        </w:tc>
        <w:tc>
          <w:tcPr>
            <w:tcW w:w="1020" w:type="dxa"/>
            <w:shd w:val="clear" w:color="auto" w:fill="auto"/>
            <w:vAlign w:val="center"/>
          </w:tcPr>
          <w:p w14:paraId="66185DD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1:2000</w:t>
            </w:r>
          </w:p>
        </w:tc>
      </w:tr>
      <w:tr w:rsidR="00103E13" w:rsidRPr="00B459E7" w14:paraId="7633E92A" w14:textId="77777777" w:rsidTr="00F84F07">
        <w:trPr>
          <w:jc w:val="center"/>
        </w:trPr>
        <w:tc>
          <w:tcPr>
            <w:tcW w:w="2376" w:type="dxa"/>
            <w:shd w:val="clear" w:color="auto" w:fill="auto"/>
            <w:noWrap/>
            <w:vAlign w:val="center"/>
            <w:hideMark/>
          </w:tcPr>
          <w:p w14:paraId="0DC71E64"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LDHB</w:t>
            </w:r>
          </w:p>
        </w:tc>
        <w:tc>
          <w:tcPr>
            <w:tcW w:w="1418" w:type="dxa"/>
            <w:shd w:val="clear" w:color="auto" w:fill="auto"/>
            <w:noWrap/>
            <w:vAlign w:val="center"/>
            <w:hideMark/>
          </w:tcPr>
          <w:p w14:paraId="2AE5A7D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Monoclonal</w:t>
            </w:r>
          </w:p>
        </w:tc>
        <w:tc>
          <w:tcPr>
            <w:tcW w:w="878" w:type="dxa"/>
            <w:shd w:val="clear" w:color="auto" w:fill="auto"/>
            <w:noWrap/>
            <w:vAlign w:val="center"/>
            <w:hideMark/>
          </w:tcPr>
          <w:p w14:paraId="4765925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Mouse</w:t>
            </w:r>
          </w:p>
        </w:tc>
        <w:tc>
          <w:tcPr>
            <w:tcW w:w="1413" w:type="dxa"/>
            <w:shd w:val="clear" w:color="auto" w:fill="auto"/>
            <w:noWrap/>
            <w:vAlign w:val="center"/>
            <w:hideMark/>
          </w:tcPr>
          <w:p w14:paraId="1EABF145"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4553997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ab85319</w:t>
            </w:r>
          </w:p>
        </w:tc>
        <w:tc>
          <w:tcPr>
            <w:tcW w:w="1020" w:type="dxa"/>
            <w:shd w:val="clear" w:color="auto" w:fill="auto"/>
            <w:vAlign w:val="center"/>
          </w:tcPr>
          <w:p w14:paraId="33343DC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1:1500</w:t>
            </w:r>
          </w:p>
        </w:tc>
      </w:tr>
      <w:tr w:rsidR="00103E13" w:rsidRPr="00B459E7" w14:paraId="7D4225B8" w14:textId="77777777" w:rsidTr="00F84F07">
        <w:trPr>
          <w:jc w:val="center"/>
        </w:trPr>
        <w:tc>
          <w:tcPr>
            <w:tcW w:w="2376" w:type="dxa"/>
            <w:shd w:val="clear" w:color="auto" w:fill="auto"/>
            <w:noWrap/>
            <w:vAlign w:val="center"/>
            <w:hideMark/>
          </w:tcPr>
          <w:p w14:paraId="4084EE96"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mTOR</w:t>
            </w:r>
          </w:p>
        </w:tc>
        <w:tc>
          <w:tcPr>
            <w:tcW w:w="1418" w:type="dxa"/>
            <w:shd w:val="clear" w:color="auto" w:fill="auto"/>
            <w:noWrap/>
            <w:vAlign w:val="center"/>
            <w:hideMark/>
          </w:tcPr>
          <w:p w14:paraId="46C1D3E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14EBE00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37FD1C9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Cell Signalling</w:t>
            </w:r>
          </w:p>
        </w:tc>
        <w:tc>
          <w:tcPr>
            <w:tcW w:w="1117" w:type="dxa"/>
            <w:shd w:val="clear" w:color="auto" w:fill="auto"/>
            <w:noWrap/>
            <w:vAlign w:val="center"/>
            <w:hideMark/>
          </w:tcPr>
          <w:p w14:paraId="043FB138"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2972</w:t>
            </w:r>
          </w:p>
        </w:tc>
        <w:tc>
          <w:tcPr>
            <w:tcW w:w="1020" w:type="dxa"/>
            <w:shd w:val="clear" w:color="auto" w:fill="auto"/>
            <w:vAlign w:val="center"/>
          </w:tcPr>
          <w:p w14:paraId="1A7E6054"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1:500</w:t>
            </w:r>
          </w:p>
        </w:tc>
      </w:tr>
      <w:tr w:rsidR="00103E13" w:rsidRPr="00B459E7" w14:paraId="50DC9AE6" w14:textId="77777777" w:rsidTr="00F84F07">
        <w:trPr>
          <w:jc w:val="center"/>
        </w:trPr>
        <w:tc>
          <w:tcPr>
            <w:tcW w:w="2376" w:type="dxa"/>
            <w:shd w:val="clear" w:color="auto" w:fill="auto"/>
            <w:noWrap/>
            <w:vAlign w:val="center"/>
            <w:hideMark/>
          </w:tcPr>
          <w:p w14:paraId="6DADEE5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i/>
                <w:iCs/>
                <w:color w:val="auto"/>
                <w:sz w:val="18"/>
                <w:szCs w:val="18"/>
                <w:lang w:val="en-GB"/>
              </w:rPr>
              <w:t>p</w:t>
            </w:r>
            <w:r w:rsidRPr="00B459E7">
              <w:rPr>
                <w:rFonts w:ascii="Palatino Linotype" w:hAnsi="Palatino Linotype"/>
                <w:color w:val="auto"/>
                <w:sz w:val="18"/>
                <w:szCs w:val="18"/>
                <w:lang w:val="en-GB"/>
              </w:rPr>
              <w:t>-mTOR (Ser 2448)</w:t>
            </w:r>
          </w:p>
        </w:tc>
        <w:tc>
          <w:tcPr>
            <w:tcW w:w="1418" w:type="dxa"/>
            <w:shd w:val="clear" w:color="auto" w:fill="auto"/>
            <w:noWrap/>
            <w:vAlign w:val="center"/>
            <w:hideMark/>
          </w:tcPr>
          <w:p w14:paraId="449C779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41A581F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05771EC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Cell Signalling</w:t>
            </w:r>
          </w:p>
        </w:tc>
        <w:tc>
          <w:tcPr>
            <w:tcW w:w="1117" w:type="dxa"/>
            <w:shd w:val="clear" w:color="auto" w:fill="auto"/>
            <w:noWrap/>
            <w:vAlign w:val="center"/>
            <w:hideMark/>
          </w:tcPr>
          <w:p w14:paraId="45E53194"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2971</w:t>
            </w:r>
          </w:p>
        </w:tc>
        <w:tc>
          <w:tcPr>
            <w:tcW w:w="1020" w:type="dxa"/>
            <w:shd w:val="clear" w:color="auto" w:fill="auto"/>
            <w:vAlign w:val="center"/>
          </w:tcPr>
          <w:p w14:paraId="04ABE0D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1:500</w:t>
            </w:r>
          </w:p>
        </w:tc>
      </w:tr>
      <w:tr w:rsidR="00103E13" w:rsidRPr="00B459E7" w14:paraId="0B8792F4" w14:textId="77777777" w:rsidTr="00F84F07">
        <w:trPr>
          <w:jc w:val="center"/>
        </w:trPr>
        <w:tc>
          <w:tcPr>
            <w:tcW w:w="2376" w:type="dxa"/>
            <w:shd w:val="clear" w:color="auto" w:fill="auto"/>
            <w:noWrap/>
            <w:vAlign w:val="center"/>
            <w:hideMark/>
          </w:tcPr>
          <w:p w14:paraId="3A2F55C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P62</w:t>
            </w:r>
          </w:p>
        </w:tc>
        <w:tc>
          <w:tcPr>
            <w:tcW w:w="1418" w:type="dxa"/>
            <w:shd w:val="clear" w:color="auto" w:fill="auto"/>
            <w:noWrap/>
            <w:vAlign w:val="center"/>
            <w:hideMark/>
          </w:tcPr>
          <w:p w14:paraId="44F98BA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Monoclonal</w:t>
            </w:r>
          </w:p>
        </w:tc>
        <w:tc>
          <w:tcPr>
            <w:tcW w:w="878" w:type="dxa"/>
            <w:shd w:val="clear" w:color="auto" w:fill="auto"/>
            <w:noWrap/>
            <w:vAlign w:val="center"/>
            <w:hideMark/>
          </w:tcPr>
          <w:p w14:paraId="34705F6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Mouse</w:t>
            </w:r>
          </w:p>
        </w:tc>
        <w:tc>
          <w:tcPr>
            <w:tcW w:w="1413" w:type="dxa"/>
            <w:shd w:val="clear" w:color="auto" w:fill="auto"/>
            <w:noWrap/>
            <w:vAlign w:val="center"/>
            <w:hideMark/>
          </w:tcPr>
          <w:p w14:paraId="5608364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1416149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ab56416</w:t>
            </w:r>
          </w:p>
        </w:tc>
        <w:tc>
          <w:tcPr>
            <w:tcW w:w="1020" w:type="dxa"/>
            <w:shd w:val="clear" w:color="auto" w:fill="auto"/>
            <w:vAlign w:val="center"/>
          </w:tcPr>
          <w:p w14:paraId="2E1F8D9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1:2000</w:t>
            </w:r>
          </w:p>
        </w:tc>
      </w:tr>
      <w:tr w:rsidR="00103E13" w:rsidRPr="00B459E7" w14:paraId="65C3A99C" w14:textId="77777777" w:rsidTr="00F84F07">
        <w:trPr>
          <w:jc w:val="center"/>
        </w:trPr>
        <w:tc>
          <w:tcPr>
            <w:tcW w:w="2376" w:type="dxa"/>
            <w:shd w:val="clear" w:color="auto" w:fill="auto"/>
            <w:noWrap/>
            <w:vAlign w:val="center"/>
            <w:hideMark/>
          </w:tcPr>
          <w:p w14:paraId="6B1D5DD9"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i/>
                <w:iCs/>
                <w:color w:val="auto"/>
                <w:sz w:val="18"/>
                <w:szCs w:val="18"/>
                <w:lang w:val="en-GB"/>
              </w:rPr>
              <w:t>p</w:t>
            </w:r>
            <w:r w:rsidRPr="00B459E7">
              <w:rPr>
                <w:rFonts w:ascii="Palatino Linotype" w:hAnsi="Palatino Linotype"/>
                <w:color w:val="auto"/>
                <w:sz w:val="18"/>
                <w:szCs w:val="18"/>
                <w:lang w:val="en-GB"/>
              </w:rPr>
              <w:t>-PDH (Ser</w:t>
            </w:r>
            <w:r w:rsidRPr="00B459E7">
              <w:rPr>
                <w:rFonts w:ascii="Palatino Linotype" w:hAnsi="Palatino Linotype"/>
                <w:color w:val="auto"/>
                <w:sz w:val="18"/>
                <w:szCs w:val="18"/>
                <w:u w:val="single"/>
                <w:lang w:val="en-GB"/>
              </w:rPr>
              <w:t xml:space="preserve"> </w:t>
            </w:r>
            <w:r w:rsidRPr="00B459E7">
              <w:rPr>
                <w:rFonts w:ascii="Palatino Linotype" w:hAnsi="Palatino Linotype"/>
                <w:color w:val="auto"/>
                <w:sz w:val="18"/>
                <w:szCs w:val="18"/>
                <w:lang w:val="en-GB"/>
              </w:rPr>
              <w:t>293)</w:t>
            </w:r>
          </w:p>
        </w:tc>
        <w:tc>
          <w:tcPr>
            <w:tcW w:w="1418" w:type="dxa"/>
            <w:shd w:val="clear" w:color="auto" w:fill="auto"/>
            <w:noWrap/>
            <w:vAlign w:val="center"/>
            <w:hideMark/>
          </w:tcPr>
          <w:p w14:paraId="60A64B69"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66A7E57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521AFCC4"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705FD2A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ab92696</w:t>
            </w:r>
          </w:p>
        </w:tc>
        <w:tc>
          <w:tcPr>
            <w:tcW w:w="1020" w:type="dxa"/>
            <w:shd w:val="clear" w:color="auto" w:fill="auto"/>
            <w:vAlign w:val="center"/>
          </w:tcPr>
          <w:p w14:paraId="2722312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1:500</w:t>
            </w:r>
          </w:p>
        </w:tc>
      </w:tr>
      <w:tr w:rsidR="00103E13" w:rsidRPr="00B459E7" w14:paraId="0922DB77" w14:textId="77777777" w:rsidTr="00F84F07">
        <w:trPr>
          <w:jc w:val="center"/>
        </w:trPr>
        <w:tc>
          <w:tcPr>
            <w:tcW w:w="2376" w:type="dxa"/>
            <w:shd w:val="clear" w:color="auto" w:fill="auto"/>
            <w:noWrap/>
            <w:vAlign w:val="center"/>
            <w:hideMark/>
          </w:tcPr>
          <w:p w14:paraId="1E4EB1B9"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PDH Complex</w:t>
            </w:r>
            <w:r w:rsidR="002B1F59" w:rsidRPr="00B459E7">
              <w:rPr>
                <w:rFonts w:ascii="Palatino Linotype" w:hAnsi="Palatino Linotype"/>
                <w:color w:val="auto"/>
                <w:sz w:val="18"/>
                <w:szCs w:val="18"/>
                <w:lang w:val="en-GB"/>
              </w:rPr>
              <w:t xml:space="preserve"> (PDHC)</w:t>
            </w:r>
          </w:p>
        </w:tc>
        <w:tc>
          <w:tcPr>
            <w:tcW w:w="1418" w:type="dxa"/>
            <w:shd w:val="clear" w:color="auto" w:fill="auto"/>
            <w:noWrap/>
            <w:vAlign w:val="center"/>
            <w:hideMark/>
          </w:tcPr>
          <w:p w14:paraId="4C04B6D6"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6BE70528"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Mouse</w:t>
            </w:r>
          </w:p>
        </w:tc>
        <w:tc>
          <w:tcPr>
            <w:tcW w:w="1413" w:type="dxa"/>
            <w:shd w:val="clear" w:color="auto" w:fill="auto"/>
            <w:noWrap/>
            <w:vAlign w:val="center"/>
            <w:hideMark/>
          </w:tcPr>
          <w:p w14:paraId="18BDD26F"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453EAC6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ab110416</w:t>
            </w:r>
          </w:p>
        </w:tc>
        <w:tc>
          <w:tcPr>
            <w:tcW w:w="1020" w:type="dxa"/>
            <w:shd w:val="clear" w:color="auto" w:fill="auto"/>
            <w:vAlign w:val="center"/>
          </w:tcPr>
          <w:p w14:paraId="1068376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w:t>
            </w:r>
          </w:p>
        </w:tc>
      </w:tr>
      <w:tr w:rsidR="00103E13" w:rsidRPr="00B459E7" w14:paraId="116143A5" w14:textId="77777777" w:rsidTr="00F84F07">
        <w:trPr>
          <w:jc w:val="center"/>
        </w:trPr>
        <w:tc>
          <w:tcPr>
            <w:tcW w:w="2376" w:type="dxa"/>
            <w:shd w:val="clear" w:color="auto" w:fill="auto"/>
            <w:noWrap/>
            <w:vAlign w:val="center"/>
            <w:hideMark/>
          </w:tcPr>
          <w:p w14:paraId="194A24A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PDK1</w:t>
            </w:r>
          </w:p>
        </w:tc>
        <w:tc>
          <w:tcPr>
            <w:tcW w:w="1418" w:type="dxa"/>
            <w:shd w:val="clear" w:color="auto" w:fill="auto"/>
            <w:noWrap/>
            <w:vAlign w:val="center"/>
            <w:hideMark/>
          </w:tcPr>
          <w:p w14:paraId="4C6D960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Monoclonal</w:t>
            </w:r>
          </w:p>
        </w:tc>
        <w:tc>
          <w:tcPr>
            <w:tcW w:w="878" w:type="dxa"/>
            <w:shd w:val="clear" w:color="auto" w:fill="auto"/>
            <w:noWrap/>
            <w:vAlign w:val="center"/>
            <w:hideMark/>
          </w:tcPr>
          <w:p w14:paraId="23225A1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Mouse</w:t>
            </w:r>
          </w:p>
        </w:tc>
        <w:tc>
          <w:tcPr>
            <w:tcW w:w="1413" w:type="dxa"/>
            <w:shd w:val="clear" w:color="auto" w:fill="auto"/>
            <w:noWrap/>
            <w:vAlign w:val="center"/>
            <w:hideMark/>
          </w:tcPr>
          <w:p w14:paraId="77E64D36"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592D074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ab110025</w:t>
            </w:r>
          </w:p>
        </w:tc>
        <w:tc>
          <w:tcPr>
            <w:tcW w:w="1020" w:type="dxa"/>
            <w:shd w:val="clear" w:color="auto" w:fill="auto"/>
            <w:vAlign w:val="center"/>
          </w:tcPr>
          <w:p w14:paraId="2F7E0A6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w:t>
            </w:r>
          </w:p>
        </w:tc>
      </w:tr>
      <w:tr w:rsidR="00103E13" w:rsidRPr="00B459E7" w14:paraId="4CE41B0A" w14:textId="77777777" w:rsidTr="00F84F07">
        <w:trPr>
          <w:jc w:val="center"/>
        </w:trPr>
        <w:tc>
          <w:tcPr>
            <w:tcW w:w="2376" w:type="dxa"/>
            <w:shd w:val="clear" w:color="auto" w:fill="auto"/>
            <w:noWrap/>
            <w:vAlign w:val="center"/>
            <w:hideMark/>
          </w:tcPr>
          <w:p w14:paraId="5B6CD5F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PDK2</w:t>
            </w:r>
          </w:p>
        </w:tc>
        <w:tc>
          <w:tcPr>
            <w:tcW w:w="1418" w:type="dxa"/>
            <w:shd w:val="clear" w:color="auto" w:fill="auto"/>
            <w:noWrap/>
            <w:vAlign w:val="center"/>
            <w:hideMark/>
          </w:tcPr>
          <w:p w14:paraId="7958B04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Monoclonal</w:t>
            </w:r>
          </w:p>
        </w:tc>
        <w:tc>
          <w:tcPr>
            <w:tcW w:w="878" w:type="dxa"/>
            <w:shd w:val="clear" w:color="auto" w:fill="auto"/>
            <w:noWrap/>
            <w:vAlign w:val="center"/>
            <w:hideMark/>
          </w:tcPr>
          <w:p w14:paraId="5A6F8E4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04B2F93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610F7344"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ab68164</w:t>
            </w:r>
          </w:p>
        </w:tc>
        <w:tc>
          <w:tcPr>
            <w:tcW w:w="1020" w:type="dxa"/>
            <w:shd w:val="clear" w:color="auto" w:fill="auto"/>
            <w:vAlign w:val="center"/>
          </w:tcPr>
          <w:p w14:paraId="28C5F21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w:t>
            </w:r>
          </w:p>
        </w:tc>
      </w:tr>
      <w:tr w:rsidR="00103E13" w:rsidRPr="00B459E7" w14:paraId="7A5DB94D" w14:textId="77777777" w:rsidTr="00F84F07">
        <w:trPr>
          <w:jc w:val="center"/>
        </w:trPr>
        <w:tc>
          <w:tcPr>
            <w:tcW w:w="2376" w:type="dxa"/>
            <w:shd w:val="clear" w:color="auto" w:fill="auto"/>
            <w:noWrap/>
            <w:vAlign w:val="center"/>
            <w:hideMark/>
          </w:tcPr>
          <w:p w14:paraId="65EE368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PDK4</w:t>
            </w:r>
          </w:p>
        </w:tc>
        <w:tc>
          <w:tcPr>
            <w:tcW w:w="1418" w:type="dxa"/>
            <w:shd w:val="clear" w:color="auto" w:fill="auto"/>
            <w:noWrap/>
            <w:vAlign w:val="center"/>
            <w:hideMark/>
          </w:tcPr>
          <w:p w14:paraId="7EAFE35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Monoclonal</w:t>
            </w:r>
          </w:p>
        </w:tc>
        <w:tc>
          <w:tcPr>
            <w:tcW w:w="878" w:type="dxa"/>
            <w:shd w:val="clear" w:color="auto" w:fill="auto"/>
            <w:noWrap/>
            <w:vAlign w:val="center"/>
            <w:hideMark/>
          </w:tcPr>
          <w:p w14:paraId="3CB06C5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57387428"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2BCD11BA"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ab214938</w:t>
            </w:r>
          </w:p>
        </w:tc>
        <w:tc>
          <w:tcPr>
            <w:tcW w:w="1020" w:type="dxa"/>
            <w:shd w:val="clear" w:color="auto" w:fill="auto"/>
            <w:vAlign w:val="center"/>
          </w:tcPr>
          <w:p w14:paraId="752DD55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w:t>
            </w:r>
          </w:p>
        </w:tc>
      </w:tr>
      <w:tr w:rsidR="00103E13" w:rsidRPr="00B459E7" w14:paraId="3E463524" w14:textId="77777777" w:rsidTr="00F84F07">
        <w:trPr>
          <w:jc w:val="center"/>
        </w:trPr>
        <w:tc>
          <w:tcPr>
            <w:tcW w:w="2376" w:type="dxa"/>
            <w:shd w:val="clear" w:color="auto" w:fill="auto"/>
            <w:noWrap/>
            <w:vAlign w:val="center"/>
            <w:hideMark/>
          </w:tcPr>
          <w:p w14:paraId="789AAB64"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PDP1</w:t>
            </w:r>
          </w:p>
        </w:tc>
        <w:tc>
          <w:tcPr>
            <w:tcW w:w="1418" w:type="dxa"/>
            <w:shd w:val="clear" w:color="auto" w:fill="auto"/>
            <w:noWrap/>
            <w:vAlign w:val="center"/>
            <w:hideMark/>
          </w:tcPr>
          <w:p w14:paraId="60AE153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11718D05"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4C3BB3B6"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296A1E1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ab228578</w:t>
            </w:r>
          </w:p>
        </w:tc>
        <w:tc>
          <w:tcPr>
            <w:tcW w:w="1020" w:type="dxa"/>
            <w:shd w:val="clear" w:color="auto" w:fill="auto"/>
            <w:vAlign w:val="center"/>
          </w:tcPr>
          <w:p w14:paraId="671225EF"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w:t>
            </w:r>
          </w:p>
        </w:tc>
      </w:tr>
      <w:tr w:rsidR="00103E13" w:rsidRPr="00B459E7" w14:paraId="4651FC19" w14:textId="77777777" w:rsidTr="00F84F07">
        <w:trPr>
          <w:jc w:val="center"/>
        </w:trPr>
        <w:tc>
          <w:tcPr>
            <w:tcW w:w="2376" w:type="dxa"/>
            <w:shd w:val="clear" w:color="auto" w:fill="auto"/>
            <w:noWrap/>
            <w:vAlign w:val="center"/>
            <w:hideMark/>
          </w:tcPr>
          <w:p w14:paraId="26716E76"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PGC-1 α</w:t>
            </w:r>
          </w:p>
        </w:tc>
        <w:tc>
          <w:tcPr>
            <w:tcW w:w="1418" w:type="dxa"/>
            <w:shd w:val="clear" w:color="auto" w:fill="auto"/>
            <w:noWrap/>
            <w:vAlign w:val="center"/>
            <w:hideMark/>
          </w:tcPr>
          <w:p w14:paraId="68A76A2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Monoclonal</w:t>
            </w:r>
          </w:p>
        </w:tc>
        <w:tc>
          <w:tcPr>
            <w:tcW w:w="878" w:type="dxa"/>
            <w:shd w:val="clear" w:color="auto" w:fill="auto"/>
            <w:noWrap/>
            <w:vAlign w:val="center"/>
            <w:hideMark/>
          </w:tcPr>
          <w:p w14:paraId="79A11ADC"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Mouse</w:t>
            </w:r>
          </w:p>
        </w:tc>
        <w:tc>
          <w:tcPr>
            <w:tcW w:w="1413" w:type="dxa"/>
            <w:shd w:val="clear" w:color="auto" w:fill="auto"/>
            <w:noWrap/>
            <w:vAlign w:val="center"/>
            <w:hideMark/>
          </w:tcPr>
          <w:p w14:paraId="349053F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Merck Millipore</w:t>
            </w:r>
          </w:p>
        </w:tc>
        <w:tc>
          <w:tcPr>
            <w:tcW w:w="1117" w:type="dxa"/>
            <w:shd w:val="clear" w:color="auto" w:fill="auto"/>
            <w:noWrap/>
            <w:vAlign w:val="center"/>
            <w:hideMark/>
          </w:tcPr>
          <w:p w14:paraId="1FF145A8"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ST1202</w:t>
            </w:r>
          </w:p>
        </w:tc>
        <w:tc>
          <w:tcPr>
            <w:tcW w:w="1020" w:type="dxa"/>
            <w:shd w:val="clear" w:color="auto" w:fill="auto"/>
            <w:vAlign w:val="center"/>
          </w:tcPr>
          <w:p w14:paraId="0609F03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1:1500</w:t>
            </w:r>
          </w:p>
        </w:tc>
      </w:tr>
      <w:tr w:rsidR="00103E13" w:rsidRPr="00B459E7" w14:paraId="3418149F" w14:textId="77777777" w:rsidTr="00F84F07">
        <w:trPr>
          <w:jc w:val="center"/>
        </w:trPr>
        <w:tc>
          <w:tcPr>
            <w:tcW w:w="2376" w:type="dxa"/>
            <w:shd w:val="clear" w:color="auto" w:fill="auto"/>
            <w:noWrap/>
            <w:vAlign w:val="center"/>
            <w:hideMark/>
          </w:tcPr>
          <w:p w14:paraId="52411DC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SOD1</w:t>
            </w:r>
          </w:p>
        </w:tc>
        <w:tc>
          <w:tcPr>
            <w:tcW w:w="1418" w:type="dxa"/>
            <w:shd w:val="clear" w:color="auto" w:fill="auto"/>
            <w:noWrap/>
            <w:vAlign w:val="center"/>
            <w:hideMark/>
          </w:tcPr>
          <w:p w14:paraId="27212FB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3F2F7A8F"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1B7D90F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3B2E7B51"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ab13498</w:t>
            </w:r>
          </w:p>
        </w:tc>
        <w:tc>
          <w:tcPr>
            <w:tcW w:w="1020" w:type="dxa"/>
            <w:shd w:val="clear" w:color="auto" w:fill="auto"/>
            <w:vAlign w:val="center"/>
          </w:tcPr>
          <w:p w14:paraId="013D9F6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1:1500</w:t>
            </w:r>
          </w:p>
        </w:tc>
      </w:tr>
      <w:tr w:rsidR="00103E13" w:rsidRPr="00B459E7" w14:paraId="2EAAAC68" w14:textId="77777777" w:rsidTr="00F84F07">
        <w:trPr>
          <w:jc w:val="center"/>
        </w:trPr>
        <w:tc>
          <w:tcPr>
            <w:tcW w:w="2376" w:type="dxa"/>
            <w:shd w:val="clear" w:color="auto" w:fill="auto"/>
            <w:noWrap/>
            <w:vAlign w:val="center"/>
            <w:hideMark/>
          </w:tcPr>
          <w:p w14:paraId="1ADBDD13"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SOD2</w:t>
            </w:r>
          </w:p>
        </w:tc>
        <w:tc>
          <w:tcPr>
            <w:tcW w:w="1418" w:type="dxa"/>
            <w:shd w:val="clear" w:color="auto" w:fill="auto"/>
            <w:noWrap/>
            <w:vAlign w:val="center"/>
            <w:hideMark/>
          </w:tcPr>
          <w:p w14:paraId="7FBCE18D"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1</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0C25D6E6"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Rabbit</w:t>
            </w:r>
          </w:p>
        </w:tc>
        <w:tc>
          <w:tcPr>
            <w:tcW w:w="1413" w:type="dxa"/>
            <w:shd w:val="clear" w:color="auto" w:fill="auto"/>
            <w:noWrap/>
            <w:vAlign w:val="center"/>
            <w:hideMark/>
          </w:tcPr>
          <w:p w14:paraId="22B1EA6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rPr>
              <w:t>abcam</w:t>
            </w:r>
            <w:proofErr w:type="spellEnd"/>
          </w:p>
        </w:tc>
        <w:tc>
          <w:tcPr>
            <w:tcW w:w="1117" w:type="dxa"/>
            <w:shd w:val="clear" w:color="auto" w:fill="auto"/>
            <w:noWrap/>
            <w:vAlign w:val="center"/>
            <w:hideMark/>
          </w:tcPr>
          <w:p w14:paraId="1E796741"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ab13533</w:t>
            </w:r>
          </w:p>
        </w:tc>
        <w:tc>
          <w:tcPr>
            <w:tcW w:w="1020" w:type="dxa"/>
            <w:shd w:val="clear" w:color="auto" w:fill="auto"/>
            <w:vAlign w:val="center"/>
          </w:tcPr>
          <w:p w14:paraId="327ADE3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1:1500</w:t>
            </w:r>
          </w:p>
        </w:tc>
      </w:tr>
      <w:tr w:rsidR="00103E13" w:rsidRPr="00B459E7" w14:paraId="4E2AB93A" w14:textId="77777777" w:rsidTr="00F84F07">
        <w:trPr>
          <w:jc w:val="center"/>
        </w:trPr>
        <w:tc>
          <w:tcPr>
            <w:tcW w:w="2376" w:type="dxa"/>
            <w:shd w:val="clear" w:color="auto" w:fill="auto"/>
            <w:noWrap/>
            <w:vAlign w:val="center"/>
            <w:hideMark/>
          </w:tcPr>
          <w:p w14:paraId="64A4EAD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Anti-Mouse IgG (H + L)</w:t>
            </w:r>
          </w:p>
        </w:tc>
        <w:tc>
          <w:tcPr>
            <w:tcW w:w="1418" w:type="dxa"/>
            <w:shd w:val="clear" w:color="auto" w:fill="auto"/>
            <w:noWrap/>
            <w:vAlign w:val="center"/>
            <w:hideMark/>
          </w:tcPr>
          <w:p w14:paraId="25D345BB"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2</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3526CCCF"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Goat</w:t>
            </w:r>
          </w:p>
        </w:tc>
        <w:tc>
          <w:tcPr>
            <w:tcW w:w="1413" w:type="dxa"/>
            <w:shd w:val="clear" w:color="auto" w:fill="auto"/>
            <w:noWrap/>
            <w:vAlign w:val="center"/>
            <w:hideMark/>
          </w:tcPr>
          <w:p w14:paraId="2C8BEBA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bidi="en-US"/>
              </w:rPr>
              <w:t>Licor-IRDye</w:t>
            </w:r>
            <w:proofErr w:type="spellEnd"/>
          </w:p>
        </w:tc>
        <w:tc>
          <w:tcPr>
            <w:tcW w:w="1117" w:type="dxa"/>
            <w:shd w:val="clear" w:color="auto" w:fill="auto"/>
            <w:noWrap/>
            <w:vAlign w:val="center"/>
            <w:hideMark/>
          </w:tcPr>
          <w:p w14:paraId="0EDD3AD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925-32210</w:t>
            </w:r>
          </w:p>
        </w:tc>
        <w:tc>
          <w:tcPr>
            <w:tcW w:w="1020" w:type="dxa"/>
            <w:shd w:val="clear" w:color="auto" w:fill="auto"/>
            <w:vAlign w:val="center"/>
          </w:tcPr>
          <w:p w14:paraId="58263E23" w14:textId="43B0C48F"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w:t>
            </w:r>
            <w:r w:rsidR="00103E13" w:rsidRPr="00B459E7">
              <w:rPr>
                <w:rFonts w:ascii="Palatino Linotype" w:hAnsi="Palatino Linotype"/>
                <w:color w:val="auto"/>
                <w:sz w:val="18"/>
                <w:szCs w:val="18"/>
                <w:lang w:val="en-GB" w:bidi="en-US"/>
              </w:rPr>
              <w:t>,</w:t>
            </w:r>
            <w:r w:rsidRPr="00B459E7">
              <w:rPr>
                <w:rFonts w:ascii="Palatino Linotype" w:hAnsi="Palatino Linotype"/>
                <w:color w:val="auto"/>
                <w:sz w:val="18"/>
                <w:szCs w:val="18"/>
                <w:lang w:val="en-GB" w:bidi="en-US"/>
              </w:rPr>
              <w:t>000</w:t>
            </w:r>
          </w:p>
        </w:tc>
      </w:tr>
      <w:tr w:rsidR="00103E13" w:rsidRPr="00B459E7" w14:paraId="512979AE" w14:textId="77777777" w:rsidTr="00F84F07">
        <w:trPr>
          <w:jc w:val="center"/>
        </w:trPr>
        <w:tc>
          <w:tcPr>
            <w:tcW w:w="2376" w:type="dxa"/>
            <w:shd w:val="clear" w:color="auto" w:fill="auto"/>
            <w:noWrap/>
            <w:vAlign w:val="center"/>
            <w:hideMark/>
          </w:tcPr>
          <w:p w14:paraId="5810D137"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Anti-Rabbit IgG (H + L)</w:t>
            </w:r>
          </w:p>
        </w:tc>
        <w:tc>
          <w:tcPr>
            <w:tcW w:w="1418" w:type="dxa"/>
            <w:shd w:val="clear" w:color="auto" w:fill="auto"/>
            <w:noWrap/>
            <w:vAlign w:val="center"/>
            <w:hideMark/>
          </w:tcPr>
          <w:p w14:paraId="1837217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rPr>
              <w:t>2</w:t>
            </w:r>
            <w:r w:rsidRPr="00B459E7">
              <w:rPr>
                <w:rFonts w:ascii="Palatino Linotype" w:hAnsi="Palatino Linotype"/>
                <w:color w:val="auto"/>
                <w:sz w:val="18"/>
                <w:szCs w:val="18"/>
                <w:vertAlign w:val="superscript"/>
                <w:lang w:val="en-GB"/>
              </w:rPr>
              <w:t>o</w:t>
            </w:r>
            <w:r w:rsidRPr="00B459E7">
              <w:rPr>
                <w:rFonts w:ascii="Palatino Linotype" w:hAnsi="Palatino Linotype"/>
                <w:color w:val="auto"/>
                <w:sz w:val="18"/>
                <w:szCs w:val="18"/>
                <w:lang w:val="en-GB"/>
              </w:rPr>
              <w:t xml:space="preserve"> Polyclonal</w:t>
            </w:r>
          </w:p>
        </w:tc>
        <w:tc>
          <w:tcPr>
            <w:tcW w:w="878" w:type="dxa"/>
            <w:shd w:val="clear" w:color="auto" w:fill="auto"/>
            <w:noWrap/>
            <w:vAlign w:val="center"/>
            <w:hideMark/>
          </w:tcPr>
          <w:p w14:paraId="160ACC9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Goat</w:t>
            </w:r>
          </w:p>
        </w:tc>
        <w:tc>
          <w:tcPr>
            <w:tcW w:w="1413" w:type="dxa"/>
            <w:shd w:val="clear" w:color="auto" w:fill="auto"/>
            <w:noWrap/>
            <w:vAlign w:val="center"/>
            <w:hideMark/>
          </w:tcPr>
          <w:p w14:paraId="375661FE"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proofErr w:type="spellStart"/>
            <w:r w:rsidRPr="00B459E7">
              <w:rPr>
                <w:rFonts w:ascii="Palatino Linotype" w:hAnsi="Palatino Linotype"/>
                <w:color w:val="auto"/>
                <w:sz w:val="18"/>
                <w:szCs w:val="18"/>
                <w:lang w:val="en-GB" w:bidi="en-US"/>
              </w:rPr>
              <w:t>Licor-IRDye</w:t>
            </w:r>
            <w:proofErr w:type="spellEnd"/>
          </w:p>
        </w:tc>
        <w:tc>
          <w:tcPr>
            <w:tcW w:w="1117" w:type="dxa"/>
            <w:shd w:val="clear" w:color="auto" w:fill="auto"/>
            <w:noWrap/>
            <w:vAlign w:val="center"/>
            <w:hideMark/>
          </w:tcPr>
          <w:p w14:paraId="07FA112A"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925-68071</w:t>
            </w:r>
          </w:p>
        </w:tc>
        <w:tc>
          <w:tcPr>
            <w:tcW w:w="1020" w:type="dxa"/>
            <w:shd w:val="clear" w:color="auto" w:fill="auto"/>
            <w:vAlign w:val="center"/>
          </w:tcPr>
          <w:p w14:paraId="1F711B1A"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1:10000</w:t>
            </w:r>
          </w:p>
        </w:tc>
      </w:tr>
      <w:tr w:rsidR="00103E13" w:rsidRPr="00B459E7" w14:paraId="08EA9EB2" w14:textId="77777777" w:rsidTr="00F84F07">
        <w:trPr>
          <w:jc w:val="center"/>
        </w:trPr>
        <w:tc>
          <w:tcPr>
            <w:tcW w:w="2376" w:type="dxa"/>
            <w:shd w:val="clear" w:color="auto" w:fill="auto"/>
            <w:noWrap/>
            <w:vAlign w:val="center"/>
          </w:tcPr>
          <w:p w14:paraId="3F2DDBC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Pierce ECL Substrate</w:t>
            </w:r>
          </w:p>
        </w:tc>
        <w:tc>
          <w:tcPr>
            <w:tcW w:w="1418" w:type="dxa"/>
            <w:shd w:val="clear" w:color="auto" w:fill="auto"/>
            <w:noWrap/>
            <w:vAlign w:val="center"/>
          </w:tcPr>
          <w:p w14:paraId="5D54694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w:t>
            </w:r>
          </w:p>
        </w:tc>
        <w:tc>
          <w:tcPr>
            <w:tcW w:w="878" w:type="dxa"/>
            <w:shd w:val="clear" w:color="auto" w:fill="auto"/>
            <w:noWrap/>
            <w:vAlign w:val="center"/>
          </w:tcPr>
          <w:p w14:paraId="0A56E345"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w:t>
            </w:r>
          </w:p>
        </w:tc>
        <w:tc>
          <w:tcPr>
            <w:tcW w:w="1413" w:type="dxa"/>
            <w:shd w:val="clear" w:color="auto" w:fill="auto"/>
            <w:noWrap/>
            <w:vAlign w:val="center"/>
          </w:tcPr>
          <w:p w14:paraId="42597CD2"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Thermo Fisher</w:t>
            </w:r>
          </w:p>
        </w:tc>
        <w:tc>
          <w:tcPr>
            <w:tcW w:w="1117" w:type="dxa"/>
            <w:shd w:val="clear" w:color="auto" w:fill="auto"/>
            <w:noWrap/>
            <w:vAlign w:val="center"/>
          </w:tcPr>
          <w:p w14:paraId="7E166B50"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32106</w:t>
            </w:r>
          </w:p>
        </w:tc>
        <w:tc>
          <w:tcPr>
            <w:tcW w:w="1020" w:type="dxa"/>
            <w:shd w:val="clear" w:color="auto" w:fill="auto"/>
            <w:vAlign w:val="center"/>
          </w:tcPr>
          <w:p w14:paraId="3D1FD2E6" w14:textId="77777777" w:rsidR="00661EC9" w:rsidRPr="00B459E7" w:rsidRDefault="00661EC9" w:rsidP="00103E13">
            <w:pPr>
              <w:autoSpaceDE w:val="0"/>
              <w:autoSpaceDN w:val="0"/>
              <w:adjustRightInd w:val="0"/>
              <w:snapToGrid w:val="0"/>
              <w:spacing w:line="240" w:lineRule="auto"/>
              <w:jc w:val="center"/>
              <w:rPr>
                <w:rFonts w:ascii="Palatino Linotype" w:hAnsi="Palatino Linotype"/>
                <w:color w:val="auto"/>
                <w:sz w:val="18"/>
                <w:szCs w:val="18"/>
                <w:lang w:val="en-GB"/>
              </w:rPr>
            </w:pPr>
            <w:r w:rsidRPr="00B459E7">
              <w:rPr>
                <w:rFonts w:ascii="Palatino Linotype" w:hAnsi="Palatino Linotype"/>
                <w:color w:val="auto"/>
                <w:sz w:val="18"/>
                <w:szCs w:val="18"/>
                <w:lang w:val="en-GB" w:bidi="en-US"/>
              </w:rPr>
              <w:t>-</w:t>
            </w:r>
          </w:p>
        </w:tc>
      </w:tr>
    </w:tbl>
    <w:p w14:paraId="2D85F57F" w14:textId="336BAD7E" w:rsidR="00795204" w:rsidRPr="00B459E7" w:rsidRDefault="00103E13" w:rsidP="00103E13">
      <w:pPr>
        <w:pStyle w:val="MDPI22heading2"/>
        <w:rPr>
          <w:lang w:val="en-GB"/>
        </w:rPr>
      </w:pPr>
      <w:bookmarkStart w:id="5" w:name="_Toc410478815"/>
      <w:r w:rsidRPr="00B459E7">
        <w:rPr>
          <w:lang w:val="en-GB"/>
        </w:rPr>
        <w:t xml:space="preserve">2.7. </w:t>
      </w:r>
      <w:r w:rsidR="00795204" w:rsidRPr="00B459E7">
        <w:rPr>
          <w:lang w:val="en-GB"/>
        </w:rPr>
        <w:t>Image Acquisition and Quantification</w:t>
      </w:r>
      <w:bookmarkEnd w:id="5"/>
    </w:p>
    <w:p w14:paraId="0727D365" w14:textId="0B8E6C29" w:rsidR="00795204" w:rsidRPr="009817F5" w:rsidRDefault="00795204" w:rsidP="009817F5">
      <w:pPr>
        <w:spacing w:line="240" w:lineRule="auto"/>
        <w:jc w:val="left"/>
        <w:rPr>
          <w:color w:val="auto"/>
          <w:szCs w:val="24"/>
          <w:lang w:val="en-GB" w:eastAsia="en-US"/>
        </w:rPr>
      </w:pPr>
      <w:r w:rsidRPr="00B459E7">
        <w:rPr>
          <w:lang w:val="en-GB"/>
        </w:rPr>
        <w:t>Western blot image acquisition was conducted with the Odyssey Infrared Imaging system (Model No. 9120</w:t>
      </w:r>
      <w:r w:rsidR="00E66C77">
        <w:rPr>
          <w:lang w:val="en-GB"/>
        </w:rPr>
        <w:t xml:space="preserve">, </w:t>
      </w:r>
      <w:r w:rsidR="00E66C77" w:rsidRPr="00B459E7">
        <w:rPr>
          <w:lang w:val="en-GB"/>
        </w:rPr>
        <w:t>LI-COR</w:t>
      </w:r>
      <w:r w:rsidR="00E66C77">
        <w:rPr>
          <w:lang w:val="en-GB"/>
        </w:rPr>
        <w:t>, Cambridge, UK</w:t>
      </w:r>
      <w:r w:rsidRPr="00B459E7">
        <w:rPr>
          <w:lang w:val="en-GB"/>
        </w:rPr>
        <w:t xml:space="preserve">). Fluorescence and luminescence quantifications were </w:t>
      </w:r>
      <w:r w:rsidR="001E558B">
        <w:rPr>
          <w:lang w:val="en-GB"/>
        </w:rPr>
        <w:t>performed</w:t>
      </w:r>
      <w:r w:rsidR="0073593C" w:rsidRPr="00B459E7">
        <w:rPr>
          <w:lang w:val="en-GB"/>
        </w:rPr>
        <w:t xml:space="preserve"> </w:t>
      </w:r>
      <w:r w:rsidRPr="00B459E7">
        <w:rPr>
          <w:lang w:val="en-GB"/>
        </w:rPr>
        <w:t xml:space="preserve">with </w:t>
      </w:r>
      <w:commentRangeStart w:id="6"/>
      <w:r w:rsidRPr="00F84F07">
        <w:rPr>
          <w:highlight w:val="yellow"/>
          <w:lang w:val="en-GB"/>
        </w:rPr>
        <w:t xml:space="preserve">Fiji Version </w:t>
      </w:r>
      <w:r w:rsidR="00FB2A01" w:rsidRPr="00F84F07">
        <w:rPr>
          <w:highlight w:val="yellow"/>
          <w:lang w:val="en-GB"/>
        </w:rPr>
        <w:t xml:space="preserve">1.51g </w:t>
      </w:r>
      <w:r w:rsidRPr="00F84F07">
        <w:rPr>
          <w:highlight w:val="yellow"/>
          <w:lang w:val="en-GB"/>
        </w:rPr>
        <w:t>software</w:t>
      </w:r>
      <w:commentRangeEnd w:id="6"/>
      <w:r w:rsidR="005E18EF" w:rsidRPr="00F84F07">
        <w:rPr>
          <w:rStyle w:val="CommentReference"/>
          <w:highlight w:val="yellow"/>
          <w:lang w:val="en-GB"/>
        </w:rPr>
        <w:commentReference w:id="6"/>
      </w:r>
      <w:r w:rsidR="00FB2A01">
        <w:rPr>
          <w:lang w:val="en-GB"/>
        </w:rPr>
        <w:t xml:space="preserve"> (Image J) </w:t>
      </w:r>
      <w:r w:rsidR="00FB2A01" w:rsidRPr="00FB2A01">
        <w:rPr>
          <w:lang w:val="en-GB"/>
        </w:rPr>
        <w:t>(http://fiji.sc/Fiji</w:t>
      </w:r>
      <w:r w:rsidR="00FB2A01" w:rsidRPr="009817F5">
        <w:rPr>
          <w:sz w:val="18"/>
          <w:szCs w:val="18"/>
          <w:highlight w:val="yellow"/>
          <w:lang w:val="en-GB"/>
        </w:rPr>
        <w:t>)</w:t>
      </w:r>
      <w:r w:rsidR="002D0D3D" w:rsidRPr="009817F5">
        <w:rPr>
          <w:sz w:val="18"/>
          <w:szCs w:val="18"/>
          <w:highlight w:val="yellow"/>
          <w:lang w:val="en-GB"/>
        </w:rPr>
        <w:t>(</w:t>
      </w:r>
      <w:r w:rsidR="002D0D3D" w:rsidRPr="009817F5">
        <w:rPr>
          <w:rFonts w:ascii="-webkit-standard" w:hAnsi="-webkit-standard"/>
          <w:sz w:val="18"/>
          <w:szCs w:val="18"/>
          <w:highlight w:val="yellow"/>
          <w:lang w:val="en-GB" w:eastAsia="en-US"/>
        </w:rPr>
        <w:t xml:space="preserve">W. </w:t>
      </w:r>
      <w:proofErr w:type="spellStart"/>
      <w:r w:rsidR="002D0D3D" w:rsidRPr="009817F5">
        <w:rPr>
          <w:rFonts w:ascii="-webkit-standard" w:hAnsi="-webkit-standard"/>
          <w:sz w:val="18"/>
          <w:szCs w:val="18"/>
          <w:highlight w:val="yellow"/>
          <w:lang w:val="en-GB" w:eastAsia="en-US"/>
        </w:rPr>
        <w:t>Rasband</w:t>
      </w:r>
      <w:proofErr w:type="spellEnd"/>
      <w:r w:rsidR="002D0D3D" w:rsidRPr="009817F5">
        <w:rPr>
          <w:rFonts w:ascii="-webkit-standard" w:hAnsi="-webkit-standard"/>
          <w:sz w:val="18"/>
          <w:szCs w:val="18"/>
          <w:highlight w:val="yellow"/>
          <w:lang w:val="en-GB" w:eastAsia="en-US"/>
        </w:rPr>
        <w:t>, NIH, USA</w:t>
      </w:r>
      <w:r w:rsidR="009817F5" w:rsidRPr="009817F5">
        <w:rPr>
          <w:rFonts w:ascii="-webkit-standard" w:hAnsi="-webkit-standard"/>
          <w:sz w:val="18"/>
          <w:szCs w:val="18"/>
          <w:highlight w:val="yellow"/>
          <w:lang w:val="en-GB" w:eastAsia="en-US"/>
        </w:rPr>
        <w:t>)</w:t>
      </w:r>
      <w:r w:rsidR="00FB2A01" w:rsidRPr="009817F5">
        <w:rPr>
          <w:sz w:val="18"/>
          <w:szCs w:val="18"/>
          <w:highlight w:val="yellow"/>
          <w:lang w:val="en-GB"/>
        </w:rPr>
        <w:t>.</w:t>
      </w:r>
    </w:p>
    <w:p w14:paraId="1DE57D65" w14:textId="1F19309D" w:rsidR="00795204" w:rsidRPr="00B459E7" w:rsidRDefault="00837FBC" w:rsidP="00837FBC">
      <w:pPr>
        <w:pStyle w:val="MDPI22heading2"/>
        <w:rPr>
          <w:lang w:val="en-GB"/>
        </w:rPr>
      </w:pPr>
      <w:bookmarkStart w:id="7" w:name="_Toc410478816"/>
      <w:r w:rsidRPr="00B459E7">
        <w:rPr>
          <w:lang w:val="en-GB"/>
        </w:rPr>
        <w:t xml:space="preserve">2.8. </w:t>
      </w:r>
      <w:r w:rsidR="00795204" w:rsidRPr="00B459E7">
        <w:rPr>
          <w:lang w:val="en-GB"/>
        </w:rPr>
        <w:t xml:space="preserve">Statistical </w:t>
      </w:r>
      <w:r w:rsidR="00C5547C" w:rsidRPr="00B459E7">
        <w:rPr>
          <w:lang w:val="en-GB"/>
        </w:rPr>
        <w:t>ANALYSES</w:t>
      </w:r>
      <w:bookmarkEnd w:id="7"/>
    </w:p>
    <w:p w14:paraId="08084BE9" w14:textId="7EF488BB" w:rsidR="00795204" w:rsidRPr="00B459E7" w:rsidRDefault="00795204" w:rsidP="00837FBC">
      <w:pPr>
        <w:pStyle w:val="MDPI31text"/>
        <w:rPr>
          <w:lang w:val="en-GB"/>
        </w:rPr>
      </w:pPr>
      <w:r w:rsidRPr="00B459E7">
        <w:rPr>
          <w:lang w:val="en-GB"/>
        </w:rPr>
        <w:t xml:space="preserve">Differences between groups were identified either by </w:t>
      </w:r>
      <w:r w:rsidR="00333B3C">
        <w:rPr>
          <w:lang w:val="en-GB"/>
        </w:rPr>
        <w:t>one-way</w:t>
      </w:r>
      <w:r w:rsidRPr="00B459E7">
        <w:rPr>
          <w:lang w:val="en-GB"/>
        </w:rPr>
        <w:t xml:space="preserve"> or </w:t>
      </w:r>
      <w:r w:rsidR="00333B3C">
        <w:rPr>
          <w:lang w:val="en-GB"/>
        </w:rPr>
        <w:t>two-way</w:t>
      </w:r>
      <w:r w:rsidRPr="00B459E7">
        <w:rPr>
          <w:lang w:val="en-GB"/>
        </w:rPr>
        <w:t xml:space="preserve"> analyses of variances (ANOVA); comparisons of groups were made after </w:t>
      </w:r>
      <w:r w:rsidR="00333B3C">
        <w:rPr>
          <w:lang w:val="en-GB"/>
        </w:rPr>
        <w:t>two-way</w:t>
      </w:r>
      <w:r w:rsidRPr="00B459E7">
        <w:rPr>
          <w:lang w:val="en-GB"/>
        </w:rPr>
        <w:t xml:space="preserve"> ANOVAs with Tukey’s multiple comparison tests. Statistical tests were performed using Prism 6 software (</w:t>
      </w:r>
      <w:proofErr w:type="spellStart"/>
      <w:r w:rsidRPr="00B459E7">
        <w:rPr>
          <w:lang w:val="en-GB"/>
        </w:rPr>
        <w:t>Graphpad</w:t>
      </w:r>
      <w:proofErr w:type="spellEnd"/>
      <w:r w:rsidR="005A6F04">
        <w:rPr>
          <w:lang w:val="en-GB"/>
        </w:rPr>
        <w:t xml:space="preserve"> </w:t>
      </w:r>
      <w:r w:rsidR="005A6F04" w:rsidRPr="005A6F04">
        <w:rPr>
          <w:highlight w:val="yellow"/>
          <w:lang w:val="en-GB"/>
        </w:rPr>
        <w:t>v6</w:t>
      </w:r>
      <w:r w:rsidRPr="005A6F04">
        <w:rPr>
          <w:highlight w:val="yellow"/>
          <w:lang w:val="en-GB"/>
        </w:rPr>
        <w:t>,</w:t>
      </w:r>
      <w:r w:rsidRPr="00B459E7">
        <w:rPr>
          <w:lang w:val="en-GB"/>
        </w:rPr>
        <w:t xml:space="preserve"> La </w:t>
      </w:r>
      <w:r w:rsidRPr="00497AEE">
        <w:rPr>
          <w:lang w:val="en-GB"/>
        </w:rPr>
        <w:t>Jolla,</w:t>
      </w:r>
      <w:r w:rsidR="00E33E7A" w:rsidRPr="00497AEE">
        <w:rPr>
          <w:lang w:val="en-GB"/>
        </w:rPr>
        <w:t xml:space="preserve"> San Diego,</w:t>
      </w:r>
      <w:r w:rsidRPr="00497AEE">
        <w:rPr>
          <w:lang w:val="en-GB"/>
        </w:rPr>
        <w:t xml:space="preserve"> CA</w:t>
      </w:r>
      <w:r w:rsidR="00E33E7A" w:rsidRPr="00497AEE">
        <w:rPr>
          <w:lang w:val="en-GB"/>
        </w:rPr>
        <w:t xml:space="preserve">, </w:t>
      </w:r>
      <w:commentRangeStart w:id="8"/>
      <w:r w:rsidR="00F84F07" w:rsidRPr="00F84F07">
        <w:rPr>
          <w:highlight w:val="yellow"/>
          <w:lang w:val="en-GB"/>
        </w:rPr>
        <w:t>USA</w:t>
      </w:r>
      <w:r w:rsidRPr="00F84F07">
        <w:rPr>
          <w:highlight w:val="yellow"/>
          <w:lang w:val="en-GB"/>
        </w:rPr>
        <w:t>)</w:t>
      </w:r>
      <w:commentRangeEnd w:id="8"/>
      <w:r w:rsidR="00F84F07">
        <w:rPr>
          <w:rStyle w:val="CommentReference"/>
          <w:rFonts w:ascii="Times New Roman" w:hAnsi="Times New Roman"/>
          <w:snapToGrid/>
          <w:lang w:bidi="ar-SA"/>
        </w:rPr>
        <w:commentReference w:id="8"/>
      </w:r>
      <w:r w:rsidRPr="00497AEE">
        <w:rPr>
          <w:lang w:val="en-GB"/>
        </w:rPr>
        <w:t>.</w:t>
      </w:r>
    </w:p>
    <w:p w14:paraId="6DC8360C" w14:textId="09EE7EE9" w:rsidR="00996419" w:rsidRPr="00B459E7" w:rsidRDefault="00837FBC" w:rsidP="00837FBC">
      <w:pPr>
        <w:pStyle w:val="MDPI21heading1"/>
        <w:rPr>
          <w:lang w:val="en-GB"/>
        </w:rPr>
      </w:pPr>
      <w:r w:rsidRPr="00B459E7">
        <w:rPr>
          <w:lang w:val="en-GB"/>
        </w:rPr>
        <w:t xml:space="preserve">3. </w:t>
      </w:r>
      <w:r w:rsidR="00996419" w:rsidRPr="00B459E7">
        <w:rPr>
          <w:lang w:val="en-GB"/>
        </w:rPr>
        <w:t>Results</w:t>
      </w:r>
    </w:p>
    <w:p w14:paraId="34CE51E9" w14:textId="2EB9C8BE" w:rsidR="00795204" w:rsidRPr="00B459E7" w:rsidRDefault="00837FBC" w:rsidP="00837FBC">
      <w:pPr>
        <w:pStyle w:val="MDPI22heading2"/>
        <w:rPr>
          <w:lang w:val="en-GB"/>
        </w:rPr>
      </w:pPr>
      <w:bookmarkStart w:id="9" w:name="_Toc410478818"/>
      <w:r w:rsidRPr="00B459E7">
        <w:rPr>
          <w:lang w:val="en-GB"/>
        </w:rPr>
        <w:t xml:space="preserve">3.1. </w:t>
      </w:r>
      <w:r w:rsidR="00795204" w:rsidRPr="00B459E7">
        <w:rPr>
          <w:lang w:val="en-GB"/>
        </w:rPr>
        <w:t xml:space="preserve">The </w:t>
      </w:r>
      <w:r w:rsidR="00C5547C" w:rsidRPr="00B459E7">
        <w:rPr>
          <w:lang w:val="en-GB"/>
        </w:rPr>
        <w:t xml:space="preserve">Effects </w:t>
      </w:r>
      <w:r w:rsidR="00795204" w:rsidRPr="00B459E7">
        <w:rPr>
          <w:lang w:val="en-GB"/>
        </w:rPr>
        <w:t>of ADLL in Hexb</w:t>
      </w:r>
      <w:r w:rsidR="00795204" w:rsidRPr="00B459E7">
        <w:rPr>
          <w:vertAlign w:val="superscript"/>
          <w:lang w:val="en-GB"/>
        </w:rPr>
        <w:t xml:space="preserve">-/- </w:t>
      </w:r>
      <w:r w:rsidR="00C5547C" w:rsidRPr="00B459E7">
        <w:rPr>
          <w:lang w:val="en-GB"/>
        </w:rPr>
        <w:t>Mice</w:t>
      </w:r>
      <w:bookmarkEnd w:id="9"/>
      <w:r w:rsidR="00C5547C" w:rsidRPr="00B459E7">
        <w:rPr>
          <w:lang w:val="en-GB"/>
        </w:rPr>
        <w:t xml:space="preserve"> </w:t>
      </w:r>
      <w:r w:rsidR="00795204" w:rsidRPr="00B459E7">
        <w:rPr>
          <w:lang w:val="en-GB"/>
        </w:rPr>
        <w:t xml:space="preserve">on </w:t>
      </w:r>
      <w:r w:rsidR="00C5547C" w:rsidRPr="00B459E7">
        <w:rPr>
          <w:lang w:val="en-GB"/>
        </w:rPr>
        <w:t xml:space="preserve">Motor Function </w:t>
      </w:r>
      <w:r w:rsidR="00795204" w:rsidRPr="00B459E7">
        <w:rPr>
          <w:lang w:val="en-GB"/>
        </w:rPr>
        <w:t xml:space="preserve">and </w:t>
      </w:r>
      <w:r w:rsidR="00C5547C" w:rsidRPr="00B459E7">
        <w:rPr>
          <w:lang w:val="en-GB"/>
        </w:rPr>
        <w:t>Lipid Storage</w:t>
      </w:r>
    </w:p>
    <w:p w14:paraId="6A2932AE" w14:textId="5B64E000" w:rsidR="00795204" w:rsidRPr="00B459E7" w:rsidRDefault="00795204" w:rsidP="005E18EF">
      <w:pPr>
        <w:widowControl w:val="0"/>
        <w:adjustRightInd w:val="0"/>
        <w:snapToGrid w:val="0"/>
        <w:spacing w:line="240" w:lineRule="auto"/>
        <w:ind w:firstLine="420"/>
        <w:rPr>
          <w:rFonts w:ascii="Palatino Linotype" w:hAnsi="Palatino Linotype"/>
          <w:sz w:val="20"/>
          <w:lang w:val="en-GB"/>
        </w:rPr>
      </w:pPr>
      <w:r w:rsidRPr="00B459E7">
        <w:rPr>
          <w:rFonts w:ascii="Palatino Linotype" w:hAnsi="Palatino Linotype"/>
          <w:sz w:val="20"/>
          <w:lang w:val="en-GB"/>
        </w:rPr>
        <w:t xml:space="preserve">The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i/>
          <w:sz w:val="20"/>
          <w:lang w:val="en-GB"/>
        </w:rPr>
        <w:t xml:space="preserve"> </w:t>
      </w:r>
      <w:r w:rsidRPr="00B459E7">
        <w:rPr>
          <w:rFonts w:ascii="Palatino Linotype" w:hAnsi="Palatino Linotype"/>
          <w:sz w:val="20"/>
          <w:lang w:val="en-GB"/>
        </w:rPr>
        <w:t xml:space="preserve">mouse model of </w:t>
      </w:r>
      <w:proofErr w:type="spellStart"/>
      <w:r w:rsidRPr="00B459E7">
        <w:rPr>
          <w:rFonts w:ascii="Palatino Linotype" w:hAnsi="Palatino Linotype"/>
          <w:sz w:val="20"/>
          <w:lang w:val="en-GB"/>
        </w:rPr>
        <w:t>Sandhoff</w:t>
      </w:r>
      <w:proofErr w:type="spellEnd"/>
      <w:r w:rsidRPr="00B459E7">
        <w:rPr>
          <w:rFonts w:ascii="Palatino Linotype" w:hAnsi="Palatino Linotype"/>
          <w:sz w:val="20"/>
          <w:lang w:val="en-GB"/>
        </w:rPr>
        <w:t xml:space="preserve"> disease</w:t>
      </w:r>
      <w:r w:rsidR="008342D3" w:rsidRPr="00B459E7">
        <w:rPr>
          <w:rFonts w:ascii="Palatino Linotype" w:hAnsi="Palatino Linotype"/>
          <w:sz w:val="20"/>
          <w:lang w:val="en-GB"/>
        </w:rPr>
        <w:t xml:space="preserve"> </w:t>
      </w:r>
      <w:r w:rsidR="00255501" w:rsidRPr="00B459E7">
        <w:rPr>
          <w:rFonts w:ascii="Palatino Linotype" w:hAnsi="Palatino Linotype"/>
          <w:sz w:val="20"/>
          <w:lang w:val="en-GB"/>
        </w:rPr>
        <w:t>has a</w:t>
      </w:r>
      <w:r w:rsidR="008342D3" w:rsidRPr="00B459E7">
        <w:rPr>
          <w:rFonts w:ascii="Palatino Linotype" w:hAnsi="Palatino Linotype"/>
          <w:sz w:val="20"/>
          <w:lang w:val="en-GB"/>
        </w:rPr>
        <w:t xml:space="preserve"> life span </w:t>
      </w:r>
      <w:r w:rsidR="00255501" w:rsidRPr="00B459E7">
        <w:rPr>
          <w:rFonts w:ascii="Palatino Linotype" w:hAnsi="Palatino Linotype"/>
          <w:sz w:val="20"/>
          <w:lang w:val="en-GB"/>
        </w:rPr>
        <w:t>of approximately</w:t>
      </w:r>
      <w:r w:rsidR="008342D3" w:rsidRPr="00B459E7">
        <w:rPr>
          <w:rFonts w:ascii="Palatino Linotype" w:hAnsi="Palatino Linotype"/>
          <w:sz w:val="20"/>
          <w:lang w:val="en-GB"/>
        </w:rPr>
        <w:t xml:space="preserve"> 16 weeks of age</w:t>
      </w:r>
      <w:r w:rsidRPr="00B459E7">
        <w:rPr>
          <w:rFonts w:ascii="Palatino Linotype" w:hAnsi="Palatino Linotype"/>
          <w:sz w:val="20"/>
          <w:lang w:val="en-GB"/>
        </w:rPr>
        <w:t xml:space="preserve"> </w:t>
      </w:r>
      <w:r w:rsidR="00255501" w:rsidRPr="00B459E7">
        <w:rPr>
          <w:rFonts w:ascii="Palatino Linotype" w:hAnsi="Palatino Linotype"/>
          <w:sz w:val="20"/>
          <w:lang w:val="en-GB"/>
        </w:rPr>
        <w:t xml:space="preserve">and </w:t>
      </w:r>
      <w:r w:rsidRPr="00B459E7">
        <w:rPr>
          <w:rFonts w:ascii="Palatino Linotype" w:hAnsi="Palatino Linotype"/>
          <w:sz w:val="20"/>
          <w:lang w:val="en-GB"/>
        </w:rPr>
        <w:t>is pre-symptomatic until approximately 6</w:t>
      </w:r>
      <w:r w:rsidR="005E18EF" w:rsidRPr="00B459E7">
        <w:rPr>
          <w:rFonts w:ascii="Palatino Linotype" w:hAnsi="Palatino Linotype"/>
          <w:sz w:val="20"/>
          <w:lang w:val="en-GB"/>
        </w:rPr>
        <w:t>–</w:t>
      </w:r>
      <w:r w:rsidRPr="00B459E7">
        <w:rPr>
          <w:rFonts w:ascii="Palatino Linotype" w:hAnsi="Palatino Linotype"/>
          <w:sz w:val="20"/>
          <w:lang w:val="en-GB"/>
        </w:rPr>
        <w:t>8 weeks of age, and then progressively develops tremor and motor function deficits</w:t>
      </w:r>
      <w:r w:rsidR="005E18EF" w:rsidRPr="00B459E7">
        <w:rPr>
          <w:rFonts w:ascii="Palatino Linotype" w:hAnsi="Palatino Linotype"/>
          <w:sz w:val="20"/>
          <w:lang w:val="en-GB"/>
        </w:rPr>
        <w:t xml:space="preserve"> </w:t>
      </w:r>
      <w:r w:rsidR="00661EC9" w:rsidRPr="00B459E7">
        <w:rPr>
          <w:rFonts w:ascii="Palatino Linotype" w:hAnsi="Palatino Linotype"/>
          <w:noProof/>
          <w:sz w:val="20"/>
          <w:lang w:val="en-GB"/>
        </w:rPr>
        <w:t>[8]</w:t>
      </w:r>
      <w:r w:rsidRPr="00B459E7">
        <w:rPr>
          <w:rFonts w:ascii="Palatino Linotype" w:hAnsi="Palatino Linotype"/>
          <w:sz w:val="20"/>
          <w:lang w:val="en-GB"/>
        </w:rPr>
        <w:t>. In the later stages of the disease (12</w:t>
      </w:r>
      <w:r w:rsidR="005E18EF" w:rsidRPr="00B459E7">
        <w:rPr>
          <w:rFonts w:ascii="Palatino Linotype" w:hAnsi="Palatino Linotype"/>
          <w:sz w:val="20"/>
          <w:lang w:val="en-GB"/>
        </w:rPr>
        <w:t>–</w:t>
      </w:r>
      <w:r w:rsidRPr="00B459E7">
        <w:rPr>
          <w:rFonts w:ascii="Palatino Linotype" w:hAnsi="Palatino Linotype"/>
          <w:sz w:val="20"/>
          <w:lang w:val="en-GB"/>
        </w:rPr>
        <w:t xml:space="preserve">15 weeks), these mice become increasingly inactive and are unable to complete motor function tests, such as bar crossing </w:t>
      </w:r>
      <w:r w:rsidR="00661EC9" w:rsidRPr="00B459E7">
        <w:rPr>
          <w:rFonts w:ascii="Palatino Linotype" w:hAnsi="Palatino Linotype"/>
          <w:noProof/>
          <w:sz w:val="20"/>
          <w:lang w:val="en-GB"/>
        </w:rPr>
        <w:t>[8]</w:t>
      </w:r>
      <w:r w:rsidRPr="00B459E7">
        <w:rPr>
          <w:rFonts w:ascii="Palatino Linotype" w:hAnsi="Palatino Linotype"/>
          <w:sz w:val="20"/>
          <w:lang w:val="en-GB"/>
        </w:rPr>
        <w:t xml:space="preserve">. They progressively </w:t>
      </w:r>
      <w:r w:rsidRPr="00243764">
        <w:rPr>
          <w:rFonts w:ascii="Palatino Linotype" w:hAnsi="Palatino Linotype"/>
          <w:sz w:val="20"/>
          <w:highlight w:val="yellow"/>
          <w:lang w:val="en-GB"/>
        </w:rPr>
        <w:t>accumulate</w:t>
      </w:r>
      <w:r w:rsidR="00243764" w:rsidRPr="00243764">
        <w:rPr>
          <w:rFonts w:ascii="Palatino Linotype" w:hAnsi="Palatino Linotype"/>
          <w:strike/>
          <w:color w:val="FF0000"/>
          <w:sz w:val="20"/>
          <w:highlight w:val="yellow"/>
          <w:lang w:val="en-GB"/>
        </w:rPr>
        <w:t xml:space="preserve"> </w:t>
      </w:r>
      <w:commentRangeStart w:id="10"/>
      <w:r w:rsidRPr="00243764">
        <w:rPr>
          <w:rFonts w:ascii="Palatino Linotype" w:hAnsi="Palatino Linotype"/>
          <w:color w:val="FF0000"/>
          <w:sz w:val="20"/>
          <w:highlight w:val="yellow"/>
          <w:lang w:val="en-GB"/>
        </w:rPr>
        <w:t>GSL</w:t>
      </w:r>
      <w:r w:rsidR="00BB2CD9" w:rsidRPr="00243764">
        <w:rPr>
          <w:rFonts w:ascii="Palatino Linotype" w:hAnsi="Palatino Linotype"/>
          <w:color w:val="FF0000"/>
          <w:sz w:val="20"/>
          <w:highlight w:val="yellow"/>
          <w:lang w:val="en-GB"/>
        </w:rPr>
        <w:t>s</w:t>
      </w:r>
      <w:commentRangeEnd w:id="10"/>
      <w:r w:rsidR="00243764">
        <w:rPr>
          <w:rStyle w:val="CommentReference"/>
        </w:rPr>
        <w:commentReference w:id="10"/>
      </w:r>
      <w:r w:rsidRPr="00243764">
        <w:rPr>
          <w:rFonts w:ascii="Palatino Linotype" w:hAnsi="Palatino Linotype"/>
          <w:color w:val="FF0000"/>
          <w:sz w:val="20"/>
          <w:highlight w:val="yellow"/>
          <w:lang w:val="en-GB"/>
        </w:rPr>
        <w:t>,</w:t>
      </w:r>
      <w:r w:rsidRPr="00F84F07">
        <w:rPr>
          <w:rFonts w:ascii="Palatino Linotype" w:hAnsi="Palatino Linotype"/>
          <w:color w:val="FF0000"/>
          <w:sz w:val="20"/>
          <w:lang w:val="en-GB"/>
        </w:rPr>
        <w:t xml:space="preserve"> </w:t>
      </w:r>
      <w:r w:rsidRPr="00B459E7">
        <w:rPr>
          <w:rFonts w:ascii="Palatino Linotype" w:hAnsi="Palatino Linotype"/>
          <w:sz w:val="20"/>
          <w:lang w:val="en-GB"/>
        </w:rPr>
        <w:t xml:space="preserve">in particular GM2 and GA2, in the CNS and visceral </w:t>
      </w:r>
      <w:r w:rsidRPr="00B459E7">
        <w:rPr>
          <w:rFonts w:ascii="Palatino Linotype" w:hAnsi="Palatino Linotype"/>
          <w:sz w:val="20"/>
          <w:lang w:val="en-GB"/>
        </w:rPr>
        <w:lastRenderedPageBreak/>
        <w:t>organs, including the liver.</w:t>
      </w:r>
    </w:p>
    <w:p w14:paraId="498A31A6" w14:textId="11EB065D" w:rsidR="00795204" w:rsidRPr="00B459E7" w:rsidRDefault="00795204" w:rsidP="005E18EF">
      <w:pPr>
        <w:pStyle w:val="MDPI31text"/>
        <w:rPr>
          <w:lang w:val="en-GB"/>
        </w:rPr>
      </w:pPr>
      <w:proofErr w:type="spellStart"/>
      <w:r w:rsidRPr="00B459E7">
        <w:rPr>
          <w:i/>
          <w:lang w:val="en-GB"/>
        </w:rPr>
        <w:t>Hexb</w:t>
      </w:r>
      <w:proofErr w:type="spellEnd"/>
      <w:r w:rsidRPr="00B459E7">
        <w:rPr>
          <w:i/>
          <w:vertAlign w:val="superscript"/>
          <w:lang w:val="en-GB"/>
        </w:rPr>
        <w:t>-/-</w:t>
      </w:r>
      <w:r w:rsidRPr="00B459E7">
        <w:rPr>
          <w:i/>
          <w:lang w:val="en-GB"/>
        </w:rPr>
        <w:t xml:space="preserve"> </w:t>
      </w:r>
      <w:r w:rsidRPr="00B459E7">
        <w:rPr>
          <w:lang w:val="en-GB"/>
        </w:rPr>
        <w:t>animals were either untreated or treated from weaning (3 weeks of age) with ADLL (0.1</w:t>
      </w:r>
      <w:r w:rsidR="005E18EF" w:rsidRPr="00B459E7">
        <w:rPr>
          <w:lang w:val="en-GB"/>
        </w:rPr>
        <w:t xml:space="preserve"> </w:t>
      </w:r>
      <w:r w:rsidRPr="00B459E7">
        <w:rPr>
          <w:lang w:val="en-GB"/>
        </w:rPr>
        <w:t>mg/kg/day, equivalent to the dose used in observational clinical studies</w:t>
      </w:r>
      <w:r w:rsidR="005E18EF" w:rsidRPr="00B459E7">
        <w:rPr>
          <w:lang w:val="en-GB"/>
        </w:rPr>
        <w:t xml:space="preserve"> </w:t>
      </w:r>
      <w:r w:rsidR="005700DC" w:rsidRPr="005700DC">
        <w:rPr>
          <w:noProof/>
          <w:lang w:val="en-GB"/>
        </w:rPr>
        <w:t>[13]</w:t>
      </w:r>
      <w:r w:rsidRPr="00B459E7">
        <w:rPr>
          <w:lang w:val="en-GB"/>
        </w:rPr>
        <w:t>).</w:t>
      </w:r>
      <w:r w:rsidR="00435CFD" w:rsidRPr="00B459E7">
        <w:rPr>
          <w:lang w:val="en-GB"/>
        </w:rPr>
        <w:t xml:space="preserve"> </w:t>
      </w:r>
      <w:r w:rsidRPr="00B459E7">
        <w:rPr>
          <w:lang w:val="en-GB"/>
        </w:rPr>
        <w:t xml:space="preserve">We observed a statistically significant extension in survival with ADLL (median increase of 8.5% (9.5 days), </w:t>
      </w:r>
      <w:r w:rsidRPr="00B459E7">
        <w:rPr>
          <w:i/>
          <w:lang w:val="en-GB"/>
        </w:rPr>
        <w:t>p</w:t>
      </w:r>
      <w:r w:rsidR="005E18EF" w:rsidRPr="00B459E7">
        <w:rPr>
          <w:i/>
          <w:lang w:val="en-GB"/>
        </w:rPr>
        <w:t xml:space="preserve"> </w:t>
      </w:r>
      <w:r w:rsidRPr="00B459E7">
        <w:rPr>
          <w:i/>
          <w:lang w:val="en-GB"/>
        </w:rPr>
        <w:t>=</w:t>
      </w:r>
      <w:r w:rsidR="005E18EF" w:rsidRPr="00B459E7">
        <w:rPr>
          <w:i/>
          <w:lang w:val="en-GB"/>
        </w:rPr>
        <w:t xml:space="preserve"> </w:t>
      </w:r>
      <w:r w:rsidRPr="00B459E7">
        <w:rPr>
          <w:lang w:val="en-GB"/>
        </w:rPr>
        <w:t>0.0247) (</w:t>
      </w:r>
      <w:r w:rsidR="00435CFD" w:rsidRPr="00B459E7">
        <w:rPr>
          <w:lang w:val="en-GB"/>
        </w:rPr>
        <w:t xml:space="preserve">Figure </w:t>
      </w:r>
      <w:r w:rsidRPr="00B459E7">
        <w:rPr>
          <w:lang w:val="en-GB"/>
        </w:rPr>
        <w:t>1a). Bar-crossing performance (time to cross or fall) also improved significantly</w:t>
      </w:r>
      <w:r w:rsidR="008342D3" w:rsidRPr="00B459E7">
        <w:rPr>
          <w:lang w:val="en-GB"/>
        </w:rPr>
        <w:t xml:space="preserve"> in the late-symptomatic stage of the disease </w:t>
      </w:r>
      <w:r w:rsidRPr="00B459E7">
        <w:rPr>
          <w:lang w:val="en-GB"/>
        </w:rPr>
        <w:t xml:space="preserve">(12 weeks: </w:t>
      </w:r>
      <w:r w:rsidRPr="00B459E7">
        <w:rPr>
          <w:i/>
          <w:lang w:val="en-GB"/>
        </w:rPr>
        <w:t>p</w:t>
      </w:r>
      <w:r w:rsidR="005E18EF" w:rsidRPr="00B459E7">
        <w:rPr>
          <w:i/>
          <w:lang w:val="en-GB"/>
        </w:rPr>
        <w:t xml:space="preserve"> </w:t>
      </w:r>
      <w:r w:rsidRPr="00B459E7">
        <w:rPr>
          <w:i/>
          <w:lang w:val="en-GB"/>
        </w:rPr>
        <w:t>=</w:t>
      </w:r>
      <w:r w:rsidR="005E18EF" w:rsidRPr="00B459E7">
        <w:rPr>
          <w:i/>
          <w:lang w:val="en-GB"/>
        </w:rPr>
        <w:t xml:space="preserve"> </w:t>
      </w:r>
      <w:r w:rsidRPr="00B459E7">
        <w:rPr>
          <w:lang w:val="en-GB"/>
        </w:rPr>
        <w:t xml:space="preserve">0.0343; 13 weeks: </w:t>
      </w:r>
      <w:r w:rsidRPr="00B459E7">
        <w:rPr>
          <w:i/>
          <w:lang w:val="en-GB"/>
        </w:rPr>
        <w:t>p</w:t>
      </w:r>
      <w:r w:rsidR="005E18EF" w:rsidRPr="00B459E7">
        <w:rPr>
          <w:i/>
          <w:lang w:val="en-GB"/>
        </w:rPr>
        <w:t xml:space="preserve"> </w:t>
      </w:r>
      <w:r w:rsidRPr="00B459E7">
        <w:rPr>
          <w:lang w:val="en-GB"/>
        </w:rPr>
        <w:t>=</w:t>
      </w:r>
      <w:r w:rsidR="005E18EF" w:rsidRPr="00B459E7">
        <w:rPr>
          <w:lang w:val="en-GB"/>
        </w:rPr>
        <w:t xml:space="preserve"> </w:t>
      </w:r>
      <w:r w:rsidRPr="00B459E7">
        <w:rPr>
          <w:lang w:val="en-GB"/>
        </w:rPr>
        <w:t>0.0058), which was indicative of slower disease progression (</w:t>
      </w:r>
      <w:r w:rsidR="00435CFD" w:rsidRPr="00B459E7">
        <w:rPr>
          <w:lang w:val="en-GB"/>
        </w:rPr>
        <w:t xml:space="preserve">Figure </w:t>
      </w:r>
      <w:r w:rsidRPr="00B459E7">
        <w:rPr>
          <w:lang w:val="en-GB"/>
        </w:rPr>
        <w:t>1b).</w:t>
      </w:r>
    </w:p>
    <w:p w14:paraId="566C0ED6" w14:textId="5935BB9B" w:rsidR="00795204" w:rsidRPr="00B459E7" w:rsidRDefault="00795204" w:rsidP="00980FA3">
      <w:pPr>
        <w:widowControl w:val="0"/>
        <w:adjustRightInd w:val="0"/>
        <w:snapToGrid w:val="0"/>
        <w:spacing w:line="240" w:lineRule="auto"/>
        <w:ind w:firstLine="420"/>
        <w:rPr>
          <w:rFonts w:ascii="Palatino Linotype" w:hAnsi="Palatino Linotype"/>
          <w:sz w:val="20"/>
          <w:lang w:val="en-GB"/>
        </w:rPr>
      </w:pPr>
      <w:r w:rsidRPr="00B459E7">
        <w:rPr>
          <w:rFonts w:ascii="Palatino Linotype" w:hAnsi="Palatino Linotype"/>
          <w:sz w:val="20"/>
          <w:lang w:val="en-GB"/>
        </w:rPr>
        <w:t xml:space="preserve">A second cohort of treated mice </w:t>
      </w:r>
      <w:r w:rsidR="009175DF">
        <w:rPr>
          <w:rFonts w:ascii="Palatino Linotype" w:hAnsi="Palatino Linotype"/>
          <w:sz w:val="20"/>
          <w:lang w:val="en-GB"/>
        </w:rPr>
        <w:t>w</w:t>
      </w:r>
      <w:r w:rsidR="007D7E3F">
        <w:rPr>
          <w:rFonts w:ascii="Palatino Linotype" w:hAnsi="Palatino Linotype"/>
          <w:sz w:val="20"/>
          <w:lang w:val="en-GB"/>
        </w:rPr>
        <w:t>ere</w:t>
      </w:r>
      <w:r w:rsidR="009175DF" w:rsidRPr="00B459E7">
        <w:rPr>
          <w:rFonts w:ascii="Palatino Linotype" w:hAnsi="Palatino Linotype"/>
          <w:sz w:val="20"/>
          <w:lang w:val="en-GB"/>
        </w:rPr>
        <w:t xml:space="preserve"> </w:t>
      </w:r>
      <w:r w:rsidRPr="00B459E7">
        <w:rPr>
          <w:rFonts w:ascii="Palatino Linotype" w:hAnsi="Palatino Linotype"/>
          <w:sz w:val="20"/>
          <w:lang w:val="en-GB"/>
        </w:rPr>
        <w:t>sacrificed at 86 days of age</w:t>
      </w:r>
      <w:r w:rsidR="008342D3" w:rsidRPr="00B459E7">
        <w:rPr>
          <w:rFonts w:ascii="Palatino Linotype" w:hAnsi="Palatino Linotype"/>
          <w:sz w:val="20"/>
          <w:lang w:val="en-GB"/>
        </w:rPr>
        <w:t xml:space="preserve"> (late-symptomatic stage)</w:t>
      </w:r>
      <w:r w:rsidRPr="00B459E7">
        <w:rPr>
          <w:rFonts w:ascii="Palatino Linotype" w:hAnsi="Palatino Linotype"/>
          <w:sz w:val="20"/>
          <w:lang w:val="en-GB"/>
        </w:rPr>
        <w:t xml:space="preserve"> to measure changes in GSL levels in the forebrain, cerebellum and liver </w:t>
      </w:r>
      <w:r w:rsidR="00661EC9" w:rsidRPr="00B459E7">
        <w:rPr>
          <w:rFonts w:ascii="Palatino Linotype" w:hAnsi="Palatino Linotype"/>
          <w:noProof/>
          <w:sz w:val="20"/>
          <w:lang w:val="en-GB"/>
        </w:rPr>
        <w:t>[8]</w:t>
      </w:r>
      <w:r w:rsidRPr="00B459E7">
        <w:rPr>
          <w:rFonts w:ascii="Palatino Linotype" w:hAnsi="Palatino Linotype"/>
          <w:sz w:val="20"/>
          <w:lang w:val="en-GB"/>
        </w:rPr>
        <w:t>. Although total GSL levels did not change with ADLL treatment in these organs (</w:t>
      </w:r>
      <w:r w:rsidR="00B402D5" w:rsidRPr="00B459E7">
        <w:rPr>
          <w:rFonts w:ascii="Palatino Linotype" w:hAnsi="Palatino Linotype"/>
          <w:sz w:val="20"/>
          <w:lang w:val="en-GB"/>
        </w:rPr>
        <w:t>Supplementary</w:t>
      </w:r>
      <w:r w:rsidRPr="00B459E7">
        <w:rPr>
          <w:rFonts w:ascii="Palatino Linotype" w:hAnsi="Palatino Linotype"/>
          <w:sz w:val="20"/>
          <w:lang w:val="en-GB"/>
        </w:rPr>
        <w:t xml:space="preserve"> Fig</w:t>
      </w:r>
      <w:r w:rsidR="00B402D5" w:rsidRPr="00B459E7">
        <w:rPr>
          <w:rFonts w:ascii="Palatino Linotype" w:hAnsi="Palatino Linotype"/>
          <w:sz w:val="20"/>
          <w:lang w:val="en-GB"/>
        </w:rPr>
        <w:t>ure</w:t>
      </w:r>
      <w:r w:rsidRPr="00B459E7">
        <w:rPr>
          <w:rFonts w:ascii="Palatino Linotype" w:hAnsi="Palatino Linotype"/>
          <w:sz w:val="20"/>
          <w:lang w:val="en-GB"/>
        </w:rPr>
        <w:t xml:space="preserve"> </w:t>
      </w:r>
      <w:r w:rsidR="00B402D5" w:rsidRPr="00B459E7">
        <w:rPr>
          <w:rFonts w:ascii="Palatino Linotype" w:hAnsi="Palatino Linotype"/>
          <w:sz w:val="20"/>
          <w:lang w:val="en-GB"/>
        </w:rPr>
        <w:t>S</w:t>
      </w:r>
      <w:r w:rsidRPr="00B459E7">
        <w:rPr>
          <w:rFonts w:ascii="Palatino Linotype" w:hAnsi="Palatino Linotype"/>
          <w:sz w:val="20"/>
          <w:lang w:val="en-GB"/>
        </w:rPr>
        <w:t xml:space="preserve">1); some specific gangliosides were significantly reduced. </w:t>
      </w:r>
      <w:r w:rsidRPr="00F84F07">
        <w:rPr>
          <w:rFonts w:ascii="Palatino Linotype" w:hAnsi="Palatino Linotype"/>
          <w:sz w:val="20"/>
          <w:lang w:val="en-GB"/>
        </w:rPr>
        <w:t>For example,</w:t>
      </w:r>
      <w:r w:rsidR="004A206B" w:rsidRPr="00F84F07">
        <w:rPr>
          <w:rFonts w:ascii="Palatino Linotype" w:hAnsi="Palatino Linotype"/>
          <w:sz w:val="20"/>
          <w:lang w:val="en-GB"/>
        </w:rPr>
        <w:t xml:space="preserve"> </w:t>
      </w:r>
      <w:r w:rsidR="00185950" w:rsidRPr="00F84F07">
        <w:rPr>
          <w:rFonts w:ascii="Palatino Linotype" w:hAnsi="Palatino Linotype"/>
          <w:sz w:val="20"/>
          <w:lang w:val="en-GB"/>
        </w:rPr>
        <w:t xml:space="preserve">levels of </w:t>
      </w:r>
      <w:r w:rsidR="007D7E3F" w:rsidRPr="00F84F07">
        <w:rPr>
          <w:rFonts w:ascii="Palatino Linotype" w:hAnsi="Palatino Linotype"/>
          <w:sz w:val="20"/>
          <w:lang w:val="en-GB"/>
        </w:rPr>
        <w:t xml:space="preserve">GA2, </w:t>
      </w:r>
      <w:r w:rsidR="00185950" w:rsidRPr="00F84F07">
        <w:rPr>
          <w:rFonts w:ascii="Palatino Linotype" w:hAnsi="Palatino Linotype"/>
          <w:sz w:val="20"/>
          <w:lang w:val="en-GB"/>
        </w:rPr>
        <w:t xml:space="preserve">the </w:t>
      </w:r>
      <w:r w:rsidR="004A206B" w:rsidRPr="00F84F07">
        <w:rPr>
          <w:rFonts w:ascii="Palatino Linotype" w:hAnsi="Palatino Linotype"/>
          <w:sz w:val="20"/>
          <w:lang w:val="en-GB"/>
        </w:rPr>
        <w:t>most</w:t>
      </w:r>
      <w:r w:rsidR="004A206B" w:rsidRPr="00B459E7">
        <w:rPr>
          <w:rFonts w:ascii="Palatino Linotype" w:hAnsi="Palatino Linotype"/>
          <w:sz w:val="20"/>
          <w:lang w:val="en-GB"/>
        </w:rPr>
        <w:t xml:space="preserve"> accumulated ganglioside</w:t>
      </w:r>
      <w:r w:rsidRPr="00B459E7">
        <w:rPr>
          <w:rFonts w:ascii="Palatino Linotype" w:hAnsi="Palatino Linotype"/>
          <w:sz w:val="20"/>
          <w:lang w:val="en-GB"/>
        </w:rPr>
        <w:t xml:space="preserve"> in the forebrain</w:t>
      </w:r>
      <w:r w:rsidR="007D7E3F">
        <w:rPr>
          <w:rFonts w:ascii="Palatino Linotype" w:hAnsi="Palatino Linotype"/>
          <w:sz w:val="20"/>
          <w:lang w:val="en-GB"/>
        </w:rPr>
        <w:t>,</w:t>
      </w:r>
      <w:r w:rsidRPr="00B459E7">
        <w:rPr>
          <w:rFonts w:ascii="Palatino Linotype" w:hAnsi="Palatino Linotype"/>
          <w:sz w:val="20"/>
          <w:lang w:val="en-GB"/>
        </w:rPr>
        <w:t xml:space="preserve"> were 18.5% lower in ADLL-treated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i/>
          <w:sz w:val="20"/>
          <w:lang w:val="en-GB"/>
        </w:rPr>
        <w:t xml:space="preserve"> </w:t>
      </w:r>
      <w:r w:rsidRPr="00B459E7">
        <w:rPr>
          <w:rFonts w:ascii="Palatino Linotype" w:hAnsi="Palatino Linotype"/>
          <w:sz w:val="20"/>
          <w:lang w:val="en-GB"/>
        </w:rPr>
        <w:t>mice (</w:t>
      </w:r>
      <w:r w:rsidRPr="00B459E7">
        <w:rPr>
          <w:rFonts w:ascii="Palatino Linotype" w:hAnsi="Palatino Linotype"/>
          <w:i/>
          <w:sz w:val="20"/>
          <w:lang w:val="en-GB"/>
        </w:rPr>
        <w:t xml:space="preserve">p </w:t>
      </w:r>
      <w:r w:rsidRPr="00B459E7">
        <w:rPr>
          <w:rFonts w:ascii="Palatino Linotype" w:hAnsi="Palatino Linotype"/>
          <w:sz w:val="20"/>
          <w:lang w:val="en-GB"/>
        </w:rPr>
        <w:t>&lt;</w:t>
      </w:r>
      <w:r w:rsidR="005E18EF" w:rsidRPr="00B459E7">
        <w:rPr>
          <w:rFonts w:ascii="Palatino Linotype" w:hAnsi="Palatino Linotype"/>
          <w:sz w:val="20"/>
          <w:lang w:val="en-GB"/>
        </w:rPr>
        <w:t xml:space="preserve"> </w:t>
      </w:r>
      <w:r w:rsidRPr="00B459E7">
        <w:rPr>
          <w:rFonts w:ascii="Palatino Linotype" w:hAnsi="Palatino Linotype"/>
          <w:sz w:val="20"/>
          <w:lang w:val="en-GB"/>
        </w:rPr>
        <w:t xml:space="preserve">0.0001) relative to untreated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i/>
          <w:sz w:val="20"/>
          <w:lang w:val="en-GB"/>
        </w:rPr>
        <w:t xml:space="preserve"> </w:t>
      </w:r>
      <w:r w:rsidRPr="00B459E7">
        <w:rPr>
          <w:rFonts w:ascii="Palatino Linotype" w:hAnsi="Palatino Linotype"/>
          <w:sz w:val="20"/>
          <w:lang w:val="en-GB"/>
        </w:rPr>
        <w:t>mice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1c). Similarly, GA2 levels were 10% lower in the cerebellum (</w:t>
      </w:r>
      <w:r w:rsidRPr="00B459E7">
        <w:rPr>
          <w:rFonts w:ascii="Palatino Linotype" w:hAnsi="Palatino Linotype"/>
          <w:i/>
          <w:sz w:val="20"/>
          <w:lang w:val="en-GB"/>
        </w:rPr>
        <w:t xml:space="preserve">p </w:t>
      </w:r>
      <w:r w:rsidRPr="00B459E7">
        <w:rPr>
          <w:rFonts w:ascii="Palatino Linotype" w:hAnsi="Palatino Linotype"/>
          <w:sz w:val="20"/>
          <w:lang w:val="en-GB"/>
        </w:rPr>
        <w:t>= 0.0002)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 xml:space="preserve">1d) and 15.8% lower in the liver in ADLL-treated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i/>
          <w:sz w:val="20"/>
          <w:lang w:val="en-GB"/>
        </w:rPr>
        <w:t xml:space="preserve"> </w:t>
      </w:r>
      <w:r w:rsidRPr="00B459E7">
        <w:rPr>
          <w:rFonts w:ascii="Palatino Linotype" w:hAnsi="Palatino Linotype"/>
          <w:sz w:val="20"/>
          <w:lang w:val="en-GB"/>
        </w:rPr>
        <w:t>mice (</w:t>
      </w:r>
      <w:r w:rsidRPr="00B459E7">
        <w:rPr>
          <w:rFonts w:ascii="Palatino Linotype" w:hAnsi="Palatino Linotype"/>
          <w:i/>
          <w:sz w:val="20"/>
          <w:lang w:val="en-GB"/>
        </w:rPr>
        <w:t xml:space="preserve">p </w:t>
      </w:r>
      <w:r w:rsidRPr="00B459E7">
        <w:rPr>
          <w:rFonts w:ascii="Palatino Linotype" w:hAnsi="Palatino Linotype"/>
          <w:sz w:val="20"/>
          <w:lang w:val="en-GB"/>
        </w:rPr>
        <w:t>= 0.0121)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1e).</w:t>
      </w:r>
      <w:r w:rsidR="00853C49" w:rsidRPr="00B459E7">
        <w:rPr>
          <w:rFonts w:ascii="Palatino Linotype" w:hAnsi="Palatino Linotype"/>
          <w:sz w:val="20"/>
          <w:lang w:val="en-GB"/>
        </w:rPr>
        <w:t xml:space="preserve"> Levels of other </w:t>
      </w:r>
      <w:r w:rsidR="00FB23DA" w:rsidRPr="00B459E7">
        <w:rPr>
          <w:rFonts w:ascii="Palatino Linotype" w:hAnsi="Palatino Linotype"/>
          <w:sz w:val="20"/>
          <w:lang w:val="en-GB"/>
        </w:rPr>
        <w:t xml:space="preserve">GSL species </w:t>
      </w:r>
      <w:r w:rsidR="00853C49" w:rsidRPr="00B459E7">
        <w:rPr>
          <w:rFonts w:ascii="Palatino Linotype" w:hAnsi="Palatino Linotype"/>
          <w:sz w:val="20"/>
          <w:lang w:val="en-GB"/>
        </w:rPr>
        <w:t xml:space="preserve">did not change significantly </w:t>
      </w:r>
      <w:r w:rsidR="00FB23DA" w:rsidRPr="00B459E7">
        <w:rPr>
          <w:rFonts w:ascii="Palatino Linotype" w:hAnsi="Palatino Linotype"/>
          <w:sz w:val="20"/>
          <w:lang w:val="en-GB"/>
        </w:rPr>
        <w:t xml:space="preserve">upon ADLL treatment in </w:t>
      </w:r>
      <w:proofErr w:type="spellStart"/>
      <w:r w:rsidR="00FB23DA" w:rsidRPr="00B459E7">
        <w:rPr>
          <w:rFonts w:ascii="Palatino Linotype" w:hAnsi="Palatino Linotype"/>
          <w:i/>
          <w:sz w:val="20"/>
          <w:lang w:val="en-GB"/>
        </w:rPr>
        <w:t>Hexb</w:t>
      </w:r>
      <w:proofErr w:type="spellEnd"/>
      <w:r w:rsidR="00FB23DA" w:rsidRPr="00B459E7">
        <w:rPr>
          <w:rFonts w:ascii="Palatino Linotype" w:hAnsi="Palatino Linotype"/>
          <w:i/>
          <w:sz w:val="20"/>
          <w:vertAlign w:val="superscript"/>
          <w:lang w:val="en-GB"/>
        </w:rPr>
        <w:t>-/-</w:t>
      </w:r>
      <w:r w:rsidR="00FB23DA" w:rsidRPr="00B459E7">
        <w:rPr>
          <w:rFonts w:ascii="Palatino Linotype" w:hAnsi="Palatino Linotype"/>
          <w:i/>
          <w:sz w:val="20"/>
          <w:lang w:val="en-GB"/>
        </w:rPr>
        <w:t xml:space="preserve"> </w:t>
      </w:r>
      <w:r w:rsidR="00FB23DA" w:rsidRPr="00B459E7">
        <w:rPr>
          <w:rFonts w:ascii="Palatino Linotype" w:hAnsi="Palatino Linotype"/>
          <w:sz w:val="20"/>
          <w:lang w:val="en-GB"/>
        </w:rPr>
        <w:t>mice (</w:t>
      </w:r>
      <w:r w:rsidR="00435CFD" w:rsidRPr="00B459E7">
        <w:rPr>
          <w:rFonts w:ascii="Palatino Linotype" w:hAnsi="Palatino Linotype"/>
          <w:sz w:val="20"/>
          <w:lang w:val="en-GB"/>
        </w:rPr>
        <w:t xml:space="preserve">Figure </w:t>
      </w:r>
      <w:r w:rsidR="00FB23DA" w:rsidRPr="00B459E7">
        <w:rPr>
          <w:rFonts w:ascii="Palatino Linotype" w:hAnsi="Palatino Linotype"/>
          <w:sz w:val="20"/>
          <w:lang w:val="en-GB"/>
        </w:rPr>
        <w:t>1c</w:t>
      </w:r>
      <w:r w:rsidR="005E18EF" w:rsidRPr="00B459E7">
        <w:rPr>
          <w:rFonts w:ascii="Palatino Linotype" w:hAnsi="Palatino Linotype"/>
          <w:sz w:val="20"/>
          <w:lang w:val="en-GB"/>
        </w:rPr>
        <w:t>–</w:t>
      </w:r>
      <w:r w:rsidR="00FB23DA" w:rsidRPr="00B459E7">
        <w:rPr>
          <w:rFonts w:ascii="Palatino Linotype" w:hAnsi="Palatino Linotype"/>
          <w:sz w:val="20"/>
          <w:lang w:val="en-GB"/>
        </w:rPr>
        <w:t>e)</w:t>
      </w:r>
      <w:r w:rsidR="00853C49" w:rsidRPr="00B459E7">
        <w:rPr>
          <w:rFonts w:ascii="Palatino Linotype" w:hAnsi="Palatino Linotype"/>
          <w:sz w:val="20"/>
          <w:lang w:val="en-GB"/>
        </w:rPr>
        <w:t>.</w:t>
      </w:r>
    </w:p>
    <w:p w14:paraId="0A82034F" w14:textId="77777777" w:rsidR="00795204" w:rsidRPr="00B459E7" w:rsidRDefault="00421196" w:rsidP="00C60BEE">
      <w:pPr>
        <w:pStyle w:val="MDPI52figure"/>
        <w:rPr>
          <w:lang w:val="en-GB"/>
        </w:rPr>
      </w:pPr>
      <w:r w:rsidRPr="00B459E7">
        <w:rPr>
          <w:noProof/>
          <w:lang w:eastAsia="zh-CN" w:bidi="ar-SA"/>
        </w:rPr>
        <w:drawing>
          <wp:inline distT="0" distB="0" distL="0" distR="0" wp14:anchorId="16FDF8D7" wp14:editId="240DB701">
            <wp:extent cx="4884344" cy="5278170"/>
            <wp:effectExtent l="0" t="0" r="0" b="0"/>
            <wp:docPr id="29" name="Picture 17" descr="Sandhoff figure1 0202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Sandhoff figure1 0202 "/>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2142" cy="5286597"/>
                    </a:xfrm>
                    <a:prstGeom prst="rect">
                      <a:avLst/>
                    </a:prstGeom>
                    <a:noFill/>
                    <a:ln>
                      <a:noFill/>
                    </a:ln>
                  </pic:spPr>
                </pic:pic>
              </a:graphicData>
            </a:graphic>
          </wp:inline>
        </w:drawing>
      </w:r>
    </w:p>
    <w:p w14:paraId="38C59FD4" w14:textId="1953E9A1" w:rsidR="00661EC9" w:rsidRPr="00B459E7" w:rsidRDefault="00C60BEE" w:rsidP="00C60BEE">
      <w:pPr>
        <w:pStyle w:val="MDPI51figurecaption"/>
        <w:rPr>
          <w:lang w:val="en-GB"/>
        </w:rPr>
      </w:pPr>
      <w:bookmarkStart w:id="11" w:name="_Toc410478820"/>
      <w:r w:rsidRPr="00B459E7">
        <w:rPr>
          <w:b/>
          <w:lang w:val="en-GB"/>
        </w:rPr>
        <w:t>Figure 1.</w:t>
      </w:r>
      <w:r w:rsidRPr="00B459E7">
        <w:rPr>
          <w:lang w:val="en-GB"/>
        </w:rPr>
        <w:t xml:space="preserve"> </w:t>
      </w:r>
      <w:r w:rsidR="00661EC9" w:rsidRPr="00F84F07">
        <w:rPr>
          <w:color w:val="auto"/>
          <w:lang w:val="en-GB"/>
        </w:rPr>
        <w:t xml:space="preserve">Effects of </w:t>
      </w:r>
      <w:r w:rsidR="00203383" w:rsidRPr="00F84F07">
        <w:rPr>
          <w:color w:val="auto"/>
          <w:lang w:val="en-GB"/>
        </w:rPr>
        <w:t>a</w:t>
      </w:r>
      <w:r w:rsidR="00661EC9" w:rsidRPr="00F84F07">
        <w:rPr>
          <w:color w:val="auto"/>
          <w:lang w:val="en-GB"/>
        </w:rPr>
        <w:t>cetyl-DL-</w:t>
      </w:r>
      <w:r w:rsidR="00203383" w:rsidRPr="00F84F07">
        <w:rPr>
          <w:color w:val="auto"/>
          <w:lang w:val="en-GB"/>
        </w:rPr>
        <w:t>l</w:t>
      </w:r>
      <w:r w:rsidR="00661EC9" w:rsidRPr="00F84F07">
        <w:rPr>
          <w:color w:val="auto"/>
          <w:lang w:val="en-GB"/>
        </w:rPr>
        <w:t xml:space="preserve">eucine on </w:t>
      </w:r>
      <w:r w:rsidR="005A33FB" w:rsidRPr="00F84F07">
        <w:rPr>
          <w:color w:val="auto"/>
          <w:lang w:val="en-GB"/>
        </w:rPr>
        <w:t>behaviour</w:t>
      </w:r>
      <w:r w:rsidR="00297669" w:rsidRPr="00F84F07">
        <w:rPr>
          <w:color w:val="auto"/>
          <w:lang w:val="en-GB"/>
        </w:rPr>
        <w:t>al</w:t>
      </w:r>
      <w:r w:rsidR="00661EC9" w:rsidRPr="00F84F07">
        <w:rPr>
          <w:color w:val="auto"/>
          <w:lang w:val="en-GB"/>
        </w:rPr>
        <w:t xml:space="preserve"> and biochemical parameters in </w:t>
      </w:r>
      <w:proofErr w:type="spellStart"/>
      <w:r w:rsidR="0090656C" w:rsidRPr="00F84F07">
        <w:rPr>
          <w:color w:val="auto"/>
          <w:lang w:val="en-GB"/>
        </w:rPr>
        <w:t>Sandhoff</w:t>
      </w:r>
      <w:proofErr w:type="spellEnd"/>
      <w:r w:rsidR="0090656C" w:rsidRPr="00F84F07">
        <w:rPr>
          <w:color w:val="auto"/>
          <w:lang w:val="en-GB"/>
        </w:rPr>
        <w:t xml:space="preserve"> disease</w:t>
      </w:r>
      <w:r w:rsidR="00910398" w:rsidRPr="00F84F07">
        <w:rPr>
          <w:color w:val="auto"/>
          <w:lang w:val="en-GB"/>
        </w:rPr>
        <w:t xml:space="preserve"> (</w:t>
      </w:r>
      <w:proofErr w:type="spellStart"/>
      <w:r w:rsidR="00910398" w:rsidRPr="00F84F07">
        <w:rPr>
          <w:i/>
          <w:color w:val="auto"/>
          <w:lang w:val="en-GB"/>
        </w:rPr>
        <w:t>Hexb</w:t>
      </w:r>
      <w:proofErr w:type="spellEnd"/>
      <w:r w:rsidR="00910398" w:rsidRPr="00F84F07">
        <w:rPr>
          <w:i/>
          <w:color w:val="auto"/>
          <w:vertAlign w:val="superscript"/>
          <w:lang w:val="en-GB"/>
        </w:rPr>
        <w:t>-/-</w:t>
      </w:r>
      <w:r w:rsidR="00910398" w:rsidRPr="00F84F07">
        <w:rPr>
          <w:color w:val="auto"/>
          <w:lang w:val="en-GB"/>
        </w:rPr>
        <w:t>)</w:t>
      </w:r>
      <w:r w:rsidR="0090656C" w:rsidRPr="00F84F07">
        <w:rPr>
          <w:color w:val="auto"/>
          <w:lang w:val="en-GB"/>
        </w:rPr>
        <w:t xml:space="preserve"> mice</w:t>
      </w:r>
      <w:r w:rsidR="00661EC9" w:rsidRPr="00F84F07">
        <w:rPr>
          <w:color w:val="auto"/>
          <w:lang w:val="en-GB"/>
        </w:rPr>
        <w:t xml:space="preserve">. </w:t>
      </w:r>
      <w:r w:rsidR="00185950" w:rsidRPr="00F84F07">
        <w:rPr>
          <w:color w:val="auto"/>
          <w:lang w:val="en-GB"/>
        </w:rPr>
        <w:t xml:space="preserve">The groups comprised </w:t>
      </w:r>
      <w:r w:rsidR="00661EC9" w:rsidRPr="00F84F07">
        <w:rPr>
          <w:color w:val="auto"/>
          <w:lang w:val="en-GB"/>
        </w:rPr>
        <w:t>Wild-type untreated (</w:t>
      </w:r>
      <w:proofErr w:type="spellStart"/>
      <w:r w:rsidR="00661EC9" w:rsidRPr="00F84F07">
        <w:rPr>
          <w:i/>
          <w:color w:val="auto"/>
          <w:lang w:val="en-GB"/>
        </w:rPr>
        <w:t>Hexb</w:t>
      </w:r>
      <w:proofErr w:type="spellEnd"/>
      <w:r w:rsidR="00661EC9" w:rsidRPr="00F84F07">
        <w:rPr>
          <w:i/>
          <w:color w:val="auto"/>
          <w:vertAlign w:val="superscript"/>
          <w:lang w:val="en-GB"/>
        </w:rPr>
        <w:t>+/+</w:t>
      </w:r>
      <w:r w:rsidR="00661EC9" w:rsidRPr="00F84F07">
        <w:rPr>
          <w:color w:val="auto"/>
          <w:lang w:val="en-GB"/>
        </w:rPr>
        <w:t>),</w:t>
      </w:r>
      <w:r w:rsidR="00661EC9" w:rsidRPr="00F84F07">
        <w:rPr>
          <w:i/>
          <w:color w:val="auto"/>
          <w:vertAlign w:val="superscript"/>
          <w:lang w:val="en-GB"/>
        </w:rPr>
        <w:t xml:space="preserve"> </w:t>
      </w:r>
      <w:proofErr w:type="spellStart"/>
      <w:r w:rsidR="00661EC9" w:rsidRPr="00F84F07">
        <w:rPr>
          <w:color w:val="auto"/>
          <w:lang w:val="en-GB"/>
        </w:rPr>
        <w:t>Sandhoff</w:t>
      </w:r>
      <w:proofErr w:type="spellEnd"/>
      <w:r w:rsidR="00661EC9" w:rsidRPr="00F84F07">
        <w:rPr>
          <w:color w:val="auto"/>
          <w:lang w:val="en-GB"/>
        </w:rPr>
        <w:t xml:space="preserve"> untreated (</w:t>
      </w:r>
      <w:proofErr w:type="spellStart"/>
      <w:r w:rsidR="00661EC9" w:rsidRPr="00F84F07">
        <w:rPr>
          <w:i/>
          <w:color w:val="auto"/>
          <w:lang w:val="en-GB"/>
        </w:rPr>
        <w:t>Hexb</w:t>
      </w:r>
      <w:proofErr w:type="spellEnd"/>
      <w:r w:rsidR="00661EC9" w:rsidRPr="00F84F07">
        <w:rPr>
          <w:i/>
          <w:color w:val="auto"/>
          <w:vertAlign w:val="superscript"/>
          <w:lang w:val="en-GB"/>
        </w:rPr>
        <w:t xml:space="preserve">-/- </w:t>
      </w:r>
      <w:r w:rsidR="00661EC9" w:rsidRPr="00F84F07">
        <w:rPr>
          <w:color w:val="auto"/>
          <w:lang w:val="en-GB"/>
        </w:rPr>
        <w:t xml:space="preserve">UT), </w:t>
      </w:r>
      <w:proofErr w:type="spellStart"/>
      <w:r w:rsidR="00185950" w:rsidRPr="00F84F07">
        <w:rPr>
          <w:color w:val="auto"/>
          <w:lang w:val="en-GB"/>
        </w:rPr>
        <w:t>Sandhoff</w:t>
      </w:r>
      <w:proofErr w:type="spellEnd"/>
      <w:r w:rsidR="00185950" w:rsidRPr="00F84F07">
        <w:rPr>
          <w:color w:val="auto"/>
          <w:lang w:val="en-GB"/>
        </w:rPr>
        <w:t xml:space="preserve"> </w:t>
      </w:r>
      <w:r w:rsidR="00661EC9" w:rsidRPr="00F84F07">
        <w:rPr>
          <w:color w:val="auto"/>
          <w:lang w:val="en-GB"/>
        </w:rPr>
        <w:t>ADLL treated (</w:t>
      </w:r>
      <w:proofErr w:type="spellStart"/>
      <w:r w:rsidR="00661EC9" w:rsidRPr="00F84F07">
        <w:rPr>
          <w:i/>
          <w:color w:val="auto"/>
          <w:lang w:val="en-GB"/>
        </w:rPr>
        <w:t>Hexb</w:t>
      </w:r>
      <w:proofErr w:type="spellEnd"/>
      <w:r w:rsidR="00661EC9" w:rsidRPr="00F84F07">
        <w:rPr>
          <w:i/>
          <w:color w:val="auto"/>
          <w:vertAlign w:val="superscript"/>
          <w:lang w:val="en-GB"/>
        </w:rPr>
        <w:t>-/-</w:t>
      </w:r>
      <w:r w:rsidR="00661EC9" w:rsidRPr="00F84F07">
        <w:rPr>
          <w:color w:val="auto"/>
          <w:lang w:val="en-GB"/>
        </w:rPr>
        <w:t xml:space="preserve">ADLL). </w:t>
      </w:r>
      <w:r w:rsidR="00E2197A" w:rsidRPr="00F84F07">
        <w:rPr>
          <w:color w:val="auto"/>
          <w:lang w:val="en-GB"/>
        </w:rPr>
        <w:t xml:space="preserve">In total, </w:t>
      </w:r>
      <w:r w:rsidR="00661EC9" w:rsidRPr="00F84F07">
        <w:rPr>
          <w:color w:val="auto"/>
          <w:lang w:val="en-GB"/>
        </w:rPr>
        <w:t>2</w:t>
      </w:r>
      <w:r w:rsidR="002C10B7" w:rsidRPr="00F84F07">
        <w:rPr>
          <w:color w:val="auto"/>
          <w:lang w:val="en-GB"/>
        </w:rPr>
        <w:t>–</w:t>
      </w:r>
      <w:r w:rsidR="00661EC9" w:rsidRPr="00F84F07">
        <w:rPr>
          <w:color w:val="auto"/>
          <w:lang w:val="en-GB"/>
        </w:rPr>
        <w:t xml:space="preserve">5 animals for </w:t>
      </w:r>
      <w:proofErr w:type="spellStart"/>
      <w:r w:rsidR="00661EC9" w:rsidRPr="00F84F07">
        <w:rPr>
          <w:i/>
          <w:color w:val="auto"/>
          <w:lang w:val="en-GB"/>
        </w:rPr>
        <w:t>Hexb</w:t>
      </w:r>
      <w:proofErr w:type="spellEnd"/>
      <w:r w:rsidR="00661EC9" w:rsidRPr="00F84F07">
        <w:rPr>
          <w:i/>
          <w:color w:val="auto"/>
          <w:vertAlign w:val="superscript"/>
          <w:lang w:val="en-GB"/>
        </w:rPr>
        <w:t>+/+</w:t>
      </w:r>
      <w:r w:rsidR="00661EC9" w:rsidRPr="00F84F07">
        <w:rPr>
          <w:color w:val="auto"/>
          <w:lang w:val="en-GB"/>
        </w:rPr>
        <w:t>, 5</w:t>
      </w:r>
      <w:r w:rsidRPr="00F84F07">
        <w:rPr>
          <w:color w:val="auto"/>
          <w:lang w:val="en-GB"/>
        </w:rPr>
        <w:t>–</w:t>
      </w:r>
      <w:r w:rsidR="00661EC9" w:rsidRPr="00F84F07">
        <w:rPr>
          <w:color w:val="auto"/>
          <w:lang w:val="en-GB"/>
        </w:rPr>
        <w:t xml:space="preserve">6 animals for </w:t>
      </w:r>
      <w:proofErr w:type="spellStart"/>
      <w:r w:rsidR="00661EC9" w:rsidRPr="00F84F07">
        <w:rPr>
          <w:i/>
          <w:color w:val="auto"/>
          <w:lang w:val="en-GB"/>
        </w:rPr>
        <w:t>Hexb</w:t>
      </w:r>
      <w:proofErr w:type="spellEnd"/>
      <w:r w:rsidR="00661EC9" w:rsidRPr="00F84F07">
        <w:rPr>
          <w:i/>
          <w:color w:val="auto"/>
          <w:vertAlign w:val="superscript"/>
          <w:lang w:val="en-GB"/>
        </w:rPr>
        <w:t xml:space="preserve">-/- </w:t>
      </w:r>
      <w:r w:rsidR="00661EC9" w:rsidRPr="00F84F07">
        <w:rPr>
          <w:color w:val="auto"/>
          <w:lang w:val="en-GB"/>
        </w:rPr>
        <w:t xml:space="preserve">UT and </w:t>
      </w:r>
      <w:proofErr w:type="spellStart"/>
      <w:r w:rsidR="00661EC9" w:rsidRPr="00F84F07">
        <w:rPr>
          <w:i/>
          <w:color w:val="auto"/>
          <w:lang w:val="en-GB"/>
        </w:rPr>
        <w:t>Hexb</w:t>
      </w:r>
      <w:proofErr w:type="spellEnd"/>
      <w:r w:rsidR="00661EC9" w:rsidRPr="00F84F07">
        <w:rPr>
          <w:i/>
          <w:color w:val="auto"/>
          <w:vertAlign w:val="superscript"/>
          <w:lang w:val="en-GB"/>
        </w:rPr>
        <w:t>-/-</w:t>
      </w:r>
      <w:r w:rsidR="00661EC9" w:rsidRPr="00F84F07">
        <w:rPr>
          <w:color w:val="auto"/>
          <w:lang w:val="en-GB"/>
        </w:rPr>
        <w:t>ADLL</w:t>
      </w:r>
      <w:r w:rsidR="00F55404" w:rsidRPr="00F84F07">
        <w:rPr>
          <w:color w:val="auto"/>
          <w:lang w:val="en-GB"/>
        </w:rPr>
        <w:t>.</w:t>
      </w:r>
      <w:r w:rsidR="00661EC9" w:rsidRPr="00F84F07">
        <w:rPr>
          <w:color w:val="auto"/>
          <w:lang w:val="en-GB"/>
        </w:rPr>
        <w:t xml:space="preserve"> </w:t>
      </w:r>
      <w:r w:rsidRPr="00F84F07">
        <w:rPr>
          <w:color w:val="auto"/>
          <w:lang w:val="en-GB"/>
        </w:rPr>
        <w:t>(</w:t>
      </w:r>
      <w:r w:rsidR="00661EC9" w:rsidRPr="00F84F07">
        <w:rPr>
          <w:b/>
          <w:color w:val="auto"/>
          <w:lang w:val="en-GB"/>
        </w:rPr>
        <w:t>a</w:t>
      </w:r>
      <w:r w:rsidR="00661EC9" w:rsidRPr="00F84F07">
        <w:rPr>
          <w:color w:val="auto"/>
          <w:lang w:val="en-GB"/>
        </w:rPr>
        <w:t>)</w:t>
      </w:r>
      <w:r w:rsidR="00661EC9" w:rsidRPr="00F84F07">
        <w:rPr>
          <w:b/>
          <w:color w:val="auto"/>
          <w:lang w:val="en-GB"/>
        </w:rPr>
        <w:t xml:space="preserve"> </w:t>
      </w:r>
      <w:r w:rsidR="00661EC9" w:rsidRPr="00F84F07">
        <w:rPr>
          <w:color w:val="auto"/>
          <w:lang w:val="en-GB"/>
        </w:rPr>
        <w:t xml:space="preserve">Changes in </w:t>
      </w:r>
      <w:r w:rsidR="00661EC9" w:rsidRPr="00B459E7">
        <w:rPr>
          <w:lang w:val="en-GB"/>
        </w:rPr>
        <w:t>life expectancy (%)</w:t>
      </w:r>
      <w:r w:rsidR="00F55404">
        <w:rPr>
          <w:lang w:val="en-GB"/>
        </w:rPr>
        <w:t>;</w:t>
      </w:r>
      <w:r w:rsidR="00661EC9" w:rsidRPr="00B459E7">
        <w:rPr>
          <w:lang w:val="en-GB"/>
        </w:rPr>
        <w:t xml:space="preserve"> </w:t>
      </w:r>
      <w:r w:rsidR="00661EC9" w:rsidRPr="00F84F07">
        <w:rPr>
          <w:i/>
          <w:lang w:val="en-GB"/>
        </w:rPr>
        <w:t>n</w:t>
      </w:r>
      <w:r w:rsidRPr="00B459E7">
        <w:rPr>
          <w:lang w:val="en-GB"/>
        </w:rPr>
        <w:t xml:space="preserve"> </w:t>
      </w:r>
      <w:r w:rsidR="00661EC9" w:rsidRPr="00B459E7">
        <w:rPr>
          <w:lang w:val="en-GB"/>
        </w:rPr>
        <w:t>=</w:t>
      </w:r>
      <w:r w:rsidRPr="00B459E7">
        <w:rPr>
          <w:lang w:val="en-GB"/>
        </w:rPr>
        <w:t xml:space="preserve"> </w:t>
      </w:r>
      <w:r w:rsidR="00661EC9" w:rsidRPr="00B459E7">
        <w:rPr>
          <w:lang w:val="en-GB"/>
        </w:rPr>
        <w:t xml:space="preserve">6 for </w:t>
      </w:r>
      <w:proofErr w:type="spellStart"/>
      <w:r w:rsidR="00661EC9" w:rsidRPr="00B459E7">
        <w:rPr>
          <w:i/>
          <w:lang w:val="en-GB"/>
        </w:rPr>
        <w:t>Hexb</w:t>
      </w:r>
      <w:proofErr w:type="spellEnd"/>
      <w:r w:rsidR="00661EC9" w:rsidRPr="00B459E7">
        <w:rPr>
          <w:i/>
          <w:vertAlign w:val="superscript"/>
          <w:lang w:val="en-GB"/>
        </w:rPr>
        <w:t>-/-</w:t>
      </w:r>
      <w:r w:rsidR="000C4BA0" w:rsidRPr="000C4BA0">
        <w:rPr>
          <w:i/>
          <w:vertAlign w:val="superscript"/>
          <w:lang w:val="en-GB"/>
        </w:rPr>
        <w:t>-</w:t>
      </w:r>
      <w:r w:rsidR="00661EC9" w:rsidRPr="00B459E7">
        <w:rPr>
          <w:lang w:val="en-GB"/>
        </w:rPr>
        <w:t xml:space="preserve">untreated and ADLL </w:t>
      </w:r>
      <w:r w:rsidR="00661EC9" w:rsidRPr="00B459E7">
        <w:rPr>
          <w:lang w:val="en-GB"/>
        </w:rPr>
        <w:lastRenderedPageBreak/>
        <w:t xml:space="preserve">treated, </w:t>
      </w:r>
      <w:r w:rsidR="00661EC9" w:rsidRPr="00F84F07">
        <w:rPr>
          <w:i/>
          <w:lang w:val="en-GB"/>
        </w:rPr>
        <w:t>n</w:t>
      </w:r>
      <w:r w:rsidRPr="00B459E7">
        <w:rPr>
          <w:lang w:val="en-GB"/>
        </w:rPr>
        <w:t xml:space="preserve"> </w:t>
      </w:r>
      <w:r w:rsidR="00661EC9" w:rsidRPr="00B459E7">
        <w:rPr>
          <w:lang w:val="en-GB"/>
        </w:rPr>
        <w:t>=</w:t>
      </w:r>
      <w:r w:rsidRPr="00B459E7">
        <w:rPr>
          <w:lang w:val="en-GB"/>
        </w:rPr>
        <w:t xml:space="preserve"> </w:t>
      </w:r>
      <w:r w:rsidR="00661EC9" w:rsidRPr="00B459E7">
        <w:rPr>
          <w:lang w:val="en-GB"/>
        </w:rPr>
        <w:t xml:space="preserve">5 for </w:t>
      </w:r>
      <w:proofErr w:type="spellStart"/>
      <w:r w:rsidR="00661EC9" w:rsidRPr="00B459E7">
        <w:rPr>
          <w:i/>
          <w:lang w:val="en-GB"/>
        </w:rPr>
        <w:t>Hexb</w:t>
      </w:r>
      <w:proofErr w:type="spellEnd"/>
      <w:r w:rsidR="00661EC9" w:rsidRPr="00B459E7">
        <w:rPr>
          <w:i/>
          <w:vertAlign w:val="superscript"/>
          <w:lang w:val="en-GB"/>
        </w:rPr>
        <w:t>+/+</w:t>
      </w:r>
      <w:r w:rsidR="00661EC9" w:rsidRPr="00B459E7">
        <w:rPr>
          <w:lang w:val="en-GB"/>
        </w:rPr>
        <w:t>, mean ± SD, *</w:t>
      </w:r>
      <w:r w:rsidRPr="00B459E7">
        <w:rPr>
          <w:lang w:val="en-GB"/>
        </w:rPr>
        <w:t xml:space="preserve"> </w:t>
      </w:r>
      <w:r w:rsidR="00661EC9" w:rsidRPr="00B459E7">
        <w:rPr>
          <w:i/>
          <w:lang w:val="en-GB"/>
        </w:rPr>
        <w:t>p</w:t>
      </w:r>
      <w:r w:rsidRPr="00B459E7">
        <w:rPr>
          <w:i/>
          <w:lang w:val="en-GB"/>
        </w:rPr>
        <w:t xml:space="preserve"> </w:t>
      </w:r>
      <w:r w:rsidR="00661EC9" w:rsidRPr="00B459E7">
        <w:rPr>
          <w:lang w:val="en-GB"/>
        </w:rPr>
        <w:t>=</w:t>
      </w:r>
      <w:r w:rsidRPr="00B459E7">
        <w:rPr>
          <w:lang w:val="en-GB"/>
        </w:rPr>
        <w:t xml:space="preserve"> </w:t>
      </w:r>
      <w:r w:rsidR="00661EC9" w:rsidRPr="00B459E7">
        <w:rPr>
          <w:lang w:val="en-GB"/>
        </w:rPr>
        <w:t>0.0247 (</w:t>
      </w:r>
      <w:r w:rsidR="0004236A">
        <w:rPr>
          <w:lang w:val="en-GB"/>
        </w:rPr>
        <w:t>l</w:t>
      </w:r>
      <w:r w:rsidR="00661EC9" w:rsidRPr="00B459E7">
        <w:rPr>
          <w:lang w:val="en-GB"/>
        </w:rPr>
        <w:t xml:space="preserve">og-rank test). </w:t>
      </w:r>
      <w:r w:rsidRPr="00B459E7">
        <w:rPr>
          <w:lang w:val="en-GB"/>
        </w:rPr>
        <w:t>(</w:t>
      </w:r>
      <w:r w:rsidR="00661EC9" w:rsidRPr="00B459E7">
        <w:rPr>
          <w:b/>
          <w:lang w:val="en-GB"/>
        </w:rPr>
        <w:t>b</w:t>
      </w:r>
      <w:r w:rsidR="00661EC9" w:rsidRPr="00B459E7">
        <w:rPr>
          <w:lang w:val="en-GB"/>
        </w:rPr>
        <w:t xml:space="preserve">) Bar crossing score, </w:t>
      </w:r>
      <w:r w:rsidR="00661EC9" w:rsidRPr="00F84F07">
        <w:rPr>
          <w:i/>
          <w:lang w:val="en-GB"/>
        </w:rPr>
        <w:t>n</w:t>
      </w:r>
      <w:r w:rsidRPr="00B459E7">
        <w:rPr>
          <w:lang w:val="en-GB"/>
        </w:rPr>
        <w:t xml:space="preserve"> </w:t>
      </w:r>
      <w:r w:rsidR="00661EC9" w:rsidRPr="00B459E7">
        <w:rPr>
          <w:lang w:val="en-GB"/>
        </w:rPr>
        <w:t>=</w:t>
      </w:r>
      <w:r w:rsidRPr="00B459E7">
        <w:rPr>
          <w:lang w:val="en-GB"/>
        </w:rPr>
        <w:t xml:space="preserve"> </w:t>
      </w:r>
      <w:r w:rsidR="00661EC9" w:rsidRPr="00B459E7">
        <w:rPr>
          <w:lang w:val="en-GB"/>
        </w:rPr>
        <w:t xml:space="preserve">6, </w:t>
      </w:r>
      <w:r w:rsidR="00BF3431">
        <w:rPr>
          <w:lang w:val="en-GB"/>
        </w:rPr>
        <w:t>m</w:t>
      </w:r>
      <w:r w:rsidR="00661EC9" w:rsidRPr="00B459E7">
        <w:rPr>
          <w:lang w:val="en-GB"/>
        </w:rPr>
        <w:t>ean ± SD, *</w:t>
      </w:r>
      <w:r w:rsidRPr="00B459E7">
        <w:rPr>
          <w:lang w:val="en-GB"/>
        </w:rPr>
        <w:t xml:space="preserve"> </w:t>
      </w:r>
      <w:r w:rsidR="00661EC9" w:rsidRPr="00B459E7">
        <w:rPr>
          <w:i/>
          <w:lang w:val="en-GB"/>
        </w:rPr>
        <w:t>p</w:t>
      </w:r>
      <w:r w:rsidRPr="00B459E7">
        <w:rPr>
          <w:i/>
          <w:lang w:val="en-GB"/>
        </w:rPr>
        <w:t xml:space="preserve"> </w:t>
      </w:r>
      <w:r w:rsidR="00661EC9" w:rsidRPr="00B459E7">
        <w:rPr>
          <w:lang w:val="en-GB"/>
        </w:rPr>
        <w:t>=</w:t>
      </w:r>
      <w:r w:rsidRPr="00B459E7">
        <w:rPr>
          <w:lang w:val="en-GB"/>
        </w:rPr>
        <w:t xml:space="preserve"> </w:t>
      </w:r>
      <w:r w:rsidR="00661EC9" w:rsidRPr="00B459E7">
        <w:rPr>
          <w:lang w:val="en-GB"/>
        </w:rPr>
        <w:t>0.0343, **</w:t>
      </w:r>
      <w:r w:rsidRPr="00B459E7">
        <w:rPr>
          <w:lang w:val="en-GB"/>
        </w:rPr>
        <w:t xml:space="preserve"> </w:t>
      </w:r>
      <w:r w:rsidR="00661EC9" w:rsidRPr="00B459E7">
        <w:rPr>
          <w:i/>
          <w:lang w:val="en-GB"/>
        </w:rPr>
        <w:t>p</w:t>
      </w:r>
      <w:r w:rsidRPr="00B459E7">
        <w:rPr>
          <w:i/>
          <w:lang w:val="en-GB"/>
        </w:rPr>
        <w:t xml:space="preserve"> </w:t>
      </w:r>
      <w:r w:rsidR="00661EC9" w:rsidRPr="00B459E7">
        <w:rPr>
          <w:lang w:val="en-GB"/>
        </w:rPr>
        <w:t>=</w:t>
      </w:r>
      <w:r w:rsidRPr="00B459E7">
        <w:rPr>
          <w:lang w:val="en-GB"/>
        </w:rPr>
        <w:t xml:space="preserve"> </w:t>
      </w:r>
      <w:r w:rsidR="00661EC9" w:rsidRPr="00B459E7">
        <w:rPr>
          <w:lang w:val="en-GB"/>
        </w:rPr>
        <w:t xml:space="preserve">0.0058 </w:t>
      </w:r>
      <w:r w:rsidR="00B830CA">
        <w:rPr>
          <w:lang w:val="en-GB"/>
        </w:rPr>
        <w:t>(</w:t>
      </w:r>
      <w:r w:rsidR="00333B3C">
        <w:rPr>
          <w:lang w:val="en-GB"/>
        </w:rPr>
        <w:t>two-way</w:t>
      </w:r>
      <w:r w:rsidR="00661EC9" w:rsidRPr="00B459E7">
        <w:rPr>
          <w:lang w:val="en-GB"/>
        </w:rPr>
        <w:t xml:space="preserve"> ANOVA</w:t>
      </w:r>
      <w:r w:rsidR="00B830CA">
        <w:rPr>
          <w:lang w:val="en-GB"/>
        </w:rPr>
        <w:t>)</w:t>
      </w:r>
      <w:r w:rsidR="000E7253">
        <w:rPr>
          <w:lang w:val="en-GB"/>
        </w:rPr>
        <w:t>.</w:t>
      </w:r>
      <w:r w:rsidR="00661EC9" w:rsidRPr="00B459E7">
        <w:rPr>
          <w:lang w:val="en-GB"/>
        </w:rPr>
        <w:t xml:space="preserve"> </w:t>
      </w:r>
      <w:r w:rsidRPr="00B459E7">
        <w:rPr>
          <w:lang w:val="en-GB"/>
        </w:rPr>
        <w:t>(</w:t>
      </w:r>
      <w:r w:rsidR="00661EC9" w:rsidRPr="00B459E7">
        <w:rPr>
          <w:b/>
          <w:lang w:val="en-GB"/>
        </w:rPr>
        <w:t>c</w:t>
      </w:r>
      <w:r w:rsidR="00661EC9" w:rsidRPr="00B459E7">
        <w:rPr>
          <w:lang w:val="en-GB"/>
        </w:rPr>
        <w:t>) GSL measurements of forebrain (brain) at 86 days of age. Mean ± SD, ****</w:t>
      </w:r>
      <w:r w:rsidRPr="00B459E7">
        <w:rPr>
          <w:lang w:val="en-GB"/>
        </w:rPr>
        <w:t xml:space="preserve"> </w:t>
      </w:r>
      <w:r w:rsidR="00661EC9" w:rsidRPr="00B459E7">
        <w:rPr>
          <w:i/>
          <w:lang w:val="en-GB"/>
        </w:rPr>
        <w:t>p</w:t>
      </w:r>
      <w:r w:rsidRPr="00B459E7">
        <w:rPr>
          <w:i/>
          <w:lang w:val="en-GB"/>
        </w:rPr>
        <w:t xml:space="preserve"> </w:t>
      </w:r>
      <w:r w:rsidR="00661EC9" w:rsidRPr="00B459E7">
        <w:rPr>
          <w:lang w:val="en-GB"/>
        </w:rPr>
        <w:t>&lt;</w:t>
      </w:r>
      <w:r w:rsidRPr="00B459E7">
        <w:rPr>
          <w:lang w:val="en-GB"/>
        </w:rPr>
        <w:t xml:space="preserve"> </w:t>
      </w:r>
      <w:r w:rsidR="00661EC9" w:rsidRPr="00B459E7">
        <w:rPr>
          <w:lang w:val="en-GB"/>
        </w:rPr>
        <w:t>0.0001,</w:t>
      </w:r>
      <w:r w:rsidR="00F96187">
        <w:rPr>
          <w:lang w:val="en-GB"/>
        </w:rPr>
        <w:t xml:space="preserve"> </w:t>
      </w:r>
      <w:r w:rsidR="00B830CA">
        <w:rPr>
          <w:lang w:val="en-GB"/>
        </w:rPr>
        <w:t>(</w:t>
      </w:r>
      <w:r w:rsidR="00333B3C">
        <w:rPr>
          <w:lang w:val="en-GB"/>
        </w:rPr>
        <w:t>two-way</w:t>
      </w:r>
      <w:r w:rsidR="00661EC9" w:rsidRPr="00B459E7">
        <w:rPr>
          <w:lang w:val="en-GB"/>
        </w:rPr>
        <w:t xml:space="preserve"> ANOVA</w:t>
      </w:r>
      <w:r w:rsidR="00B830CA">
        <w:rPr>
          <w:lang w:val="en-GB"/>
        </w:rPr>
        <w:t>)</w:t>
      </w:r>
      <w:r w:rsidR="00661EC9" w:rsidRPr="00B459E7">
        <w:rPr>
          <w:lang w:val="en-GB"/>
        </w:rPr>
        <w:t xml:space="preserve">. </w:t>
      </w:r>
      <w:r w:rsidRPr="00B459E7">
        <w:rPr>
          <w:lang w:val="en-GB"/>
        </w:rPr>
        <w:t>(</w:t>
      </w:r>
      <w:r w:rsidR="00661EC9" w:rsidRPr="00B459E7">
        <w:rPr>
          <w:b/>
          <w:lang w:val="en-GB"/>
        </w:rPr>
        <w:t>d</w:t>
      </w:r>
      <w:r w:rsidR="00661EC9" w:rsidRPr="00B459E7">
        <w:rPr>
          <w:lang w:val="en-GB"/>
        </w:rPr>
        <w:t>) GSL measurements of cerebellum at 86 days of age. Mean ± SD, ***</w:t>
      </w:r>
      <w:r w:rsidRPr="00B459E7">
        <w:rPr>
          <w:lang w:val="en-GB"/>
        </w:rPr>
        <w:t xml:space="preserve"> </w:t>
      </w:r>
      <w:r w:rsidR="00661EC9" w:rsidRPr="00B459E7">
        <w:rPr>
          <w:i/>
          <w:lang w:val="en-GB"/>
        </w:rPr>
        <w:t>p</w:t>
      </w:r>
      <w:r w:rsidRPr="00B459E7">
        <w:rPr>
          <w:i/>
          <w:lang w:val="en-GB"/>
        </w:rPr>
        <w:t xml:space="preserve"> </w:t>
      </w:r>
      <w:r w:rsidR="00661EC9" w:rsidRPr="00B459E7">
        <w:rPr>
          <w:lang w:val="en-GB"/>
        </w:rPr>
        <w:t>=</w:t>
      </w:r>
      <w:r w:rsidRPr="00B459E7">
        <w:rPr>
          <w:lang w:val="en-GB"/>
        </w:rPr>
        <w:t xml:space="preserve"> </w:t>
      </w:r>
      <w:r w:rsidR="00661EC9" w:rsidRPr="00B459E7">
        <w:rPr>
          <w:lang w:val="en-GB"/>
        </w:rPr>
        <w:t>0.0002, ****</w:t>
      </w:r>
      <w:r w:rsidR="00661EC9" w:rsidRPr="00B459E7">
        <w:rPr>
          <w:i/>
          <w:lang w:val="en-GB"/>
        </w:rPr>
        <w:t>p</w:t>
      </w:r>
      <w:r w:rsidRPr="00B459E7">
        <w:rPr>
          <w:i/>
          <w:lang w:val="en-GB"/>
        </w:rPr>
        <w:t xml:space="preserve"> </w:t>
      </w:r>
      <w:r w:rsidR="00661EC9" w:rsidRPr="00B459E7">
        <w:rPr>
          <w:lang w:val="en-GB"/>
        </w:rPr>
        <w:t>&lt;</w:t>
      </w:r>
      <w:r w:rsidRPr="00B459E7">
        <w:rPr>
          <w:lang w:val="en-GB"/>
        </w:rPr>
        <w:t xml:space="preserve"> </w:t>
      </w:r>
      <w:r w:rsidR="00661EC9" w:rsidRPr="00B459E7">
        <w:rPr>
          <w:lang w:val="en-GB"/>
        </w:rPr>
        <w:t xml:space="preserve">0.0001, </w:t>
      </w:r>
      <w:r w:rsidR="00BC3F9E">
        <w:rPr>
          <w:lang w:val="en-GB"/>
        </w:rPr>
        <w:t>(</w:t>
      </w:r>
      <w:r w:rsidR="00333B3C">
        <w:rPr>
          <w:lang w:val="en-GB"/>
        </w:rPr>
        <w:t>two-way</w:t>
      </w:r>
      <w:r w:rsidR="00661EC9" w:rsidRPr="00B459E7">
        <w:rPr>
          <w:lang w:val="en-GB"/>
        </w:rPr>
        <w:t xml:space="preserve"> ANOVA</w:t>
      </w:r>
      <w:r w:rsidR="00BC3F9E">
        <w:rPr>
          <w:lang w:val="en-GB"/>
        </w:rPr>
        <w:t>)</w:t>
      </w:r>
      <w:r w:rsidR="00661EC9" w:rsidRPr="00B459E7">
        <w:rPr>
          <w:lang w:val="en-GB"/>
        </w:rPr>
        <w:t xml:space="preserve">. </w:t>
      </w:r>
      <w:r w:rsidRPr="00B459E7">
        <w:rPr>
          <w:lang w:val="en-GB"/>
        </w:rPr>
        <w:t>(</w:t>
      </w:r>
      <w:r w:rsidR="00661EC9" w:rsidRPr="00B459E7">
        <w:rPr>
          <w:b/>
          <w:lang w:val="en-GB"/>
        </w:rPr>
        <w:t>e</w:t>
      </w:r>
      <w:r w:rsidR="00661EC9" w:rsidRPr="00B459E7">
        <w:rPr>
          <w:lang w:val="en-GB"/>
        </w:rPr>
        <w:t>)</w:t>
      </w:r>
      <w:r w:rsidR="0009299B">
        <w:rPr>
          <w:lang w:val="en-GB"/>
        </w:rPr>
        <w:t xml:space="preserve"> Liver </w:t>
      </w:r>
      <w:r w:rsidR="00661EC9" w:rsidRPr="00B459E7">
        <w:rPr>
          <w:lang w:val="en-GB"/>
        </w:rPr>
        <w:t>GSL</w:t>
      </w:r>
      <w:r w:rsidR="0009299B">
        <w:rPr>
          <w:lang w:val="en-GB"/>
        </w:rPr>
        <w:t>s</w:t>
      </w:r>
      <w:r w:rsidR="00DF09A7">
        <w:rPr>
          <w:lang w:val="en-GB"/>
        </w:rPr>
        <w:t xml:space="preserve"> </w:t>
      </w:r>
      <w:r w:rsidR="00661EC9" w:rsidRPr="00B459E7">
        <w:rPr>
          <w:lang w:val="en-GB"/>
        </w:rPr>
        <w:t>at 86 days of age. Mean ± SD, *</w:t>
      </w:r>
      <w:r w:rsidRPr="00B459E7">
        <w:rPr>
          <w:lang w:val="en-GB"/>
        </w:rPr>
        <w:t xml:space="preserve"> </w:t>
      </w:r>
      <w:r w:rsidR="00661EC9" w:rsidRPr="00B459E7">
        <w:rPr>
          <w:i/>
          <w:lang w:val="en-GB"/>
        </w:rPr>
        <w:t>p</w:t>
      </w:r>
      <w:r w:rsidRPr="00B459E7">
        <w:rPr>
          <w:i/>
          <w:lang w:val="en-GB"/>
        </w:rPr>
        <w:t xml:space="preserve"> </w:t>
      </w:r>
      <w:r w:rsidR="00661EC9" w:rsidRPr="00B459E7">
        <w:rPr>
          <w:lang w:val="en-GB"/>
        </w:rPr>
        <w:t>&lt; 0.0124, **</w:t>
      </w:r>
      <w:r w:rsidRPr="00B459E7">
        <w:rPr>
          <w:lang w:val="en-GB"/>
        </w:rPr>
        <w:t xml:space="preserve"> </w:t>
      </w:r>
      <w:r w:rsidR="00661EC9" w:rsidRPr="00B459E7">
        <w:rPr>
          <w:i/>
          <w:lang w:val="en-GB"/>
        </w:rPr>
        <w:t>p</w:t>
      </w:r>
      <w:r w:rsidRPr="00B459E7">
        <w:rPr>
          <w:i/>
          <w:lang w:val="en-GB"/>
        </w:rPr>
        <w:t xml:space="preserve"> </w:t>
      </w:r>
      <w:r w:rsidR="00661EC9" w:rsidRPr="00B459E7">
        <w:rPr>
          <w:lang w:val="en-GB"/>
        </w:rPr>
        <w:t>=</w:t>
      </w:r>
      <w:r w:rsidRPr="00B459E7">
        <w:rPr>
          <w:lang w:val="en-GB"/>
        </w:rPr>
        <w:t xml:space="preserve"> </w:t>
      </w:r>
      <w:r w:rsidR="00661EC9" w:rsidRPr="00B459E7">
        <w:rPr>
          <w:lang w:val="en-GB"/>
        </w:rPr>
        <w:t>0.0012, ****</w:t>
      </w:r>
      <w:r w:rsidRPr="00B459E7">
        <w:rPr>
          <w:lang w:val="en-GB"/>
        </w:rPr>
        <w:t xml:space="preserve"> </w:t>
      </w:r>
      <w:r w:rsidR="00661EC9" w:rsidRPr="00B459E7">
        <w:rPr>
          <w:i/>
          <w:lang w:val="en-GB"/>
        </w:rPr>
        <w:t>p</w:t>
      </w:r>
      <w:r w:rsidRPr="00B459E7">
        <w:rPr>
          <w:i/>
          <w:lang w:val="en-GB"/>
        </w:rPr>
        <w:t xml:space="preserve"> </w:t>
      </w:r>
      <w:r w:rsidR="00661EC9" w:rsidRPr="00B459E7">
        <w:rPr>
          <w:lang w:val="en-GB"/>
        </w:rPr>
        <w:t>&lt;</w:t>
      </w:r>
      <w:r w:rsidRPr="00B459E7">
        <w:rPr>
          <w:lang w:val="en-GB"/>
        </w:rPr>
        <w:t xml:space="preserve"> </w:t>
      </w:r>
      <w:r w:rsidR="00661EC9" w:rsidRPr="00B459E7">
        <w:rPr>
          <w:lang w:val="en-GB"/>
        </w:rPr>
        <w:t xml:space="preserve">0.0001, </w:t>
      </w:r>
      <w:r w:rsidR="00B830CA">
        <w:rPr>
          <w:lang w:val="en-GB"/>
        </w:rPr>
        <w:t>(</w:t>
      </w:r>
      <w:r w:rsidR="00333B3C">
        <w:rPr>
          <w:lang w:val="en-GB"/>
        </w:rPr>
        <w:t>two-way</w:t>
      </w:r>
      <w:r w:rsidR="00661EC9" w:rsidRPr="00B459E7">
        <w:rPr>
          <w:lang w:val="en-GB"/>
        </w:rPr>
        <w:t xml:space="preserve"> ANOVA</w:t>
      </w:r>
      <w:r w:rsidR="00B830CA">
        <w:rPr>
          <w:lang w:val="en-GB"/>
        </w:rPr>
        <w:t>)</w:t>
      </w:r>
      <w:r w:rsidR="00661EC9" w:rsidRPr="00B459E7">
        <w:rPr>
          <w:lang w:val="en-GB"/>
        </w:rPr>
        <w:t>.</w:t>
      </w:r>
    </w:p>
    <w:p w14:paraId="10914F5A" w14:textId="51A80E5A" w:rsidR="00795204" w:rsidRPr="00B459E7" w:rsidRDefault="006F162A" w:rsidP="00C60BEE">
      <w:pPr>
        <w:pStyle w:val="MDPI22heading2"/>
        <w:rPr>
          <w:lang w:val="en-GB"/>
        </w:rPr>
      </w:pPr>
      <w:r w:rsidRPr="00B459E7">
        <w:rPr>
          <w:lang w:val="en-GB"/>
        </w:rPr>
        <w:t xml:space="preserve">3.2. </w:t>
      </w:r>
      <w:r w:rsidR="00795204" w:rsidRPr="00B459E7">
        <w:rPr>
          <w:lang w:val="en-GB"/>
        </w:rPr>
        <w:t xml:space="preserve">ADLL </w:t>
      </w:r>
      <w:r w:rsidR="00C5547C" w:rsidRPr="00B459E7">
        <w:rPr>
          <w:lang w:val="en-GB"/>
        </w:rPr>
        <w:t xml:space="preserve">Increases Autophagy </w:t>
      </w:r>
      <w:r w:rsidR="00795204" w:rsidRPr="00B459E7">
        <w:rPr>
          <w:lang w:val="en-GB"/>
        </w:rPr>
        <w:t>in Hexb</w:t>
      </w:r>
      <w:r w:rsidR="00795204" w:rsidRPr="00B459E7">
        <w:rPr>
          <w:vertAlign w:val="superscript"/>
          <w:lang w:val="en-GB"/>
        </w:rPr>
        <w:t xml:space="preserve">-/- </w:t>
      </w:r>
      <w:r w:rsidR="00C5547C" w:rsidRPr="00B459E7">
        <w:rPr>
          <w:lang w:val="en-GB"/>
        </w:rPr>
        <w:t>Mice Cerebellum</w:t>
      </w:r>
      <w:bookmarkEnd w:id="11"/>
    </w:p>
    <w:p w14:paraId="2C68FB80" w14:textId="58395036" w:rsidR="00C60BEE" w:rsidRPr="00B459E7" w:rsidRDefault="008D69E4" w:rsidP="00980FA3">
      <w:pPr>
        <w:widowControl w:val="0"/>
        <w:adjustRightInd w:val="0"/>
        <w:snapToGrid w:val="0"/>
        <w:spacing w:after="160" w:line="240" w:lineRule="auto"/>
        <w:ind w:firstLine="420"/>
        <w:rPr>
          <w:rFonts w:ascii="Palatino Linotype" w:hAnsi="Palatino Linotype"/>
          <w:sz w:val="20"/>
          <w:lang w:val="en-GB"/>
        </w:rPr>
      </w:pPr>
      <w:r w:rsidRPr="00B459E7">
        <w:rPr>
          <w:rFonts w:ascii="Palatino Linotype" w:hAnsi="Palatino Linotype"/>
          <w:sz w:val="20"/>
          <w:lang w:val="en-GB"/>
        </w:rPr>
        <w:t xml:space="preserve">We conducted </w:t>
      </w:r>
      <w:r w:rsidR="00914E04" w:rsidRPr="00B459E7">
        <w:rPr>
          <w:rFonts w:ascii="Palatino Linotype" w:hAnsi="Palatino Linotype"/>
          <w:sz w:val="20"/>
          <w:lang w:val="en-GB"/>
        </w:rPr>
        <w:t xml:space="preserve">a </w:t>
      </w:r>
      <w:r w:rsidRPr="00B459E7">
        <w:rPr>
          <w:rFonts w:ascii="Palatino Linotype" w:hAnsi="Palatino Linotype"/>
          <w:sz w:val="20"/>
          <w:lang w:val="en-GB"/>
        </w:rPr>
        <w:t xml:space="preserve">series of experiments to explore the mechanism of </w:t>
      </w:r>
      <w:r w:rsidR="00914E04" w:rsidRPr="00B459E7">
        <w:rPr>
          <w:rFonts w:ascii="Palatino Linotype" w:hAnsi="Palatino Linotype"/>
          <w:sz w:val="20"/>
          <w:lang w:val="en-GB"/>
        </w:rPr>
        <w:t xml:space="preserve">action of </w:t>
      </w:r>
      <w:r w:rsidRPr="00B459E7">
        <w:rPr>
          <w:rFonts w:ascii="Palatino Linotype" w:hAnsi="Palatino Linotype"/>
          <w:sz w:val="20"/>
          <w:lang w:val="en-GB"/>
        </w:rPr>
        <w:t xml:space="preserve">ADLL in </w:t>
      </w:r>
      <w:r w:rsidR="00914E04" w:rsidRPr="00B459E7">
        <w:rPr>
          <w:rFonts w:ascii="Palatino Linotype" w:hAnsi="Palatino Linotype"/>
          <w:sz w:val="20"/>
          <w:lang w:val="en-GB"/>
        </w:rPr>
        <w:t xml:space="preserve">the </w:t>
      </w:r>
      <w:r w:rsidRPr="00B459E7">
        <w:rPr>
          <w:rFonts w:ascii="Palatino Linotype" w:hAnsi="Palatino Linotype"/>
          <w:sz w:val="20"/>
          <w:lang w:val="en-GB"/>
        </w:rPr>
        <w:t>CNS. Given that lipid reduction</w:t>
      </w:r>
      <w:r w:rsidR="00914E04" w:rsidRPr="00B459E7">
        <w:rPr>
          <w:rFonts w:ascii="Palatino Linotype" w:hAnsi="Palatino Linotype"/>
          <w:sz w:val="20"/>
          <w:lang w:val="en-GB"/>
        </w:rPr>
        <w:t>s</w:t>
      </w:r>
      <w:r w:rsidRPr="00B459E7">
        <w:rPr>
          <w:rFonts w:ascii="Palatino Linotype" w:hAnsi="Palatino Linotype"/>
          <w:sz w:val="20"/>
          <w:lang w:val="en-GB"/>
        </w:rPr>
        <w:t xml:space="preserve"> in the brain and the cerebellum </w:t>
      </w:r>
      <w:r w:rsidR="00914E04" w:rsidRPr="00B459E7">
        <w:rPr>
          <w:rFonts w:ascii="Palatino Linotype" w:hAnsi="Palatino Linotype"/>
          <w:sz w:val="20"/>
          <w:lang w:val="en-GB"/>
        </w:rPr>
        <w:t xml:space="preserve">showed </w:t>
      </w:r>
      <w:r w:rsidRPr="00B459E7">
        <w:rPr>
          <w:rFonts w:ascii="Palatino Linotype" w:hAnsi="Palatino Linotype"/>
          <w:sz w:val="20"/>
          <w:lang w:val="en-GB"/>
        </w:rPr>
        <w:t>similar trends</w:t>
      </w:r>
      <w:r w:rsidR="005F32EF" w:rsidRPr="00B459E7">
        <w:rPr>
          <w:rFonts w:ascii="Palatino Linotype" w:hAnsi="Palatino Linotype"/>
          <w:sz w:val="20"/>
          <w:lang w:val="en-GB"/>
        </w:rPr>
        <w:t xml:space="preserve"> (significant GA2 reduction)</w:t>
      </w:r>
      <w:r w:rsidR="00914E04" w:rsidRPr="00B459E7">
        <w:rPr>
          <w:rFonts w:ascii="Palatino Linotype" w:hAnsi="Palatino Linotype"/>
          <w:sz w:val="20"/>
          <w:lang w:val="en-GB"/>
        </w:rPr>
        <w:t xml:space="preserve"> in response to ADLL</w:t>
      </w:r>
      <w:r w:rsidRPr="00B459E7">
        <w:rPr>
          <w:rFonts w:ascii="Palatino Linotype" w:hAnsi="Palatino Linotype"/>
          <w:sz w:val="20"/>
          <w:lang w:val="en-GB"/>
        </w:rPr>
        <w:t xml:space="preserve">, we </w:t>
      </w:r>
      <w:r w:rsidR="00914E04" w:rsidRPr="00B459E7">
        <w:rPr>
          <w:rFonts w:ascii="Palatino Linotype" w:hAnsi="Palatino Linotype"/>
          <w:sz w:val="20"/>
          <w:lang w:val="en-GB"/>
        </w:rPr>
        <w:t xml:space="preserve">focused on the </w:t>
      </w:r>
      <w:r w:rsidRPr="00B459E7">
        <w:rPr>
          <w:rFonts w:ascii="Palatino Linotype" w:hAnsi="Palatino Linotype"/>
          <w:sz w:val="20"/>
          <w:lang w:val="en-GB"/>
        </w:rPr>
        <w:t>cerebellum</w:t>
      </w:r>
      <w:r w:rsidR="008D0F78">
        <w:rPr>
          <w:rFonts w:ascii="Palatino Linotype" w:hAnsi="Palatino Linotype"/>
          <w:sz w:val="20"/>
          <w:lang w:val="en-GB"/>
        </w:rPr>
        <w:t>,</w:t>
      </w:r>
      <w:r w:rsidR="00914E04" w:rsidRPr="00B459E7">
        <w:rPr>
          <w:rFonts w:ascii="Palatino Linotype" w:hAnsi="Palatino Linotype"/>
          <w:sz w:val="20"/>
          <w:lang w:val="en-GB"/>
        </w:rPr>
        <w:t xml:space="preserve"> as it is important for motor function</w:t>
      </w:r>
      <w:r w:rsidR="00BD080F" w:rsidRPr="00B459E7">
        <w:rPr>
          <w:rFonts w:ascii="Palatino Linotype" w:hAnsi="Palatino Linotype"/>
          <w:sz w:val="20"/>
          <w:lang w:val="en-GB"/>
        </w:rPr>
        <w:t xml:space="preserve">, which is impaired in </w:t>
      </w:r>
      <w:proofErr w:type="spellStart"/>
      <w:r w:rsidR="00BD080F" w:rsidRPr="00B459E7">
        <w:rPr>
          <w:rFonts w:ascii="Palatino Linotype" w:hAnsi="Palatino Linotype"/>
          <w:sz w:val="20"/>
          <w:lang w:val="en-GB"/>
        </w:rPr>
        <w:t>Sandhoff</w:t>
      </w:r>
      <w:proofErr w:type="spellEnd"/>
      <w:r w:rsidR="00BD080F" w:rsidRPr="00B459E7">
        <w:rPr>
          <w:rFonts w:ascii="Palatino Linotype" w:hAnsi="Palatino Linotype"/>
          <w:sz w:val="20"/>
          <w:lang w:val="en-GB"/>
        </w:rPr>
        <w:t xml:space="preserve"> disease mice</w:t>
      </w:r>
      <w:r w:rsidRPr="00B459E7">
        <w:rPr>
          <w:rFonts w:ascii="Palatino Linotype" w:hAnsi="Palatino Linotype"/>
          <w:sz w:val="20"/>
          <w:lang w:val="en-GB"/>
        </w:rPr>
        <w:t xml:space="preserve">. </w:t>
      </w:r>
      <w:r w:rsidR="00795204" w:rsidRPr="00B459E7">
        <w:rPr>
          <w:rFonts w:ascii="Palatino Linotype" w:hAnsi="Palatino Linotype"/>
          <w:sz w:val="20"/>
          <w:lang w:val="en-GB"/>
        </w:rPr>
        <w:t xml:space="preserve">To better understand how ADLL might mediate these </w:t>
      </w:r>
      <w:r w:rsidR="0016471F" w:rsidRPr="00B459E7">
        <w:rPr>
          <w:rFonts w:ascii="Palatino Linotype" w:hAnsi="Palatino Linotype"/>
          <w:sz w:val="20"/>
          <w:lang w:val="en-GB"/>
        </w:rPr>
        <w:t>disease-modifying</w:t>
      </w:r>
      <w:r w:rsidR="00795204" w:rsidRPr="00B459E7">
        <w:rPr>
          <w:rFonts w:ascii="Palatino Linotype" w:hAnsi="Palatino Linotype"/>
          <w:sz w:val="20"/>
          <w:lang w:val="en-GB"/>
        </w:rPr>
        <w:t xml:space="preserve"> effects in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vertAlign w:val="superscript"/>
          <w:lang w:val="en-GB"/>
        </w:rPr>
        <w:t xml:space="preserve"> </w:t>
      </w:r>
      <w:r w:rsidR="00795204" w:rsidRPr="00B459E7">
        <w:rPr>
          <w:rFonts w:ascii="Palatino Linotype" w:hAnsi="Palatino Linotype"/>
          <w:sz w:val="20"/>
          <w:lang w:val="en-GB"/>
        </w:rPr>
        <w:t>mice, we first explored nutrient sensing and a</w:t>
      </w:r>
      <w:r w:rsidRPr="00B459E7">
        <w:rPr>
          <w:rFonts w:ascii="Palatino Linotype" w:hAnsi="Palatino Linotype"/>
          <w:sz w:val="20"/>
          <w:lang w:val="en-GB"/>
        </w:rPr>
        <w:t xml:space="preserve">utophagy. </w:t>
      </w:r>
      <w:r w:rsidR="00FC3AE9" w:rsidRPr="00B459E7">
        <w:rPr>
          <w:rFonts w:ascii="Palatino Linotype" w:hAnsi="Palatino Linotype"/>
          <w:sz w:val="20"/>
          <w:lang w:val="en-GB"/>
        </w:rPr>
        <w:t>The mechanistic target of rapamycin (mTOR) is a mast</w:t>
      </w:r>
      <w:r w:rsidR="00413E93" w:rsidRPr="00B459E7">
        <w:rPr>
          <w:rFonts w:ascii="Palatino Linotype" w:hAnsi="Palatino Linotype"/>
          <w:sz w:val="20"/>
          <w:lang w:val="en-GB"/>
        </w:rPr>
        <w:t xml:space="preserve">er regulator of </w:t>
      </w:r>
      <w:r w:rsidR="00FC3AE9" w:rsidRPr="00B459E7">
        <w:rPr>
          <w:rFonts w:ascii="Palatino Linotype" w:hAnsi="Palatino Linotype"/>
          <w:sz w:val="20"/>
          <w:lang w:val="en-GB"/>
        </w:rPr>
        <w:t xml:space="preserve">anabolic metabolism </w:t>
      </w:r>
      <w:r w:rsidR="00413E93" w:rsidRPr="00B459E7">
        <w:rPr>
          <w:rFonts w:ascii="Palatino Linotype" w:hAnsi="Palatino Linotype"/>
          <w:sz w:val="20"/>
          <w:lang w:val="en-GB"/>
        </w:rPr>
        <w:t>and it suppresses</w:t>
      </w:r>
      <w:r w:rsidR="00FC3AE9" w:rsidRPr="00B459E7">
        <w:rPr>
          <w:rFonts w:ascii="Palatino Linotype" w:hAnsi="Palatino Linotype"/>
          <w:sz w:val="20"/>
          <w:lang w:val="en-GB"/>
        </w:rPr>
        <w:t xml:space="preserve"> catabolic pathways such as autophagy</w:t>
      </w:r>
      <w:r w:rsidR="00413E93" w:rsidRPr="00B459E7">
        <w:rPr>
          <w:rFonts w:ascii="Palatino Linotype" w:hAnsi="Palatino Linotype"/>
          <w:sz w:val="20"/>
          <w:lang w:val="en-GB"/>
        </w:rPr>
        <w:t xml:space="preserve"> </w:t>
      </w:r>
      <w:r w:rsidR="0086309B" w:rsidRPr="00B459E7">
        <w:rPr>
          <w:rFonts w:ascii="Palatino Linotype" w:hAnsi="Palatino Linotype"/>
          <w:noProof/>
          <w:sz w:val="20"/>
          <w:lang w:val="en-GB"/>
        </w:rPr>
        <w:t>[23]</w:t>
      </w:r>
      <w:r w:rsidR="00FC3AE9" w:rsidRPr="00B459E7">
        <w:rPr>
          <w:rFonts w:ascii="Palatino Linotype" w:hAnsi="Palatino Linotype"/>
          <w:sz w:val="20"/>
          <w:lang w:val="en-GB"/>
        </w:rPr>
        <w:t xml:space="preserve">. </w:t>
      </w:r>
      <w:r w:rsidRPr="00B459E7">
        <w:rPr>
          <w:rFonts w:ascii="Palatino Linotype" w:hAnsi="Palatino Linotype"/>
          <w:sz w:val="20"/>
          <w:lang w:val="en-GB"/>
        </w:rPr>
        <w:t>Leucine increases</w:t>
      </w:r>
      <w:r w:rsidR="00795204" w:rsidRPr="00B459E7">
        <w:rPr>
          <w:rFonts w:ascii="Palatino Linotype" w:hAnsi="Palatino Linotype"/>
          <w:sz w:val="20"/>
          <w:lang w:val="en-GB"/>
        </w:rPr>
        <w:t xml:space="preserve"> phosphorylation </w:t>
      </w:r>
      <w:r w:rsidRPr="00B459E7">
        <w:rPr>
          <w:rFonts w:ascii="Palatino Linotype" w:hAnsi="Palatino Linotype"/>
          <w:sz w:val="20"/>
          <w:lang w:val="en-GB"/>
        </w:rPr>
        <w:t xml:space="preserve">of mTOR </w:t>
      </w:r>
      <w:r w:rsidR="00795204" w:rsidRPr="00B459E7">
        <w:rPr>
          <w:rFonts w:ascii="Palatino Linotype" w:hAnsi="Palatino Linotype"/>
          <w:sz w:val="20"/>
          <w:lang w:val="en-GB"/>
        </w:rPr>
        <w:t xml:space="preserve">and subsequent activation, as recently reported in NPC fibroblasts </w:t>
      </w:r>
      <w:r w:rsidR="0086309B" w:rsidRPr="00B459E7">
        <w:rPr>
          <w:rFonts w:ascii="Palatino Linotype" w:hAnsi="Palatino Linotype"/>
          <w:noProof/>
          <w:sz w:val="20"/>
          <w:lang w:val="en-GB"/>
        </w:rPr>
        <w:t>[24]</w:t>
      </w:r>
      <w:r w:rsidR="00795204" w:rsidRPr="00B459E7">
        <w:rPr>
          <w:rFonts w:ascii="Palatino Linotype" w:hAnsi="Palatino Linotype"/>
          <w:sz w:val="20"/>
          <w:lang w:val="en-GB"/>
        </w:rPr>
        <w:t>. Phosphorylated mTOR (</w:t>
      </w:r>
      <w:r w:rsidR="00795204" w:rsidRPr="00B459E7">
        <w:rPr>
          <w:rFonts w:ascii="Palatino Linotype" w:hAnsi="Palatino Linotype"/>
          <w:i/>
          <w:iCs/>
          <w:sz w:val="20"/>
          <w:lang w:val="en-GB"/>
        </w:rPr>
        <w:t>p</w:t>
      </w:r>
      <w:r w:rsidR="00795204" w:rsidRPr="00B459E7">
        <w:rPr>
          <w:rFonts w:ascii="Palatino Linotype" w:hAnsi="Palatino Linotype"/>
          <w:sz w:val="20"/>
          <w:lang w:val="en-GB"/>
        </w:rPr>
        <w:t xml:space="preserve">-mTOR) levels were significantly decreased in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cerebellum (48.1%, </w:t>
      </w:r>
      <w:r w:rsidR="00795204" w:rsidRPr="00B459E7">
        <w:rPr>
          <w:rFonts w:ascii="Palatino Linotype" w:hAnsi="Palatino Linotype"/>
          <w:i/>
          <w:sz w:val="20"/>
          <w:lang w:val="en-GB"/>
        </w:rPr>
        <w:t>p</w:t>
      </w:r>
      <w:r w:rsidR="00C60BEE" w:rsidRPr="00B459E7">
        <w:rPr>
          <w:rFonts w:ascii="Palatino Linotype" w:hAnsi="Palatino Linotype"/>
          <w:i/>
          <w:sz w:val="20"/>
          <w:lang w:val="en-GB"/>
        </w:rPr>
        <w:t xml:space="preserve"> </w:t>
      </w:r>
      <w:r w:rsidR="00795204" w:rsidRPr="00B459E7">
        <w:rPr>
          <w:rFonts w:ascii="Palatino Linotype" w:hAnsi="Palatino Linotype"/>
          <w:sz w:val="20"/>
          <w:lang w:val="en-GB"/>
        </w:rPr>
        <w:t>=</w:t>
      </w:r>
      <w:r w:rsidR="00C60BEE" w:rsidRPr="00B459E7">
        <w:rPr>
          <w:rFonts w:ascii="Palatino Linotype" w:hAnsi="Palatino Linotype"/>
          <w:sz w:val="20"/>
          <w:lang w:val="en-GB"/>
        </w:rPr>
        <w:t xml:space="preserve"> </w:t>
      </w:r>
      <w:r w:rsidR="00795204" w:rsidRPr="00B459E7">
        <w:rPr>
          <w:rFonts w:ascii="Palatino Linotype" w:hAnsi="Palatino Linotype"/>
          <w:sz w:val="20"/>
          <w:lang w:val="en-GB"/>
        </w:rPr>
        <w:t xml:space="preserve">0.0456) compared to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cerebellum (</w:t>
      </w:r>
      <w:r w:rsidR="00435CFD" w:rsidRPr="00B459E7">
        <w:rPr>
          <w:rFonts w:ascii="Palatino Linotype" w:hAnsi="Palatino Linotype"/>
          <w:sz w:val="20"/>
          <w:lang w:val="en-GB"/>
        </w:rPr>
        <w:t xml:space="preserve">Figure </w:t>
      </w:r>
      <w:r w:rsidR="00C60BEE" w:rsidRPr="00B459E7">
        <w:rPr>
          <w:rFonts w:ascii="Palatino Linotype" w:hAnsi="Palatino Linotype"/>
          <w:sz w:val="20"/>
          <w:lang w:val="en-GB"/>
        </w:rPr>
        <w:t>2a,</w:t>
      </w:r>
      <w:r w:rsidR="00795204" w:rsidRPr="00B459E7">
        <w:rPr>
          <w:rFonts w:ascii="Palatino Linotype" w:hAnsi="Palatino Linotype"/>
          <w:sz w:val="20"/>
          <w:lang w:val="en-GB"/>
        </w:rPr>
        <w:t>b). However, the ratio between phosphorylated and total non-phosphorylated enzyme (</w:t>
      </w:r>
      <w:proofErr w:type="spellStart"/>
      <w:proofErr w:type="gramStart"/>
      <w:r w:rsidR="00795204" w:rsidRPr="00B459E7">
        <w:rPr>
          <w:rFonts w:ascii="Palatino Linotype" w:hAnsi="Palatino Linotype"/>
          <w:i/>
          <w:iCs/>
          <w:sz w:val="20"/>
          <w:lang w:val="en-GB"/>
        </w:rPr>
        <w:t>p</w:t>
      </w:r>
      <w:r w:rsidR="00795204" w:rsidRPr="00B459E7">
        <w:rPr>
          <w:rFonts w:ascii="Palatino Linotype" w:hAnsi="Palatino Linotype"/>
          <w:sz w:val="20"/>
          <w:lang w:val="en-GB"/>
        </w:rPr>
        <w:t>:T</w:t>
      </w:r>
      <w:proofErr w:type="spellEnd"/>
      <w:proofErr w:type="gramEnd"/>
      <w:r w:rsidR="00795204" w:rsidRPr="00B459E7">
        <w:rPr>
          <w:rFonts w:ascii="Palatino Linotype" w:hAnsi="Palatino Linotype"/>
          <w:sz w:val="20"/>
          <w:lang w:val="en-GB"/>
        </w:rPr>
        <w:t xml:space="preserve">) did not differ between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and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 xml:space="preserve">-/- </w:t>
      </w:r>
      <w:r w:rsidR="00795204" w:rsidRPr="00B459E7">
        <w:rPr>
          <w:rFonts w:ascii="Palatino Linotype" w:hAnsi="Palatino Linotype"/>
          <w:sz w:val="20"/>
          <w:lang w:val="en-GB"/>
        </w:rPr>
        <w:t>(</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2a,b). ADLL treatment</w:t>
      </w:r>
      <w:r w:rsidR="00AC41FB" w:rsidRPr="00B459E7">
        <w:rPr>
          <w:rFonts w:ascii="Palatino Linotype" w:hAnsi="Palatino Linotype"/>
          <w:sz w:val="20"/>
          <w:lang w:val="en-GB"/>
        </w:rPr>
        <w:t xml:space="preserve"> reduced the protein levels of both </w:t>
      </w:r>
      <w:r w:rsidR="008B5875" w:rsidRPr="00B459E7">
        <w:rPr>
          <w:rFonts w:ascii="Palatino Linotype" w:hAnsi="Palatino Linotype"/>
          <w:i/>
          <w:sz w:val="20"/>
          <w:lang w:val="en-GB"/>
        </w:rPr>
        <w:t>p-</w:t>
      </w:r>
      <w:r w:rsidR="008B5875" w:rsidRPr="00B459E7">
        <w:rPr>
          <w:rFonts w:ascii="Palatino Linotype" w:hAnsi="Palatino Linotype"/>
          <w:sz w:val="20"/>
          <w:lang w:val="en-GB"/>
        </w:rPr>
        <w:t>mTOR and mTOR levels in the cerebellum</w:t>
      </w:r>
      <w:r w:rsidR="008526A3">
        <w:rPr>
          <w:rFonts w:ascii="Palatino Linotype" w:hAnsi="Palatino Linotype"/>
          <w:sz w:val="20"/>
          <w:lang w:val="en-GB"/>
        </w:rPr>
        <w:t>.</w:t>
      </w:r>
      <w:r w:rsidR="008B5875" w:rsidRPr="00B459E7">
        <w:rPr>
          <w:rFonts w:ascii="Palatino Linotype" w:hAnsi="Palatino Linotype"/>
          <w:sz w:val="20"/>
          <w:lang w:val="en-GB"/>
        </w:rPr>
        <w:t xml:space="preserve"> </w:t>
      </w:r>
      <w:r w:rsidR="008526A3">
        <w:rPr>
          <w:rFonts w:ascii="Palatino Linotype" w:hAnsi="Palatino Linotype"/>
          <w:sz w:val="20"/>
          <w:lang w:val="en-GB"/>
        </w:rPr>
        <w:t>H</w:t>
      </w:r>
      <w:r w:rsidR="008B5875" w:rsidRPr="00B459E7">
        <w:rPr>
          <w:rFonts w:ascii="Palatino Linotype" w:hAnsi="Palatino Linotype"/>
          <w:sz w:val="20"/>
          <w:lang w:val="en-GB"/>
        </w:rPr>
        <w:t>owever</w:t>
      </w:r>
      <w:r w:rsidR="008526A3">
        <w:rPr>
          <w:rFonts w:ascii="Palatino Linotype" w:hAnsi="Palatino Linotype"/>
          <w:sz w:val="20"/>
          <w:lang w:val="en-GB"/>
        </w:rPr>
        <w:t>,</w:t>
      </w:r>
      <w:r w:rsidR="008B5875" w:rsidRPr="00B459E7">
        <w:rPr>
          <w:rFonts w:ascii="Palatino Linotype" w:hAnsi="Palatino Linotype"/>
          <w:sz w:val="20"/>
          <w:lang w:val="en-GB"/>
        </w:rPr>
        <w:t xml:space="preserve"> their levels, as well as the </w:t>
      </w:r>
      <w:r w:rsidR="008B5875" w:rsidRPr="00B459E7">
        <w:rPr>
          <w:rFonts w:ascii="Palatino Linotype" w:hAnsi="Palatino Linotype"/>
          <w:i/>
          <w:iCs/>
          <w:sz w:val="20"/>
          <w:lang w:val="en-GB"/>
        </w:rPr>
        <w:t>p</w:t>
      </w:r>
      <w:r w:rsidR="008B5875" w:rsidRPr="00B459E7">
        <w:rPr>
          <w:rFonts w:ascii="Palatino Linotype" w:hAnsi="Palatino Linotype"/>
          <w:sz w:val="20"/>
          <w:lang w:val="en-GB"/>
        </w:rPr>
        <w:t>-mTOR:</w:t>
      </w:r>
      <w:r w:rsidR="007D7E3F">
        <w:rPr>
          <w:rFonts w:ascii="Palatino Linotype" w:hAnsi="Palatino Linotype"/>
          <w:sz w:val="20"/>
          <w:lang w:val="en-GB"/>
        </w:rPr>
        <w:t xml:space="preserve"> </w:t>
      </w:r>
      <w:r w:rsidR="008B5875" w:rsidRPr="00B459E7">
        <w:rPr>
          <w:rFonts w:ascii="Palatino Linotype" w:hAnsi="Palatino Linotype"/>
          <w:sz w:val="20"/>
          <w:lang w:val="en-GB"/>
        </w:rPr>
        <w:t xml:space="preserve">total mTOR ratio did not reach statistical significance when compared to </w:t>
      </w:r>
      <w:proofErr w:type="spellStart"/>
      <w:r w:rsidR="008B5875" w:rsidRPr="00F84F07">
        <w:rPr>
          <w:rFonts w:ascii="Palatino Linotype" w:hAnsi="Palatino Linotype"/>
          <w:i/>
          <w:color w:val="FF0000"/>
          <w:sz w:val="20"/>
          <w:lang w:val="en-GB"/>
        </w:rPr>
        <w:t>Hexb</w:t>
      </w:r>
      <w:proofErr w:type="spellEnd"/>
      <w:r w:rsidR="008B5875" w:rsidRPr="00F84F07">
        <w:rPr>
          <w:rFonts w:ascii="Palatino Linotype" w:hAnsi="Palatino Linotype"/>
          <w:i/>
          <w:color w:val="FF0000"/>
          <w:sz w:val="20"/>
          <w:vertAlign w:val="superscript"/>
          <w:lang w:val="en-GB"/>
        </w:rPr>
        <w:t>-/</w:t>
      </w:r>
      <w:r w:rsidR="009550C7">
        <w:rPr>
          <w:rFonts w:ascii="Palatino Linotype" w:hAnsi="Palatino Linotype"/>
          <w:i/>
          <w:color w:val="FF0000"/>
          <w:sz w:val="20"/>
          <w:vertAlign w:val="superscript"/>
          <w:lang w:val="en-GB"/>
        </w:rPr>
        <w:t>-</w:t>
      </w:r>
      <w:r w:rsidR="009550C7">
        <w:rPr>
          <w:rFonts w:ascii="Palatino Linotype" w:hAnsi="Palatino Linotype"/>
          <w:i/>
          <w:color w:val="FF0000"/>
          <w:sz w:val="20"/>
          <w:lang w:val="en-GB"/>
        </w:rPr>
        <w:t xml:space="preserve"> </w:t>
      </w:r>
      <w:r w:rsidR="008B5875" w:rsidRPr="00B459E7">
        <w:rPr>
          <w:rFonts w:ascii="Palatino Linotype" w:hAnsi="Palatino Linotype"/>
          <w:sz w:val="20"/>
          <w:lang w:val="en-GB"/>
        </w:rPr>
        <w:t>untreated mice (</w:t>
      </w:r>
      <w:r w:rsidR="00435CFD" w:rsidRPr="00B459E7">
        <w:rPr>
          <w:rFonts w:ascii="Palatino Linotype" w:hAnsi="Palatino Linotype"/>
          <w:sz w:val="20"/>
          <w:lang w:val="en-GB"/>
        </w:rPr>
        <w:t xml:space="preserve">Figure </w:t>
      </w:r>
      <w:r w:rsidR="008B5875" w:rsidRPr="00B459E7">
        <w:rPr>
          <w:rFonts w:ascii="Palatino Linotype" w:hAnsi="Palatino Linotype"/>
          <w:sz w:val="20"/>
          <w:lang w:val="en-GB"/>
        </w:rPr>
        <w:t>2</w:t>
      </w:r>
      <w:proofErr w:type="gramStart"/>
      <w:r w:rsidR="008B5875" w:rsidRPr="00B459E7">
        <w:rPr>
          <w:rFonts w:ascii="Palatino Linotype" w:hAnsi="Palatino Linotype"/>
          <w:sz w:val="20"/>
          <w:lang w:val="en-GB"/>
        </w:rPr>
        <w:t>a,b</w:t>
      </w:r>
      <w:proofErr w:type="gramEnd"/>
      <w:r w:rsidR="008B5875" w:rsidRPr="00B459E7">
        <w:rPr>
          <w:rFonts w:ascii="Palatino Linotype" w:hAnsi="Palatino Linotype"/>
          <w:sz w:val="20"/>
          <w:lang w:val="en-GB"/>
        </w:rPr>
        <w:t xml:space="preserve">). </w:t>
      </w:r>
      <w:r w:rsidR="00795204" w:rsidRPr="00B459E7">
        <w:rPr>
          <w:rFonts w:ascii="Palatino Linotype" w:hAnsi="Palatino Linotype"/>
          <w:sz w:val="20"/>
          <w:lang w:val="en-GB"/>
        </w:rPr>
        <w:t xml:space="preserve">To determine the status of </w:t>
      </w:r>
      <w:proofErr w:type="spellStart"/>
      <w:r w:rsidR="00297669" w:rsidRPr="00F84F07">
        <w:rPr>
          <w:rFonts w:ascii="Palatino Linotype" w:hAnsi="Palatino Linotype"/>
          <w:color w:val="FF0000"/>
          <w:sz w:val="20"/>
          <w:lang w:val="en-GB"/>
        </w:rPr>
        <w:t>macroautophagy</w:t>
      </w:r>
      <w:proofErr w:type="spellEnd"/>
      <w:r w:rsidR="00795204" w:rsidRPr="00F84F07">
        <w:rPr>
          <w:rFonts w:ascii="Palatino Linotype" w:hAnsi="Palatino Linotype"/>
          <w:color w:val="FF0000"/>
          <w:sz w:val="20"/>
          <w:lang w:val="en-GB"/>
        </w:rPr>
        <w:t xml:space="preserve"> </w:t>
      </w:r>
      <w:r w:rsidR="00795204" w:rsidRPr="00B459E7">
        <w:rPr>
          <w:rFonts w:ascii="Palatino Linotype" w:hAnsi="Palatino Linotype"/>
          <w:sz w:val="20"/>
          <w:lang w:val="en-GB"/>
        </w:rPr>
        <w:t>in the mouse brains, we measured changes in the autophagy marker</w:t>
      </w:r>
      <w:r w:rsidR="00E72AF9" w:rsidRPr="00B459E7">
        <w:rPr>
          <w:rFonts w:ascii="Palatino Linotype" w:hAnsi="Palatino Linotype"/>
          <w:sz w:val="20"/>
          <w:lang w:val="en-GB"/>
        </w:rPr>
        <w:t>,</w:t>
      </w:r>
      <w:r w:rsidR="00795204" w:rsidRPr="00B459E7">
        <w:rPr>
          <w:rFonts w:ascii="Palatino Linotype" w:hAnsi="Palatino Linotype"/>
          <w:sz w:val="20"/>
          <w:lang w:val="en-GB"/>
        </w:rPr>
        <w:t xml:space="preserve"> LC3, both</w:t>
      </w:r>
      <w:r w:rsidR="0041417D">
        <w:rPr>
          <w:rFonts w:ascii="Palatino Linotype" w:hAnsi="Palatino Linotype"/>
          <w:sz w:val="20"/>
          <w:lang w:val="en-GB"/>
        </w:rPr>
        <w:t xml:space="preserve"> in</w:t>
      </w:r>
      <w:r w:rsidR="00795204" w:rsidRPr="00B459E7">
        <w:rPr>
          <w:rFonts w:ascii="Palatino Linotype" w:hAnsi="Palatino Linotype"/>
          <w:sz w:val="20"/>
          <w:lang w:val="en-GB"/>
        </w:rPr>
        <w:t xml:space="preserve"> the cytosolic form (LC3-I) and autophagic vacuole (AV) bound form (LC3-II), along with the LC3 adaptor protein, p62.</w:t>
      </w:r>
      <w:r w:rsidR="00435CFD" w:rsidRPr="00B459E7">
        <w:rPr>
          <w:rFonts w:ascii="Palatino Linotype" w:hAnsi="Palatino Linotype"/>
          <w:sz w:val="20"/>
          <w:lang w:val="en-GB"/>
        </w:rPr>
        <w:t xml:space="preserve"> </w:t>
      </w:r>
      <w:r w:rsidR="00795204" w:rsidRPr="00B459E7">
        <w:rPr>
          <w:rFonts w:ascii="Palatino Linotype" w:hAnsi="Palatino Linotype"/>
          <w:sz w:val="20"/>
          <w:lang w:val="en-GB"/>
        </w:rPr>
        <w:t xml:space="preserve">Both LC3-I and LC3-II were increased in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FC61A9" w:rsidRPr="00FC61A9">
        <w:rPr>
          <w:rFonts w:ascii="Palatino Linotype" w:hAnsi="Palatino Linotype"/>
          <w:sz w:val="20"/>
          <w:lang w:val="en-GB"/>
        </w:rPr>
        <w:t>-</w:t>
      </w:r>
      <w:r w:rsidR="00795204" w:rsidRPr="00B459E7">
        <w:rPr>
          <w:rFonts w:ascii="Palatino Linotype" w:hAnsi="Palatino Linotype"/>
          <w:sz w:val="20"/>
          <w:lang w:val="en-GB"/>
        </w:rPr>
        <w:t xml:space="preserve">untreated mice, compared to wild-type mice (LC3-I: 36.6%, </w:t>
      </w:r>
      <w:r w:rsidR="00795204" w:rsidRPr="00B459E7">
        <w:rPr>
          <w:rFonts w:ascii="Palatino Linotype" w:hAnsi="Palatino Linotype"/>
          <w:i/>
          <w:sz w:val="20"/>
          <w:lang w:val="en-GB"/>
        </w:rPr>
        <w:t>p</w:t>
      </w:r>
      <w:r w:rsidR="00C60BEE" w:rsidRPr="00B459E7">
        <w:rPr>
          <w:rFonts w:ascii="Palatino Linotype" w:hAnsi="Palatino Linotype"/>
          <w:i/>
          <w:sz w:val="20"/>
          <w:lang w:val="en-GB"/>
        </w:rPr>
        <w:t xml:space="preserve"> </w:t>
      </w:r>
      <w:r w:rsidR="00795204" w:rsidRPr="00B459E7">
        <w:rPr>
          <w:rFonts w:ascii="Palatino Linotype" w:hAnsi="Palatino Linotype"/>
          <w:i/>
          <w:sz w:val="20"/>
          <w:lang w:val="en-GB"/>
        </w:rPr>
        <w:t>=</w:t>
      </w:r>
      <w:r w:rsidR="00C60BEE" w:rsidRPr="00B459E7">
        <w:rPr>
          <w:rFonts w:ascii="Palatino Linotype" w:hAnsi="Palatino Linotype"/>
          <w:i/>
          <w:sz w:val="20"/>
          <w:lang w:val="en-GB"/>
        </w:rPr>
        <w:t xml:space="preserve"> </w:t>
      </w:r>
      <w:r w:rsidR="00795204" w:rsidRPr="00B459E7">
        <w:rPr>
          <w:rFonts w:ascii="Palatino Linotype" w:hAnsi="Palatino Linotype"/>
          <w:sz w:val="20"/>
          <w:lang w:val="en-GB"/>
        </w:rPr>
        <w:t xml:space="preserve">0.0011; LC3-II: 50.3%, </w:t>
      </w:r>
      <w:r w:rsidR="00795204" w:rsidRPr="00B459E7">
        <w:rPr>
          <w:rFonts w:ascii="Palatino Linotype" w:hAnsi="Palatino Linotype"/>
          <w:i/>
          <w:sz w:val="20"/>
          <w:lang w:val="en-GB"/>
        </w:rPr>
        <w:t>p</w:t>
      </w:r>
      <w:r w:rsidR="00C60BEE" w:rsidRPr="00B459E7">
        <w:rPr>
          <w:rFonts w:ascii="Palatino Linotype" w:hAnsi="Palatino Linotype"/>
          <w:i/>
          <w:sz w:val="20"/>
          <w:lang w:val="en-GB"/>
        </w:rPr>
        <w:t xml:space="preserve"> </w:t>
      </w:r>
      <w:r w:rsidR="00795204" w:rsidRPr="00B459E7">
        <w:rPr>
          <w:rFonts w:ascii="Palatino Linotype" w:hAnsi="Palatino Linotype"/>
          <w:i/>
          <w:sz w:val="20"/>
          <w:lang w:val="en-GB"/>
        </w:rPr>
        <w:t>&lt;</w:t>
      </w:r>
      <w:r w:rsidR="00C60BEE" w:rsidRPr="00B459E7">
        <w:rPr>
          <w:rFonts w:ascii="Palatino Linotype" w:hAnsi="Palatino Linotype"/>
          <w:i/>
          <w:sz w:val="20"/>
          <w:lang w:val="en-GB"/>
        </w:rPr>
        <w:t xml:space="preserve"> </w:t>
      </w:r>
      <w:r w:rsidR="00795204" w:rsidRPr="00B459E7">
        <w:rPr>
          <w:rFonts w:ascii="Palatino Linotype" w:hAnsi="Palatino Linotype"/>
          <w:sz w:val="20"/>
          <w:lang w:val="en-GB"/>
        </w:rPr>
        <w:t>0.0001) (</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2c,e). However, the internal ratio of LC3-II:LC3-I</w:t>
      </w:r>
      <w:r w:rsidR="0072784F" w:rsidRPr="00B459E7">
        <w:rPr>
          <w:rFonts w:ascii="Palatino Linotype" w:hAnsi="Palatino Linotype"/>
          <w:sz w:val="20"/>
          <w:lang w:val="en-GB"/>
        </w:rPr>
        <w:t xml:space="preserve"> (</w:t>
      </w:r>
      <w:r w:rsidR="00203383" w:rsidRPr="00B459E7">
        <w:rPr>
          <w:rFonts w:ascii="Palatino Linotype" w:hAnsi="Palatino Linotype"/>
          <w:sz w:val="20"/>
          <w:lang w:val="en-GB"/>
        </w:rPr>
        <w:t xml:space="preserve">a </w:t>
      </w:r>
      <w:r w:rsidR="0072784F" w:rsidRPr="00B459E7">
        <w:rPr>
          <w:rFonts w:ascii="Palatino Linotype" w:hAnsi="Palatino Linotype"/>
          <w:sz w:val="20"/>
          <w:lang w:val="en-GB"/>
        </w:rPr>
        <w:t>more</w:t>
      </w:r>
      <w:r w:rsidR="00735E19" w:rsidRPr="00B459E7">
        <w:rPr>
          <w:rFonts w:ascii="Palatino Linotype" w:hAnsi="Palatino Linotype"/>
          <w:sz w:val="20"/>
          <w:lang w:val="en-GB"/>
        </w:rPr>
        <w:t xml:space="preserve"> reliable indicator of autophagic events</w:t>
      </w:r>
      <w:r w:rsidR="0072784F" w:rsidRPr="00B459E7">
        <w:rPr>
          <w:rFonts w:ascii="Palatino Linotype" w:hAnsi="Palatino Linotype"/>
          <w:sz w:val="20"/>
          <w:lang w:val="en-GB"/>
        </w:rPr>
        <w:t xml:space="preserve"> </w:t>
      </w:r>
      <w:r w:rsidR="0086309B" w:rsidRPr="00B459E7">
        <w:rPr>
          <w:rFonts w:ascii="Palatino Linotype" w:hAnsi="Palatino Linotype"/>
          <w:noProof/>
          <w:sz w:val="20"/>
          <w:lang w:val="en-GB"/>
        </w:rPr>
        <w:t>[25]</w:t>
      </w:r>
      <w:r w:rsidR="0072784F" w:rsidRPr="00B459E7">
        <w:rPr>
          <w:rFonts w:ascii="Palatino Linotype" w:hAnsi="Palatino Linotype"/>
          <w:sz w:val="20"/>
          <w:lang w:val="en-GB"/>
        </w:rPr>
        <w:t>)</w:t>
      </w:r>
      <w:r w:rsidR="00795204" w:rsidRPr="00B459E7">
        <w:rPr>
          <w:rFonts w:ascii="Palatino Linotype" w:hAnsi="Palatino Linotype"/>
          <w:sz w:val="20"/>
          <w:lang w:val="en-GB"/>
        </w:rPr>
        <w:t xml:space="preserve"> did not vary between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and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2</w:t>
      </w:r>
      <w:proofErr w:type="gramStart"/>
      <w:r w:rsidR="00795204" w:rsidRPr="00B459E7">
        <w:rPr>
          <w:rFonts w:ascii="Palatino Linotype" w:hAnsi="Palatino Linotype"/>
          <w:sz w:val="20"/>
          <w:lang w:val="en-GB"/>
        </w:rPr>
        <w:t>c,e</w:t>
      </w:r>
      <w:proofErr w:type="gramEnd"/>
      <w:r w:rsidR="00795204" w:rsidRPr="00B459E7">
        <w:rPr>
          <w:rFonts w:ascii="Palatino Linotype" w:hAnsi="Palatino Linotype"/>
          <w:sz w:val="20"/>
          <w:lang w:val="en-GB"/>
        </w:rPr>
        <w:t xml:space="preserve">). ADLL therapy </w:t>
      </w:r>
      <w:r w:rsidR="009C0584" w:rsidRPr="00B459E7">
        <w:rPr>
          <w:rFonts w:ascii="Palatino Linotype" w:hAnsi="Palatino Linotype"/>
          <w:sz w:val="20"/>
          <w:lang w:val="en-GB"/>
        </w:rPr>
        <w:t xml:space="preserve">resulted in </w:t>
      </w:r>
      <w:r w:rsidR="00BD080F" w:rsidRPr="00B459E7">
        <w:rPr>
          <w:rFonts w:ascii="Palatino Linotype" w:hAnsi="Palatino Linotype"/>
          <w:sz w:val="20"/>
          <w:lang w:val="en-GB"/>
        </w:rPr>
        <w:t xml:space="preserve">a </w:t>
      </w:r>
      <w:r w:rsidR="00FB4C14" w:rsidRPr="00B459E7">
        <w:rPr>
          <w:rFonts w:ascii="Palatino Linotype" w:hAnsi="Palatino Linotype"/>
          <w:sz w:val="20"/>
          <w:lang w:val="en-GB"/>
        </w:rPr>
        <w:t xml:space="preserve">19.5% </w:t>
      </w:r>
      <w:r w:rsidR="009C0584" w:rsidRPr="00B459E7">
        <w:rPr>
          <w:rFonts w:ascii="Palatino Linotype" w:hAnsi="Palatino Linotype"/>
          <w:sz w:val="20"/>
          <w:lang w:val="en-GB"/>
        </w:rPr>
        <w:t xml:space="preserve">reduction of </w:t>
      </w:r>
      <w:r w:rsidR="00795204" w:rsidRPr="00B459E7">
        <w:rPr>
          <w:rFonts w:ascii="Palatino Linotype" w:hAnsi="Palatino Linotype"/>
          <w:sz w:val="20"/>
          <w:lang w:val="en-GB"/>
        </w:rPr>
        <w:t xml:space="preserve">LC3-I </w:t>
      </w:r>
      <w:r w:rsidR="009C0584" w:rsidRPr="00B459E7">
        <w:rPr>
          <w:rFonts w:ascii="Palatino Linotype" w:hAnsi="Palatino Linotype"/>
          <w:sz w:val="20"/>
          <w:lang w:val="en-GB"/>
        </w:rPr>
        <w:t>levels</w:t>
      </w:r>
      <w:r w:rsidR="00FB4C14" w:rsidRPr="00B459E7">
        <w:rPr>
          <w:rFonts w:ascii="Palatino Linotype" w:hAnsi="Palatino Linotype"/>
          <w:sz w:val="20"/>
          <w:lang w:val="en-GB"/>
        </w:rPr>
        <w:t xml:space="preserve">, </w:t>
      </w:r>
      <w:r w:rsidR="00BD080F" w:rsidRPr="00B459E7">
        <w:rPr>
          <w:rFonts w:ascii="Palatino Linotype" w:hAnsi="Palatino Linotype"/>
          <w:sz w:val="20"/>
          <w:lang w:val="en-GB"/>
        </w:rPr>
        <w:t xml:space="preserve">but was </w:t>
      </w:r>
      <w:r w:rsidR="00FB4C14" w:rsidRPr="00B459E7">
        <w:rPr>
          <w:rFonts w:ascii="Palatino Linotype" w:hAnsi="Palatino Linotype"/>
          <w:sz w:val="20"/>
          <w:lang w:val="en-GB"/>
        </w:rPr>
        <w:t>not statistically significant (</w:t>
      </w:r>
      <w:r w:rsidR="00FB4C14" w:rsidRPr="00B459E7">
        <w:rPr>
          <w:rFonts w:ascii="Palatino Linotype" w:hAnsi="Palatino Linotype"/>
          <w:i/>
          <w:sz w:val="20"/>
          <w:lang w:val="en-GB"/>
        </w:rPr>
        <w:t>p</w:t>
      </w:r>
      <w:r w:rsidR="00C60BEE" w:rsidRPr="00B459E7">
        <w:rPr>
          <w:rFonts w:ascii="Palatino Linotype" w:hAnsi="Palatino Linotype"/>
          <w:i/>
          <w:sz w:val="20"/>
          <w:lang w:val="en-GB"/>
        </w:rPr>
        <w:t xml:space="preserve"> </w:t>
      </w:r>
      <w:r w:rsidR="00FB4C14" w:rsidRPr="00B459E7">
        <w:rPr>
          <w:rFonts w:ascii="Palatino Linotype" w:hAnsi="Palatino Linotype"/>
          <w:i/>
          <w:sz w:val="20"/>
          <w:lang w:val="en-GB"/>
        </w:rPr>
        <w:t>=</w:t>
      </w:r>
      <w:r w:rsidR="00C60BEE" w:rsidRPr="00B459E7">
        <w:rPr>
          <w:rFonts w:ascii="Palatino Linotype" w:hAnsi="Palatino Linotype"/>
          <w:i/>
          <w:sz w:val="20"/>
          <w:lang w:val="en-GB"/>
        </w:rPr>
        <w:t xml:space="preserve"> </w:t>
      </w:r>
      <w:r w:rsidR="00FB4C14" w:rsidRPr="00B459E7">
        <w:rPr>
          <w:rFonts w:ascii="Palatino Linotype" w:hAnsi="Palatino Linotype"/>
          <w:sz w:val="20"/>
          <w:lang w:val="en-GB"/>
        </w:rPr>
        <w:t>0.0804),</w:t>
      </w:r>
      <w:r w:rsidR="009C0584" w:rsidRPr="00B459E7">
        <w:rPr>
          <w:rFonts w:ascii="Palatino Linotype" w:hAnsi="Palatino Linotype"/>
          <w:sz w:val="20"/>
          <w:lang w:val="en-GB"/>
        </w:rPr>
        <w:t xml:space="preserve"> </w:t>
      </w:r>
      <w:r w:rsidR="00795204" w:rsidRPr="00B459E7">
        <w:rPr>
          <w:rFonts w:ascii="Palatino Linotype" w:hAnsi="Palatino Linotype"/>
          <w:sz w:val="20"/>
          <w:lang w:val="en-GB"/>
        </w:rPr>
        <w:t xml:space="preserve">and </w:t>
      </w:r>
      <w:r w:rsidR="00FB4C14" w:rsidRPr="00B459E7">
        <w:rPr>
          <w:rFonts w:ascii="Palatino Linotype" w:hAnsi="Palatino Linotype"/>
          <w:sz w:val="20"/>
          <w:lang w:val="en-GB"/>
        </w:rPr>
        <w:t>no change in LC3</w:t>
      </w:r>
      <w:r w:rsidR="00795204" w:rsidRPr="00B459E7">
        <w:rPr>
          <w:rFonts w:ascii="Palatino Linotype" w:hAnsi="Palatino Linotype"/>
          <w:sz w:val="20"/>
          <w:lang w:val="en-GB"/>
        </w:rPr>
        <w:t xml:space="preserve">-II levels compared to untreated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b/>
          <w:sz w:val="20"/>
          <w:lang w:val="en-GB"/>
        </w:rPr>
        <w:t xml:space="preserve"> </w:t>
      </w:r>
      <w:r w:rsidR="00795204" w:rsidRPr="00B459E7">
        <w:rPr>
          <w:rFonts w:ascii="Palatino Linotype" w:hAnsi="Palatino Linotype"/>
          <w:sz w:val="20"/>
          <w:lang w:val="en-GB"/>
        </w:rPr>
        <w:t>mice</w:t>
      </w:r>
      <w:r w:rsidR="00BD080F" w:rsidRPr="00B459E7">
        <w:rPr>
          <w:rFonts w:ascii="Palatino Linotype" w:hAnsi="Palatino Linotype"/>
          <w:sz w:val="20"/>
          <w:lang w:val="en-GB"/>
        </w:rPr>
        <w:t xml:space="preserve"> was observed</w:t>
      </w:r>
      <w:r w:rsidR="00795204" w:rsidRPr="00B459E7">
        <w:rPr>
          <w:rFonts w:ascii="Palatino Linotype" w:hAnsi="Palatino Linotype"/>
          <w:sz w:val="20"/>
          <w:lang w:val="en-GB"/>
        </w:rPr>
        <w:t xml:space="preserve"> (</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 xml:space="preserve">2c,e). </w:t>
      </w:r>
      <w:r w:rsidR="00BD080F" w:rsidRPr="00B459E7">
        <w:rPr>
          <w:rFonts w:ascii="Palatino Linotype" w:hAnsi="Palatino Linotype"/>
          <w:sz w:val="20"/>
          <w:lang w:val="en-GB"/>
        </w:rPr>
        <w:t xml:space="preserve">The </w:t>
      </w:r>
      <w:r w:rsidR="00795204" w:rsidRPr="00B459E7">
        <w:rPr>
          <w:rFonts w:ascii="Palatino Linotype" w:hAnsi="Palatino Linotype"/>
          <w:sz w:val="20"/>
          <w:lang w:val="en-GB"/>
        </w:rPr>
        <w:t>ratio of LC3-II:</w:t>
      </w:r>
      <w:r w:rsidR="00CF1055">
        <w:rPr>
          <w:rFonts w:ascii="Palatino Linotype" w:hAnsi="Palatino Linotype"/>
          <w:sz w:val="20"/>
          <w:lang w:val="en-GB"/>
        </w:rPr>
        <w:t>LC3</w:t>
      </w:r>
      <w:r w:rsidR="00795204" w:rsidRPr="00B459E7">
        <w:rPr>
          <w:rFonts w:ascii="Palatino Linotype" w:hAnsi="Palatino Linotype"/>
          <w:sz w:val="20"/>
          <w:lang w:val="en-GB"/>
        </w:rPr>
        <w:t xml:space="preserve">-I </w:t>
      </w:r>
      <w:r w:rsidR="00205E42" w:rsidRPr="00B459E7">
        <w:rPr>
          <w:rFonts w:ascii="Palatino Linotype" w:hAnsi="Palatino Linotype"/>
          <w:sz w:val="20"/>
          <w:lang w:val="en-GB"/>
        </w:rPr>
        <w:t xml:space="preserve">increased </w:t>
      </w:r>
      <w:r w:rsidR="00BD080F" w:rsidRPr="00B459E7">
        <w:rPr>
          <w:rFonts w:ascii="Palatino Linotype" w:hAnsi="Palatino Linotype"/>
          <w:sz w:val="20"/>
          <w:lang w:val="en-GB"/>
        </w:rPr>
        <w:t xml:space="preserve">significantly </w:t>
      </w:r>
      <w:r w:rsidR="00205E42" w:rsidRPr="00B459E7">
        <w:rPr>
          <w:rFonts w:ascii="Palatino Linotype" w:hAnsi="Palatino Linotype"/>
          <w:sz w:val="20"/>
          <w:lang w:val="en-GB"/>
        </w:rPr>
        <w:t xml:space="preserve">by </w:t>
      </w:r>
      <w:r w:rsidR="00795204" w:rsidRPr="00B459E7">
        <w:rPr>
          <w:rFonts w:ascii="Palatino Linotype" w:hAnsi="Palatino Linotype"/>
          <w:sz w:val="20"/>
          <w:lang w:val="en-GB"/>
        </w:rPr>
        <w:t>27.1%</w:t>
      </w:r>
      <w:r w:rsidR="00205E42" w:rsidRPr="00B459E7">
        <w:rPr>
          <w:rFonts w:ascii="Palatino Linotype" w:hAnsi="Palatino Linotype"/>
          <w:sz w:val="20"/>
          <w:lang w:val="en-GB"/>
        </w:rPr>
        <w:t xml:space="preserve"> (</w:t>
      </w:r>
      <w:r w:rsidR="00795204" w:rsidRPr="00B459E7">
        <w:rPr>
          <w:rFonts w:ascii="Palatino Linotype" w:hAnsi="Palatino Linotype"/>
          <w:i/>
          <w:sz w:val="20"/>
          <w:lang w:val="en-GB"/>
        </w:rPr>
        <w:t>p</w:t>
      </w:r>
      <w:r w:rsidR="00C60BEE" w:rsidRPr="00B459E7">
        <w:rPr>
          <w:rFonts w:ascii="Palatino Linotype" w:hAnsi="Palatino Linotype"/>
          <w:i/>
          <w:sz w:val="20"/>
          <w:lang w:val="en-GB"/>
        </w:rPr>
        <w:t xml:space="preserve"> </w:t>
      </w:r>
      <w:r w:rsidR="00795204" w:rsidRPr="00B459E7">
        <w:rPr>
          <w:rFonts w:ascii="Palatino Linotype" w:hAnsi="Palatino Linotype"/>
          <w:i/>
          <w:sz w:val="20"/>
          <w:lang w:val="en-GB"/>
        </w:rPr>
        <w:t>=</w:t>
      </w:r>
      <w:r w:rsidR="00C60BEE" w:rsidRPr="00B459E7">
        <w:rPr>
          <w:rFonts w:ascii="Palatino Linotype" w:hAnsi="Palatino Linotype"/>
          <w:i/>
          <w:sz w:val="20"/>
          <w:lang w:val="en-GB"/>
        </w:rPr>
        <w:t xml:space="preserve"> </w:t>
      </w:r>
      <w:r w:rsidR="00795204" w:rsidRPr="00B459E7">
        <w:rPr>
          <w:rFonts w:ascii="Palatino Linotype" w:hAnsi="Palatino Linotype"/>
          <w:sz w:val="20"/>
          <w:lang w:val="en-GB"/>
        </w:rPr>
        <w:t>0.0483), suggesting an increased presence of AVs in ADLL</w:t>
      </w:r>
      <w:r w:rsidR="006800ED">
        <w:rPr>
          <w:rFonts w:ascii="Palatino Linotype" w:hAnsi="Palatino Linotype"/>
          <w:sz w:val="20"/>
          <w:lang w:val="en-GB"/>
        </w:rPr>
        <w:t>-</w:t>
      </w:r>
      <w:r w:rsidR="00795204" w:rsidRPr="00B459E7">
        <w:rPr>
          <w:rFonts w:ascii="Palatino Linotype" w:hAnsi="Palatino Linotype"/>
          <w:sz w:val="20"/>
          <w:lang w:val="en-GB"/>
        </w:rPr>
        <w:t xml:space="preserve">treated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 xml:space="preserve">-/- </w:t>
      </w:r>
      <w:r w:rsidR="00795204" w:rsidRPr="00B459E7">
        <w:rPr>
          <w:rFonts w:ascii="Palatino Linotype" w:hAnsi="Palatino Linotype"/>
          <w:sz w:val="20"/>
          <w:lang w:val="en-GB"/>
        </w:rPr>
        <w:t>cerebellum (</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2</w:t>
      </w:r>
      <w:proofErr w:type="gramStart"/>
      <w:r w:rsidR="00795204" w:rsidRPr="00B459E7">
        <w:rPr>
          <w:rFonts w:ascii="Palatino Linotype" w:hAnsi="Palatino Linotype"/>
          <w:sz w:val="20"/>
          <w:lang w:val="en-GB"/>
        </w:rPr>
        <w:t>c,e</w:t>
      </w:r>
      <w:proofErr w:type="gramEnd"/>
      <w:r w:rsidR="00795204" w:rsidRPr="00B459E7">
        <w:rPr>
          <w:rFonts w:ascii="Palatino Linotype" w:hAnsi="Palatino Linotype"/>
          <w:sz w:val="20"/>
          <w:lang w:val="en-GB"/>
        </w:rPr>
        <w:t xml:space="preserve">). Expression of the LC3 adaptor protein, p62, did not differ between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and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0C4BA0" w:rsidRPr="00B459E7">
        <w:rPr>
          <w:rFonts w:ascii="Palatino Linotype" w:hAnsi="Palatino Linotype"/>
          <w:sz w:val="20"/>
          <w:lang w:val="en-GB"/>
        </w:rPr>
        <w:t>-</w:t>
      </w:r>
      <w:r w:rsidR="00795204" w:rsidRPr="00B459E7">
        <w:rPr>
          <w:rFonts w:ascii="Palatino Linotype" w:hAnsi="Palatino Linotype"/>
          <w:sz w:val="20"/>
          <w:lang w:val="en-GB"/>
        </w:rPr>
        <w:t>untreated cerebellums, and remained unaltered in ADLL</w:t>
      </w:r>
      <w:r w:rsidR="006800ED">
        <w:rPr>
          <w:rFonts w:ascii="Palatino Linotype" w:hAnsi="Palatino Linotype"/>
          <w:sz w:val="20"/>
          <w:lang w:val="en-GB"/>
        </w:rPr>
        <w:t>-</w:t>
      </w:r>
      <w:r w:rsidR="00795204" w:rsidRPr="00B459E7">
        <w:rPr>
          <w:rFonts w:ascii="Palatino Linotype" w:hAnsi="Palatino Linotype"/>
          <w:sz w:val="20"/>
          <w:lang w:val="en-GB"/>
        </w:rPr>
        <w:t xml:space="preserve">treated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 xml:space="preserve">-/- </w:t>
      </w:r>
      <w:r w:rsidR="00795204" w:rsidRPr="00B459E7">
        <w:rPr>
          <w:rFonts w:ascii="Palatino Linotype" w:hAnsi="Palatino Linotype"/>
          <w:sz w:val="20"/>
          <w:lang w:val="en-GB"/>
        </w:rPr>
        <w:t>mice</w:t>
      </w:r>
      <w:r w:rsidR="00795204" w:rsidRPr="00B459E7">
        <w:rPr>
          <w:rFonts w:ascii="Palatino Linotype" w:hAnsi="Palatino Linotype"/>
          <w:i/>
          <w:sz w:val="20"/>
          <w:lang w:val="en-GB"/>
        </w:rPr>
        <w:t xml:space="preserve"> </w:t>
      </w:r>
      <w:r w:rsidR="00795204" w:rsidRPr="00B459E7">
        <w:rPr>
          <w:rFonts w:ascii="Palatino Linotype" w:hAnsi="Palatino Linotype"/>
          <w:sz w:val="20"/>
          <w:lang w:val="en-GB"/>
        </w:rPr>
        <w:t>(</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 xml:space="preserve">2d,e), suggesting </w:t>
      </w:r>
      <w:r w:rsidR="00D2689D">
        <w:rPr>
          <w:rFonts w:ascii="Palatino Linotype" w:hAnsi="Palatino Linotype"/>
          <w:sz w:val="20"/>
          <w:lang w:val="en-GB"/>
        </w:rPr>
        <w:t xml:space="preserve">that </w:t>
      </w:r>
      <w:r w:rsidR="00795204" w:rsidRPr="00B459E7">
        <w:rPr>
          <w:rFonts w:ascii="Palatino Linotype" w:hAnsi="Palatino Linotype"/>
          <w:sz w:val="20"/>
          <w:lang w:val="en-GB"/>
        </w:rPr>
        <w:t xml:space="preserve">the ADLL-induced increase in AVs was not due to impaired clearance, but more likely an elevation of autophagic activity in </w:t>
      </w:r>
      <w:proofErr w:type="spellStart"/>
      <w:r w:rsidR="00795204" w:rsidRPr="00B459E7">
        <w:rPr>
          <w:rFonts w:ascii="Palatino Linotype" w:hAnsi="Palatino Linotype"/>
          <w:i/>
          <w:iCs/>
          <w:sz w:val="20"/>
          <w:lang w:val="en-GB"/>
        </w:rPr>
        <w:t>Hexb</w:t>
      </w:r>
      <w:proofErr w:type="spellEnd"/>
      <w:r w:rsidR="00795204" w:rsidRPr="00B459E7">
        <w:rPr>
          <w:rFonts w:ascii="Palatino Linotype" w:hAnsi="Palatino Linotype"/>
          <w:i/>
          <w:iCs/>
          <w:sz w:val="20"/>
          <w:vertAlign w:val="superscript"/>
          <w:lang w:val="en-GB"/>
        </w:rPr>
        <w:t>-/-</w:t>
      </w:r>
      <w:r w:rsidR="00795204" w:rsidRPr="00B459E7">
        <w:rPr>
          <w:rFonts w:ascii="Palatino Linotype" w:hAnsi="Palatino Linotype"/>
          <w:sz w:val="20"/>
          <w:vertAlign w:val="superscript"/>
          <w:lang w:val="en-GB"/>
        </w:rPr>
        <w:t xml:space="preserve"> </w:t>
      </w:r>
      <w:r w:rsidR="00795204" w:rsidRPr="00B459E7">
        <w:rPr>
          <w:rFonts w:ascii="Palatino Linotype" w:hAnsi="Palatino Linotype"/>
          <w:sz w:val="20"/>
          <w:lang w:val="en-GB"/>
        </w:rPr>
        <w:t>cerebellum</w:t>
      </w:r>
      <w:r w:rsidR="00203383" w:rsidRPr="00B459E7">
        <w:rPr>
          <w:rFonts w:ascii="Palatino Linotype" w:hAnsi="Palatino Linotype"/>
          <w:sz w:val="20"/>
          <w:lang w:val="en-GB"/>
        </w:rPr>
        <w:t>.</w:t>
      </w:r>
    </w:p>
    <w:p w14:paraId="10ADE5D5" w14:textId="0E172CBA" w:rsidR="00795204" w:rsidRPr="00B459E7" w:rsidRDefault="001F2223" w:rsidP="00C60BEE">
      <w:pPr>
        <w:pStyle w:val="MDPI52figure"/>
        <w:rPr>
          <w:lang w:val="en-GB"/>
        </w:rPr>
      </w:pPr>
      <w:r w:rsidRPr="00B459E7">
        <w:rPr>
          <w:noProof/>
          <w:lang w:eastAsia="zh-CN" w:bidi="ar-SA"/>
        </w:rPr>
        <w:drawing>
          <wp:inline distT="0" distB="0" distL="0" distR="0" wp14:anchorId="5A5168EE" wp14:editId="69A78797">
            <wp:extent cx="4934138" cy="2449196"/>
            <wp:effectExtent l="0" t="0" r="0" b="0"/>
            <wp:docPr id="2" name="Picture 2" descr="Macintosh HD:Users:ecemkaya:Desktop:Kaya et al MDPI:Figure 2 Kaya et 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cemkaya:Desktop:Kaya et al MDPI:Figure 2 Kaya et al.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0690" cy="2452448"/>
                    </a:xfrm>
                    <a:prstGeom prst="rect">
                      <a:avLst/>
                    </a:prstGeom>
                    <a:noFill/>
                    <a:ln>
                      <a:noFill/>
                    </a:ln>
                  </pic:spPr>
                </pic:pic>
              </a:graphicData>
            </a:graphic>
          </wp:inline>
        </w:drawing>
      </w:r>
    </w:p>
    <w:p w14:paraId="7A56DACA" w14:textId="3B3EA925" w:rsidR="00661EC9" w:rsidRPr="00B459E7" w:rsidRDefault="00661EC9" w:rsidP="00C60BEE">
      <w:pPr>
        <w:pStyle w:val="MDPI51figurecaption"/>
        <w:rPr>
          <w:lang w:val="en-GB"/>
        </w:rPr>
      </w:pPr>
      <w:bookmarkStart w:id="12" w:name="_Toc410478821"/>
      <w:r w:rsidRPr="00B459E7">
        <w:rPr>
          <w:b/>
          <w:lang w:val="en-GB"/>
        </w:rPr>
        <w:t xml:space="preserve">Figure 2. </w:t>
      </w:r>
      <w:r w:rsidRPr="00B459E7">
        <w:rPr>
          <w:lang w:val="en-GB"/>
        </w:rPr>
        <w:t>Effect of acetyl-</w:t>
      </w:r>
      <w:r w:rsidRPr="00B459E7">
        <w:rPr>
          <w:i/>
          <w:iCs/>
          <w:lang w:val="en-GB"/>
        </w:rPr>
        <w:t>DL</w:t>
      </w:r>
      <w:r w:rsidRPr="00B459E7">
        <w:rPr>
          <w:lang w:val="en-GB"/>
        </w:rPr>
        <w:t>-</w:t>
      </w:r>
      <w:r w:rsidR="00203383" w:rsidRPr="00B459E7">
        <w:rPr>
          <w:lang w:val="en-GB"/>
        </w:rPr>
        <w:t>l</w:t>
      </w:r>
      <w:r w:rsidRPr="00B459E7">
        <w:rPr>
          <w:lang w:val="en-GB"/>
        </w:rPr>
        <w:t xml:space="preserve">eucine on autophagy in the cerebellum of </w:t>
      </w:r>
      <w:r w:rsidR="00297669" w:rsidRPr="00B459E7">
        <w:rPr>
          <w:lang w:val="en-GB"/>
        </w:rPr>
        <w:t>12-week-</w:t>
      </w:r>
      <w:r w:rsidR="00297669" w:rsidRPr="00F84F07">
        <w:rPr>
          <w:color w:val="auto"/>
          <w:lang w:val="en-GB"/>
        </w:rPr>
        <w:t>old</w:t>
      </w:r>
      <w:r w:rsidRPr="00F84F07">
        <w:rPr>
          <w:color w:val="auto"/>
          <w:lang w:val="en-GB"/>
        </w:rPr>
        <w:t xml:space="preserve"> </w:t>
      </w:r>
      <w:proofErr w:type="spellStart"/>
      <w:r w:rsidR="00910398" w:rsidRPr="00F84F07">
        <w:rPr>
          <w:i/>
          <w:color w:val="auto"/>
          <w:lang w:val="en-GB"/>
        </w:rPr>
        <w:t>Hexb</w:t>
      </w:r>
      <w:proofErr w:type="spellEnd"/>
      <w:r w:rsidR="00910398" w:rsidRPr="00F84F07">
        <w:rPr>
          <w:i/>
          <w:color w:val="auto"/>
          <w:vertAlign w:val="superscript"/>
          <w:lang w:val="en-GB"/>
        </w:rPr>
        <w:t>-/-</w:t>
      </w:r>
      <w:r w:rsidR="0090656C" w:rsidRPr="00F84F07">
        <w:rPr>
          <w:color w:val="auto"/>
          <w:lang w:val="en-GB"/>
        </w:rPr>
        <w:t xml:space="preserve"> </w:t>
      </w:r>
      <w:r w:rsidR="0090656C">
        <w:rPr>
          <w:lang w:val="en-GB"/>
        </w:rPr>
        <w:t>mice</w:t>
      </w:r>
      <w:r w:rsidRPr="00B459E7">
        <w:rPr>
          <w:lang w:val="en-GB"/>
        </w:rPr>
        <w:t>.</w:t>
      </w:r>
      <w:r w:rsidRPr="00B459E7">
        <w:rPr>
          <w:b/>
          <w:lang w:val="en-GB"/>
        </w:rPr>
        <w:t xml:space="preserve"> </w:t>
      </w:r>
      <w:r w:rsidRPr="00B459E7">
        <w:rPr>
          <w:lang w:val="en-GB"/>
        </w:rPr>
        <w:t>Wild-type untreated (</w:t>
      </w:r>
      <w:proofErr w:type="spellStart"/>
      <w:r w:rsidRPr="00B459E7">
        <w:rPr>
          <w:i/>
          <w:lang w:val="en-GB"/>
        </w:rPr>
        <w:t>Hexb</w:t>
      </w:r>
      <w:proofErr w:type="spellEnd"/>
      <w:r w:rsidRPr="00B459E7">
        <w:rPr>
          <w:i/>
          <w:vertAlign w:val="superscript"/>
          <w:lang w:val="en-GB"/>
        </w:rPr>
        <w:t>+/+</w:t>
      </w:r>
      <w:r w:rsidR="00297669" w:rsidRPr="00B459E7">
        <w:rPr>
          <w:lang w:val="en-GB"/>
        </w:rPr>
        <w:t>),</w:t>
      </w:r>
      <w:r w:rsidR="00297669" w:rsidRPr="00B459E7">
        <w:rPr>
          <w:i/>
          <w:vertAlign w:val="superscript"/>
          <w:lang w:val="en-GB"/>
        </w:rPr>
        <w:t xml:space="preserve"> </w:t>
      </w:r>
      <w:proofErr w:type="spellStart"/>
      <w:r w:rsidR="00297669" w:rsidRPr="00B459E7">
        <w:rPr>
          <w:lang w:val="en-GB"/>
        </w:rPr>
        <w:t>Sandhoff</w:t>
      </w:r>
      <w:proofErr w:type="spellEnd"/>
      <w:r w:rsidRPr="00B459E7">
        <w:rPr>
          <w:lang w:val="en-GB"/>
        </w:rPr>
        <w:t xml:space="preserve"> untreated (</w:t>
      </w:r>
      <w:proofErr w:type="spellStart"/>
      <w:r w:rsidRPr="00B459E7">
        <w:rPr>
          <w:i/>
          <w:lang w:val="en-GB"/>
        </w:rPr>
        <w:t>Hexb</w:t>
      </w:r>
      <w:proofErr w:type="spellEnd"/>
      <w:r w:rsidRPr="00B459E7">
        <w:rPr>
          <w:i/>
          <w:vertAlign w:val="superscript"/>
          <w:lang w:val="en-GB"/>
        </w:rPr>
        <w:t xml:space="preserve">-/- </w:t>
      </w:r>
      <w:r w:rsidRPr="00B459E7">
        <w:rPr>
          <w:lang w:val="en-GB"/>
        </w:rPr>
        <w:t>UT), ADLL (</w:t>
      </w:r>
      <w:proofErr w:type="spellStart"/>
      <w:r w:rsidRPr="00B459E7">
        <w:rPr>
          <w:i/>
          <w:lang w:val="en-GB"/>
        </w:rPr>
        <w:t>Hexb</w:t>
      </w:r>
      <w:proofErr w:type="spellEnd"/>
      <w:r w:rsidRPr="00B459E7">
        <w:rPr>
          <w:i/>
          <w:vertAlign w:val="superscript"/>
          <w:lang w:val="en-GB"/>
        </w:rPr>
        <w:t>-/-</w:t>
      </w:r>
      <w:r w:rsidRPr="00B459E7">
        <w:rPr>
          <w:lang w:val="en-GB"/>
        </w:rPr>
        <w:t xml:space="preserve">ADLL). </w:t>
      </w:r>
      <w:r w:rsidR="00AA7226">
        <w:rPr>
          <w:lang w:val="en-GB"/>
        </w:rPr>
        <w:t xml:space="preserve">In total, </w:t>
      </w:r>
      <w:r w:rsidR="00650E8C">
        <w:rPr>
          <w:lang w:val="en-GB"/>
        </w:rPr>
        <w:t>four</w:t>
      </w:r>
      <w:r w:rsidR="00650E8C" w:rsidRPr="00B459E7">
        <w:rPr>
          <w:lang w:val="en-GB"/>
        </w:rPr>
        <w:t xml:space="preserve"> </w:t>
      </w:r>
      <w:r w:rsidRPr="00B459E7">
        <w:rPr>
          <w:lang w:val="en-GB"/>
        </w:rPr>
        <w:t xml:space="preserve">animals for </w:t>
      </w:r>
      <w:proofErr w:type="spellStart"/>
      <w:r w:rsidRPr="00B459E7">
        <w:rPr>
          <w:i/>
          <w:lang w:val="en-GB"/>
        </w:rPr>
        <w:t>Hexb</w:t>
      </w:r>
      <w:proofErr w:type="spellEnd"/>
      <w:r w:rsidRPr="00B459E7">
        <w:rPr>
          <w:i/>
          <w:vertAlign w:val="superscript"/>
          <w:lang w:val="en-GB"/>
        </w:rPr>
        <w:t>+/+</w:t>
      </w:r>
      <w:r w:rsidRPr="00B459E7">
        <w:rPr>
          <w:lang w:val="en-GB"/>
        </w:rPr>
        <w:t>,</w:t>
      </w:r>
      <w:r w:rsidR="0031265E">
        <w:rPr>
          <w:lang w:val="en-GB"/>
        </w:rPr>
        <w:t xml:space="preserve"> and</w:t>
      </w:r>
      <w:r w:rsidRPr="00B459E7">
        <w:rPr>
          <w:lang w:val="en-GB"/>
        </w:rPr>
        <w:t xml:space="preserve"> </w:t>
      </w:r>
      <w:r w:rsidR="00650E8C">
        <w:rPr>
          <w:lang w:val="en-GB"/>
        </w:rPr>
        <w:t>five</w:t>
      </w:r>
      <w:r w:rsidR="00650E8C" w:rsidRPr="00B459E7">
        <w:rPr>
          <w:lang w:val="en-GB"/>
        </w:rPr>
        <w:t xml:space="preserve"> </w:t>
      </w:r>
      <w:r w:rsidRPr="00B459E7">
        <w:rPr>
          <w:lang w:val="en-GB"/>
        </w:rPr>
        <w:t xml:space="preserve">animals for </w:t>
      </w:r>
      <w:proofErr w:type="spellStart"/>
      <w:r w:rsidRPr="00B459E7">
        <w:rPr>
          <w:i/>
          <w:lang w:val="en-GB"/>
        </w:rPr>
        <w:t>Hexb</w:t>
      </w:r>
      <w:proofErr w:type="spellEnd"/>
      <w:r w:rsidRPr="00B459E7">
        <w:rPr>
          <w:i/>
          <w:vertAlign w:val="superscript"/>
          <w:lang w:val="en-GB"/>
        </w:rPr>
        <w:t xml:space="preserve">-/- </w:t>
      </w:r>
      <w:r w:rsidRPr="00B459E7">
        <w:rPr>
          <w:lang w:val="en-GB"/>
        </w:rPr>
        <w:t xml:space="preserve">UT and </w:t>
      </w:r>
      <w:proofErr w:type="spellStart"/>
      <w:r w:rsidRPr="00B459E7">
        <w:rPr>
          <w:i/>
          <w:lang w:val="en-GB"/>
        </w:rPr>
        <w:t>Hexb</w:t>
      </w:r>
      <w:proofErr w:type="spellEnd"/>
      <w:r w:rsidRPr="00B459E7">
        <w:rPr>
          <w:i/>
          <w:vertAlign w:val="superscript"/>
          <w:lang w:val="en-GB"/>
        </w:rPr>
        <w:t>-/-</w:t>
      </w:r>
      <w:r w:rsidRPr="00B459E7">
        <w:rPr>
          <w:lang w:val="en-GB"/>
        </w:rPr>
        <w:t xml:space="preserve">ADLL. Proteins of interests were </w:t>
      </w:r>
      <w:r w:rsidRPr="00B459E7">
        <w:rPr>
          <w:lang w:val="en-GB"/>
        </w:rPr>
        <w:lastRenderedPageBreak/>
        <w:t xml:space="preserve">probed by </w:t>
      </w:r>
      <w:r w:rsidR="00EA6886" w:rsidRPr="00B459E7">
        <w:rPr>
          <w:lang w:val="en-GB"/>
        </w:rPr>
        <w:t>Western</w:t>
      </w:r>
      <w:r w:rsidRPr="00B459E7">
        <w:rPr>
          <w:lang w:val="en-GB"/>
        </w:rPr>
        <w:t xml:space="preserve"> blot and </w:t>
      </w:r>
      <w:r w:rsidR="00F36FA0" w:rsidRPr="00B459E7">
        <w:rPr>
          <w:lang w:val="en-GB"/>
        </w:rPr>
        <w:t>normalized</w:t>
      </w:r>
      <w:r w:rsidRPr="00B459E7">
        <w:rPr>
          <w:lang w:val="en-GB"/>
        </w:rPr>
        <w:t xml:space="preserve"> to </w:t>
      </w:r>
      <w:r w:rsidR="00E77A6C" w:rsidRPr="00B459E7">
        <w:rPr>
          <w:rFonts w:ascii="Symbol" w:hAnsi="Symbol"/>
          <w:lang w:val="en-GB"/>
        </w:rPr>
        <w:t></w:t>
      </w:r>
      <w:r w:rsidRPr="00B459E7">
        <w:rPr>
          <w:lang w:val="en-GB"/>
        </w:rPr>
        <w:t xml:space="preserve"> actin. Fluorescence values were obtained with Fiji software and calculated relative to </w:t>
      </w:r>
      <w:proofErr w:type="spellStart"/>
      <w:r w:rsidRPr="00B459E7">
        <w:rPr>
          <w:i/>
          <w:lang w:val="en-GB"/>
        </w:rPr>
        <w:t>Hexb</w:t>
      </w:r>
      <w:proofErr w:type="spellEnd"/>
      <w:r w:rsidRPr="00B459E7">
        <w:rPr>
          <w:i/>
          <w:vertAlign w:val="superscript"/>
          <w:lang w:val="en-GB"/>
        </w:rPr>
        <w:t>+/+</w:t>
      </w:r>
      <w:r w:rsidRPr="00B459E7">
        <w:rPr>
          <w:lang w:val="en-GB"/>
        </w:rPr>
        <w:t xml:space="preserve">. </w:t>
      </w:r>
      <w:r w:rsidR="00C60BEE" w:rsidRPr="00B459E7">
        <w:rPr>
          <w:lang w:val="en-GB"/>
        </w:rPr>
        <w:t>(</w:t>
      </w:r>
      <w:r w:rsidRPr="00B459E7">
        <w:rPr>
          <w:b/>
          <w:lang w:val="en-GB"/>
        </w:rPr>
        <w:t>a</w:t>
      </w:r>
      <w:r w:rsidRPr="00B459E7">
        <w:rPr>
          <w:lang w:val="en-GB"/>
        </w:rPr>
        <w:t xml:space="preserve">) mTOR, p-mTOR expressions and mTOR </w:t>
      </w:r>
      <w:proofErr w:type="spellStart"/>
      <w:proofErr w:type="gramStart"/>
      <w:r w:rsidRPr="00B459E7">
        <w:rPr>
          <w:i/>
          <w:iCs/>
          <w:lang w:val="en-GB"/>
        </w:rPr>
        <w:t>p</w:t>
      </w:r>
      <w:r w:rsidRPr="00B459E7">
        <w:rPr>
          <w:lang w:val="en-GB"/>
        </w:rPr>
        <w:t>:T</w:t>
      </w:r>
      <w:proofErr w:type="spellEnd"/>
      <w:proofErr w:type="gramEnd"/>
      <w:r w:rsidRPr="00B459E7">
        <w:rPr>
          <w:lang w:val="en-GB"/>
        </w:rPr>
        <w:t xml:space="preserve"> rations, </w:t>
      </w:r>
      <w:r w:rsidR="00F90601">
        <w:rPr>
          <w:lang w:val="en-GB"/>
        </w:rPr>
        <w:t>m</w:t>
      </w:r>
      <w:r w:rsidRPr="00B459E7">
        <w:rPr>
          <w:lang w:val="en-GB"/>
        </w:rPr>
        <w:t>ean ± SD *</w:t>
      </w:r>
      <w:r w:rsidR="00C60BEE" w:rsidRPr="00B459E7">
        <w:rPr>
          <w:lang w:val="en-GB"/>
        </w:rPr>
        <w:t xml:space="preserve"> </w:t>
      </w:r>
      <w:r w:rsidRPr="00B459E7">
        <w:rPr>
          <w:i/>
          <w:lang w:val="en-GB"/>
        </w:rPr>
        <w:t>p</w:t>
      </w:r>
      <w:r w:rsidR="00C60BEE" w:rsidRPr="00B459E7">
        <w:rPr>
          <w:i/>
          <w:lang w:val="en-GB"/>
        </w:rPr>
        <w:t xml:space="preserve"> </w:t>
      </w:r>
      <w:r w:rsidRPr="00B459E7">
        <w:rPr>
          <w:lang w:val="en-GB"/>
        </w:rPr>
        <w:t>&lt;</w:t>
      </w:r>
      <w:r w:rsidR="00C60BEE" w:rsidRPr="00B459E7">
        <w:rPr>
          <w:lang w:val="en-GB"/>
        </w:rPr>
        <w:t xml:space="preserve"> </w:t>
      </w:r>
      <w:r w:rsidRPr="00B459E7">
        <w:rPr>
          <w:lang w:val="en-GB"/>
        </w:rPr>
        <w:t>0.05, (</w:t>
      </w:r>
      <w:r w:rsidR="00333B3C">
        <w:rPr>
          <w:lang w:val="en-GB"/>
        </w:rPr>
        <w:t>two-way</w:t>
      </w:r>
      <w:r w:rsidRPr="00B459E7">
        <w:rPr>
          <w:lang w:val="en-GB"/>
        </w:rPr>
        <w:t xml:space="preserve"> ANOVA). </w:t>
      </w:r>
      <w:r w:rsidR="00972530" w:rsidRPr="00B459E7">
        <w:rPr>
          <w:lang w:val="en-GB"/>
        </w:rPr>
        <w:t>(</w:t>
      </w:r>
      <w:r w:rsidRPr="00B459E7">
        <w:rPr>
          <w:b/>
          <w:lang w:val="en-GB"/>
        </w:rPr>
        <w:t>b</w:t>
      </w:r>
      <w:r w:rsidRPr="00B459E7">
        <w:rPr>
          <w:lang w:val="en-GB"/>
        </w:rPr>
        <w:t xml:space="preserve">) Western blot images of </w:t>
      </w:r>
      <w:r w:rsidRPr="00B459E7">
        <w:rPr>
          <w:i/>
          <w:iCs/>
          <w:lang w:val="en-GB"/>
        </w:rPr>
        <w:t>p</w:t>
      </w:r>
      <w:r w:rsidRPr="00B459E7">
        <w:rPr>
          <w:lang w:val="en-GB"/>
        </w:rPr>
        <w:t xml:space="preserve">-mTOR and mTOR proteins and their </w:t>
      </w:r>
      <w:r w:rsidR="00E77A6C" w:rsidRPr="00B459E7">
        <w:rPr>
          <w:rFonts w:ascii="Symbol" w:hAnsi="Symbol"/>
          <w:lang w:val="en-GB"/>
        </w:rPr>
        <w:t></w:t>
      </w:r>
      <w:r w:rsidRPr="00B459E7">
        <w:rPr>
          <w:lang w:val="en-GB"/>
        </w:rPr>
        <w:t xml:space="preserve">-actin loading controls. </w:t>
      </w:r>
      <w:r w:rsidR="00972530" w:rsidRPr="00B459E7">
        <w:rPr>
          <w:lang w:val="en-GB"/>
        </w:rPr>
        <w:t>(</w:t>
      </w:r>
      <w:r w:rsidRPr="00B459E7">
        <w:rPr>
          <w:b/>
          <w:lang w:val="en-GB"/>
        </w:rPr>
        <w:t>c</w:t>
      </w:r>
      <w:r w:rsidRPr="00B459E7">
        <w:rPr>
          <w:lang w:val="en-GB"/>
        </w:rPr>
        <w:t xml:space="preserve">) LC3-I, LC3-II expressions, and ratio of LC3-II versus LC3-I, </w:t>
      </w:r>
      <w:r w:rsidR="00B830CA">
        <w:rPr>
          <w:lang w:val="en-GB"/>
        </w:rPr>
        <w:t>m</w:t>
      </w:r>
      <w:r w:rsidRPr="00B459E7">
        <w:rPr>
          <w:lang w:val="en-GB"/>
        </w:rPr>
        <w:t>ean ± SD, *</w:t>
      </w:r>
      <w:r w:rsidRPr="00B459E7">
        <w:rPr>
          <w:i/>
          <w:lang w:val="en-GB"/>
        </w:rPr>
        <w:t>p</w:t>
      </w:r>
      <w:r w:rsidR="00C60BEE" w:rsidRPr="00B459E7">
        <w:rPr>
          <w:i/>
          <w:lang w:val="en-GB"/>
        </w:rPr>
        <w:t xml:space="preserve"> </w:t>
      </w:r>
      <w:r w:rsidRPr="00B459E7">
        <w:rPr>
          <w:lang w:val="en-GB"/>
        </w:rPr>
        <w:t>=</w:t>
      </w:r>
      <w:r w:rsidR="00C60BEE" w:rsidRPr="00B459E7">
        <w:rPr>
          <w:lang w:val="en-GB"/>
        </w:rPr>
        <w:t xml:space="preserve"> </w:t>
      </w:r>
      <w:r w:rsidRPr="00B459E7">
        <w:rPr>
          <w:lang w:val="en-GB"/>
        </w:rPr>
        <w:t>0.0483, **</w:t>
      </w:r>
      <w:r w:rsidR="00C60BEE" w:rsidRPr="00B459E7">
        <w:rPr>
          <w:lang w:val="en-GB"/>
        </w:rPr>
        <w:t xml:space="preserve"> </w:t>
      </w:r>
      <w:r w:rsidRPr="00B459E7">
        <w:rPr>
          <w:i/>
          <w:lang w:val="en-GB"/>
        </w:rPr>
        <w:t>p</w:t>
      </w:r>
      <w:r w:rsidR="00C60BEE" w:rsidRPr="00B459E7">
        <w:rPr>
          <w:i/>
          <w:lang w:val="en-GB"/>
        </w:rPr>
        <w:t xml:space="preserve"> </w:t>
      </w:r>
      <w:r w:rsidRPr="00B459E7">
        <w:rPr>
          <w:lang w:val="en-GB"/>
        </w:rPr>
        <w:t>=</w:t>
      </w:r>
      <w:r w:rsidR="00C60BEE" w:rsidRPr="00B459E7">
        <w:rPr>
          <w:lang w:val="en-GB"/>
        </w:rPr>
        <w:t xml:space="preserve"> </w:t>
      </w:r>
      <w:r w:rsidRPr="00B459E7">
        <w:rPr>
          <w:lang w:val="en-GB"/>
        </w:rPr>
        <w:t>0.0011,</w:t>
      </w:r>
      <w:r w:rsidRPr="00B459E7">
        <w:rPr>
          <w:i/>
          <w:lang w:val="en-GB"/>
        </w:rPr>
        <w:t xml:space="preserve"> </w:t>
      </w:r>
      <w:r w:rsidRPr="00B459E7">
        <w:rPr>
          <w:lang w:val="en-GB"/>
        </w:rPr>
        <w:t>***</w:t>
      </w:r>
      <w:r w:rsidR="00C60BEE" w:rsidRPr="00B459E7">
        <w:rPr>
          <w:lang w:val="en-GB"/>
        </w:rPr>
        <w:t xml:space="preserve"> </w:t>
      </w:r>
      <w:r w:rsidRPr="00B459E7">
        <w:rPr>
          <w:i/>
          <w:lang w:val="en-GB"/>
        </w:rPr>
        <w:t>p</w:t>
      </w:r>
      <w:r w:rsidR="00C60BEE" w:rsidRPr="00B459E7">
        <w:rPr>
          <w:i/>
          <w:lang w:val="en-GB"/>
        </w:rPr>
        <w:t xml:space="preserve"> </w:t>
      </w:r>
      <w:r w:rsidRPr="00B459E7">
        <w:rPr>
          <w:lang w:val="en-GB"/>
        </w:rPr>
        <w:t>=</w:t>
      </w:r>
      <w:r w:rsidR="00C60BEE" w:rsidRPr="00B459E7">
        <w:rPr>
          <w:lang w:val="en-GB"/>
        </w:rPr>
        <w:t xml:space="preserve"> </w:t>
      </w:r>
      <w:r w:rsidRPr="00B459E7">
        <w:rPr>
          <w:lang w:val="en-GB"/>
        </w:rPr>
        <w:t>0.0006, ****</w:t>
      </w:r>
      <w:r w:rsidR="00C60BEE" w:rsidRPr="00B459E7">
        <w:rPr>
          <w:lang w:val="en-GB"/>
        </w:rPr>
        <w:t xml:space="preserve"> </w:t>
      </w:r>
      <w:r w:rsidRPr="00B459E7">
        <w:rPr>
          <w:i/>
          <w:lang w:val="en-GB"/>
        </w:rPr>
        <w:t>p</w:t>
      </w:r>
      <w:r w:rsidR="00C60BEE" w:rsidRPr="00B459E7">
        <w:rPr>
          <w:i/>
          <w:lang w:val="en-GB"/>
        </w:rPr>
        <w:t xml:space="preserve"> </w:t>
      </w:r>
      <w:r w:rsidRPr="00B459E7">
        <w:rPr>
          <w:lang w:val="en-GB"/>
        </w:rPr>
        <w:t>&lt;</w:t>
      </w:r>
      <w:r w:rsidR="00C60BEE" w:rsidRPr="00B459E7">
        <w:rPr>
          <w:lang w:val="en-GB"/>
        </w:rPr>
        <w:t xml:space="preserve"> </w:t>
      </w:r>
      <w:r w:rsidRPr="00B459E7">
        <w:rPr>
          <w:lang w:val="en-GB"/>
        </w:rPr>
        <w:t>0.0001 (</w:t>
      </w:r>
      <w:r w:rsidR="00333B3C">
        <w:rPr>
          <w:lang w:val="en-GB"/>
        </w:rPr>
        <w:t>two-way</w:t>
      </w:r>
      <w:r w:rsidRPr="00B459E7">
        <w:rPr>
          <w:lang w:val="en-GB"/>
        </w:rPr>
        <w:t xml:space="preserve"> ANOVA).</w:t>
      </w:r>
      <w:r w:rsidR="00435CFD" w:rsidRPr="00B459E7">
        <w:rPr>
          <w:lang w:val="en-GB"/>
        </w:rPr>
        <w:t xml:space="preserve"> </w:t>
      </w:r>
      <w:r w:rsidR="00972530" w:rsidRPr="00B459E7">
        <w:rPr>
          <w:lang w:val="en-GB"/>
        </w:rPr>
        <w:t>(</w:t>
      </w:r>
      <w:r w:rsidRPr="00B459E7">
        <w:rPr>
          <w:b/>
          <w:lang w:val="en-GB"/>
        </w:rPr>
        <w:t>d</w:t>
      </w:r>
      <w:r w:rsidRPr="00B459E7">
        <w:rPr>
          <w:lang w:val="en-GB"/>
        </w:rPr>
        <w:t>)</w:t>
      </w:r>
      <w:r w:rsidRPr="00B459E7">
        <w:rPr>
          <w:b/>
          <w:lang w:val="en-GB"/>
        </w:rPr>
        <w:t xml:space="preserve"> </w:t>
      </w:r>
      <w:r w:rsidRPr="00B459E7">
        <w:rPr>
          <w:lang w:val="en-GB"/>
        </w:rPr>
        <w:t xml:space="preserve">p62 levels, </w:t>
      </w:r>
      <w:r w:rsidR="003A36B5">
        <w:rPr>
          <w:lang w:val="en-GB"/>
        </w:rPr>
        <w:t>m</w:t>
      </w:r>
      <w:r w:rsidRPr="00B459E7">
        <w:rPr>
          <w:lang w:val="en-GB"/>
        </w:rPr>
        <w:t>ean ± SD (</w:t>
      </w:r>
      <w:r w:rsidR="00B830CA">
        <w:rPr>
          <w:lang w:val="en-GB"/>
        </w:rPr>
        <w:t>o</w:t>
      </w:r>
      <w:r w:rsidR="00B830CA" w:rsidRPr="00B459E7">
        <w:rPr>
          <w:lang w:val="en-GB"/>
        </w:rPr>
        <w:t>ne</w:t>
      </w:r>
      <w:r w:rsidRPr="00B459E7">
        <w:rPr>
          <w:lang w:val="en-GB"/>
        </w:rPr>
        <w:t>-way ANOVA).</w:t>
      </w:r>
      <w:r w:rsidR="00435CFD" w:rsidRPr="00B459E7">
        <w:rPr>
          <w:lang w:val="en-GB"/>
        </w:rPr>
        <w:t xml:space="preserve"> </w:t>
      </w:r>
      <w:r w:rsidR="001667A7" w:rsidRPr="00B459E7">
        <w:rPr>
          <w:lang w:val="en-GB"/>
        </w:rPr>
        <w:t>(</w:t>
      </w:r>
      <w:r w:rsidRPr="00B459E7">
        <w:rPr>
          <w:b/>
          <w:lang w:val="en-GB"/>
        </w:rPr>
        <w:t>e</w:t>
      </w:r>
      <w:r w:rsidRPr="00B459E7">
        <w:rPr>
          <w:lang w:val="en-GB"/>
        </w:rPr>
        <w:t xml:space="preserve">) Western blot images of LC3s and p62 with their </w:t>
      </w:r>
      <w:r w:rsidR="00E77A6C" w:rsidRPr="00B459E7">
        <w:rPr>
          <w:rFonts w:ascii="Symbol" w:hAnsi="Symbol"/>
          <w:lang w:val="en-GB"/>
        </w:rPr>
        <w:t></w:t>
      </w:r>
      <w:r w:rsidRPr="00B459E7">
        <w:rPr>
          <w:lang w:val="en-GB"/>
        </w:rPr>
        <w:t xml:space="preserve">-actin loading controls. </w:t>
      </w:r>
      <w:r w:rsidR="008D69E4" w:rsidRPr="00B459E7">
        <w:rPr>
          <w:lang w:val="en-GB"/>
        </w:rPr>
        <w:t xml:space="preserve">Samples on the same blots were cut </w:t>
      </w:r>
      <w:r w:rsidR="00C673AD" w:rsidRPr="00B459E7">
        <w:rPr>
          <w:lang w:val="en-GB"/>
        </w:rPr>
        <w:t xml:space="preserve">(inserted lines) </w:t>
      </w:r>
      <w:r w:rsidR="008D69E4" w:rsidRPr="00B459E7">
        <w:rPr>
          <w:lang w:val="en-GB"/>
        </w:rPr>
        <w:t>for appropriate visual representation.</w:t>
      </w:r>
    </w:p>
    <w:p w14:paraId="71148359" w14:textId="68CC67F6" w:rsidR="00795204" w:rsidRPr="00B459E7" w:rsidRDefault="006F162A" w:rsidP="00497AEE">
      <w:pPr>
        <w:pStyle w:val="MDPI22heading2"/>
        <w:rPr>
          <w:lang w:val="en-GB"/>
        </w:rPr>
      </w:pPr>
      <w:r w:rsidRPr="00F84F07">
        <w:rPr>
          <w:lang w:val="en-GB"/>
        </w:rPr>
        <w:t>3.3. ADLL</w:t>
      </w:r>
      <w:r w:rsidR="00795204" w:rsidRPr="00F84F07">
        <w:rPr>
          <w:lang w:val="en-GB"/>
        </w:rPr>
        <w:t xml:space="preserve"> </w:t>
      </w:r>
      <w:r w:rsidR="00C5547C" w:rsidRPr="00F84F07">
        <w:rPr>
          <w:lang w:val="en-GB"/>
        </w:rPr>
        <w:t xml:space="preserve">Normalizes Metabolic Abnormalities </w:t>
      </w:r>
      <w:r w:rsidR="00795204" w:rsidRPr="00F84F07">
        <w:rPr>
          <w:lang w:val="en-GB"/>
        </w:rPr>
        <w:t xml:space="preserve">in Sandhoff </w:t>
      </w:r>
      <w:r w:rsidR="00C5547C" w:rsidRPr="00F84F07">
        <w:rPr>
          <w:lang w:val="en-GB"/>
        </w:rPr>
        <w:t xml:space="preserve">Mouse </w:t>
      </w:r>
      <w:bookmarkEnd w:id="12"/>
      <w:r w:rsidR="00C5547C" w:rsidRPr="00F84F07">
        <w:rPr>
          <w:lang w:val="en-GB"/>
        </w:rPr>
        <w:t>Cerebellum</w:t>
      </w:r>
    </w:p>
    <w:p w14:paraId="621A5A4E" w14:textId="31159E66" w:rsidR="0073424F" w:rsidRPr="00B459E7" w:rsidRDefault="00C60BEE" w:rsidP="00C60BEE">
      <w:pPr>
        <w:pStyle w:val="MDPI23heading3"/>
        <w:rPr>
          <w:lang w:val="en-GB"/>
        </w:rPr>
      </w:pPr>
      <w:r w:rsidRPr="00B459E7">
        <w:rPr>
          <w:lang w:val="en-GB"/>
        </w:rPr>
        <w:t xml:space="preserve">3.3.1. </w:t>
      </w:r>
      <w:r w:rsidR="0073424F" w:rsidRPr="00B459E7">
        <w:rPr>
          <w:lang w:val="en-GB"/>
        </w:rPr>
        <w:t xml:space="preserve">ADLL’s </w:t>
      </w:r>
      <w:r w:rsidR="00C5547C" w:rsidRPr="00B459E7">
        <w:rPr>
          <w:lang w:val="en-GB"/>
        </w:rPr>
        <w:t xml:space="preserve">Effect </w:t>
      </w:r>
      <w:r w:rsidR="0073424F" w:rsidRPr="00B459E7">
        <w:rPr>
          <w:lang w:val="en-GB"/>
        </w:rPr>
        <w:t xml:space="preserve">on </w:t>
      </w:r>
      <w:r w:rsidR="00C5547C" w:rsidRPr="00B459E7">
        <w:rPr>
          <w:lang w:val="en-GB"/>
        </w:rPr>
        <w:t xml:space="preserve">Branched Chain Amino </w:t>
      </w:r>
      <w:r w:rsidR="004B29B9" w:rsidRPr="00B459E7">
        <w:rPr>
          <w:lang w:val="en-GB"/>
        </w:rPr>
        <w:t xml:space="preserve">Acid </w:t>
      </w:r>
      <w:r w:rsidR="0073424F" w:rsidRPr="00B459E7">
        <w:rPr>
          <w:lang w:val="en-GB"/>
        </w:rPr>
        <w:t xml:space="preserve">and </w:t>
      </w:r>
      <w:r w:rsidR="00C5547C" w:rsidRPr="00B459E7">
        <w:rPr>
          <w:lang w:val="en-GB"/>
        </w:rPr>
        <w:t>Glutamate Metabolism</w:t>
      </w:r>
    </w:p>
    <w:p w14:paraId="3AFFD2DC" w14:textId="52960D43" w:rsidR="00795204" w:rsidRPr="00B459E7" w:rsidRDefault="00795204" w:rsidP="00C01C4A">
      <w:pPr>
        <w:widowControl w:val="0"/>
        <w:adjustRightInd w:val="0"/>
        <w:snapToGrid w:val="0"/>
        <w:spacing w:line="240" w:lineRule="auto"/>
        <w:ind w:firstLine="420"/>
        <w:rPr>
          <w:rFonts w:ascii="Palatino Linotype" w:hAnsi="Palatino Linotype"/>
          <w:sz w:val="20"/>
          <w:lang w:val="en-GB"/>
        </w:rPr>
      </w:pPr>
      <w:r w:rsidRPr="00B459E7">
        <w:rPr>
          <w:rFonts w:ascii="Palatino Linotype" w:hAnsi="Palatino Linotype"/>
          <w:sz w:val="20"/>
          <w:lang w:val="en-GB"/>
        </w:rPr>
        <w:t>In addition to the known effects of the branched chain amino acid leucine on mTOR</w:t>
      </w:r>
      <w:r w:rsidR="00C01C4A" w:rsidRPr="00B459E7">
        <w:rPr>
          <w:rFonts w:ascii="Palatino Linotype" w:hAnsi="Palatino Linotype"/>
          <w:sz w:val="20"/>
          <w:lang w:val="en-GB"/>
        </w:rPr>
        <w:t xml:space="preserve"> </w:t>
      </w:r>
      <w:r w:rsidR="0086309B" w:rsidRPr="00B459E7">
        <w:rPr>
          <w:rFonts w:ascii="Palatino Linotype" w:hAnsi="Palatino Linotype"/>
          <w:noProof/>
          <w:sz w:val="20"/>
          <w:lang w:val="en-GB"/>
        </w:rPr>
        <w:t>[26]</w:t>
      </w:r>
      <w:r w:rsidRPr="00B459E7">
        <w:rPr>
          <w:rFonts w:ascii="Palatino Linotype" w:hAnsi="Palatino Linotype"/>
          <w:sz w:val="20"/>
          <w:lang w:val="en-GB"/>
        </w:rPr>
        <w:t xml:space="preserve"> and autophagy</w:t>
      </w:r>
      <w:r w:rsidR="00C01C4A" w:rsidRPr="00B459E7">
        <w:rPr>
          <w:rFonts w:ascii="Palatino Linotype" w:hAnsi="Palatino Linotype"/>
          <w:sz w:val="20"/>
          <w:lang w:val="en-GB"/>
        </w:rPr>
        <w:t xml:space="preserve"> </w:t>
      </w:r>
      <w:r w:rsidR="0086309B" w:rsidRPr="00B459E7">
        <w:rPr>
          <w:rFonts w:ascii="Palatino Linotype" w:hAnsi="Palatino Linotype"/>
          <w:noProof/>
          <w:sz w:val="20"/>
          <w:lang w:val="en-GB"/>
        </w:rPr>
        <w:t>[27,28]</w:t>
      </w:r>
      <w:r w:rsidRPr="00B459E7">
        <w:rPr>
          <w:rFonts w:ascii="Palatino Linotype" w:hAnsi="Palatino Linotype"/>
          <w:sz w:val="20"/>
          <w:lang w:val="en-GB"/>
        </w:rPr>
        <w:t xml:space="preserve">, leucine also plays a role in glutamine and glutamate </w:t>
      </w:r>
      <w:r w:rsidR="001E784E" w:rsidRPr="00B459E7">
        <w:rPr>
          <w:rFonts w:ascii="Palatino Linotype" w:hAnsi="Palatino Linotype"/>
          <w:sz w:val="20"/>
          <w:lang w:val="en-GB"/>
        </w:rPr>
        <w:t>utili</w:t>
      </w:r>
      <w:r w:rsidR="001E784E">
        <w:rPr>
          <w:rFonts w:ascii="Palatino Linotype" w:hAnsi="Palatino Linotype"/>
          <w:sz w:val="20"/>
          <w:lang w:val="en-GB"/>
        </w:rPr>
        <w:t>s</w:t>
      </w:r>
      <w:r w:rsidR="001E784E" w:rsidRPr="00B459E7">
        <w:rPr>
          <w:rFonts w:ascii="Palatino Linotype" w:hAnsi="Palatino Linotype"/>
          <w:sz w:val="20"/>
          <w:lang w:val="en-GB"/>
        </w:rPr>
        <w:t xml:space="preserve">ation </w:t>
      </w:r>
      <w:r w:rsidRPr="00B459E7">
        <w:rPr>
          <w:rFonts w:ascii="Palatino Linotype" w:hAnsi="Palatino Linotype"/>
          <w:sz w:val="20"/>
          <w:lang w:val="en-GB"/>
        </w:rPr>
        <w:t>when glucose metabolism is deficient/impaired</w:t>
      </w:r>
      <w:r w:rsidR="00C01C4A" w:rsidRPr="00B459E7">
        <w:rPr>
          <w:rFonts w:ascii="Palatino Linotype" w:hAnsi="Palatino Linotype"/>
          <w:sz w:val="20"/>
          <w:lang w:val="en-GB"/>
        </w:rPr>
        <w:t xml:space="preserve"> </w:t>
      </w:r>
      <w:r w:rsidR="0086309B" w:rsidRPr="00B459E7">
        <w:rPr>
          <w:rFonts w:ascii="Palatino Linotype" w:hAnsi="Palatino Linotype"/>
          <w:noProof/>
          <w:sz w:val="20"/>
          <w:lang w:val="en-GB"/>
        </w:rPr>
        <w:t>[29</w:t>
      </w:r>
      <w:r w:rsidR="00C01C4A" w:rsidRPr="00B459E7">
        <w:rPr>
          <w:rFonts w:ascii="Palatino Linotype" w:hAnsi="Palatino Linotype"/>
          <w:noProof/>
          <w:sz w:val="20"/>
          <w:lang w:val="en-GB"/>
        </w:rPr>
        <w:t>,</w:t>
      </w:r>
      <w:r w:rsidR="0086309B" w:rsidRPr="00B459E7">
        <w:rPr>
          <w:rFonts w:ascii="Palatino Linotype" w:hAnsi="Palatino Linotype"/>
          <w:noProof/>
          <w:sz w:val="20"/>
          <w:lang w:val="en-GB"/>
        </w:rPr>
        <w:t>30]</w:t>
      </w:r>
      <w:r w:rsidRPr="00B459E7">
        <w:rPr>
          <w:rFonts w:ascii="Palatino Linotype" w:hAnsi="Palatino Linotype"/>
          <w:sz w:val="20"/>
          <w:lang w:val="en-GB"/>
        </w:rPr>
        <w:t>. Leucine catabolism provides a source of acetyl CoA</w:t>
      </w:r>
      <w:r w:rsidR="00C01C4A" w:rsidRPr="00B459E7">
        <w:rPr>
          <w:rFonts w:ascii="Palatino Linotype" w:hAnsi="Palatino Linotype"/>
          <w:sz w:val="20"/>
          <w:lang w:val="en-GB"/>
        </w:rPr>
        <w:t xml:space="preserve"> </w:t>
      </w:r>
      <w:r w:rsidR="0086309B" w:rsidRPr="00B459E7">
        <w:rPr>
          <w:rFonts w:ascii="Palatino Linotype" w:hAnsi="Palatino Linotype"/>
          <w:noProof/>
          <w:sz w:val="20"/>
          <w:lang w:val="en-GB"/>
        </w:rPr>
        <w:t>[31]</w:t>
      </w:r>
      <w:r w:rsidR="0096011A">
        <w:rPr>
          <w:rFonts w:ascii="Palatino Linotype" w:hAnsi="Palatino Linotype"/>
          <w:sz w:val="20"/>
          <w:lang w:val="en-GB"/>
        </w:rPr>
        <w:t>.</w:t>
      </w:r>
      <w:r w:rsidRPr="00B459E7">
        <w:rPr>
          <w:rFonts w:ascii="Palatino Linotype" w:hAnsi="Palatino Linotype"/>
          <w:sz w:val="20"/>
          <w:lang w:val="en-GB"/>
        </w:rPr>
        <w:t xml:space="preserve"> </w:t>
      </w:r>
      <w:r w:rsidR="0096011A">
        <w:rPr>
          <w:rFonts w:ascii="Palatino Linotype" w:hAnsi="Palatino Linotype"/>
          <w:sz w:val="20"/>
          <w:lang w:val="en-GB"/>
        </w:rPr>
        <w:t>T</w:t>
      </w:r>
      <w:r w:rsidRPr="00B459E7">
        <w:rPr>
          <w:rFonts w:ascii="Palatino Linotype" w:hAnsi="Palatino Linotype"/>
          <w:sz w:val="20"/>
          <w:lang w:val="en-GB"/>
        </w:rPr>
        <w:t>herefore, we investigated levels of branched chain keto acid dehydrogenase E1 alpha polypeptide</w:t>
      </w:r>
      <w:r w:rsidR="005E7C9D">
        <w:rPr>
          <w:rFonts w:ascii="Palatino Linotype" w:hAnsi="Palatino Linotype"/>
          <w:sz w:val="20"/>
          <w:lang w:val="en-GB"/>
        </w:rPr>
        <w:t xml:space="preserve"> (</w:t>
      </w:r>
      <w:r w:rsidR="005E7C9D" w:rsidRPr="00B459E7">
        <w:rPr>
          <w:rFonts w:ascii="Palatino Linotype" w:hAnsi="Palatino Linotype"/>
          <w:sz w:val="20"/>
          <w:lang w:val="en-GB"/>
        </w:rPr>
        <w:t>BCKDHA</w:t>
      </w:r>
      <w:r w:rsidRPr="00B459E7">
        <w:rPr>
          <w:rFonts w:ascii="Palatino Linotype" w:hAnsi="Palatino Linotype"/>
          <w:sz w:val="20"/>
          <w:lang w:val="en-GB"/>
        </w:rPr>
        <w:t>), which regulates the final step of leucine catabolism to acetyl CoA</w:t>
      </w:r>
      <w:r w:rsidR="00C01C4A" w:rsidRPr="00B459E7">
        <w:rPr>
          <w:rFonts w:ascii="Palatino Linotype" w:hAnsi="Palatino Linotype"/>
          <w:sz w:val="20"/>
          <w:lang w:val="en-GB"/>
        </w:rPr>
        <w:t xml:space="preserve"> </w:t>
      </w:r>
      <w:r w:rsidR="0086309B" w:rsidRPr="00B459E7">
        <w:rPr>
          <w:rFonts w:ascii="Palatino Linotype" w:hAnsi="Palatino Linotype"/>
          <w:noProof/>
          <w:sz w:val="20"/>
          <w:lang w:val="en-GB"/>
        </w:rPr>
        <w:t>[32]</w:t>
      </w:r>
      <w:r w:rsidRPr="00B459E7">
        <w:rPr>
          <w:rFonts w:ascii="Palatino Linotype" w:hAnsi="Palatino Linotype"/>
          <w:sz w:val="20"/>
          <w:lang w:val="en-GB"/>
        </w:rPr>
        <w:t xml:space="preserve">. No difference in BCKDHA protein </w:t>
      </w:r>
      <w:r w:rsidRPr="00F84F07">
        <w:rPr>
          <w:rFonts w:ascii="Palatino Linotype" w:hAnsi="Palatino Linotype"/>
          <w:sz w:val="20"/>
          <w:lang w:val="en-GB"/>
        </w:rPr>
        <w:t>levels w</w:t>
      </w:r>
      <w:r w:rsidR="00E66C77" w:rsidRPr="00F84F07">
        <w:rPr>
          <w:rFonts w:ascii="Palatino Linotype" w:hAnsi="Palatino Linotype"/>
          <w:sz w:val="20"/>
          <w:lang w:val="en-GB"/>
        </w:rPr>
        <w:t>ere</w:t>
      </w:r>
      <w:r w:rsidRPr="00F84F07">
        <w:rPr>
          <w:rFonts w:ascii="Palatino Linotype" w:hAnsi="Palatino Linotype"/>
          <w:sz w:val="20"/>
          <w:lang w:val="en-GB"/>
        </w:rPr>
        <w:t xml:space="preserve"> found</w:t>
      </w:r>
      <w:r w:rsidRPr="00B459E7">
        <w:rPr>
          <w:rFonts w:ascii="Palatino Linotype" w:hAnsi="Palatino Linotype"/>
          <w:sz w:val="20"/>
          <w:lang w:val="en-GB"/>
        </w:rPr>
        <w:t xml:space="preserve"> between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and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in the absence or presence of ADLL treatment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3</w:t>
      </w:r>
      <w:proofErr w:type="gramStart"/>
      <w:r w:rsidR="00C01C4A" w:rsidRPr="00B459E7">
        <w:rPr>
          <w:rFonts w:ascii="Palatino Linotype" w:hAnsi="Palatino Linotype"/>
          <w:sz w:val="20"/>
          <w:lang w:val="en-GB"/>
        </w:rPr>
        <w:t>a,</w:t>
      </w:r>
      <w:r w:rsidR="00661EC9" w:rsidRPr="00B459E7">
        <w:rPr>
          <w:rFonts w:ascii="Palatino Linotype" w:hAnsi="Palatino Linotype"/>
          <w:sz w:val="20"/>
          <w:lang w:val="en-GB"/>
        </w:rPr>
        <w:t>d</w:t>
      </w:r>
      <w:proofErr w:type="gramEnd"/>
      <w:r w:rsidRPr="00B459E7">
        <w:rPr>
          <w:rFonts w:ascii="Palatino Linotype" w:hAnsi="Palatino Linotype"/>
          <w:sz w:val="20"/>
          <w:lang w:val="en-GB"/>
        </w:rPr>
        <w:t xml:space="preserve">). There were also no statistical differences between healthy and diseased mice with regard to the inactive phosphorylated form of BCKDHA, or its </w:t>
      </w:r>
      <w:r w:rsidRPr="00B459E7">
        <w:rPr>
          <w:rFonts w:ascii="Palatino Linotype" w:hAnsi="Palatino Linotype"/>
          <w:i/>
          <w:iCs/>
          <w:sz w:val="20"/>
          <w:lang w:val="en-GB"/>
        </w:rPr>
        <w:t>p</w:t>
      </w:r>
      <w:r w:rsidRPr="00B459E7">
        <w:rPr>
          <w:rFonts w:ascii="Palatino Linotype" w:hAnsi="Palatino Linotype"/>
          <w:sz w:val="20"/>
          <w:lang w:val="en-GB"/>
        </w:rPr>
        <w:t>:T ratio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3</w:t>
      </w:r>
      <w:proofErr w:type="gramStart"/>
      <w:r w:rsidR="00C01C4A" w:rsidRPr="00B459E7">
        <w:rPr>
          <w:rFonts w:ascii="Palatino Linotype" w:hAnsi="Palatino Linotype"/>
          <w:sz w:val="20"/>
          <w:lang w:val="en-GB"/>
        </w:rPr>
        <w:t>a,</w:t>
      </w:r>
      <w:r w:rsidR="00661EC9" w:rsidRPr="00B459E7">
        <w:rPr>
          <w:rFonts w:ascii="Palatino Linotype" w:hAnsi="Palatino Linotype"/>
          <w:sz w:val="20"/>
          <w:lang w:val="en-GB"/>
        </w:rPr>
        <w:t>d</w:t>
      </w:r>
      <w:proofErr w:type="gramEnd"/>
      <w:r w:rsidRPr="00B459E7">
        <w:rPr>
          <w:rFonts w:ascii="Palatino Linotype" w:hAnsi="Palatino Linotype"/>
          <w:sz w:val="20"/>
          <w:lang w:val="en-GB"/>
        </w:rPr>
        <w:t xml:space="preserve">). Although ADLL decreased </w:t>
      </w:r>
      <w:r w:rsidRPr="00B459E7">
        <w:rPr>
          <w:rFonts w:ascii="Palatino Linotype" w:hAnsi="Palatino Linotype"/>
          <w:i/>
          <w:iCs/>
          <w:sz w:val="20"/>
          <w:lang w:val="en-GB"/>
        </w:rPr>
        <w:t>p</w:t>
      </w:r>
      <w:r w:rsidRPr="00B459E7">
        <w:rPr>
          <w:rFonts w:ascii="Palatino Linotype" w:hAnsi="Palatino Linotype"/>
          <w:sz w:val="20"/>
          <w:lang w:val="en-GB"/>
        </w:rPr>
        <w:t xml:space="preserve">-BCKADH levels significantly (24.3%, </w:t>
      </w:r>
      <w:r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Pr="00B459E7">
        <w:rPr>
          <w:rFonts w:ascii="Palatino Linotype" w:hAnsi="Palatino Linotype"/>
          <w:i/>
          <w:sz w:val="20"/>
          <w:lang w:val="en-GB"/>
        </w:rPr>
        <w:t>=</w:t>
      </w:r>
      <w:r w:rsidR="00C01C4A" w:rsidRPr="00B459E7">
        <w:rPr>
          <w:rFonts w:ascii="Palatino Linotype" w:hAnsi="Palatino Linotype"/>
          <w:i/>
          <w:sz w:val="20"/>
          <w:lang w:val="en-GB"/>
        </w:rPr>
        <w:t xml:space="preserve"> </w:t>
      </w:r>
      <w:r w:rsidRPr="00B459E7">
        <w:rPr>
          <w:rFonts w:ascii="Palatino Linotype" w:hAnsi="Palatino Linotype"/>
          <w:sz w:val="20"/>
          <w:lang w:val="en-GB"/>
        </w:rPr>
        <w:t xml:space="preserve">0.0494), the absence of a change in its </w:t>
      </w:r>
      <w:r w:rsidRPr="00B459E7">
        <w:rPr>
          <w:rFonts w:ascii="Palatino Linotype" w:hAnsi="Palatino Linotype"/>
          <w:i/>
          <w:iCs/>
          <w:sz w:val="20"/>
          <w:lang w:val="en-GB"/>
        </w:rPr>
        <w:t>p</w:t>
      </w:r>
      <w:r w:rsidRPr="00B459E7">
        <w:rPr>
          <w:rFonts w:ascii="Palatino Linotype" w:hAnsi="Palatino Linotype"/>
          <w:sz w:val="20"/>
          <w:lang w:val="en-GB"/>
        </w:rPr>
        <w:t xml:space="preserve">:T ratio indicated </w:t>
      </w:r>
      <w:r w:rsidR="005E057C">
        <w:rPr>
          <w:rFonts w:ascii="Palatino Linotype" w:hAnsi="Palatino Linotype"/>
          <w:sz w:val="20"/>
          <w:lang w:val="en-GB"/>
        </w:rPr>
        <w:t xml:space="preserve">that </w:t>
      </w:r>
      <w:r w:rsidRPr="00B459E7">
        <w:rPr>
          <w:rFonts w:ascii="Palatino Linotype" w:hAnsi="Palatino Linotype"/>
          <w:sz w:val="20"/>
          <w:lang w:val="en-GB"/>
        </w:rPr>
        <w:t>ADLL did not directly impact on BCKDHA</w:t>
      </w:r>
      <w:r w:rsidRPr="00B459E7" w:rsidDel="00B160C2">
        <w:rPr>
          <w:rFonts w:ascii="Palatino Linotype" w:hAnsi="Palatino Linotype"/>
          <w:sz w:val="20"/>
          <w:lang w:val="en-GB"/>
        </w:rPr>
        <w:t xml:space="preserve"> </w:t>
      </w:r>
      <w:r w:rsidRPr="00B459E7">
        <w:rPr>
          <w:rFonts w:ascii="Palatino Linotype" w:hAnsi="Palatino Linotype"/>
          <w:sz w:val="20"/>
          <w:lang w:val="en-GB"/>
        </w:rPr>
        <w:t>activity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3</w:t>
      </w:r>
      <w:proofErr w:type="gramStart"/>
      <w:r w:rsidR="00C01C4A" w:rsidRPr="00B459E7">
        <w:rPr>
          <w:rFonts w:ascii="Palatino Linotype" w:hAnsi="Palatino Linotype"/>
          <w:sz w:val="20"/>
          <w:lang w:val="en-GB"/>
        </w:rPr>
        <w:t>a,</w:t>
      </w:r>
      <w:r w:rsidR="00661EC9" w:rsidRPr="00B459E7">
        <w:rPr>
          <w:rFonts w:ascii="Palatino Linotype" w:hAnsi="Palatino Linotype"/>
          <w:sz w:val="20"/>
          <w:lang w:val="en-GB"/>
        </w:rPr>
        <w:t>d</w:t>
      </w:r>
      <w:proofErr w:type="gramEnd"/>
      <w:r w:rsidRPr="00B459E7">
        <w:rPr>
          <w:rFonts w:ascii="Palatino Linotype" w:hAnsi="Palatino Linotype"/>
          <w:sz w:val="20"/>
          <w:lang w:val="en-GB"/>
        </w:rPr>
        <w:t>). Therefore, although there was a trend towards BCKADH activation with ADLL treatment, indicating enhanced ADLL catabolism, it failed to reach statistical significance.</w:t>
      </w:r>
    </w:p>
    <w:p w14:paraId="0349208F" w14:textId="2F9FF845" w:rsidR="00795204" w:rsidRPr="00B459E7" w:rsidRDefault="00795204" w:rsidP="00C01C4A">
      <w:pPr>
        <w:widowControl w:val="0"/>
        <w:adjustRightInd w:val="0"/>
        <w:snapToGrid w:val="0"/>
        <w:spacing w:line="240" w:lineRule="auto"/>
        <w:ind w:firstLine="420"/>
        <w:rPr>
          <w:rFonts w:ascii="Palatino Linotype" w:hAnsi="Palatino Linotype"/>
          <w:sz w:val="20"/>
          <w:lang w:val="en-GB"/>
        </w:rPr>
      </w:pPr>
      <w:r w:rsidRPr="00B459E7">
        <w:rPr>
          <w:rFonts w:ascii="Palatino Linotype" w:hAnsi="Palatino Linotype"/>
          <w:sz w:val="20"/>
          <w:lang w:val="en-GB"/>
        </w:rPr>
        <w:t>Leucine also facilitates glutamate dehydrogenase (GDH)</w:t>
      </w:r>
      <w:r w:rsidR="005353E7">
        <w:rPr>
          <w:rFonts w:ascii="Palatino Linotype" w:hAnsi="Palatino Linotype"/>
          <w:sz w:val="20"/>
          <w:lang w:val="en-GB"/>
        </w:rPr>
        <w:t>-</w:t>
      </w:r>
      <w:r w:rsidRPr="00B459E7">
        <w:rPr>
          <w:rFonts w:ascii="Palatino Linotype" w:hAnsi="Palatino Linotype"/>
          <w:sz w:val="20"/>
          <w:lang w:val="en-GB"/>
        </w:rPr>
        <w:t xml:space="preserve">mediated conversion of glutamate to α-ketoglutarate, which feeds into the TCA cycle </w:t>
      </w:r>
      <w:r w:rsidR="0086309B" w:rsidRPr="00B459E7">
        <w:rPr>
          <w:rFonts w:ascii="Palatino Linotype" w:hAnsi="Palatino Linotype"/>
          <w:noProof/>
          <w:sz w:val="20"/>
          <w:lang w:val="en-GB"/>
        </w:rPr>
        <w:t>[33]</w:t>
      </w:r>
      <w:r w:rsidRPr="00B459E7">
        <w:rPr>
          <w:rFonts w:ascii="Palatino Linotype" w:hAnsi="Palatino Linotype"/>
          <w:sz w:val="20"/>
          <w:lang w:val="en-GB"/>
        </w:rPr>
        <w:t xml:space="preserve">. GDH levels were increased in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mice compared to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0088087E" w:rsidRPr="00B459E7">
        <w:rPr>
          <w:rFonts w:ascii="Palatino Linotype" w:hAnsi="Palatino Linotype"/>
          <w:i/>
          <w:sz w:val="20"/>
          <w:lang w:val="en-GB"/>
        </w:rPr>
        <w:t xml:space="preserve"> </w:t>
      </w:r>
      <w:r w:rsidRPr="00B459E7">
        <w:rPr>
          <w:rFonts w:ascii="Palatino Linotype" w:hAnsi="Palatino Linotype"/>
          <w:iCs/>
          <w:sz w:val="20"/>
          <w:lang w:val="en-GB"/>
        </w:rPr>
        <w:t>mice</w:t>
      </w:r>
      <w:r w:rsidRPr="00B459E7">
        <w:rPr>
          <w:rFonts w:ascii="Palatino Linotype" w:hAnsi="Palatino Linotype"/>
          <w:sz w:val="20"/>
          <w:lang w:val="en-GB"/>
        </w:rPr>
        <w:t xml:space="preserve"> (34%, </w:t>
      </w:r>
      <w:r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Pr="00B459E7">
        <w:rPr>
          <w:rFonts w:ascii="Palatino Linotype" w:hAnsi="Palatino Linotype"/>
          <w:i/>
          <w:sz w:val="20"/>
          <w:lang w:val="en-GB"/>
        </w:rPr>
        <w:t>=</w:t>
      </w:r>
      <w:r w:rsidR="00C01C4A" w:rsidRPr="00B459E7">
        <w:rPr>
          <w:rFonts w:ascii="Palatino Linotype" w:hAnsi="Palatino Linotype"/>
          <w:i/>
          <w:sz w:val="20"/>
          <w:lang w:val="en-GB"/>
        </w:rPr>
        <w:t xml:space="preserve"> </w:t>
      </w:r>
      <w:r w:rsidRPr="00B459E7">
        <w:rPr>
          <w:rFonts w:ascii="Palatino Linotype" w:hAnsi="Palatino Linotype"/>
          <w:sz w:val="20"/>
          <w:lang w:val="en-GB"/>
        </w:rPr>
        <w:t xml:space="preserve">0.0014). However, ADLL supplementation decreased GDH expression by 26.6% in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cerebellum (</w:t>
      </w:r>
      <w:r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Pr="00B459E7">
        <w:rPr>
          <w:rFonts w:ascii="Palatino Linotype" w:hAnsi="Palatino Linotype"/>
          <w:i/>
          <w:sz w:val="20"/>
          <w:lang w:val="en-GB"/>
        </w:rPr>
        <w:t>=</w:t>
      </w:r>
      <w:r w:rsidR="00C01C4A" w:rsidRPr="00B459E7">
        <w:rPr>
          <w:rFonts w:ascii="Palatino Linotype" w:hAnsi="Palatino Linotype"/>
          <w:i/>
          <w:sz w:val="20"/>
          <w:lang w:val="en-GB"/>
        </w:rPr>
        <w:t xml:space="preserve"> </w:t>
      </w:r>
      <w:r w:rsidRPr="00B459E7">
        <w:rPr>
          <w:rFonts w:ascii="Palatino Linotype" w:hAnsi="Palatino Linotype"/>
          <w:sz w:val="20"/>
          <w:lang w:val="en-GB"/>
        </w:rPr>
        <w:t xml:space="preserve">0.0056), restoring it to the normal range of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 xml:space="preserve">+/+ </w:t>
      </w:r>
      <w:r w:rsidRPr="00B459E7">
        <w:rPr>
          <w:rFonts w:ascii="Palatino Linotype" w:hAnsi="Palatino Linotype"/>
          <w:sz w:val="20"/>
          <w:lang w:val="en-GB"/>
        </w:rPr>
        <w:t>mice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3</w:t>
      </w:r>
      <w:r w:rsidR="00C01C4A" w:rsidRPr="00B459E7">
        <w:rPr>
          <w:rFonts w:ascii="Palatino Linotype" w:hAnsi="Palatino Linotype"/>
          <w:sz w:val="20"/>
          <w:lang w:val="en-GB"/>
        </w:rPr>
        <w:t>b,</w:t>
      </w:r>
      <w:r w:rsidR="00661EC9" w:rsidRPr="00B459E7">
        <w:rPr>
          <w:rFonts w:ascii="Palatino Linotype" w:hAnsi="Palatino Linotype"/>
          <w:sz w:val="20"/>
          <w:lang w:val="en-GB"/>
        </w:rPr>
        <w:t>d</w:t>
      </w:r>
      <w:r w:rsidRPr="00B459E7">
        <w:rPr>
          <w:rFonts w:ascii="Palatino Linotype" w:hAnsi="Palatino Linotype"/>
          <w:sz w:val="20"/>
          <w:lang w:val="en-GB"/>
        </w:rPr>
        <w:t>). Whether this restoration is mediated directly by an effect on GDH</w:t>
      </w:r>
      <w:r w:rsidR="00731F11">
        <w:rPr>
          <w:rFonts w:ascii="Palatino Linotype" w:hAnsi="Palatino Linotype"/>
          <w:sz w:val="20"/>
          <w:lang w:val="en-GB"/>
        </w:rPr>
        <w:t>,</w:t>
      </w:r>
      <w:r w:rsidRPr="00B459E7">
        <w:rPr>
          <w:rFonts w:ascii="Palatino Linotype" w:hAnsi="Palatino Linotype"/>
          <w:sz w:val="20"/>
          <w:lang w:val="en-GB"/>
        </w:rPr>
        <w:t xml:space="preserve"> or indirectly through its reduction in lysosomal storage, remains unknown.</w:t>
      </w:r>
    </w:p>
    <w:p w14:paraId="2772D13D" w14:textId="7D4BDC7D" w:rsidR="00795204" w:rsidRPr="00B459E7" w:rsidRDefault="00795204" w:rsidP="00980FA3">
      <w:pPr>
        <w:widowControl w:val="0"/>
        <w:adjustRightInd w:val="0"/>
        <w:snapToGrid w:val="0"/>
        <w:spacing w:after="160" w:line="240" w:lineRule="auto"/>
        <w:ind w:firstLine="420"/>
        <w:rPr>
          <w:rFonts w:ascii="Palatino Linotype" w:hAnsi="Palatino Linotype"/>
          <w:sz w:val="20"/>
          <w:lang w:val="en-GB"/>
        </w:rPr>
      </w:pPr>
      <w:r w:rsidRPr="00B459E7">
        <w:rPr>
          <w:rFonts w:ascii="Palatino Linotype" w:hAnsi="Palatino Linotype"/>
          <w:sz w:val="20"/>
          <w:lang w:val="en-GB"/>
        </w:rPr>
        <w:t xml:space="preserve">Leucine can affect mitochondria-mediated energy production through its effect on glucose </w:t>
      </w:r>
      <w:r w:rsidR="001E784E" w:rsidRPr="00B459E7">
        <w:rPr>
          <w:rFonts w:ascii="Palatino Linotype" w:hAnsi="Palatino Linotype"/>
          <w:sz w:val="20"/>
          <w:lang w:val="en-GB"/>
        </w:rPr>
        <w:t>utili</w:t>
      </w:r>
      <w:r w:rsidR="001E784E">
        <w:rPr>
          <w:rFonts w:ascii="Palatino Linotype" w:hAnsi="Palatino Linotype"/>
          <w:sz w:val="20"/>
          <w:lang w:val="en-GB"/>
        </w:rPr>
        <w:t>s</w:t>
      </w:r>
      <w:r w:rsidR="001E784E" w:rsidRPr="00B459E7">
        <w:rPr>
          <w:rFonts w:ascii="Palatino Linotype" w:hAnsi="Palatino Linotype"/>
          <w:sz w:val="20"/>
          <w:lang w:val="en-GB"/>
        </w:rPr>
        <w:t xml:space="preserve">ation </w:t>
      </w:r>
      <w:r w:rsidR="0086309B" w:rsidRPr="00B459E7">
        <w:rPr>
          <w:rFonts w:ascii="Palatino Linotype" w:hAnsi="Palatino Linotype"/>
          <w:noProof/>
          <w:sz w:val="20"/>
          <w:lang w:val="en-GB"/>
        </w:rPr>
        <w:t>[34]</w:t>
      </w:r>
      <w:r w:rsidRPr="00B459E7">
        <w:rPr>
          <w:rFonts w:ascii="Palatino Linotype" w:hAnsi="Palatino Linotype"/>
          <w:sz w:val="20"/>
          <w:lang w:val="en-GB"/>
        </w:rPr>
        <w:t>. Therefore, we tested the potential effect of ADLL treatment on energy metabolism by measuring the expression of the master regulator of mitochondrial biogenesis, peroxisome proliferator-activated receptor gamma coactivator 1-alpha</w:t>
      </w:r>
      <w:r w:rsidR="005662B8">
        <w:rPr>
          <w:rFonts w:ascii="Palatino Linotype" w:hAnsi="Palatino Linotype"/>
          <w:sz w:val="20"/>
          <w:lang w:val="en-GB"/>
        </w:rPr>
        <w:t xml:space="preserve"> (</w:t>
      </w:r>
      <w:r w:rsidR="005662B8" w:rsidRPr="00B459E7">
        <w:rPr>
          <w:rFonts w:ascii="Palatino Linotype" w:hAnsi="Palatino Linotype"/>
          <w:sz w:val="20"/>
          <w:lang w:val="en-GB"/>
        </w:rPr>
        <w:t>PGC1-</w:t>
      </w:r>
      <w:r w:rsidR="005662B8" w:rsidRPr="00B459E7">
        <w:rPr>
          <w:rFonts w:ascii="Symbol" w:hAnsi="Symbol"/>
          <w:sz w:val="20"/>
          <w:lang w:val="en-GB"/>
        </w:rPr>
        <w:t></w:t>
      </w:r>
      <w:r w:rsidRPr="00B459E7">
        <w:rPr>
          <w:rFonts w:ascii="Palatino Linotype" w:hAnsi="Palatino Linotype"/>
          <w:sz w:val="20"/>
          <w:lang w:val="en-GB"/>
        </w:rPr>
        <w:t>). No detectable differences in PGC1-</w:t>
      </w:r>
      <w:r w:rsidRPr="00B459E7">
        <w:rPr>
          <w:rFonts w:ascii="Symbol" w:hAnsi="Symbol"/>
          <w:sz w:val="20"/>
          <w:lang w:val="en-GB"/>
        </w:rPr>
        <w:t></w:t>
      </w:r>
      <w:r w:rsidRPr="00B459E7">
        <w:rPr>
          <w:rFonts w:ascii="Palatino Linotype" w:hAnsi="Palatino Linotype"/>
          <w:sz w:val="20"/>
          <w:lang w:val="en-GB"/>
        </w:rPr>
        <w:t xml:space="preserve"> protein expression were observed in any group of mice evaluated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3</w:t>
      </w:r>
      <w:r w:rsidR="00661EC9" w:rsidRPr="00B459E7">
        <w:rPr>
          <w:rFonts w:ascii="Palatino Linotype" w:hAnsi="Palatino Linotype"/>
          <w:sz w:val="20"/>
          <w:lang w:val="en-GB"/>
        </w:rPr>
        <w:t>c,d</w:t>
      </w:r>
      <w:r w:rsidRPr="00B459E7">
        <w:rPr>
          <w:rFonts w:ascii="Palatino Linotype" w:hAnsi="Palatino Linotype"/>
          <w:sz w:val="20"/>
          <w:lang w:val="en-GB"/>
        </w:rPr>
        <w:t>),</w:t>
      </w:r>
      <w:r w:rsidRPr="00B459E7">
        <w:rPr>
          <w:rFonts w:ascii="Palatino Linotype" w:hAnsi="Palatino Linotype"/>
          <w:b/>
          <w:sz w:val="20"/>
          <w:lang w:val="en-GB"/>
        </w:rPr>
        <w:t xml:space="preserve"> </w:t>
      </w:r>
      <w:r w:rsidRPr="00B459E7">
        <w:rPr>
          <w:rFonts w:ascii="Palatino Linotype" w:hAnsi="Palatino Linotype"/>
          <w:bCs/>
          <w:sz w:val="20"/>
          <w:lang w:val="en-GB"/>
        </w:rPr>
        <w:t>which implied no alteration of mitochondrial biogenesis</w:t>
      </w:r>
      <w:r w:rsidRPr="00B459E7">
        <w:rPr>
          <w:rFonts w:ascii="Palatino Linotype" w:hAnsi="Palatino Linotype"/>
          <w:sz w:val="20"/>
          <w:lang w:val="en-GB"/>
        </w:rPr>
        <w:t xml:space="preserve"> occurred with ADLL treatment.</w:t>
      </w:r>
    </w:p>
    <w:p w14:paraId="7AD1C8FB" w14:textId="6A58771A" w:rsidR="00795204" w:rsidRPr="00B459E7" w:rsidRDefault="00DB0632" w:rsidP="00C01C4A">
      <w:pPr>
        <w:pStyle w:val="MDPI52figure"/>
        <w:rPr>
          <w:lang w:val="en-GB"/>
        </w:rPr>
      </w:pPr>
      <w:r w:rsidRPr="00B459E7">
        <w:rPr>
          <w:noProof/>
          <w:lang w:eastAsia="zh-CN" w:bidi="ar-SA"/>
        </w:rPr>
        <w:drawing>
          <wp:inline distT="0" distB="0" distL="0" distR="0" wp14:anchorId="3B7950DD" wp14:editId="46588A48">
            <wp:extent cx="4884345" cy="1434063"/>
            <wp:effectExtent l="0" t="0" r="0" b="0"/>
            <wp:docPr id="6" name="Picture 6" descr="Macintosh HD:Users:ecemkaya:Desktop:Kaya et al MDPI:Figure 3 Kaya et 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cemkaya:Desktop:Kaya et al MDPI:Figure 3 Kaya et al.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3563" cy="1436769"/>
                    </a:xfrm>
                    <a:prstGeom prst="rect">
                      <a:avLst/>
                    </a:prstGeom>
                    <a:noFill/>
                    <a:ln>
                      <a:noFill/>
                    </a:ln>
                  </pic:spPr>
                </pic:pic>
              </a:graphicData>
            </a:graphic>
          </wp:inline>
        </w:drawing>
      </w:r>
    </w:p>
    <w:p w14:paraId="7DB26C7C" w14:textId="7F72E146" w:rsidR="00E26C61" w:rsidRDefault="00421196" w:rsidP="00F84F07">
      <w:pPr>
        <w:pStyle w:val="MDPI51figurecaption"/>
        <w:rPr>
          <w:lang w:val="en-GB"/>
        </w:rPr>
      </w:pPr>
      <w:bookmarkStart w:id="13" w:name="_Toc410478822"/>
      <w:r w:rsidRPr="00B459E7">
        <w:rPr>
          <w:b/>
          <w:lang w:val="en-GB"/>
        </w:rPr>
        <w:t xml:space="preserve">Figure 3. </w:t>
      </w:r>
      <w:r w:rsidRPr="00B459E7">
        <w:rPr>
          <w:lang w:val="en-GB"/>
        </w:rPr>
        <w:t xml:space="preserve">Effects of </w:t>
      </w:r>
      <w:r w:rsidR="00203383" w:rsidRPr="00B459E7">
        <w:rPr>
          <w:lang w:val="en-GB"/>
        </w:rPr>
        <w:t>a</w:t>
      </w:r>
      <w:r w:rsidRPr="00B459E7">
        <w:rPr>
          <w:lang w:val="en-GB"/>
        </w:rPr>
        <w:t>cetyl-DL-</w:t>
      </w:r>
      <w:r w:rsidR="00203383" w:rsidRPr="00B459E7">
        <w:rPr>
          <w:lang w:val="en-GB"/>
        </w:rPr>
        <w:t>l</w:t>
      </w:r>
      <w:r w:rsidRPr="00B459E7">
        <w:rPr>
          <w:lang w:val="en-GB"/>
        </w:rPr>
        <w:t>eucine on BCAA and glutamate and energy metabolism in the cerebellum of 12-week-</w:t>
      </w:r>
      <w:r w:rsidRPr="00F84F07">
        <w:rPr>
          <w:color w:val="auto"/>
          <w:lang w:val="en-GB"/>
        </w:rPr>
        <w:t xml:space="preserve">old </w:t>
      </w:r>
      <w:proofErr w:type="spellStart"/>
      <w:r w:rsidR="00910398" w:rsidRPr="00F84F07">
        <w:rPr>
          <w:i/>
          <w:color w:val="auto"/>
          <w:lang w:val="en-GB"/>
        </w:rPr>
        <w:t>Hexb</w:t>
      </w:r>
      <w:proofErr w:type="spellEnd"/>
      <w:r w:rsidR="00910398" w:rsidRPr="00F84F07">
        <w:rPr>
          <w:i/>
          <w:color w:val="auto"/>
          <w:vertAlign w:val="superscript"/>
          <w:lang w:val="en-GB"/>
        </w:rPr>
        <w:t>-/-</w:t>
      </w:r>
      <w:r w:rsidR="0090656C" w:rsidRPr="00F84F07">
        <w:rPr>
          <w:color w:val="auto"/>
          <w:lang w:val="en-GB"/>
        </w:rPr>
        <w:t xml:space="preserve"> mice</w:t>
      </w:r>
      <w:r w:rsidRPr="00F84F07">
        <w:rPr>
          <w:color w:val="auto"/>
          <w:lang w:val="en-GB"/>
        </w:rPr>
        <w:t xml:space="preserve">. </w:t>
      </w:r>
      <w:r w:rsidR="00C01C4A" w:rsidRPr="00B459E7">
        <w:rPr>
          <w:lang w:val="en-GB"/>
        </w:rPr>
        <w:t>(</w:t>
      </w:r>
      <w:r w:rsidRPr="00B459E7">
        <w:rPr>
          <w:b/>
          <w:lang w:val="en-GB"/>
        </w:rPr>
        <w:t>a</w:t>
      </w:r>
      <w:r w:rsidRPr="00B459E7">
        <w:rPr>
          <w:lang w:val="en-GB"/>
        </w:rPr>
        <w:t xml:space="preserve">) BCKADH, </w:t>
      </w:r>
      <w:r w:rsidRPr="00B459E7">
        <w:rPr>
          <w:i/>
          <w:iCs/>
          <w:lang w:val="en-GB"/>
        </w:rPr>
        <w:t>p</w:t>
      </w:r>
      <w:r w:rsidRPr="00B459E7">
        <w:rPr>
          <w:lang w:val="en-GB"/>
        </w:rPr>
        <w:t xml:space="preserve">-BCKADH, </w:t>
      </w:r>
      <w:r w:rsidRPr="00B459E7">
        <w:rPr>
          <w:i/>
          <w:iCs/>
          <w:lang w:val="en-GB"/>
        </w:rPr>
        <w:t>p</w:t>
      </w:r>
      <w:r w:rsidRPr="00B459E7">
        <w:rPr>
          <w:lang w:val="en-GB"/>
        </w:rPr>
        <w:t xml:space="preserve">/t BCKADH expressions, </w:t>
      </w:r>
      <w:r w:rsidR="00434304" w:rsidRPr="00B459E7">
        <w:rPr>
          <w:lang w:val="en-GB"/>
        </w:rPr>
        <w:t xml:space="preserve">mean </w:t>
      </w:r>
      <w:r w:rsidRPr="00B459E7">
        <w:rPr>
          <w:lang w:val="en-GB"/>
        </w:rPr>
        <w:t>± SD, *</w:t>
      </w:r>
      <w:r w:rsidR="00C01C4A" w:rsidRPr="00B459E7">
        <w:rPr>
          <w:lang w:val="en-GB"/>
        </w:rPr>
        <w:t xml:space="preserve"> </w:t>
      </w:r>
      <w:r w:rsidRPr="00B459E7">
        <w:rPr>
          <w:i/>
          <w:lang w:val="en-GB"/>
        </w:rPr>
        <w:t>p</w:t>
      </w:r>
      <w:r w:rsidR="00C01C4A" w:rsidRPr="00B459E7">
        <w:rPr>
          <w:i/>
          <w:lang w:val="en-GB"/>
        </w:rPr>
        <w:t xml:space="preserve"> </w:t>
      </w:r>
      <w:r w:rsidRPr="00B459E7">
        <w:rPr>
          <w:lang w:val="en-GB"/>
        </w:rPr>
        <w:t>=</w:t>
      </w:r>
      <w:r w:rsidR="00C01C4A" w:rsidRPr="00B459E7">
        <w:rPr>
          <w:lang w:val="en-GB"/>
        </w:rPr>
        <w:t xml:space="preserve"> </w:t>
      </w:r>
      <w:r w:rsidRPr="00B459E7">
        <w:rPr>
          <w:lang w:val="en-GB"/>
        </w:rPr>
        <w:t>0.0494 (</w:t>
      </w:r>
      <w:r w:rsidR="00333B3C">
        <w:rPr>
          <w:lang w:val="en-GB"/>
        </w:rPr>
        <w:t>two-way</w:t>
      </w:r>
      <w:r w:rsidRPr="00B459E7">
        <w:rPr>
          <w:lang w:val="en-GB"/>
        </w:rPr>
        <w:t xml:space="preserve"> ANOVA). </w:t>
      </w:r>
      <w:r w:rsidR="00C01C4A" w:rsidRPr="00B459E7">
        <w:rPr>
          <w:lang w:val="en-GB"/>
        </w:rPr>
        <w:t>(</w:t>
      </w:r>
      <w:r w:rsidRPr="00B459E7">
        <w:rPr>
          <w:b/>
          <w:lang w:val="en-GB"/>
        </w:rPr>
        <w:t>b</w:t>
      </w:r>
      <w:r w:rsidRPr="00B459E7">
        <w:rPr>
          <w:lang w:val="en-GB"/>
        </w:rPr>
        <w:t>) GDH expression. Mean ± SD **</w:t>
      </w:r>
      <w:r w:rsidR="00C01C4A" w:rsidRPr="00B459E7">
        <w:rPr>
          <w:lang w:val="en-GB"/>
        </w:rPr>
        <w:t xml:space="preserve"> </w:t>
      </w:r>
      <w:r w:rsidRPr="00B459E7">
        <w:rPr>
          <w:i/>
          <w:lang w:val="en-GB"/>
        </w:rPr>
        <w:t>p</w:t>
      </w:r>
      <w:r w:rsidR="00C01C4A" w:rsidRPr="00B459E7">
        <w:rPr>
          <w:i/>
          <w:lang w:val="en-GB"/>
        </w:rPr>
        <w:t xml:space="preserve"> </w:t>
      </w:r>
      <w:r w:rsidRPr="00B459E7">
        <w:rPr>
          <w:lang w:val="en-GB"/>
        </w:rPr>
        <w:t>&lt;</w:t>
      </w:r>
      <w:r w:rsidR="00C01C4A" w:rsidRPr="00B459E7">
        <w:rPr>
          <w:lang w:val="en-GB"/>
        </w:rPr>
        <w:t xml:space="preserve"> </w:t>
      </w:r>
      <w:r w:rsidRPr="00B459E7">
        <w:rPr>
          <w:lang w:val="en-GB"/>
        </w:rPr>
        <w:t>0.0057 (</w:t>
      </w:r>
      <w:r w:rsidR="00E60201">
        <w:rPr>
          <w:lang w:val="en-GB"/>
        </w:rPr>
        <w:t>o</w:t>
      </w:r>
      <w:r w:rsidR="00E60201" w:rsidRPr="00B459E7">
        <w:rPr>
          <w:lang w:val="en-GB"/>
        </w:rPr>
        <w:t>ne</w:t>
      </w:r>
      <w:r w:rsidRPr="00B459E7">
        <w:rPr>
          <w:lang w:val="en-GB"/>
        </w:rPr>
        <w:t xml:space="preserve">-way ANOVA). </w:t>
      </w:r>
      <w:r w:rsidR="00C01C4A" w:rsidRPr="00B459E7">
        <w:rPr>
          <w:lang w:val="en-GB"/>
        </w:rPr>
        <w:t>(</w:t>
      </w:r>
      <w:r w:rsidRPr="00B459E7">
        <w:rPr>
          <w:b/>
          <w:lang w:val="en-GB"/>
        </w:rPr>
        <w:t>c</w:t>
      </w:r>
      <w:r w:rsidRPr="00B459E7">
        <w:rPr>
          <w:lang w:val="en-GB"/>
        </w:rPr>
        <w:t>) PGC1-</w:t>
      </w:r>
      <w:r w:rsidR="00E77A6C" w:rsidRPr="00B459E7">
        <w:rPr>
          <w:rFonts w:ascii="Symbol" w:hAnsi="Symbol"/>
          <w:lang w:val="en-GB"/>
        </w:rPr>
        <w:t></w:t>
      </w:r>
      <w:r w:rsidRPr="00B459E7">
        <w:rPr>
          <w:lang w:val="en-GB"/>
        </w:rPr>
        <w:t xml:space="preserve"> expression, </w:t>
      </w:r>
      <w:r w:rsidR="00434304" w:rsidRPr="00B459E7">
        <w:rPr>
          <w:lang w:val="en-GB"/>
        </w:rPr>
        <w:t xml:space="preserve">mean </w:t>
      </w:r>
      <w:r w:rsidRPr="00B459E7">
        <w:rPr>
          <w:lang w:val="en-GB"/>
        </w:rPr>
        <w:t>± SD (</w:t>
      </w:r>
      <w:r w:rsidR="00E60201">
        <w:rPr>
          <w:lang w:val="en-GB"/>
        </w:rPr>
        <w:t>o</w:t>
      </w:r>
      <w:r w:rsidR="00E60201" w:rsidRPr="00B459E7">
        <w:rPr>
          <w:lang w:val="en-GB"/>
        </w:rPr>
        <w:t>ne</w:t>
      </w:r>
      <w:r w:rsidRPr="00B459E7">
        <w:rPr>
          <w:lang w:val="en-GB"/>
        </w:rPr>
        <w:t xml:space="preserve">-way ANOVA) </w:t>
      </w:r>
      <w:r w:rsidR="004B29B9" w:rsidRPr="00B459E7">
        <w:rPr>
          <w:lang w:val="en-GB"/>
        </w:rPr>
        <w:t>(</w:t>
      </w:r>
      <w:r w:rsidRPr="00B459E7">
        <w:rPr>
          <w:b/>
          <w:lang w:val="en-GB"/>
        </w:rPr>
        <w:t>d</w:t>
      </w:r>
      <w:r w:rsidRPr="00B459E7">
        <w:rPr>
          <w:lang w:val="en-GB"/>
        </w:rPr>
        <w:t xml:space="preserve">) BCKADH, p-PCKADH, GDH and PGC1-α </w:t>
      </w:r>
      <w:r w:rsidR="00EA6886" w:rsidRPr="00B459E7">
        <w:rPr>
          <w:lang w:val="en-GB"/>
        </w:rPr>
        <w:t>Western</w:t>
      </w:r>
      <w:r w:rsidRPr="00B459E7">
        <w:rPr>
          <w:lang w:val="en-GB"/>
        </w:rPr>
        <w:t xml:space="preserve"> blot images with </w:t>
      </w:r>
      <w:r w:rsidR="00E77A6C" w:rsidRPr="00B459E7">
        <w:rPr>
          <w:rFonts w:ascii="Symbol" w:hAnsi="Symbol"/>
          <w:lang w:val="en-GB"/>
        </w:rPr>
        <w:t></w:t>
      </w:r>
      <w:r w:rsidRPr="00B459E7">
        <w:rPr>
          <w:lang w:val="en-GB"/>
        </w:rPr>
        <w:t>-actin loading controls.</w:t>
      </w:r>
      <w:r w:rsidR="008D69E4" w:rsidRPr="00B459E7">
        <w:rPr>
          <w:lang w:val="en-GB"/>
        </w:rPr>
        <w:t xml:space="preserve"> Samples on the same blots were cut</w:t>
      </w:r>
      <w:r w:rsidR="00C673AD" w:rsidRPr="00B459E7">
        <w:rPr>
          <w:lang w:val="en-GB"/>
        </w:rPr>
        <w:t xml:space="preserve"> (inserted lines)</w:t>
      </w:r>
      <w:r w:rsidR="008D69E4" w:rsidRPr="00B459E7">
        <w:rPr>
          <w:lang w:val="en-GB"/>
        </w:rPr>
        <w:t xml:space="preserve"> for appropriate visual representation.</w:t>
      </w:r>
    </w:p>
    <w:p w14:paraId="06B7BDE3" w14:textId="40F8C809" w:rsidR="00B4003D" w:rsidRPr="00E26C61" w:rsidRDefault="00C01C4A">
      <w:pPr>
        <w:pStyle w:val="MDPI23heading3"/>
        <w:rPr>
          <w:lang w:val="en-GB"/>
        </w:rPr>
      </w:pPr>
      <w:r w:rsidRPr="00E26C61">
        <w:rPr>
          <w:lang w:val="en-GB"/>
        </w:rPr>
        <w:t xml:space="preserve">3.3.2. </w:t>
      </w:r>
      <w:r w:rsidR="00795204" w:rsidRPr="00E26C61">
        <w:rPr>
          <w:lang w:val="en-GB"/>
        </w:rPr>
        <w:t xml:space="preserve">ADLL </w:t>
      </w:r>
      <w:r w:rsidRPr="00E26C61">
        <w:rPr>
          <w:lang w:val="en-GB"/>
        </w:rPr>
        <w:t xml:space="preserve">Promotes Anaerobic Glycolysis </w:t>
      </w:r>
      <w:r w:rsidR="00795204" w:rsidRPr="00E26C61">
        <w:rPr>
          <w:lang w:val="en-GB"/>
        </w:rPr>
        <w:t xml:space="preserve">via PDK4 </w:t>
      </w:r>
      <w:bookmarkEnd w:id="13"/>
      <w:r w:rsidRPr="00E26C61">
        <w:rPr>
          <w:lang w:val="en-GB"/>
        </w:rPr>
        <w:t>Up</w:t>
      </w:r>
      <w:r w:rsidR="00B4003D" w:rsidRPr="00E26C61">
        <w:rPr>
          <w:lang w:val="en-GB"/>
        </w:rPr>
        <w:t>-</w:t>
      </w:r>
      <w:r w:rsidRPr="00E26C61">
        <w:rPr>
          <w:lang w:val="en-GB"/>
        </w:rPr>
        <w:t>Regulation</w:t>
      </w:r>
    </w:p>
    <w:p w14:paraId="51FC72D9" w14:textId="2B4813D5" w:rsidR="00795204" w:rsidRPr="00B459E7" w:rsidRDefault="00795204" w:rsidP="00C01C4A">
      <w:pPr>
        <w:pStyle w:val="MDPI31text"/>
        <w:rPr>
          <w:lang w:val="en-GB"/>
        </w:rPr>
      </w:pPr>
      <w:r w:rsidRPr="00B459E7">
        <w:rPr>
          <w:lang w:val="en-GB"/>
        </w:rPr>
        <w:lastRenderedPageBreak/>
        <w:t xml:space="preserve">We then tested ADLL’s effect on glucose </w:t>
      </w:r>
      <w:r w:rsidR="001E784E" w:rsidRPr="00B459E7">
        <w:rPr>
          <w:lang w:val="en-GB"/>
        </w:rPr>
        <w:t>utili</w:t>
      </w:r>
      <w:r w:rsidR="001E784E">
        <w:rPr>
          <w:lang w:val="en-GB"/>
        </w:rPr>
        <w:t>s</w:t>
      </w:r>
      <w:r w:rsidR="001E784E" w:rsidRPr="00B459E7">
        <w:rPr>
          <w:lang w:val="en-GB"/>
        </w:rPr>
        <w:t xml:space="preserve">ation </w:t>
      </w:r>
      <w:r w:rsidRPr="00B459E7">
        <w:rPr>
          <w:lang w:val="en-GB"/>
        </w:rPr>
        <w:t xml:space="preserve">by examining enzymes that regulate aerobic glycolysis, </w:t>
      </w:r>
      <w:r w:rsidR="007D7E3F">
        <w:rPr>
          <w:lang w:val="en-GB"/>
        </w:rPr>
        <w:t>via</w:t>
      </w:r>
      <w:r w:rsidRPr="00B459E7">
        <w:rPr>
          <w:lang w:val="en-GB"/>
        </w:rPr>
        <w:t xml:space="preserve"> pyruvate dehydrogenase (PDH), and anaerobic glycolysis, </w:t>
      </w:r>
      <w:r w:rsidR="007D7E3F">
        <w:rPr>
          <w:lang w:val="en-GB"/>
        </w:rPr>
        <w:t>via</w:t>
      </w:r>
      <w:r w:rsidRPr="00B459E7">
        <w:rPr>
          <w:lang w:val="en-GB"/>
        </w:rPr>
        <w:t xml:space="preserve"> lactate dehydrogenase (LDH). PDH contains </w:t>
      </w:r>
      <w:r w:rsidR="00FF45F2">
        <w:rPr>
          <w:lang w:val="en-GB"/>
        </w:rPr>
        <w:t>three</w:t>
      </w:r>
      <w:r w:rsidR="00FF45F2" w:rsidRPr="00B459E7">
        <w:rPr>
          <w:lang w:val="en-GB"/>
        </w:rPr>
        <w:t xml:space="preserve"> </w:t>
      </w:r>
      <w:r w:rsidRPr="00B459E7">
        <w:rPr>
          <w:lang w:val="en-GB"/>
        </w:rPr>
        <w:t>subunits (E1, E2, E3), which convert the glycolysis product, pyruvate, to acetyl CoA, the prime substrate of the TCA cycle</w:t>
      </w:r>
      <w:r w:rsidR="00C01C4A" w:rsidRPr="00B459E7">
        <w:rPr>
          <w:lang w:val="en-GB"/>
        </w:rPr>
        <w:t xml:space="preserve"> </w:t>
      </w:r>
      <w:r w:rsidR="0086309B" w:rsidRPr="00B459E7">
        <w:rPr>
          <w:noProof/>
          <w:lang w:val="en-GB"/>
        </w:rPr>
        <w:t>[35]</w:t>
      </w:r>
      <w:r w:rsidRPr="00B459E7">
        <w:rPr>
          <w:lang w:val="en-GB"/>
        </w:rPr>
        <w:t>.</w:t>
      </w:r>
    </w:p>
    <w:p w14:paraId="5CCED050" w14:textId="7583990B" w:rsidR="00795204" w:rsidRPr="00B459E7" w:rsidRDefault="00795204" w:rsidP="00C01C4A">
      <w:pPr>
        <w:widowControl w:val="0"/>
        <w:adjustRightInd w:val="0"/>
        <w:snapToGrid w:val="0"/>
        <w:spacing w:line="240" w:lineRule="auto"/>
        <w:ind w:firstLine="420"/>
        <w:rPr>
          <w:rFonts w:ascii="Palatino Linotype" w:hAnsi="Palatino Linotype"/>
          <w:sz w:val="20"/>
          <w:lang w:val="en-GB"/>
        </w:rPr>
      </w:pPr>
      <w:r w:rsidRPr="00B459E7">
        <w:rPr>
          <w:rFonts w:ascii="Palatino Linotype" w:hAnsi="Palatino Linotype"/>
          <w:sz w:val="20"/>
          <w:lang w:val="en-GB"/>
        </w:rPr>
        <w:t>By examining subunits of the pyruvate dehydrogenase complex (PDHC), we found no change in the expression of subunits E2, E3bp, E-</w:t>
      </w:r>
      <w:r w:rsidR="00E77A6C" w:rsidRPr="00B459E7">
        <w:rPr>
          <w:rFonts w:ascii="Symbol" w:hAnsi="Symbol"/>
          <w:sz w:val="20"/>
          <w:lang w:val="en-GB"/>
        </w:rPr>
        <w:t></w:t>
      </w:r>
      <w:r w:rsidRPr="00B459E7">
        <w:rPr>
          <w:rFonts w:ascii="Palatino Linotype" w:hAnsi="Palatino Linotype"/>
          <w:sz w:val="20"/>
          <w:lang w:val="en-GB"/>
        </w:rPr>
        <w:t xml:space="preserve"> and E1-</w:t>
      </w:r>
      <w:r w:rsidRPr="00B459E7">
        <w:rPr>
          <w:rFonts w:ascii="Symbol" w:hAnsi="Symbol"/>
          <w:sz w:val="20"/>
          <w:lang w:val="en-GB"/>
        </w:rPr>
        <w:t></w:t>
      </w:r>
      <w:r w:rsidRPr="00B459E7">
        <w:rPr>
          <w:rFonts w:ascii="Palatino Linotype" w:hAnsi="Palatino Linotype"/>
          <w:sz w:val="20"/>
          <w:lang w:val="en-GB"/>
        </w:rPr>
        <w:t xml:space="preserve"> in untreated </w:t>
      </w:r>
      <w:proofErr w:type="spellStart"/>
      <w:r w:rsidRPr="00B459E7">
        <w:rPr>
          <w:rFonts w:ascii="Palatino Linotype" w:hAnsi="Palatino Linotype"/>
          <w:i/>
          <w:sz w:val="20"/>
          <w:lang w:val="en-GB"/>
        </w:rPr>
        <w:t>Hexb</w:t>
      </w:r>
      <w:proofErr w:type="spellEnd"/>
      <w:r w:rsidRPr="00F84F07">
        <w:rPr>
          <w:rFonts w:ascii="Palatino Linotype" w:hAnsi="Palatino Linotype"/>
          <w:i/>
          <w:color w:val="auto"/>
          <w:sz w:val="20"/>
          <w:vertAlign w:val="superscript"/>
          <w:lang w:val="en-GB"/>
        </w:rPr>
        <w:t>-/-</w:t>
      </w:r>
      <w:r w:rsidRPr="00F84F07">
        <w:rPr>
          <w:rFonts w:ascii="Palatino Linotype" w:hAnsi="Palatino Linotype"/>
          <w:color w:val="auto"/>
          <w:sz w:val="20"/>
          <w:lang w:val="en-GB"/>
        </w:rPr>
        <w:t xml:space="preserve"> cerebellum compared to </w:t>
      </w:r>
      <w:proofErr w:type="spellStart"/>
      <w:r w:rsidRPr="00F84F07">
        <w:rPr>
          <w:rFonts w:ascii="Palatino Linotype" w:hAnsi="Palatino Linotype"/>
          <w:i/>
          <w:color w:val="auto"/>
          <w:sz w:val="20"/>
          <w:lang w:val="en-GB"/>
        </w:rPr>
        <w:t>Hexb</w:t>
      </w:r>
      <w:proofErr w:type="spellEnd"/>
      <w:r w:rsidRPr="00F84F07">
        <w:rPr>
          <w:rFonts w:ascii="Palatino Linotype" w:hAnsi="Palatino Linotype"/>
          <w:i/>
          <w:color w:val="auto"/>
          <w:sz w:val="20"/>
          <w:vertAlign w:val="superscript"/>
          <w:lang w:val="en-GB"/>
        </w:rPr>
        <w:t>+/+</w:t>
      </w:r>
      <w:r w:rsidRPr="00F84F07">
        <w:rPr>
          <w:rFonts w:ascii="Palatino Linotype" w:hAnsi="Palatino Linotype"/>
          <w:color w:val="auto"/>
          <w:sz w:val="20"/>
          <w:lang w:val="en-GB"/>
        </w:rPr>
        <w:t xml:space="preserve"> mice (</w:t>
      </w:r>
      <w:r w:rsidR="00435CFD" w:rsidRPr="00F84F07">
        <w:rPr>
          <w:rFonts w:ascii="Palatino Linotype" w:hAnsi="Palatino Linotype"/>
          <w:color w:val="auto"/>
          <w:sz w:val="20"/>
          <w:lang w:val="en-GB"/>
        </w:rPr>
        <w:t xml:space="preserve">Figure </w:t>
      </w:r>
      <w:r w:rsidRPr="00F84F07">
        <w:rPr>
          <w:rFonts w:ascii="Palatino Linotype" w:hAnsi="Palatino Linotype"/>
          <w:color w:val="auto"/>
          <w:sz w:val="20"/>
          <w:lang w:val="en-GB"/>
        </w:rPr>
        <w:t>4a,f). However, E1-</w:t>
      </w:r>
      <w:r w:rsidRPr="00F84F07">
        <w:rPr>
          <w:rFonts w:ascii="Symbol" w:hAnsi="Symbol"/>
          <w:color w:val="auto"/>
          <w:sz w:val="20"/>
          <w:lang w:val="en-GB"/>
        </w:rPr>
        <w:t></w:t>
      </w:r>
      <w:r w:rsidRPr="00F84F07">
        <w:rPr>
          <w:rFonts w:ascii="Palatino Linotype" w:hAnsi="Palatino Linotype"/>
          <w:color w:val="auto"/>
          <w:sz w:val="20"/>
          <w:lang w:val="en-GB"/>
        </w:rPr>
        <w:t xml:space="preserve"> subunit levels were increased by ADLL treatment in </w:t>
      </w:r>
      <w:proofErr w:type="spellStart"/>
      <w:r w:rsidRPr="00F84F07">
        <w:rPr>
          <w:rFonts w:ascii="Palatino Linotype" w:hAnsi="Palatino Linotype"/>
          <w:i/>
          <w:color w:val="auto"/>
          <w:sz w:val="20"/>
          <w:lang w:val="en-GB"/>
        </w:rPr>
        <w:t>Hexb</w:t>
      </w:r>
      <w:proofErr w:type="spellEnd"/>
      <w:r w:rsidRPr="00F84F07">
        <w:rPr>
          <w:rFonts w:ascii="Palatino Linotype" w:hAnsi="Palatino Linotype"/>
          <w:i/>
          <w:color w:val="auto"/>
          <w:sz w:val="20"/>
          <w:vertAlign w:val="superscript"/>
          <w:lang w:val="en-GB"/>
        </w:rPr>
        <w:t>-/-</w:t>
      </w:r>
      <w:r w:rsidRPr="00F84F07">
        <w:rPr>
          <w:rFonts w:ascii="Palatino Linotype" w:hAnsi="Palatino Linotype"/>
          <w:color w:val="auto"/>
          <w:sz w:val="20"/>
          <w:lang w:val="en-GB"/>
        </w:rPr>
        <w:t xml:space="preserve"> mice compared to both </w:t>
      </w:r>
      <w:proofErr w:type="spellStart"/>
      <w:r w:rsidRPr="00F84F07">
        <w:rPr>
          <w:rFonts w:ascii="Palatino Linotype" w:hAnsi="Palatino Linotype"/>
          <w:i/>
          <w:color w:val="auto"/>
          <w:sz w:val="20"/>
          <w:lang w:val="en-GB"/>
        </w:rPr>
        <w:t>Hexb</w:t>
      </w:r>
      <w:proofErr w:type="spellEnd"/>
      <w:r w:rsidRPr="00F84F07">
        <w:rPr>
          <w:rFonts w:ascii="Palatino Linotype" w:hAnsi="Palatino Linotype"/>
          <w:i/>
          <w:color w:val="auto"/>
          <w:sz w:val="20"/>
          <w:vertAlign w:val="superscript"/>
          <w:lang w:val="en-GB"/>
        </w:rPr>
        <w:t>+/+</w:t>
      </w:r>
      <w:r w:rsidRPr="00F84F07">
        <w:rPr>
          <w:rFonts w:ascii="Palatino Linotype" w:hAnsi="Palatino Linotype"/>
          <w:color w:val="auto"/>
          <w:sz w:val="20"/>
          <w:lang w:val="en-GB"/>
        </w:rPr>
        <w:t xml:space="preserve"> (41.1%, </w:t>
      </w:r>
      <w:r w:rsidRPr="00F84F07">
        <w:rPr>
          <w:rFonts w:ascii="Palatino Linotype" w:hAnsi="Palatino Linotype"/>
          <w:i/>
          <w:color w:val="auto"/>
          <w:sz w:val="20"/>
          <w:lang w:val="en-GB"/>
        </w:rPr>
        <w:t>p</w:t>
      </w:r>
      <w:r w:rsidR="00C01C4A" w:rsidRPr="00F84F07">
        <w:rPr>
          <w:rFonts w:ascii="Palatino Linotype" w:hAnsi="Palatino Linotype"/>
          <w:i/>
          <w:color w:val="auto"/>
          <w:sz w:val="20"/>
          <w:lang w:val="en-GB"/>
        </w:rPr>
        <w:t xml:space="preserve"> </w:t>
      </w:r>
      <w:r w:rsidRPr="00F84F07">
        <w:rPr>
          <w:rFonts w:ascii="Palatino Linotype" w:hAnsi="Palatino Linotype"/>
          <w:i/>
          <w:color w:val="auto"/>
          <w:sz w:val="20"/>
          <w:lang w:val="en-GB"/>
        </w:rPr>
        <w:t>=</w:t>
      </w:r>
      <w:r w:rsidR="00C01C4A" w:rsidRPr="00F84F07">
        <w:rPr>
          <w:rFonts w:ascii="Palatino Linotype" w:hAnsi="Palatino Linotype"/>
          <w:i/>
          <w:color w:val="auto"/>
          <w:sz w:val="20"/>
          <w:lang w:val="en-GB"/>
        </w:rPr>
        <w:t xml:space="preserve"> </w:t>
      </w:r>
      <w:r w:rsidRPr="00F84F07">
        <w:rPr>
          <w:rFonts w:ascii="Palatino Linotype" w:hAnsi="Palatino Linotype"/>
          <w:color w:val="auto"/>
          <w:sz w:val="20"/>
          <w:lang w:val="en-GB"/>
        </w:rPr>
        <w:t xml:space="preserve">0.0097) and </w:t>
      </w:r>
      <w:proofErr w:type="spellStart"/>
      <w:r w:rsidRPr="00F84F07">
        <w:rPr>
          <w:rFonts w:ascii="Palatino Linotype" w:hAnsi="Palatino Linotype"/>
          <w:i/>
          <w:color w:val="auto"/>
          <w:sz w:val="20"/>
          <w:lang w:val="en-GB"/>
        </w:rPr>
        <w:t>Hexb</w:t>
      </w:r>
      <w:proofErr w:type="spellEnd"/>
      <w:r w:rsidRPr="00F84F07">
        <w:rPr>
          <w:rFonts w:ascii="Palatino Linotype" w:hAnsi="Palatino Linotype"/>
          <w:i/>
          <w:color w:val="auto"/>
          <w:sz w:val="20"/>
          <w:vertAlign w:val="superscript"/>
          <w:lang w:val="en-GB"/>
        </w:rPr>
        <w:t>-/-</w:t>
      </w:r>
      <w:r w:rsidRPr="00F84F07">
        <w:rPr>
          <w:rFonts w:ascii="Palatino Linotype" w:hAnsi="Palatino Linotype"/>
          <w:color w:val="auto"/>
          <w:sz w:val="20"/>
          <w:lang w:val="en-GB"/>
        </w:rPr>
        <w:t xml:space="preserve"> (48.8%, </w:t>
      </w:r>
      <w:r w:rsidRPr="00F84F07">
        <w:rPr>
          <w:rFonts w:ascii="Palatino Linotype" w:hAnsi="Palatino Linotype"/>
          <w:i/>
          <w:color w:val="auto"/>
          <w:sz w:val="20"/>
          <w:lang w:val="en-GB"/>
        </w:rPr>
        <w:t>p</w:t>
      </w:r>
      <w:r w:rsidR="00C01C4A" w:rsidRPr="00F84F07">
        <w:rPr>
          <w:rFonts w:ascii="Palatino Linotype" w:hAnsi="Palatino Linotype"/>
          <w:i/>
          <w:color w:val="auto"/>
          <w:sz w:val="20"/>
          <w:lang w:val="en-GB"/>
        </w:rPr>
        <w:t xml:space="preserve"> </w:t>
      </w:r>
      <w:r w:rsidRPr="00F84F07">
        <w:rPr>
          <w:rFonts w:ascii="Palatino Linotype" w:hAnsi="Palatino Linotype"/>
          <w:i/>
          <w:color w:val="auto"/>
          <w:sz w:val="20"/>
          <w:lang w:val="en-GB"/>
        </w:rPr>
        <w:t>=</w:t>
      </w:r>
      <w:r w:rsidR="00C01C4A" w:rsidRPr="00F84F07">
        <w:rPr>
          <w:rFonts w:ascii="Palatino Linotype" w:hAnsi="Palatino Linotype"/>
          <w:i/>
          <w:color w:val="auto"/>
          <w:sz w:val="20"/>
          <w:lang w:val="en-GB"/>
        </w:rPr>
        <w:t xml:space="preserve"> </w:t>
      </w:r>
      <w:r w:rsidRPr="00F84F07">
        <w:rPr>
          <w:rFonts w:ascii="Palatino Linotype" w:hAnsi="Palatino Linotype"/>
          <w:color w:val="auto"/>
          <w:sz w:val="20"/>
          <w:lang w:val="en-GB"/>
        </w:rPr>
        <w:t>0.0010</w:t>
      </w:r>
      <w:r w:rsidRPr="00B459E7">
        <w:rPr>
          <w:rFonts w:ascii="Palatino Linotype" w:hAnsi="Palatino Linotype"/>
          <w:sz w:val="20"/>
          <w:lang w:val="en-GB"/>
        </w:rPr>
        <w:t>)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4a,f). Considering PDH is negatively regulated by phosphorylation of its E1-</w:t>
      </w:r>
      <w:r w:rsidRPr="00B459E7">
        <w:rPr>
          <w:rFonts w:ascii="Symbol" w:hAnsi="Symbol"/>
          <w:sz w:val="20"/>
          <w:lang w:val="en-GB"/>
        </w:rPr>
        <w:t></w:t>
      </w:r>
      <w:r w:rsidRPr="00B459E7">
        <w:rPr>
          <w:rFonts w:ascii="Symbol" w:hAnsi="Symbol"/>
          <w:sz w:val="20"/>
          <w:lang w:val="en-GB"/>
        </w:rPr>
        <w:t></w:t>
      </w:r>
      <w:r w:rsidRPr="00B459E7">
        <w:rPr>
          <w:rFonts w:ascii="Palatino Linotype" w:hAnsi="Palatino Linotype"/>
          <w:sz w:val="20"/>
          <w:lang w:val="en-GB"/>
        </w:rPr>
        <w:t xml:space="preserve">subunit </w:t>
      </w:r>
      <w:r w:rsidR="0086309B" w:rsidRPr="00B459E7">
        <w:rPr>
          <w:rFonts w:ascii="Palatino Linotype" w:hAnsi="Palatino Linotype"/>
          <w:noProof/>
          <w:sz w:val="20"/>
          <w:lang w:val="en-GB"/>
        </w:rPr>
        <w:t>[36]</w:t>
      </w:r>
      <w:r w:rsidRPr="00B459E7">
        <w:rPr>
          <w:rFonts w:ascii="Palatino Linotype" w:hAnsi="Palatino Linotype"/>
          <w:sz w:val="20"/>
          <w:lang w:val="en-GB"/>
        </w:rPr>
        <w:t>, evidence of increased PDH activation in untreated</w:t>
      </w:r>
      <w:r w:rsidRPr="00B459E7">
        <w:rPr>
          <w:rFonts w:ascii="Palatino Linotype" w:hAnsi="Palatino Linotype"/>
          <w:i/>
          <w:sz w:val="20"/>
          <w:lang w:val="en-GB"/>
        </w:rPr>
        <w:t xml:space="preserve">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mice was indicated by significantly lower levels of </w:t>
      </w:r>
      <w:r w:rsidRPr="00B459E7">
        <w:rPr>
          <w:rFonts w:ascii="Palatino Linotype" w:hAnsi="Palatino Linotype"/>
          <w:i/>
          <w:iCs/>
          <w:sz w:val="20"/>
          <w:lang w:val="en-GB"/>
        </w:rPr>
        <w:t>p</w:t>
      </w:r>
      <w:r w:rsidRPr="00B459E7">
        <w:rPr>
          <w:rFonts w:ascii="Palatino Linotype" w:hAnsi="Palatino Linotype"/>
          <w:sz w:val="20"/>
          <w:lang w:val="en-GB"/>
        </w:rPr>
        <w:t>-E1-</w:t>
      </w:r>
      <w:r w:rsidRPr="00B459E7">
        <w:rPr>
          <w:rFonts w:ascii="Symbol" w:hAnsi="Symbol"/>
          <w:sz w:val="20"/>
          <w:lang w:val="en-GB"/>
        </w:rPr>
        <w:t></w:t>
      </w:r>
      <w:r w:rsidRPr="00B459E7">
        <w:rPr>
          <w:rFonts w:ascii="Palatino Linotype" w:hAnsi="Palatino Linotype"/>
          <w:sz w:val="20"/>
          <w:lang w:val="en-GB"/>
        </w:rPr>
        <w:t xml:space="preserve"> (50.8%, </w:t>
      </w:r>
      <w:r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Pr="00B459E7">
        <w:rPr>
          <w:rFonts w:ascii="Palatino Linotype" w:hAnsi="Palatino Linotype"/>
          <w:sz w:val="20"/>
          <w:lang w:val="en-GB"/>
        </w:rPr>
        <w:t>=</w:t>
      </w:r>
      <w:r w:rsidR="00C01C4A" w:rsidRPr="00B459E7">
        <w:rPr>
          <w:rFonts w:ascii="Palatino Linotype" w:hAnsi="Palatino Linotype"/>
          <w:sz w:val="20"/>
          <w:lang w:val="en-GB"/>
        </w:rPr>
        <w:t xml:space="preserve"> </w:t>
      </w:r>
      <w:r w:rsidRPr="00B459E7">
        <w:rPr>
          <w:rFonts w:ascii="Palatino Linotype" w:hAnsi="Palatino Linotype"/>
          <w:sz w:val="20"/>
          <w:lang w:val="en-GB"/>
        </w:rPr>
        <w:t>0.0062)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 xml:space="preserve">4b,f), compared to their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counterparts (55.9%, </w:t>
      </w:r>
      <w:r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Pr="00B459E7">
        <w:rPr>
          <w:rFonts w:ascii="Palatino Linotype" w:hAnsi="Palatino Linotype"/>
          <w:sz w:val="20"/>
          <w:lang w:val="en-GB"/>
        </w:rPr>
        <w:t>=</w:t>
      </w:r>
      <w:r w:rsidR="00C01C4A" w:rsidRPr="00B459E7">
        <w:rPr>
          <w:rFonts w:ascii="Palatino Linotype" w:hAnsi="Palatino Linotype"/>
          <w:sz w:val="20"/>
          <w:lang w:val="en-GB"/>
        </w:rPr>
        <w:t xml:space="preserve"> </w:t>
      </w:r>
      <w:r w:rsidRPr="00B459E7">
        <w:rPr>
          <w:rFonts w:ascii="Palatino Linotype" w:hAnsi="Palatino Linotype"/>
          <w:sz w:val="20"/>
          <w:lang w:val="en-GB"/>
        </w:rPr>
        <w:t>0.0136)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4c,f).</w:t>
      </w:r>
    </w:p>
    <w:p w14:paraId="5AE419CB" w14:textId="77777777" w:rsidR="00A5546B" w:rsidRPr="00B459E7" w:rsidRDefault="00A5546B" w:rsidP="00A5546B">
      <w:pPr>
        <w:pStyle w:val="MDPI52figure"/>
        <w:rPr>
          <w:lang w:val="en-GB"/>
        </w:rPr>
      </w:pPr>
      <w:r w:rsidRPr="00B459E7">
        <w:rPr>
          <w:noProof/>
          <w:lang w:eastAsia="zh-CN" w:bidi="ar-SA"/>
        </w:rPr>
        <w:drawing>
          <wp:inline distT="0" distB="0" distL="0" distR="0" wp14:anchorId="522A0CB4" wp14:editId="6590E9D8">
            <wp:extent cx="4793575" cy="3404103"/>
            <wp:effectExtent l="0" t="0" r="0" b="0"/>
            <wp:docPr id="3" name="Picture 3" descr="Macintosh HD:Users:ecemkaya:Desktop:Kaya et al MDPI:Figure 4 Kaya et 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cemkaya:Desktop:Kaya et al MDPI:Figure 4 Kaya et al.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8610" cy="3421882"/>
                    </a:xfrm>
                    <a:prstGeom prst="rect">
                      <a:avLst/>
                    </a:prstGeom>
                    <a:noFill/>
                    <a:ln>
                      <a:noFill/>
                    </a:ln>
                  </pic:spPr>
                </pic:pic>
              </a:graphicData>
            </a:graphic>
          </wp:inline>
        </w:drawing>
      </w:r>
    </w:p>
    <w:p w14:paraId="7BBE64B2" w14:textId="171FFB0E" w:rsidR="00A5546B" w:rsidRPr="00B459E7" w:rsidRDefault="00A5546B" w:rsidP="00A5546B">
      <w:pPr>
        <w:pStyle w:val="MDPI51figurecaption"/>
        <w:rPr>
          <w:lang w:val="en-GB"/>
        </w:rPr>
      </w:pPr>
      <w:r w:rsidRPr="00B459E7">
        <w:rPr>
          <w:b/>
          <w:lang w:val="en-GB"/>
        </w:rPr>
        <w:t xml:space="preserve">Figure 4. </w:t>
      </w:r>
      <w:r w:rsidRPr="00B459E7">
        <w:rPr>
          <w:lang w:val="en-GB"/>
        </w:rPr>
        <w:t xml:space="preserve">Effects of acetyl-DL-leucine on glucose and antioxidant metabolism in the cerebellum of 12-week-old </w:t>
      </w:r>
      <w:proofErr w:type="spellStart"/>
      <w:r w:rsidR="0009299B" w:rsidRPr="00910398">
        <w:rPr>
          <w:i/>
          <w:color w:val="FF0000"/>
          <w:lang w:val="en-GB"/>
        </w:rPr>
        <w:t>Hexb</w:t>
      </w:r>
      <w:proofErr w:type="spellEnd"/>
      <w:r w:rsidR="0009299B" w:rsidRPr="00910398">
        <w:rPr>
          <w:i/>
          <w:color w:val="FF0000"/>
          <w:vertAlign w:val="superscript"/>
          <w:lang w:val="en-GB"/>
        </w:rPr>
        <w:t>-/-</w:t>
      </w:r>
      <w:r w:rsidR="0009299B" w:rsidRPr="00910398">
        <w:rPr>
          <w:lang w:val="en-GB"/>
        </w:rPr>
        <w:t xml:space="preserve"> </w:t>
      </w:r>
      <w:r w:rsidR="0090656C">
        <w:rPr>
          <w:lang w:val="en-GB"/>
        </w:rPr>
        <w:t>mice</w:t>
      </w:r>
      <w:r w:rsidRPr="00B459E7">
        <w:rPr>
          <w:lang w:val="en-GB"/>
        </w:rPr>
        <w:t>. (</w:t>
      </w:r>
      <w:r w:rsidRPr="00B459E7">
        <w:rPr>
          <w:b/>
          <w:lang w:val="en-GB"/>
        </w:rPr>
        <w:t>a</w:t>
      </w:r>
      <w:r w:rsidRPr="00B459E7">
        <w:rPr>
          <w:lang w:val="en-GB"/>
        </w:rPr>
        <w:t xml:space="preserve">) PDHC protein expression, </w:t>
      </w:r>
      <w:r w:rsidR="00434304" w:rsidRPr="00B459E7">
        <w:rPr>
          <w:lang w:val="en-GB"/>
        </w:rPr>
        <w:t xml:space="preserve">mean </w:t>
      </w:r>
      <w:r w:rsidRPr="00B459E7">
        <w:rPr>
          <w:lang w:val="en-GB"/>
        </w:rPr>
        <w:t xml:space="preserve">± SD, * </w:t>
      </w:r>
      <w:r w:rsidRPr="00B459E7">
        <w:rPr>
          <w:i/>
          <w:lang w:val="en-GB"/>
        </w:rPr>
        <w:t xml:space="preserve">p </w:t>
      </w:r>
      <w:r w:rsidRPr="00B459E7">
        <w:rPr>
          <w:lang w:val="en-GB"/>
        </w:rPr>
        <w:t xml:space="preserve">= 0.0105, ** </w:t>
      </w:r>
      <w:r w:rsidRPr="00B459E7">
        <w:rPr>
          <w:i/>
          <w:lang w:val="en-GB"/>
        </w:rPr>
        <w:t xml:space="preserve">p </w:t>
      </w:r>
      <w:r w:rsidRPr="00B459E7">
        <w:rPr>
          <w:lang w:val="en-GB"/>
        </w:rPr>
        <w:t xml:space="preserve">= 0.0097, *** </w:t>
      </w:r>
      <w:r w:rsidRPr="00B459E7">
        <w:rPr>
          <w:i/>
          <w:lang w:val="en-GB"/>
        </w:rPr>
        <w:t xml:space="preserve">p </w:t>
      </w:r>
      <w:r w:rsidRPr="00B459E7">
        <w:rPr>
          <w:lang w:val="en-GB"/>
        </w:rPr>
        <w:t>= 0.001 (</w:t>
      </w:r>
      <w:r w:rsidR="00333B3C">
        <w:rPr>
          <w:lang w:val="en-GB"/>
        </w:rPr>
        <w:t>two-way</w:t>
      </w:r>
      <w:r w:rsidRPr="00B459E7">
        <w:rPr>
          <w:lang w:val="en-GB"/>
        </w:rPr>
        <w:t xml:space="preserve"> ANOVA). (</w:t>
      </w:r>
      <w:r w:rsidRPr="00B459E7">
        <w:rPr>
          <w:b/>
          <w:lang w:val="en-GB"/>
        </w:rPr>
        <w:t>b</w:t>
      </w:r>
      <w:r w:rsidRPr="00B459E7">
        <w:rPr>
          <w:lang w:val="en-GB"/>
        </w:rPr>
        <w:t xml:space="preserve">) </w:t>
      </w:r>
      <w:r w:rsidRPr="00B459E7">
        <w:rPr>
          <w:i/>
          <w:iCs/>
          <w:lang w:val="en-GB"/>
        </w:rPr>
        <w:t>p</w:t>
      </w:r>
      <w:r w:rsidRPr="00B459E7">
        <w:rPr>
          <w:lang w:val="en-GB"/>
        </w:rPr>
        <w:t>-PDH expression</w:t>
      </w:r>
      <w:r w:rsidR="00F73D7C">
        <w:rPr>
          <w:lang w:val="en-GB"/>
        </w:rPr>
        <w:t>,</w:t>
      </w:r>
      <w:r w:rsidRPr="00B459E7">
        <w:rPr>
          <w:lang w:val="en-GB"/>
        </w:rPr>
        <w:t xml:space="preserve"> </w:t>
      </w:r>
      <w:r w:rsidR="00434304" w:rsidRPr="00B459E7">
        <w:rPr>
          <w:lang w:val="en-GB"/>
        </w:rPr>
        <w:t xml:space="preserve">mean </w:t>
      </w:r>
      <w:r w:rsidRPr="00B459E7">
        <w:rPr>
          <w:lang w:val="en-GB"/>
        </w:rPr>
        <w:t xml:space="preserve">± SD, * </w:t>
      </w:r>
      <w:r w:rsidRPr="00B459E7">
        <w:rPr>
          <w:i/>
          <w:lang w:val="en-GB"/>
        </w:rPr>
        <w:t xml:space="preserve">p </w:t>
      </w:r>
      <w:r w:rsidRPr="00B459E7">
        <w:rPr>
          <w:lang w:val="en-GB"/>
        </w:rPr>
        <w:t xml:space="preserve">= 0.0310, ** </w:t>
      </w:r>
      <w:r w:rsidRPr="00B459E7">
        <w:rPr>
          <w:i/>
          <w:lang w:val="en-GB"/>
        </w:rPr>
        <w:t xml:space="preserve">p </w:t>
      </w:r>
      <w:r w:rsidRPr="00B459E7">
        <w:rPr>
          <w:lang w:val="en-GB"/>
        </w:rPr>
        <w:t>= 0.0062 (</w:t>
      </w:r>
      <w:r w:rsidR="00333B3C">
        <w:rPr>
          <w:lang w:val="en-GB"/>
        </w:rPr>
        <w:t>two-way</w:t>
      </w:r>
      <w:r w:rsidRPr="00B459E7">
        <w:rPr>
          <w:lang w:val="en-GB"/>
        </w:rPr>
        <w:t xml:space="preserve"> ANOVA). (</w:t>
      </w:r>
      <w:r w:rsidRPr="00B459E7">
        <w:rPr>
          <w:b/>
          <w:lang w:val="en-GB"/>
        </w:rPr>
        <w:t>c</w:t>
      </w:r>
      <w:r w:rsidRPr="00B459E7">
        <w:rPr>
          <w:lang w:val="en-GB"/>
        </w:rPr>
        <w:t xml:space="preserve">) p-PDH/-tPDHE1α ratios, </w:t>
      </w:r>
      <w:r w:rsidR="00434304" w:rsidRPr="00B459E7">
        <w:rPr>
          <w:lang w:val="en-GB"/>
        </w:rPr>
        <w:t xml:space="preserve">mean </w:t>
      </w:r>
      <w:r w:rsidRPr="00B459E7">
        <w:rPr>
          <w:lang w:val="en-GB"/>
        </w:rPr>
        <w:t xml:space="preserve">± SD, * </w:t>
      </w:r>
      <w:r w:rsidRPr="00B459E7">
        <w:rPr>
          <w:i/>
          <w:lang w:val="en-GB"/>
        </w:rPr>
        <w:t xml:space="preserve">p </w:t>
      </w:r>
      <w:r w:rsidRPr="00B459E7">
        <w:rPr>
          <w:lang w:val="en-GB"/>
        </w:rPr>
        <w:t>&lt; 0.023 (</w:t>
      </w:r>
      <w:r w:rsidR="00333B3C">
        <w:rPr>
          <w:lang w:val="en-GB"/>
        </w:rPr>
        <w:t>two-way</w:t>
      </w:r>
      <w:r w:rsidRPr="00B459E7">
        <w:rPr>
          <w:lang w:val="en-GB"/>
        </w:rPr>
        <w:t xml:space="preserve"> ANOVA). (</w:t>
      </w:r>
      <w:r w:rsidRPr="00B459E7">
        <w:rPr>
          <w:b/>
          <w:lang w:val="en-GB"/>
        </w:rPr>
        <w:t>d</w:t>
      </w:r>
      <w:r w:rsidRPr="00B459E7">
        <w:rPr>
          <w:lang w:val="en-GB"/>
        </w:rPr>
        <w:t xml:space="preserve">) LDH expression, </w:t>
      </w:r>
      <w:r w:rsidR="00434304" w:rsidRPr="00B459E7">
        <w:rPr>
          <w:lang w:val="en-GB"/>
        </w:rPr>
        <w:t xml:space="preserve">mean </w:t>
      </w:r>
      <w:r w:rsidRPr="00B459E7">
        <w:rPr>
          <w:lang w:val="en-GB"/>
        </w:rPr>
        <w:t xml:space="preserve">± SD, ** </w:t>
      </w:r>
      <w:r w:rsidRPr="00B459E7">
        <w:rPr>
          <w:i/>
          <w:lang w:val="en-GB"/>
        </w:rPr>
        <w:t xml:space="preserve">p </w:t>
      </w:r>
      <w:r w:rsidRPr="00B459E7">
        <w:rPr>
          <w:lang w:val="en-GB"/>
        </w:rPr>
        <w:t>= 0.0071 (</w:t>
      </w:r>
      <w:r w:rsidR="00B364AA">
        <w:rPr>
          <w:lang w:val="en-GB"/>
        </w:rPr>
        <w:t>o</w:t>
      </w:r>
      <w:r w:rsidRPr="00B459E7">
        <w:rPr>
          <w:lang w:val="en-GB"/>
        </w:rPr>
        <w:t>ne-way ANOVA). (</w:t>
      </w:r>
      <w:r w:rsidRPr="00B459E7">
        <w:rPr>
          <w:b/>
          <w:lang w:val="en-GB"/>
        </w:rPr>
        <w:t>e</w:t>
      </w:r>
      <w:r w:rsidRPr="00B459E7">
        <w:rPr>
          <w:lang w:val="en-GB"/>
        </w:rPr>
        <w:t xml:space="preserve">) PDK 1-2-4 and PDP1 expression, </w:t>
      </w:r>
      <w:r w:rsidR="00434304" w:rsidRPr="00B459E7">
        <w:rPr>
          <w:lang w:val="en-GB"/>
        </w:rPr>
        <w:t xml:space="preserve">mean </w:t>
      </w:r>
      <w:r w:rsidRPr="00B459E7">
        <w:rPr>
          <w:lang w:val="en-GB"/>
        </w:rPr>
        <w:t xml:space="preserve">± SD, *** </w:t>
      </w:r>
      <w:r w:rsidRPr="00B459E7">
        <w:rPr>
          <w:i/>
          <w:lang w:val="en-GB"/>
        </w:rPr>
        <w:t xml:space="preserve">p </w:t>
      </w:r>
      <w:r w:rsidRPr="00B459E7">
        <w:rPr>
          <w:lang w:val="en-GB"/>
        </w:rPr>
        <w:t xml:space="preserve">= 0.0002, **** </w:t>
      </w:r>
      <w:r w:rsidRPr="00B459E7">
        <w:rPr>
          <w:i/>
          <w:lang w:val="en-GB"/>
        </w:rPr>
        <w:t>p</w:t>
      </w:r>
      <w:r w:rsidRPr="00B459E7">
        <w:rPr>
          <w:lang w:val="en-GB"/>
        </w:rPr>
        <w:t>&lt; 0.0001 (</w:t>
      </w:r>
      <w:r w:rsidR="00333B3C">
        <w:rPr>
          <w:lang w:val="en-GB"/>
        </w:rPr>
        <w:t>two-way</w:t>
      </w:r>
      <w:r w:rsidRPr="00B459E7">
        <w:rPr>
          <w:lang w:val="en-GB"/>
        </w:rPr>
        <w:t xml:space="preserve"> ANOVA). (</w:t>
      </w:r>
      <w:r w:rsidRPr="00B459E7">
        <w:rPr>
          <w:b/>
          <w:lang w:val="en-GB"/>
        </w:rPr>
        <w:t>f</w:t>
      </w:r>
      <w:r w:rsidRPr="00B459E7">
        <w:rPr>
          <w:lang w:val="en-GB"/>
        </w:rPr>
        <w:t xml:space="preserve">) Western blot images of PDHC, p-PDH, LDH, PDKs and PDP1 along with their </w:t>
      </w:r>
      <w:r w:rsidRPr="00B459E7">
        <w:rPr>
          <w:rFonts w:ascii="Symbol" w:hAnsi="Symbol"/>
          <w:lang w:val="en-GB"/>
        </w:rPr>
        <w:t></w:t>
      </w:r>
      <w:r w:rsidRPr="00B459E7">
        <w:rPr>
          <w:lang w:val="en-GB"/>
        </w:rPr>
        <w:t>-actin controls. (</w:t>
      </w:r>
      <w:r w:rsidRPr="00B459E7">
        <w:rPr>
          <w:b/>
          <w:lang w:val="en-GB"/>
        </w:rPr>
        <w:t>g</w:t>
      </w:r>
      <w:r w:rsidRPr="00B459E7">
        <w:rPr>
          <w:lang w:val="en-GB"/>
        </w:rPr>
        <w:t xml:space="preserve">) SOD1 and SOD2 expression, </w:t>
      </w:r>
      <w:r w:rsidR="00434304" w:rsidRPr="00B459E7">
        <w:rPr>
          <w:lang w:val="en-GB"/>
        </w:rPr>
        <w:t xml:space="preserve">mean </w:t>
      </w:r>
      <w:r w:rsidRPr="00B459E7">
        <w:rPr>
          <w:lang w:val="en-GB"/>
        </w:rPr>
        <w:t xml:space="preserve">± SD, * </w:t>
      </w:r>
      <w:r w:rsidRPr="00B459E7">
        <w:rPr>
          <w:i/>
          <w:lang w:val="en-GB"/>
        </w:rPr>
        <w:t xml:space="preserve">p </w:t>
      </w:r>
      <w:r w:rsidRPr="00B459E7">
        <w:rPr>
          <w:lang w:val="en-GB"/>
        </w:rPr>
        <w:t xml:space="preserve">= 0.0216, ** </w:t>
      </w:r>
      <w:r w:rsidRPr="00B459E7">
        <w:rPr>
          <w:i/>
          <w:lang w:val="en-GB"/>
        </w:rPr>
        <w:t xml:space="preserve">p </w:t>
      </w:r>
      <w:r w:rsidRPr="00B459E7">
        <w:rPr>
          <w:lang w:val="en-GB"/>
        </w:rPr>
        <w:t xml:space="preserve">= 0.0121, **** </w:t>
      </w:r>
      <w:r w:rsidRPr="00B459E7">
        <w:rPr>
          <w:i/>
          <w:lang w:val="en-GB"/>
        </w:rPr>
        <w:t xml:space="preserve">p </w:t>
      </w:r>
      <w:r w:rsidRPr="00B459E7">
        <w:rPr>
          <w:lang w:val="en-GB"/>
        </w:rPr>
        <w:t>&lt; 0.0001 (</w:t>
      </w:r>
      <w:r w:rsidR="00333B3C">
        <w:rPr>
          <w:lang w:val="en-GB"/>
        </w:rPr>
        <w:t>two-way</w:t>
      </w:r>
      <w:r w:rsidRPr="00B459E7">
        <w:rPr>
          <w:lang w:val="en-GB"/>
        </w:rPr>
        <w:t xml:space="preserve"> ANOVA). (</w:t>
      </w:r>
      <w:r w:rsidRPr="00B459E7">
        <w:rPr>
          <w:b/>
          <w:lang w:val="en-GB"/>
        </w:rPr>
        <w:t>h</w:t>
      </w:r>
      <w:r w:rsidRPr="00B459E7">
        <w:rPr>
          <w:lang w:val="en-GB"/>
        </w:rPr>
        <w:t xml:space="preserve">) </w:t>
      </w:r>
      <w:r w:rsidR="00F73D7C" w:rsidRPr="00B459E7">
        <w:rPr>
          <w:lang w:val="en-GB"/>
        </w:rPr>
        <w:t xml:space="preserve">Western blot images </w:t>
      </w:r>
      <w:r w:rsidR="00F73D7C">
        <w:rPr>
          <w:lang w:val="en-GB"/>
        </w:rPr>
        <w:t xml:space="preserve">of </w:t>
      </w:r>
      <w:r w:rsidRPr="00B459E7">
        <w:rPr>
          <w:lang w:val="en-GB"/>
        </w:rPr>
        <w:t xml:space="preserve">SOD1 and SOD2 and their </w:t>
      </w:r>
      <w:r w:rsidRPr="00B459E7">
        <w:rPr>
          <w:rFonts w:ascii="Symbol" w:hAnsi="Symbol"/>
          <w:lang w:val="en-GB"/>
        </w:rPr>
        <w:t></w:t>
      </w:r>
      <w:r w:rsidRPr="00B459E7">
        <w:rPr>
          <w:lang w:val="en-GB"/>
        </w:rPr>
        <w:t>-actin loading controls. Samples on the same blots were cut (inserted lines) for appropriate visual representation.</w:t>
      </w:r>
    </w:p>
    <w:p w14:paraId="051A72F8" w14:textId="6F4E1BB6" w:rsidR="00795204" w:rsidRPr="00F84F07" w:rsidRDefault="00795204" w:rsidP="00C01C4A">
      <w:pPr>
        <w:widowControl w:val="0"/>
        <w:adjustRightInd w:val="0"/>
        <w:snapToGrid w:val="0"/>
        <w:spacing w:line="240" w:lineRule="auto"/>
        <w:ind w:firstLine="420"/>
        <w:rPr>
          <w:rFonts w:ascii="Palatino Linotype" w:hAnsi="Palatino Linotype"/>
          <w:color w:val="auto"/>
          <w:sz w:val="20"/>
          <w:lang w:val="en-GB"/>
        </w:rPr>
      </w:pPr>
      <w:r w:rsidRPr="00B459E7">
        <w:rPr>
          <w:rFonts w:ascii="Palatino Linotype" w:hAnsi="Palatino Linotype"/>
          <w:sz w:val="20"/>
          <w:lang w:val="en-GB"/>
        </w:rPr>
        <w:t xml:space="preserve">ADLL treatment of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mice increased </w:t>
      </w:r>
      <w:r w:rsidRPr="00B459E7">
        <w:rPr>
          <w:rFonts w:ascii="Palatino Linotype" w:hAnsi="Palatino Linotype"/>
          <w:i/>
          <w:sz w:val="20"/>
          <w:lang w:val="en-GB"/>
        </w:rPr>
        <w:t>p</w:t>
      </w:r>
      <w:r w:rsidRPr="00B459E7">
        <w:rPr>
          <w:rFonts w:ascii="Palatino Linotype" w:hAnsi="Palatino Linotype"/>
          <w:sz w:val="20"/>
          <w:lang w:val="en-GB"/>
        </w:rPr>
        <w:t>-E1-</w:t>
      </w:r>
      <w:r w:rsidRPr="00B459E7">
        <w:rPr>
          <w:rFonts w:ascii="Symbol" w:hAnsi="Symbol"/>
          <w:sz w:val="20"/>
          <w:lang w:val="en-GB"/>
        </w:rPr>
        <w:t></w:t>
      </w:r>
      <w:r w:rsidRPr="00B459E7">
        <w:rPr>
          <w:rFonts w:ascii="Palatino Linotype" w:hAnsi="Palatino Linotype"/>
          <w:sz w:val="20"/>
          <w:lang w:val="en-GB"/>
        </w:rPr>
        <w:t xml:space="preserve"> by 73.9% (</w:t>
      </w:r>
      <w:r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Pr="00B459E7">
        <w:rPr>
          <w:rFonts w:ascii="Palatino Linotype" w:hAnsi="Palatino Linotype"/>
          <w:sz w:val="20"/>
          <w:lang w:val="en-GB"/>
        </w:rPr>
        <w:t>=</w:t>
      </w:r>
      <w:r w:rsidR="00C01C4A" w:rsidRPr="00B459E7">
        <w:rPr>
          <w:rFonts w:ascii="Palatino Linotype" w:hAnsi="Palatino Linotype"/>
          <w:sz w:val="20"/>
          <w:lang w:val="en-GB"/>
        </w:rPr>
        <w:t xml:space="preserve"> </w:t>
      </w:r>
      <w:r w:rsidRPr="00B459E7">
        <w:rPr>
          <w:rFonts w:ascii="Palatino Linotype" w:hAnsi="Palatino Linotype"/>
          <w:sz w:val="20"/>
          <w:lang w:val="en-GB"/>
        </w:rPr>
        <w:t xml:space="preserve">0.0310) relative to untreated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F84F07">
        <w:rPr>
          <w:rFonts w:ascii="Palatino Linotype" w:hAnsi="Palatino Linotype"/>
          <w:i/>
          <w:color w:val="FF0000"/>
          <w:sz w:val="20"/>
          <w:vertAlign w:val="superscript"/>
          <w:lang w:val="en-GB"/>
        </w:rPr>
        <w:t>/-</w:t>
      </w:r>
      <w:r w:rsidRPr="00B459E7">
        <w:rPr>
          <w:rFonts w:ascii="Palatino Linotype" w:hAnsi="Palatino Linotype"/>
          <w:sz w:val="20"/>
          <w:lang w:val="en-GB"/>
        </w:rPr>
        <w:t xml:space="preserve"> mice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 xml:space="preserve">4b,f), indicating a restoration in PDH activity. </w:t>
      </w:r>
      <w:r w:rsidRPr="00F84F07">
        <w:rPr>
          <w:rFonts w:ascii="Palatino Linotype" w:hAnsi="Palatino Linotype"/>
          <w:color w:val="FF0000"/>
          <w:sz w:val="20"/>
          <w:lang w:val="en-GB"/>
        </w:rPr>
        <w:t>However</w:t>
      </w:r>
      <w:r w:rsidRPr="00B459E7">
        <w:rPr>
          <w:rFonts w:ascii="Palatino Linotype" w:hAnsi="Palatino Linotype"/>
          <w:sz w:val="20"/>
          <w:lang w:val="en-GB"/>
        </w:rPr>
        <w:t xml:space="preserve">, ADLL treatment did not change </w:t>
      </w:r>
      <w:r w:rsidR="007B3D0C" w:rsidRPr="00B459E7">
        <w:rPr>
          <w:rFonts w:ascii="Palatino Linotype" w:hAnsi="Palatino Linotype"/>
          <w:sz w:val="20"/>
          <w:lang w:val="en-GB"/>
        </w:rPr>
        <w:t xml:space="preserve">its </w:t>
      </w:r>
      <w:r w:rsidRPr="00B459E7">
        <w:rPr>
          <w:rFonts w:ascii="Palatino Linotype" w:hAnsi="Palatino Linotype"/>
          <w:sz w:val="20"/>
          <w:lang w:val="en-GB"/>
        </w:rPr>
        <w:t>proportionate activation (</w:t>
      </w:r>
      <w:proofErr w:type="spellStart"/>
      <w:r w:rsidRPr="00B459E7">
        <w:rPr>
          <w:rFonts w:ascii="Palatino Linotype" w:hAnsi="Palatino Linotype"/>
          <w:i/>
          <w:iCs/>
          <w:sz w:val="20"/>
          <w:lang w:val="en-GB"/>
        </w:rPr>
        <w:t>p</w:t>
      </w:r>
      <w:r w:rsidRPr="00B459E7">
        <w:rPr>
          <w:rFonts w:ascii="Palatino Linotype" w:hAnsi="Palatino Linotype"/>
          <w:sz w:val="20"/>
          <w:lang w:val="en-GB"/>
        </w:rPr>
        <w:t>:T</w:t>
      </w:r>
      <w:proofErr w:type="spellEnd"/>
      <w:r w:rsidRPr="00B459E7">
        <w:rPr>
          <w:rFonts w:ascii="Palatino Linotype" w:hAnsi="Palatino Linotype"/>
          <w:sz w:val="20"/>
          <w:lang w:val="en-GB"/>
        </w:rPr>
        <w:t xml:space="preserve"> ratio) in the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cerebellum (</w:t>
      </w:r>
      <w:r w:rsidR="00435CFD" w:rsidRPr="00B459E7">
        <w:rPr>
          <w:rFonts w:ascii="Palatino Linotype" w:hAnsi="Palatino Linotype"/>
          <w:sz w:val="20"/>
          <w:lang w:val="en-GB"/>
        </w:rPr>
        <w:t xml:space="preserve">Figure </w:t>
      </w:r>
      <w:r w:rsidRPr="00B459E7">
        <w:rPr>
          <w:rFonts w:ascii="Palatino Linotype" w:hAnsi="Palatino Linotype"/>
          <w:sz w:val="20"/>
          <w:lang w:val="en-GB"/>
        </w:rPr>
        <w:t>4</w:t>
      </w:r>
      <w:proofErr w:type="gramStart"/>
      <w:r w:rsidRPr="00B459E7">
        <w:rPr>
          <w:rFonts w:ascii="Palatino Linotype" w:hAnsi="Palatino Linotype"/>
          <w:sz w:val="20"/>
          <w:lang w:val="en-GB"/>
        </w:rPr>
        <w:t>c,f</w:t>
      </w:r>
      <w:proofErr w:type="gramEnd"/>
      <w:r w:rsidRPr="00B459E7">
        <w:rPr>
          <w:rFonts w:ascii="Palatino Linotype" w:hAnsi="Palatino Linotype"/>
          <w:sz w:val="20"/>
          <w:lang w:val="en-GB"/>
        </w:rPr>
        <w:t>). Levels of LDH, the key enzyme in anaerobic glycolysis, did not differ between</w:t>
      </w:r>
      <w:r w:rsidR="005D06D9">
        <w:rPr>
          <w:rFonts w:ascii="Palatino Linotype" w:hAnsi="Palatino Linotype"/>
          <w:sz w:val="20"/>
          <w:lang w:val="en-GB"/>
        </w:rPr>
        <w:t xml:space="preserve"> the</w:t>
      </w:r>
      <w:r w:rsidRPr="00B459E7">
        <w:rPr>
          <w:rFonts w:ascii="Palatino Linotype" w:hAnsi="Palatino Linotype"/>
          <w:sz w:val="20"/>
          <w:lang w:val="en-GB"/>
        </w:rPr>
        <w:t xml:space="preserve">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and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groups. </w:t>
      </w:r>
      <w:r w:rsidRPr="00F84F07">
        <w:rPr>
          <w:rFonts w:ascii="Palatino Linotype" w:hAnsi="Palatino Linotype"/>
          <w:color w:val="auto"/>
          <w:sz w:val="20"/>
          <w:lang w:val="en-GB"/>
        </w:rPr>
        <w:t xml:space="preserve">However, ADLL significantly elevated LDH protein levels in the </w:t>
      </w:r>
      <w:proofErr w:type="spellStart"/>
      <w:r w:rsidRPr="00F84F07">
        <w:rPr>
          <w:rFonts w:ascii="Palatino Linotype" w:hAnsi="Palatino Linotype"/>
          <w:i/>
          <w:color w:val="auto"/>
          <w:sz w:val="20"/>
          <w:lang w:val="en-GB"/>
        </w:rPr>
        <w:t>Hexb</w:t>
      </w:r>
      <w:proofErr w:type="spellEnd"/>
      <w:r w:rsidRPr="00F84F07">
        <w:rPr>
          <w:rFonts w:ascii="Palatino Linotype" w:hAnsi="Palatino Linotype"/>
          <w:i/>
          <w:color w:val="auto"/>
          <w:sz w:val="20"/>
          <w:vertAlign w:val="superscript"/>
          <w:lang w:val="en-GB"/>
        </w:rPr>
        <w:t>-/-</w:t>
      </w:r>
      <w:r w:rsidRPr="00F84F07">
        <w:rPr>
          <w:rFonts w:ascii="Palatino Linotype" w:hAnsi="Palatino Linotype"/>
          <w:color w:val="auto"/>
          <w:sz w:val="20"/>
          <w:lang w:val="en-GB"/>
        </w:rPr>
        <w:t xml:space="preserve"> cerebellum (59.6%, </w:t>
      </w:r>
      <w:r w:rsidRPr="00F84F07">
        <w:rPr>
          <w:rFonts w:ascii="Palatino Linotype" w:hAnsi="Palatino Linotype"/>
          <w:i/>
          <w:iCs/>
          <w:color w:val="auto"/>
          <w:sz w:val="20"/>
          <w:lang w:val="en-GB"/>
        </w:rPr>
        <w:t>p</w:t>
      </w:r>
      <w:r w:rsidR="00C01C4A" w:rsidRPr="00F84F07">
        <w:rPr>
          <w:rFonts w:ascii="Palatino Linotype" w:hAnsi="Palatino Linotype"/>
          <w:i/>
          <w:iCs/>
          <w:color w:val="auto"/>
          <w:sz w:val="20"/>
          <w:lang w:val="en-GB"/>
        </w:rPr>
        <w:t xml:space="preserve"> </w:t>
      </w:r>
      <w:r w:rsidRPr="00F84F07">
        <w:rPr>
          <w:rFonts w:ascii="Palatino Linotype" w:hAnsi="Palatino Linotype"/>
          <w:color w:val="auto"/>
          <w:sz w:val="20"/>
          <w:lang w:val="en-GB"/>
        </w:rPr>
        <w:t>=</w:t>
      </w:r>
      <w:r w:rsidR="00C01C4A" w:rsidRPr="00F84F07">
        <w:rPr>
          <w:rFonts w:ascii="Palatino Linotype" w:hAnsi="Palatino Linotype"/>
          <w:color w:val="auto"/>
          <w:sz w:val="20"/>
          <w:lang w:val="en-GB"/>
        </w:rPr>
        <w:t xml:space="preserve"> </w:t>
      </w:r>
      <w:r w:rsidRPr="00F84F07">
        <w:rPr>
          <w:rFonts w:ascii="Palatino Linotype" w:hAnsi="Palatino Linotype"/>
          <w:color w:val="auto"/>
          <w:sz w:val="20"/>
          <w:lang w:val="en-GB"/>
        </w:rPr>
        <w:t>0.0071) (</w:t>
      </w:r>
      <w:r w:rsidR="00435CFD" w:rsidRPr="00F84F07">
        <w:rPr>
          <w:rFonts w:ascii="Palatino Linotype" w:hAnsi="Palatino Linotype"/>
          <w:color w:val="auto"/>
          <w:sz w:val="20"/>
          <w:lang w:val="en-GB"/>
        </w:rPr>
        <w:t xml:space="preserve">Figure </w:t>
      </w:r>
      <w:r w:rsidRPr="00F84F07">
        <w:rPr>
          <w:rFonts w:ascii="Palatino Linotype" w:hAnsi="Palatino Linotype"/>
          <w:color w:val="auto"/>
          <w:sz w:val="20"/>
          <w:lang w:val="en-GB"/>
        </w:rPr>
        <w:t>4d,f).</w:t>
      </w:r>
      <w:r w:rsidRPr="00F84F07">
        <w:rPr>
          <w:rFonts w:ascii="Palatino Linotype" w:hAnsi="Palatino Linotype"/>
          <w:i/>
          <w:color w:val="auto"/>
          <w:sz w:val="20"/>
          <w:lang w:val="en-GB"/>
        </w:rPr>
        <w:t xml:space="preserve"> </w:t>
      </w:r>
      <w:r w:rsidRPr="00F84F07">
        <w:rPr>
          <w:rFonts w:ascii="Palatino Linotype" w:hAnsi="Palatino Linotype"/>
          <w:color w:val="auto"/>
          <w:sz w:val="20"/>
          <w:lang w:val="en-GB"/>
        </w:rPr>
        <w:t xml:space="preserve">Thus, these results indicate that ADLL may have enhanced anaerobic glycolysis in </w:t>
      </w:r>
      <w:proofErr w:type="spellStart"/>
      <w:r w:rsidRPr="00F84F07">
        <w:rPr>
          <w:rFonts w:ascii="Palatino Linotype" w:hAnsi="Palatino Linotype"/>
          <w:i/>
          <w:color w:val="auto"/>
          <w:sz w:val="20"/>
          <w:lang w:val="en-GB"/>
        </w:rPr>
        <w:t>Hexb</w:t>
      </w:r>
      <w:proofErr w:type="spellEnd"/>
      <w:r w:rsidRPr="00F84F07">
        <w:rPr>
          <w:rFonts w:ascii="Palatino Linotype" w:hAnsi="Palatino Linotype"/>
          <w:i/>
          <w:color w:val="auto"/>
          <w:sz w:val="20"/>
          <w:vertAlign w:val="superscript"/>
          <w:lang w:val="en-GB"/>
        </w:rPr>
        <w:t>-/-</w:t>
      </w:r>
      <w:r w:rsidRPr="00F84F07">
        <w:rPr>
          <w:rFonts w:ascii="Palatino Linotype" w:hAnsi="Palatino Linotype"/>
          <w:color w:val="auto"/>
          <w:sz w:val="20"/>
          <w:lang w:val="en-GB"/>
        </w:rPr>
        <w:t xml:space="preserve"> cerebellum.</w:t>
      </w:r>
    </w:p>
    <w:p w14:paraId="62B948C4" w14:textId="02526454" w:rsidR="00795204" w:rsidRPr="00B459E7" w:rsidRDefault="00F65695" w:rsidP="00980FA3">
      <w:pPr>
        <w:adjustRightInd w:val="0"/>
        <w:snapToGrid w:val="0"/>
        <w:spacing w:line="240" w:lineRule="auto"/>
        <w:ind w:firstLine="420"/>
        <w:rPr>
          <w:rFonts w:ascii="Palatino Linotype" w:hAnsi="Palatino Linotype"/>
          <w:sz w:val="20"/>
          <w:lang w:val="en-GB"/>
        </w:rPr>
      </w:pPr>
      <w:r w:rsidRPr="00F84F07">
        <w:rPr>
          <w:rFonts w:ascii="Palatino Linotype" w:hAnsi="Palatino Linotype"/>
          <w:color w:val="auto"/>
          <w:sz w:val="20"/>
          <w:lang w:val="en-GB"/>
        </w:rPr>
        <w:t>The a</w:t>
      </w:r>
      <w:r w:rsidR="00795204" w:rsidRPr="00F84F07">
        <w:rPr>
          <w:rFonts w:ascii="Palatino Linotype" w:hAnsi="Palatino Linotype"/>
          <w:color w:val="auto"/>
          <w:sz w:val="20"/>
          <w:lang w:val="en-GB"/>
        </w:rPr>
        <w:t xml:space="preserve">ctivity </w:t>
      </w:r>
      <w:r w:rsidR="00795204" w:rsidRPr="00B459E7">
        <w:rPr>
          <w:rFonts w:ascii="Palatino Linotype" w:hAnsi="Palatino Linotype"/>
          <w:sz w:val="20"/>
          <w:lang w:val="en-GB"/>
        </w:rPr>
        <w:t xml:space="preserve">of the PDHC is regulated by 4 pyruvate dehydrogenase kinases (PDK 1,2,3,4), which phospho-inhibit the enzyme and 2 pyruvate dehydrogenase phosphatases (PDP1 and 2), </w:t>
      </w:r>
      <w:r w:rsidR="00795204" w:rsidRPr="00B459E7">
        <w:rPr>
          <w:rFonts w:ascii="Palatino Linotype" w:hAnsi="Palatino Linotype"/>
          <w:sz w:val="20"/>
          <w:lang w:val="en-GB"/>
        </w:rPr>
        <w:lastRenderedPageBreak/>
        <w:t xml:space="preserve">which sustain its activation </w:t>
      </w:r>
      <w:r w:rsidR="0086309B" w:rsidRPr="00B459E7">
        <w:rPr>
          <w:rFonts w:ascii="Palatino Linotype" w:hAnsi="Palatino Linotype"/>
          <w:noProof/>
          <w:sz w:val="20"/>
          <w:lang w:val="en-GB"/>
        </w:rPr>
        <w:t>[37]</w:t>
      </w:r>
      <w:r w:rsidR="00795204" w:rsidRPr="00B459E7">
        <w:rPr>
          <w:rFonts w:ascii="Palatino Linotype" w:hAnsi="Palatino Linotype"/>
          <w:sz w:val="20"/>
          <w:lang w:val="en-GB"/>
        </w:rPr>
        <w:t xml:space="preserve">. Considering ADLL significantly increased </w:t>
      </w:r>
      <w:r w:rsidR="00795204" w:rsidRPr="00B459E7">
        <w:rPr>
          <w:rFonts w:ascii="Palatino Linotype" w:hAnsi="Palatino Linotype"/>
          <w:i/>
          <w:iCs/>
          <w:sz w:val="20"/>
          <w:lang w:val="en-GB"/>
        </w:rPr>
        <w:t>p</w:t>
      </w:r>
      <w:r w:rsidR="00795204" w:rsidRPr="00B459E7">
        <w:rPr>
          <w:rFonts w:ascii="Palatino Linotype" w:hAnsi="Palatino Linotype"/>
          <w:sz w:val="20"/>
          <w:lang w:val="en-GB"/>
        </w:rPr>
        <w:t>-E1-</w:t>
      </w:r>
      <w:r w:rsidR="00795204" w:rsidRPr="00B459E7">
        <w:rPr>
          <w:rFonts w:ascii="Symbol" w:hAnsi="Symbol"/>
          <w:sz w:val="20"/>
          <w:lang w:val="en-GB"/>
        </w:rPr>
        <w:t></w:t>
      </w:r>
      <w:r w:rsidR="00795204" w:rsidRPr="00B459E7">
        <w:rPr>
          <w:rFonts w:ascii="Palatino Linotype" w:hAnsi="Palatino Linotype"/>
          <w:sz w:val="20"/>
          <w:lang w:val="en-GB"/>
        </w:rPr>
        <w:t xml:space="preserve"> and LDH, we subsequently assessed PDH</w:t>
      </w:r>
      <w:r w:rsidR="00F076D6">
        <w:rPr>
          <w:rFonts w:ascii="Palatino Linotype" w:hAnsi="Palatino Linotype"/>
          <w:sz w:val="20"/>
          <w:lang w:val="en-GB"/>
        </w:rPr>
        <w:t>-</w:t>
      </w:r>
      <w:r w:rsidR="00795204" w:rsidRPr="00B459E7">
        <w:rPr>
          <w:rFonts w:ascii="Palatino Linotype" w:hAnsi="Palatino Linotype"/>
          <w:sz w:val="20"/>
          <w:lang w:val="en-GB"/>
        </w:rPr>
        <w:t xml:space="preserve">modulating enzymes that are highly expressed in the cerebellum; namely, PDK1, 2, 4 and PDP1. Only PDK2 was significantly altered in the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cerebellum, being 42.2% lower than wild-type mice (</w:t>
      </w:r>
      <w:r w:rsidR="00795204"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00795204" w:rsidRPr="00B459E7">
        <w:rPr>
          <w:rFonts w:ascii="Palatino Linotype" w:hAnsi="Palatino Linotype"/>
          <w:sz w:val="20"/>
          <w:lang w:val="en-GB"/>
        </w:rPr>
        <w:t>=</w:t>
      </w:r>
      <w:r w:rsidR="00C01C4A" w:rsidRPr="00B459E7">
        <w:rPr>
          <w:rFonts w:ascii="Palatino Linotype" w:hAnsi="Palatino Linotype"/>
          <w:sz w:val="20"/>
          <w:lang w:val="en-GB"/>
        </w:rPr>
        <w:t xml:space="preserve"> </w:t>
      </w:r>
      <w:r w:rsidR="00795204" w:rsidRPr="00B459E7">
        <w:rPr>
          <w:rFonts w:ascii="Palatino Linotype" w:hAnsi="Palatino Linotype"/>
          <w:sz w:val="20"/>
          <w:lang w:val="en-GB"/>
        </w:rPr>
        <w:t>0.0002) (</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 xml:space="preserve">4e,f). ADLL treatment did not impact on PDK2 levels in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mice (</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4e,f).</w:t>
      </w:r>
      <w:r w:rsidR="00435CFD" w:rsidRPr="00B459E7">
        <w:rPr>
          <w:rFonts w:ascii="Palatino Linotype" w:hAnsi="Palatino Linotype"/>
          <w:sz w:val="20"/>
          <w:lang w:val="en-GB"/>
        </w:rPr>
        <w:t xml:space="preserve"> </w:t>
      </w:r>
      <w:r w:rsidR="00795204" w:rsidRPr="00B459E7">
        <w:rPr>
          <w:rFonts w:ascii="Palatino Linotype" w:hAnsi="Palatino Linotype"/>
          <w:sz w:val="20"/>
          <w:lang w:val="en-GB"/>
        </w:rPr>
        <w:t xml:space="preserve">Nevertheless, PDK4 protein levels were significantly elevated in ADLL-treated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B459E7">
        <w:rPr>
          <w:rFonts w:ascii="Palatino Linotype" w:hAnsi="Palatino Linotype"/>
          <w:sz w:val="20"/>
          <w:lang w:val="en-GB"/>
        </w:rPr>
        <w:t xml:space="preserve"> mice, compared to untreated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w:t>
      </w:r>
      <w:r w:rsidR="00795204" w:rsidRPr="00F84F07">
        <w:rPr>
          <w:rFonts w:ascii="Palatino Linotype" w:hAnsi="Palatino Linotype"/>
          <w:i/>
          <w:color w:val="FF0000"/>
          <w:sz w:val="20"/>
          <w:vertAlign w:val="superscript"/>
          <w:lang w:val="en-GB"/>
        </w:rPr>
        <w:t>/-</w:t>
      </w:r>
      <w:r w:rsidR="00795204" w:rsidRPr="00B459E7">
        <w:rPr>
          <w:rFonts w:ascii="Palatino Linotype" w:hAnsi="Palatino Linotype"/>
          <w:sz w:val="20"/>
          <w:lang w:val="en-GB"/>
        </w:rPr>
        <w:t xml:space="preserve"> mice (30%, </w:t>
      </w:r>
      <w:r w:rsidR="00795204"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00795204" w:rsidRPr="00B459E7">
        <w:rPr>
          <w:rFonts w:ascii="Palatino Linotype" w:hAnsi="Palatino Linotype"/>
          <w:sz w:val="20"/>
          <w:lang w:val="en-GB"/>
        </w:rPr>
        <w:t>&lt;</w:t>
      </w:r>
      <w:r w:rsidR="00C01C4A" w:rsidRPr="00B459E7">
        <w:rPr>
          <w:rFonts w:ascii="Palatino Linotype" w:hAnsi="Palatino Linotype"/>
          <w:sz w:val="20"/>
          <w:lang w:val="en-GB"/>
        </w:rPr>
        <w:t xml:space="preserve"> </w:t>
      </w:r>
      <w:r w:rsidR="00795204" w:rsidRPr="00B459E7">
        <w:rPr>
          <w:rFonts w:ascii="Palatino Linotype" w:hAnsi="Palatino Linotype"/>
          <w:sz w:val="20"/>
          <w:lang w:val="en-GB"/>
        </w:rPr>
        <w:t xml:space="preserve">0.0001) and </w:t>
      </w:r>
      <w:proofErr w:type="spellStart"/>
      <w:r w:rsidR="00795204" w:rsidRPr="00B459E7">
        <w:rPr>
          <w:rFonts w:ascii="Palatino Linotype" w:hAnsi="Palatino Linotype"/>
          <w:i/>
          <w:sz w:val="20"/>
          <w:lang w:val="en-GB"/>
        </w:rPr>
        <w:t>Hexb</w:t>
      </w:r>
      <w:proofErr w:type="spellEnd"/>
      <w:r w:rsidR="00795204" w:rsidRPr="00B459E7">
        <w:rPr>
          <w:rFonts w:ascii="Palatino Linotype" w:hAnsi="Palatino Linotype"/>
          <w:i/>
          <w:sz w:val="20"/>
          <w:vertAlign w:val="superscript"/>
          <w:lang w:val="en-GB"/>
        </w:rPr>
        <w:t xml:space="preserve">+/+ </w:t>
      </w:r>
      <w:r w:rsidR="00795204" w:rsidRPr="00B459E7">
        <w:rPr>
          <w:rFonts w:ascii="Palatino Linotype" w:hAnsi="Palatino Linotype"/>
          <w:sz w:val="20"/>
          <w:lang w:val="en-GB"/>
        </w:rPr>
        <w:t xml:space="preserve">untreated (36.4%, </w:t>
      </w:r>
      <w:r w:rsidR="00795204" w:rsidRPr="00B459E7">
        <w:rPr>
          <w:rFonts w:ascii="Palatino Linotype" w:hAnsi="Palatino Linotype"/>
          <w:i/>
          <w:sz w:val="20"/>
          <w:lang w:val="en-GB"/>
        </w:rPr>
        <w:t>p</w:t>
      </w:r>
      <w:r w:rsidR="00C01C4A" w:rsidRPr="00B459E7">
        <w:rPr>
          <w:rFonts w:ascii="Palatino Linotype" w:hAnsi="Palatino Linotype"/>
          <w:i/>
          <w:sz w:val="20"/>
          <w:lang w:val="en-GB"/>
        </w:rPr>
        <w:t xml:space="preserve"> </w:t>
      </w:r>
      <w:r w:rsidR="00795204" w:rsidRPr="00B459E7">
        <w:rPr>
          <w:rFonts w:ascii="Palatino Linotype" w:hAnsi="Palatino Linotype"/>
          <w:sz w:val="20"/>
          <w:lang w:val="en-GB"/>
        </w:rPr>
        <w:t>&lt;</w:t>
      </w:r>
      <w:r w:rsidR="00C01C4A" w:rsidRPr="00B459E7">
        <w:rPr>
          <w:rFonts w:ascii="Palatino Linotype" w:hAnsi="Palatino Linotype"/>
          <w:sz w:val="20"/>
          <w:lang w:val="en-GB"/>
        </w:rPr>
        <w:t xml:space="preserve"> </w:t>
      </w:r>
      <w:r w:rsidR="00795204" w:rsidRPr="00B459E7">
        <w:rPr>
          <w:rFonts w:ascii="Palatino Linotype" w:hAnsi="Palatino Linotype"/>
          <w:sz w:val="20"/>
          <w:lang w:val="en-GB"/>
        </w:rPr>
        <w:t>0.0001) (</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4e,f). PDP1 levels trended lower following ADLL treatment, but not significantly (</w:t>
      </w:r>
      <w:r w:rsidR="00435CFD" w:rsidRPr="00B459E7">
        <w:rPr>
          <w:rFonts w:ascii="Palatino Linotype" w:hAnsi="Palatino Linotype"/>
          <w:sz w:val="20"/>
          <w:lang w:val="en-GB"/>
        </w:rPr>
        <w:t xml:space="preserve">Figure </w:t>
      </w:r>
      <w:r w:rsidR="00795204" w:rsidRPr="00B459E7">
        <w:rPr>
          <w:rFonts w:ascii="Palatino Linotype" w:hAnsi="Palatino Linotype"/>
          <w:sz w:val="20"/>
          <w:lang w:val="en-GB"/>
        </w:rPr>
        <w:t>4e,f).</w:t>
      </w:r>
      <w:bookmarkStart w:id="14" w:name="_Toc410478823"/>
      <w:r w:rsidR="00795204" w:rsidRPr="00B459E7">
        <w:rPr>
          <w:rFonts w:ascii="Palatino Linotype" w:hAnsi="Palatino Linotype"/>
          <w:sz w:val="20"/>
          <w:lang w:val="en-GB"/>
        </w:rPr>
        <w:t xml:space="preserve"> Considering ADLL induced an elevation of PDK4, which correlated with increased </w:t>
      </w:r>
      <w:r w:rsidR="00795204" w:rsidRPr="00B459E7">
        <w:rPr>
          <w:rFonts w:ascii="Palatino Linotype" w:hAnsi="Palatino Linotype"/>
          <w:i/>
          <w:iCs/>
          <w:sz w:val="20"/>
          <w:lang w:val="en-GB"/>
        </w:rPr>
        <w:t>p</w:t>
      </w:r>
      <w:r w:rsidR="00795204" w:rsidRPr="00B459E7">
        <w:rPr>
          <w:rFonts w:ascii="Palatino Linotype" w:hAnsi="Palatino Linotype"/>
          <w:sz w:val="20"/>
          <w:lang w:val="en-GB"/>
        </w:rPr>
        <w:t>-E1-</w:t>
      </w:r>
      <w:r w:rsidR="00795204" w:rsidRPr="00B459E7">
        <w:rPr>
          <w:rFonts w:ascii="Symbol" w:hAnsi="Symbol"/>
          <w:sz w:val="20"/>
          <w:lang w:val="en-GB"/>
        </w:rPr>
        <w:t></w:t>
      </w:r>
      <w:r w:rsidR="00795204" w:rsidRPr="00B459E7">
        <w:rPr>
          <w:rFonts w:ascii="Palatino Linotype" w:hAnsi="Palatino Linotype"/>
          <w:sz w:val="20"/>
          <w:lang w:val="en-GB"/>
        </w:rPr>
        <w:t xml:space="preserve"> levels, these results indicate that ADLL’s mechanism of action may involve the </w:t>
      </w:r>
      <w:r w:rsidR="001E784E" w:rsidRPr="00B459E7">
        <w:rPr>
          <w:rFonts w:ascii="Palatino Linotype" w:hAnsi="Palatino Linotype"/>
          <w:sz w:val="20"/>
          <w:lang w:val="en-GB"/>
        </w:rPr>
        <w:t>normali</w:t>
      </w:r>
      <w:r w:rsidR="001E784E">
        <w:rPr>
          <w:rFonts w:ascii="Palatino Linotype" w:hAnsi="Palatino Linotype"/>
          <w:sz w:val="20"/>
          <w:lang w:val="en-GB"/>
        </w:rPr>
        <w:t>s</w:t>
      </w:r>
      <w:r w:rsidR="001E784E" w:rsidRPr="00B459E7">
        <w:rPr>
          <w:rFonts w:ascii="Palatino Linotype" w:hAnsi="Palatino Linotype"/>
          <w:sz w:val="20"/>
          <w:lang w:val="en-GB"/>
        </w:rPr>
        <w:t xml:space="preserve">ation </w:t>
      </w:r>
      <w:r w:rsidR="00795204" w:rsidRPr="00B459E7">
        <w:rPr>
          <w:rFonts w:ascii="Palatino Linotype" w:hAnsi="Palatino Linotype"/>
          <w:sz w:val="20"/>
          <w:lang w:val="en-GB"/>
        </w:rPr>
        <w:t xml:space="preserve">of </w:t>
      </w:r>
      <w:r w:rsidR="007B3D0C" w:rsidRPr="00B459E7">
        <w:rPr>
          <w:rFonts w:ascii="Palatino Linotype" w:hAnsi="Palatino Linotype"/>
          <w:sz w:val="20"/>
          <w:lang w:val="en-GB"/>
        </w:rPr>
        <w:t xml:space="preserve">aerobic </w:t>
      </w:r>
      <w:r w:rsidR="00795204" w:rsidRPr="00B459E7">
        <w:rPr>
          <w:rFonts w:ascii="Palatino Linotype" w:hAnsi="Palatino Linotype"/>
          <w:sz w:val="20"/>
          <w:lang w:val="en-GB"/>
        </w:rPr>
        <w:t xml:space="preserve">metabolism </w:t>
      </w:r>
      <w:r w:rsidR="007B3D0C" w:rsidRPr="00B459E7">
        <w:rPr>
          <w:rFonts w:ascii="Palatino Linotype" w:hAnsi="Palatino Linotype"/>
          <w:sz w:val="20"/>
          <w:lang w:val="en-GB"/>
        </w:rPr>
        <w:t>and</w:t>
      </w:r>
      <w:r w:rsidR="00795204" w:rsidRPr="00B459E7">
        <w:rPr>
          <w:rFonts w:ascii="Palatino Linotype" w:hAnsi="Palatino Linotype"/>
          <w:sz w:val="20"/>
          <w:lang w:val="en-GB"/>
        </w:rPr>
        <w:t xml:space="preserve"> facilitati</w:t>
      </w:r>
      <w:r w:rsidR="007B3D0C" w:rsidRPr="00B459E7">
        <w:rPr>
          <w:rFonts w:ascii="Palatino Linotype" w:hAnsi="Palatino Linotype"/>
          <w:sz w:val="20"/>
          <w:lang w:val="en-GB"/>
        </w:rPr>
        <w:t>on of</w:t>
      </w:r>
      <w:r w:rsidR="00795204" w:rsidRPr="00B459E7">
        <w:rPr>
          <w:rFonts w:ascii="Palatino Linotype" w:hAnsi="Palatino Linotype"/>
          <w:sz w:val="20"/>
          <w:lang w:val="en-GB"/>
        </w:rPr>
        <w:t xml:space="preserve"> anaerobic pathways.</w:t>
      </w:r>
    </w:p>
    <w:p w14:paraId="79297BA3" w14:textId="5EF1E21F" w:rsidR="00795204" w:rsidRPr="00B459E7" w:rsidRDefault="00A24B08" w:rsidP="00A24B08">
      <w:pPr>
        <w:pStyle w:val="MDPI23heading3"/>
        <w:rPr>
          <w:lang w:val="en-GB"/>
        </w:rPr>
      </w:pPr>
      <w:r w:rsidRPr="00B459E7">
        <w:rPr>
          <w:lang w:val="en-GB"/>
        </w:rPr>
        <w:t xml:space="preserve">3.3.3. </w:t>
      </w:r>
      <w:r w:rsidR="00795204" w:rsidRPr="00B459E7">
        <w:rPr>
          <w:lang w:val="en-GB"/>
        </w:rPr>
        <w:t xml:space="preserve">ADLL </w:t>
      </w:r>
      <w:r w:rsidR="00C5547C" w:rsidRPr="00B459E7">
        <w:rPr>
          <w:lang w:val="en-GB"/>
        </w:rPr>
        <w:t xml:space="preserve">Elevates Antioxidant </w:t>
      </w:r>
      <w:r w:rsidR="00795204" w:rsidRPr="00B459E7">
        <w:rPr>
          <w:lang w:val="en-GB"/>
        </w:rPr>
        <w:t xml:space="preserve">SOD1 </w:t>
      </w:r>
      <w:r w:rsidR="00C5547C" w:rsidRPr="00B459E7">
        <w:rPr>
          <w:lang w:val="en-GB"/>
        </w:rPr>
        <w:t>Levels</w:t>
      </w:r>
      <w:bookmarkEnd w:id="14"/>
    </w:p>
    <w:p w14:paraId="477926C2" w14:textId="6C5662BB" w:rsidR="00B276E7" w:rsidRPr="00B459E7" w:rsidRDefault="00795204" w:rsidP="00A24B08">
      <w:pPr>
        <w:pStyle w:val="MDPI31text"/>
        <w:rPr>
          <w:lang w:val="en-GB"/>
        </w:rPr>
      </w:pPr>
      <w:r w:rsidRPr="00B459E7">
        <w:rPr>
          <w:lang w:val="en-GB"/>
        </w:rPr>
        <w:t xml:space="preserve">Leucine is known to reduce reactive oxygen species (ROS) via its enhancement of anaerobic glycolysis </w:t>
      </w:r>
      <w:r w:rsidR="0086309B" w:rsidRPr="00B459E7">
        <w:rPr>
          <w:noProof/>
          <w:lang w:val="en-GB"/>
        </w:rPr>
        <w:t>[38]</w:t>
      </w:r>
      <w:r w:rsidRPr="00B459E7">
        <w:rPr>
          <w:lang w:val="en-GB"/>
        </w:rPr>
        <w:t xml:space="preserve"> and elevation of superoxide dismutase (SOD) levels </w:t>
      </w:r>
      <w:r w:rsidR="0086309B" w:rsidRPr="00B459E7">
        <w:rPr>
          <w:noProof/>
          <w:lang w:val="en-GB"/>
        </w:rPr>
        <w:t>[39]</w:t>
      </w:r>
      <w:r w:rsidR="007B3D0C" w:rsidRPr="00B459E7">
        <w:rPr>
          <w:lang w:val="en-GB"/>
        </w:rPr>
        <w:t>.</w:t>
      </w:r>
      <w:r w:rsidRPr="00B459E7">
        <w:rPr>
          <w:lang w:val="en-GB"/>
        </w:rPr>
        <w:t xml:space="preserve"> </w:t>
      </w:r>
      <w:r w:rsidR="007B3D0C" w:rsidRPr="00B459E7">
        <w:rPr>
          <w:lang w:val="en-GB"/>
        </w:rPr>
        <w:t>W</w:t>
      </w:r>
      <w:r w:rsidRPr="00B459E7">
        <w:rPr>
          <w:lang w:val="en-GB"/>
        </w:rPr>
        <w:t xml:space="preserve">e therefore explored ADLL’s impact on SOD1 and SOD2 in the cerebellum. SOD1 levels were similar in </w:t>
      </w:r>
      <w:proofErr w:type="spellStart"/>
      <w:r w:rsidRPr="00B459E7">
        <w:rPr>
          <w:i/>
          <w:lang w:val="en-GB"/>
        </w:rPr>
        <w:t>Hexb</w:t>
      </w:r>
      <w:proofErr w:type="spellEnd"/>
      <w:r w:rsidRPr="00B459E7">
        <w:rPr>
          <w:i/>
          <w:vertAlign w:val="superscript"/>
          <w:lang w:val="en-GB"/>
        </w:rPr>
        <w:t>-/-</w:t>
      </w:r>
      <w:r w:rsidRPr="00B459E7">
        <w:rPr>
          <w:lang w:val="en-GB"/>
        </w:rPr>
        <w:t xml:space="preserve"> and </w:t>
      </w:r>
      <w:proofErr w:type="spellStart"/>
      <w:r w:rsidRPr="00B459E7">
        <w:rPr>
          <w:i/>
          <w:lang w:val="en-GB"/>
        </w:rPr>
        <w:t>Hexb</w:t>
      </w:r>
      <w:proofErr w:type="spellEnd"/>
      <w:r w:rsidRPr="00B459E7">
        <w:rPr>
          <w:i/>
          <w:vertAlign w:val="superscript"/>
          <w:lang w:val="en-GB"/>
        </w:rPr>
        <w:t>+/+</w:t>
      </w:r>
      <w:r w:rsidR="00E77A6C" w:rsidRPr="00B459E7">
        <w:rPr>
          <w:i/>
          <w:lang w:val="en-GB"/>
        </w:rPr>
        <w:t xml:space="preserve"> </w:t>
      </w:r>
      <w:r w:rsidRPr="00B459E7">
        <w:rPr>
          <w:iCs/>
          <w:lang w:val="en-GB"/>
        </w:rPr>
        <w:t>mice</w:t>
      </w:r>
      <w:r w:rsidR="00775DE3">
        <w:rPr>
          <w:lang w:val="en-GB"/>
        </w:rPr>
        <w:t>.</w:t>
      </w:r>
      <w:r w:rsidRPr="00B459E7">
        <w:rPr>
          <w:lang w:val="en-GB"/>
        </w:rPr>
        <w:t xml:space="preserve"> </w:t>
      </w:r>
      <w:r w:rsidR="000256AD">
        <w:rPr>
          <w:lang w:val="en-GB"/>
        </w:rPr>
        <w:t>While</w:t>
      </w:r>
      <w:r w:rsidRPr="00B459E7">
        <w:rPr>
          <w:lang w:val="en-GB"/>
        </w:rPr>
        <w:t xml:space="preserve"> ADLL treatment significantly increased SOD1 levels in the </w:t>
      </w:r>
      <w:proofErr w:type="spellStart"/>
      <w:r w:rsidRPr="00B459E7">
        <w:rPr>
          <w:i/>
          <w:lang w:val="en-GB"/>
        </w:rPr>
        <w:t>Hexb</w:t>
      </w:r>
      <w:proofErr w:type="spellEnd"/>
      <w:r w:rsidRPr="00B459E7">
        <w:rPr>
          <w:i/>
          <w:vertAlign w:val="superscript"/>
          <w:lang w:val="en-GB"/>
        </w:rPr>
        <w:t>-/-</w:t>
      </w:r>
      <w:r w:rsidRPr="00B459E7">
        <w:rPr>
          <w:lang w:val="en-GB"/>
        </w:rPr>
        <w:t xml:space="preserve"> cerebellum (12.59%, </w:t>
      </w:r>
      <w:r w:rsidRPr="00B459E7">
        <w:rPr>
          <w:i/>
          <w:lang w:val="en-GB"/>
        </w:rPr>
        <w:t>p</w:t>
      </w:r>
      <w:r w:rsidR="00A24B08" w:rsidRPr="00B459E7">
        <w:rPr>
          <w:i/>
          <w:lang w:val="en-GB"/>
        </w:rPr>
        <w:t xml:space="preserve"> </w:t>
      </w:r>
      <w:r w:rsidRPr="00B459E7">
        <w:rPr>
          <w:i/>
          <w:lang w:val="en-GB"/>
        </w:rPr>
        <w:t>=</w:t>
      </w:r>
      <w:r w:rsidR="00A24B08" w:rsidRPr="00B459E7">
        <w:rPr>
          <w:i/>
          <w:lang w:val="en-GB"/>
        </w:rPr>
        <w:t xml:space="preserve"> </w:t>
      </w:r>
      <w:r w:rsidRPr="00B459E7">
        <w:rPr>
          <w:lang w:val="en-GB"/>
        </w:rPr>
        <w:t>0.0121) (</w:t>
      </w:r>
      <w:r w:rsidR="00435CFD" w:rsidRPr="00B459E7">
        <w:rPr>
          <w:lang w:val="en-GB"/>
        </w:rPr>
        <w:t xml:space="preserve">Figure </w:t>
      </w:r>
      <w:r w:rsidRPr="00B459E7">
        <w:rPr>
          <w:lang w:val="en-GB"/>
        </w:rPr>
        <w:t>4</w:t>
      </w:r>
      <w:proofErr w:type="gramStart"/>
      <w:r w:rsidRPr="00B459E7">
        <w:rPr>
          <w:lang w:val="en-GB"/>
        </w:rPr>
        <w:t>g,h</w:t>
      </w:r>
      <w:proofErr w:type="gramEnd"/>
      <w:r w:rsidRPr="00B459E7">
        <w:rPr>
          <w:lang w:val="en-GB"/>
        </w:rPr>
        <w:t>)</w:t>
      </w:r>
      <w:r w:rsidR="000256AD">
        <w:rPr>
          <w:lang w:val="en-GB"/>
        </w:rPr>
        <w:t xml:space="preserve">, </w:t>
      </w:r>
      <w:r w:rsidRPr="00B459E7">
        <w:rPr>
          <w:lang w:val="en-GB"/>
        </w:rPr>
        <w:t>SOD2 levels were unchanged across all experimental groups (</w:t>
      </w:r>
      <w:r w:rsidR="00435CFD" w:rsidRPr="00B459E7">
        <w:rPr>
          <w:lang w:val="en-GB"/>
        </w:rPr>
        <w:t xml:space="preserve">Figure </w:t>
      </w:r>
      <w:r w:rsidRPr="00B459E7">
        <w:rPr>
          <w:lang w:val="en-GB"/>
        </w:rPr>
        <w:t xml:space="preserve">4g,h), these results indicate </w:t>
      </w:r>
      <w:r w:rsidR="00775DE3">
        <w:rPr>
          <w:lang w:val="en-GB"/>
        </w:rPr>
        <w:t xml:space="preserve">that </w:t>
      </w:r>
      <w:r w:rsidRPr="00B459E7">
        <w:rPr>
          <w:lang w:val="en-GB"/>
        </w:rPr>
        <w:t xml:space="preserve">ADLL treatment can </w:t>
      </w:r>
      <w:r w:rsidR="00421196" w:rsidRPr="00B459E7">
        <w:rPr>
          <w:lang w:val="en-GB"/>
        </w:rPr>
        <w:t>induce antioxidant</w:t>
      </w:r>
      <w:r w:rsidRPr="00B459E7">
        <w:rPr>
          <w:lang w:val="en-GB"/>
        </w:rPr>
        <w:t xml:space="preserve"> pathways.</w:t>
      </w:r>
    </w:p>
    <w:p w14:paraId="02D4C0AD" w14:textId="493AD1CF" w:rsidR="00795204" w:rsidRPr="00B459E7" w:rsidRDefault="004908B9" w:rsidP="004908B9">
      <w:pPr>
        <w:pStyle w:val="MDPI22heading2"/>
        <w:rPr>
          <w:bCs/>
          <w:iCs/>
          <w:lang w:val="en-GB"/>
        </w:rPr>
      </w:pPr>
      <w:bookmarkStart w:id="15" w:name="_Toc410478824"/>
      <w:r w:rsidRPr="00B459E7">
        <w:rPr>
          <w:lang w:val="en-GB"/>
        </w:rPr>
        <w:t xml:space="preserve">3.4. </w:t>
      </w:r>
      <w:r w:rsidR="00795204" w:rsidRPr="00B459E7">
        <w:rPr>
          <w:lang w:val="en-GB"/>
        </w:rPr>
        <w:t xml:space="preserve">Combination </w:t>
      </w:r>
      <w:r w:rsidR="003E169D" w:rsidRPr="00B459E7">
        <w:rPr>
          <w:lang w:val="en-GB"/>
        </w:rPr>
        <w:t xml:space="preserve">Treatment </w:t>
      </w:r>
      <w:r w:rsidR="00795204" w:rsidRPr="00B459E7">
        <w:rPr>
          <w:lang w:val="en-GB"/>
        </w:rPr>
        <w:t xml:space="preserve">of </w:t>
      </w:r>
      <w:r w:rsidR="003E169D" w:rsidRPr="00B459E7">
        <w:rPr>
          <w:lang w:val="en-GB"/>
        </w:rPr>
        <w:t xml:space="preserve">Miglustat </w:t>
      </w:r>
      <w:r w:rsidR="00795204" w:rsidRPr="00B459E7">
        <w:rPr>
          <w:lang w:val="en-GB"/>
        </w:rPr>
        <w:t xml:space="preserve">and ADLL </w:t>
      </w:r>
      <w:r w:rsidR="003E169D" w:rsidRPr="00B459E7">
        <w:rPr>
          <w:lang w:val="en-GB"/>
        </w:rPr>
        <w:t xml:space="preserve">Results </w:t>
      </w:r>
      <w:r w:rsidR="00795204" w:rsidRPr="00B459E7">
        <w:rPr>
          <w:lang w:val="en-GB"/>
        </w:rPr>
        <w:t xml:space="preserve">in an </w:t>
      </w:r>
      <w:r w:rsidR="003E169D" w:rsidRPr="00B459E7">
        <w:rPr>
          <w:lang w:val="en-GB"/>
        </w:rPr>
        <w:t>Additive Extensio</w:t>
      </w:r>
      <w:r w:rsidR="00795204" w:rsidRPr="00B459E7">
        <w:rPr>
          <w:lang w:val="en-GB"/>
        </w:rPr>
        <w:t xml:space="preserve">n of </w:t>
      </w:r>
      <w:r w:rsidR="003E169D" w:rsidRPr="00B459E7">
        <w:rPr>
          <w:lang w:val="en-GB"/>
        </w:rPr>
        <w:t xml:space="preserve">Lifespan </w:t>
      </w:r>
      <w:r w:rsidR="00795204" w:rsidRPr="00B459E7">
        <w:rPr>
          <w:lang w:val="en-GB"/>
        </w:rPr>
        <w:t>in</w:t>
      </w:r>
      <w:r w:rsidR="00A24B08" w:rsidRPr="00B459E7">
        <w:rPr>
          <w:lang w:val="en-GB"/>
        </w:rPr>
        <w:t xml:space="preserve"> </w:t>
      </w:r>
      <w:r w:rsidR="00795204" w:rsidRPr="00B459E7">
        <w:rPr>
          <w:bCs/>
          <w:iCs/>
          <w:lang w:val="en-GB"/>
        </w:rPr>
        <w:t>Hexb</w:t>
      </w:r>
      <w:r w:rsidR="00795204" w:rsidRPr="00B459E7">
        <w:rPr>
          <w:bCs/>
          <w:iCs/>
          <w:vertAlign w:val="superscript"/>
          <w:lang w:val="en-GB"/>
        </w:rPr>
        <w:t xml:space="preserve">-/- </w:t>
      </w:r>
      <w:r w:rsidR="003E169D" w:rsidRPr="00B459E7">
        <w:rPr>
          <w:bCs/>
          <w:iCs/>
          <w:lang w:val="en-GB"/>
        </w:rPr>
        <w:t>Mice</w:t>
      </w:r>
      <w:bookmarkEnd w:id="15"/>
    </w:p>
    <w:p w14:paraId="36F056A9" w14:textId="0332AAF1" w:rsidR="00795204" w:rsidRPr="00B459E7" w:rsidRDefault="00795204" w:rsidP="00980FA3">
      <w:pPr>
        <w:adjustRightInd w:val="0"/>
        <w:snapToGrid w:val="0"/>
        <w:spacing w:line="240" w:lineRule="auto"/>
        <w:ind w:firstLine="420"/>
        <w:rPr>
          <w:rFonts w:ascii="Palatino Linotype" w:hAnsi="Palatino Linotype"/>
          <w:sz w:val="20"/>
          <w:lang w:val="en-GB"/>
        </w:rPr>
      </w:pPr>
      <w:r w:rsidRPr="00B459E7">
        <w:rPr>
          <w:rFonts w:ascii="Palatino Linotype" w:hAnsi="Palatino Linotype"/>
          <w:sz w:val="20"/>
          <w:lang w:val="en-GB"/>
        </w:rPr>
        <w:t>Finally, we combined ADLL with the substrate reduction therapy drug</w:t>
      </w:r>
      <w:r w:rsidR="007B3D0C" w:rsidRPr="00B459E7">
        <w:rPr>
          <w:rFonts w:ascii="Palatino Linotype" w:hAnsi="Palatino Linotype"/>
          <w:sz w:val="20"/>
          <w:lang w:val="en-GB"/>
        </w:rPr>
        <w:t>,</w:t>
      </w:r>
      <w:r w:rsidRPr="00B459E7">
        <w:rPr>
          <w:rFonts w:ascii="Palatino Linotype" w:hAnsi="Palatino Linotype"/>
          <w:sz w:val="20"/>
          <w:lang w:val="en-GB"/>
        </w:rPr>
        <w:t xml:space="preserve"> </w:t>
      </w:r>
      <w:proofErr w:type="spellStart"/>
      <w:r w:rsidRPr="00B459E7">
        <w:rPr>
          <w:rFonts w:ascii="Palatino Linotype" w:hAnsi="Palatino Linotype"/>
          <w:sz w:val="20"/>
          <w:lang w:val="en-GB"/>
        </w:rPr>
        <w:t>miglustat</w:t>
      </w:r>
      <w:proofErr w:type="spellEnd"/>
      <w:r w:rsidR="00BD080F" w:rsidRPr="00B459E7">
        <w:rPr>
          <w:rFonts w:ascii="Palatino Linotype" w:hAnsi="Palatino Linotype"/>
          <w:sz w:val="20"/>
          <w:lang w:val="en-GB"/>
        </w:rPr>
        <w:t xml:space="preserve"> (600</w:t>
      </w:r>
      <w:r w:rsidR="003E169D" w:rsidRPr="00B459E7">
        <w:rPr>
          <w:rFonts w:ascii="Palatino Linotype" w:hAnsi="Palatino Linotype"/>
          <w:sz w:val="20"/>
          <w:lang w:val="en-GB"/>
        </w:rPr>
        <w:t xml:space="preserve"> </w:t>
      </w:r>
      <w:r w:rsidR="00BD080F" w:rsidRPr="00B459E7">
        <w:rPr>
          <w:rFonts w:ascii="Palatino Linotype" w:hAnsi="Palatino Linotype"/>
          <w:sz w:val="20"/>
          <w:lang w:val="en-GB"/>
        </w:rPr>
        <w:t>mg/kg/day)</w:t>
      </w:r>
      <w:r w:rsidRPr="00B459E7">
        <w:rPr>
          <w:rFonts w:ascii="Palatino Linotype" w:hAnsi="Palatino Linotype"/>
          <w:sz w:val="20"/>
          <w:lang w:val="en-GB"/>
        </w:rPr>
        <w:t xml:space="preserve">, initiating both treatments from weaning (3 weeks of age). In agreement with previous studies [8], </w:t>
      </w:r>
      <w:proofErr w:type="spellStart"/>
      <w:r w:rsidRPr="00B459E7">
        <w:rPr>
          <w:rFonts w:ascii="Palatino Linotype" w:hAnsi="Palatino Linotype"/>
          <w:i/>
          <w:iCs/>
          <w:sz w:val="20"/>
          <w:lang w:val="en-GB"/>
        </w:rPr>
        <w:t>Hexb</w:t>
      </w:r>
      <w:proofErr w:type="spellEnd"/>
      <w:r w:rsidRPr="00B459E7">
        <w:rPr>
          <w:rFonts w:ascii="Palatino Linotype" w:hAnsi="Palatino Linotype"/>
          <w:i/>
          <w:iCs/>
          <w:sz w:val="20"/>
          <w:vertAlign w:val="superscript"/>
          <w:lang w:val="en-GB"/>
        </w:rPr>
        <w:t>-/-</w:t>
      </w:r>
      <w:r w:rsidRPr="00B459E7">
        <w:rPr>
          <w:rFonts w:ascii="Palatino Linotype" w:hAnsi="Palatino Linotype"/>
          <w:sz w:val="20"/>
          <w:lang w:val="en-GB"/>
        </w:rPr>
        <w:t xml:space="preserve"> mice had a median survival of 111.5 days, while </w:t>
      </w:r>
      <w:proofErr w:type="spellStart"/>
      <w:r w:rsidRPr="00B459E7">
        <w:rPr>
          <w:rFonts w:ascii="Palatino Linotype" w:hAnsi="Palatino Linotype"/>
          <w:sz w:val="20"/>
          <w:lang w:val="en-GB"/>
        </w:rPr>
        <w:t>miglustat</w:t>
      </w:r>
      <w:proofErr w:type="spellEnd"/>
      <w:r w:rsidRPr="00B459E7">
        <w:rPr>
          <w:rFonts w:ascii="Palatino Linotype" w:hAnsi="Palatino Linotype"/>
          <w:sz w:val="20"/>
          <w:lang w:val="en-GB"/>
        </w:rPr>
        <w:t xml:space="preserve"> therapy significantly increased the life expectancy by a median of 30 days (median survival 141.5 days, </w:t>
      </w:r>
      <w:r w:rsidRPr="00B459E7">
        <w:rPr>
          <w:rFonts w:ascii="Palatino Linotype" w:hAnsi="Palatino Linotype"/>
          <w:i/>
          <w:sz w:val="20"/>
          <w:lang w:val="en-GB"/>
        </w:rPr>
        <w:t>p</w:t>
      </w:r>
      <w:r w:rsidR="003E169D" w:rsidRPr="00B459E7">
        <w:rPr>
          <w:rFonts w:ascii="Palatino Linotype" w:hAnsi="Palatino Linotype"/>
          <w:i/>
          <w:sz w:val="20"/>
          <w:lang w:val="en-GB"/>
        </w:rPr>
        <w:t xml:space="preserve"> </w:t>
      </w:r>
      <w:r w:rsidRPr="00B459E7">
        <w:rPr>
          <w:rFonts w:ascii="Palatino Linotype" w:hAnsi="Palatino Linotype"/>
          <w:sz w:val="20"/>
          <w:lang w:val="en-GB"/>
        </w:rPr>
        <w:t>=</w:t>
      </w:r>
      <w:r w:rsidR="003E169D" w:rsidRPr="00B459E7">
        <w:rPr>
          <w:rFonts w:ascii="Palatino Linotype" w:hAnsi="Palatino Linotype"/>
          <w:sz w:val="20"/>
          <w:lang w:val="en-GB"/>
        </w:rPr>
        <w:t xml:space="preserve"> </w:t>
      </w:r>
      <w:r w:rsidRPr="00B459E7">
        <w:rPr>
          <w:rFonts w:ascii="Palatino Linotype" w:hAnsi="Palatino Linotype"/>
          <w:sz w:val="20"/>
          <w:lang w:val="en-GB"/>
        </w:rPr>
        <w:t xml:space="preserve">0.0088) (Figure 5). ADLL monotherapy extended lifespan by a median of 9.5 days. However, </w:t>
      </w:r>
      <w:proofErr w:type="spellStart"/>
      <w:r w:rsidRPr="00B459E7">
        <w:rPr>
          <w:rFonts w:ascii="Palatino Linotype" w:hAnsi="Palatino Linotype"/>
          <w:sz w:val="20"/>
          <w:lang w:val="en-GB"/>
        </w:rPr>
        <w:t>miglustat</w:t>
      </w:r>
      <w:proofErr w:type="spellEnd"/>
      <w:r w:rsidRPr="00B459E7">
        <w:rPr>
          <w:rFonts w:ascii="Palatino Linotype" w:hAnsi="Palatino Linotype"/>
          <w:sz w:val="20"/>
          <w:lang w:val="en-GB"/>
        </w:rPr>
        <w:t xml:space="preserve"> and ADLL combination therapy resulted in 150 days survival time</w:t>
      </w:r>
      <w:r w:rsidR="008A71EF">
        <w:rPr>
          <w:rFonts w:ascii="Palatino Linotype" w:hAnsi="Palatino Linotype"/>
          <w:sz w:val="20"/>
          <w:lang w:val="en-GB"/>
        </w:rPr>
        <w:t>,</w:t>
      </w:r>
      <w:r w:rsidRPr="00B459E7">
        <w:rPr>
          <w:rFonts w:ascii="Palatino Linotype" w:hAnsi="Palatino Linotype"/>
          <w:sz w:val="20"/>
          <w:lang w:val="en-GB"/>
        </w:rPr>
        <w:t xml:space="preserve"> i.e.</w:t>
      </w:r>
      <w:r w:rsidR="00435CFD" w:rsidRPr="00B459E7">
        <w:rPr>
          <w:rFonts w:ascii="Palatino Linotype" w:hAnsi="Palatino Linotype"/>
          <w:sz w:val="20"/>
          <w:lang w:val="en-GB"/>
        </w:rPr>
        <w:t>,</w:t>
      </w:r>
      <w:r w:rsidRPr="00B459E7">
        <w:rPr>
          <w:rFonts w:ascii="Palatino Linotype" w:hAnsi="Palatino Linotype"/>
          <w:sz w:val="20"/>
          <w:lang w:val="en-GB"/>
        </w:rPr>
        <w:t xml:space="preserve"> 38.5 days longer than the untreated group (in median, </w:t>
      </w:r>
      <w:r w:rsidRPr="00B459E7">
        <w:rPr>
          <w:rFonts w:ascii="Palatino Linotype" w:hAnsi="Palatino Linotype"/>
          <w:i/>
          <w:sz w:val="20"/>
          <w:lang w:val="en-GB"/>
        </w:rPr>
        <w:t>p</w:t>
      </w:r>
      <w:r w:rsidR="003E169D" w:rsidRPr="00B459E7">
        <w:rPr>
          <w:rFonts w:ascii="Palatino Linotype" w:hAnsi="Palatino Linotype"/>
          <w:i/>
          <w:sz w:val="20"/>
          <w:lang w:val="en-GB"/>
        </w:rPr>
        <w:t xml:space="preserve"> </w:t>
      </w:r>
      <w:r w:rsidRPr="00B459E7">
        <w:rPr>
          <w:rFonts w:ascii="Palatino Linotype" w:hAnsi="Palatino Linotype"/>
          <w:sz w:val="20"/>
          <w:lang w:val="en-GB"/>
        </w:rPr>
        <w:t>=</w:t>
      </w:r>
      <w:r w:rsidR="003E169D" w:rsidRPr="00B459E7">
        <w:rPr>
          <w:rFonts w:ascii="Palatino Linotype" w:hAnsi="Palatino Linotype"/>
          <w:sz w:val="20"/>
          <w:lang w:val="en-GB"/>
        </w:rPr>
        <w:t xml:space="preserve"> </w:t>
      </w:r>
      <w:r w:rsidRPr="00B459E7">
        <w:rPr>
          <w:rFonts w:ascii="Palatino Linotype" w:hAnsi="Palatino Linotype"/>
          <w:sz w:val="20"/>
          <w:lang w:val="en-GB"/>
        </w:rPr>
        <w:t xml:space="preserve">0.0014) (Figure 5), suggesting an additive effect of ADLL on </w:t>
      </w:r>
      <w:proofErr w:type="spellStart"/>
      <w:r w:rsidRPr="00B459E7">
        <w:rPr>
          <w:rFonts w:ascii="Palatino Linotype" w:hAnsi="Palatino Linotype"/>
          <w:sz w:val="20"/>
          <w:lang w:val="en-GB"/>
        </w:rPr>
        <w:t>miglustat</w:t>
      </w:r>
      <w:proofErr w:type="spellEnd"/>
      <w:r w:rsidRPr="00B459E7">
        <w:rPr>
          <w:rFonts w:ascii="Palatino Linotype" w:hAnsi="Palatino Linotype"/>
          <w:sz w:val="20"/>
          <w:lang w:val="en-GB"/>
        </w:rPr>
        <w:t xml:space="preserve"> therapy.</w:t>
      </w:r>
    </w:p>
    <w:p w14:paraId="5B1F3026" w14:textId="77777777" w:rsidR="00795204" w:rsidRPr="00B459E7" w:rsidRDefault="00421196" w:rsidP="003E169D">
      <w:pPr>
        <w:pStyle w:val="MDPI52figure"/>
        <w:rPr>
          <w:lang w:val="en-GB"/>
        </w:rPr>
      </w:pPr>
      <w:r w:rsidRPr="00B459E7">
        <w:rPr>
          <w:noProof/>
          <w:lang w:eastAsia="zh-CN" w:bidi="ar-SA"/>
        </w:rPr>
        <w:drawing>
          <wp:inline distT="0" distB="0" distL="0" distR="0" wp14:anchorId="00A766B7" wp14:editId="311C3AC5">
            <wp:extent cx="4253244" cy="2887038"/>
            <wp:effectExtent l="0" t="0" r="0" b="0"/>
            <wp:docPr id="26" name="Picture 14" descr="Sandhoff figure 5 0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Sandhoff figure 5 020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3104" cy="2893731"/>
                    </a:xfrm>
                    <a:prstGeom prst="rect">
                      <a:avLst/>
                    </a:prstGeom>
                    <a:noFill/>
                    <a:ln>
                      <a:noFill/>
                    </a:ln>
                  </pic:spPr>
                </pic:pic>
              </a:graphicData>
            </a:graphic>
          </wp:inline>
        </w:drawing>
      </w:r>
    </w:p>
    <w:p w14:paraId="5687035C" w14:textId="4CD02877" w:rsidR="00421196" w:rsidRPr="00B459E7" w:rsidRDefault="003E169D" w:rsidP="003E169D">
      <w:pPr>
        <w:pStyle w:val="MDPI51figurecaption"/>
        <w:rPr>
          <w:lang w:val="en-GB"/>
        </w:rPr>
      </w:pPr>
      <w:r w:rsidRPr="00B459E7">
        <w:rPr>
          <w:b/>
          <w:lang w:val="en-GB"/>
        </w:rPr>
        <w:t xml:space="preserve">Figure 5. </w:t>
      </w:r>
      <w:r w:rsidR="00F415AC">
        <w:rPr>
          <w:lang w:val="en-GB"/>
        </w:rPr>
        <w:t>E</w:t>
      </w:r>
      <w:r w:rsidR="00421196" w:rsidRPr="00B459E7">
        <w:rPr>
          <w:lang w:val="en-GB"/>
        </w:rPr>
        <w:t>valuation of</w:t>
      </w:r>
      <w:r w:rsidR="00F415AC">
        <w:rPr>
          <w:lang w:val="en-GB"/>
        </w:rPr>
        <w:t xml:space="preserve"> lifespan in</w:t>
      </w:r>
      <w:r w:rsidR="00421196" w:rsidRPr="00B459E7">
        <w:rPr>
          <w:lang w:val="en-GB"/>
        </w:rPr>
        <w:t xml:space="preserve"> </w:t>
      </w:r>
      <w:proofErr w:type="spellStart"/>
      <w:r w:rsidR="00421196" w:rsidRPr="00B459E7">
        <w:rPr>
          <w:lang w:val="en-GB"/>
        </w:rPr>
        <w:t>miglustat</w:t>
      </w:r>
      <w:proofErr w:type="spellEnd"/>
      <w:r w:rsidR="00421196" w:rsidRPr="00B459E7">
        <w:rPr>
          <w:lang w:val="en-GB"/>
        </w:rPr>
        <w:t xml:space="preserve"> </w:t>
      </w:r>
      <w:r w:rsidR="00F415AC">
        <w:rPr>
          <w:lang w:val="en-GB"/>
        </w:rPr>
        <w:t xml:space="preserve">alone or </w:t>
      </w:r>
      <w:proofErr w:type="spellStart"/>
      <w:r w:rsidR="00421196" w:rsidRPr="00B459E7">
        <w:rPr>
          <w:lang w:val="en-GB"/>
        </w:rPr>
        <w:t>miglustat</w:t>
      </w:r>
      <w:proofErr w:type="spellEnd"/>
      <w:r w:rsidR="00421196" w:rsidRPr="00B459E7">
        <w:rPr>
          <w:lang w:val="en-GB"/>
        </w:rPr>
        <w:t xml:space="preserve"> </w:t>
      </w:r>
      <w:r w:rsidR="00F415AC">
        <w:rPr>
          <w:lang w:val="en-GB"/>
        </w:rPr>
        <w:t>plus</w:t>
      </w:r>
      <w:r w:rsidR="00421196" w:rsidRPr="00B459E7">
        <w:rPr>
          <w:lang w:val="en-GB"/>
        </w:rPr>
        <w:t xml:space="preserve"> ADLL </w:t>
      </w:r>
      <w:r w:rsidR="00F415AC">
        <w:rPr>
          <w:lang w:val="en-GB"/>
        </w:rPr>
        <w:t xml:space="preserve">combination </w:t>
      </w:r>
      <w:r w:rsidR="00421196" w:rsidRPr="00B459E7">
        <w:rPr>
          <w:lang w:val="en-GB"/>
        </w:rPr>
        <w:t>therap</w:t>
      </w:r>
      <w:r w:rsidR="00F415AC">
        <w:rPr>
          <w:lang w:val="en-GB"/>
        </w:rPr>
        <w:t>y</w:t>
      </w:r>
      <w:r w:rsidR="00421196" w:rsidRPr="00B459E7">
        <w:rPr>
          <w:lang w:val="en-GB"/>
        </w:rPr>
        <w:t xml:space="preserve"> in </w:t>
      </w:r>
      <w:proofErr w:type="spellStart"/>
      <w:r w:rsidR="00421196" w:rsidRPr="00B459E7">
        <w:rPr>
          <w:i/>
          <w:lang w:val="en-GB"/>
        </w:rPr>
        <w:t>Hexb</w:t>
      </w:r>
      <w:proofErr w:type="spellEnd"/>
      <w:r w:rsidR="00421196" w:rsidRPr="00B459E7">
        <w:rPr>
          <w:i/>
          <w:vertAlign w:val="superscript"/>
          <w:lang w:val="en-GB"/>
        </w:rPr>
        <w:t>-/-</w:t>
      </w:r>
      <w:r w:rsidR="00421196" w:rsidRPr="00B459E7">
        <w:rPr>
          <w:i/>
          <w:lang w:val="en-GB"/>
        </w:rPr>
        <w:t xml:space="preserve"> </w:t>
      </w:r>
      <w:r w:rsidR="00421196" w:rsidRPr="00B459E7">
        <w:rPr>
          <w:lang w:val="en-GB"/>
        </w:rPr>
        <w:t>mice.</w:t>
      </w:r>
      <w:r w:rsidR="00421196" w:rsidRPr="00B459E7">
        <w:rPr>
          <w:b/>
          <w:lang w:val="en-GB"/>
        </w:rPr>
        <w:t xml:space="preserve"> </w:t>
      </w:r>
      <w:r w:rsidR="001C0D80" w:rsidRPr="00B459E7">
        <w:rPr>
          <w:lang w:val="en-GB"/>
        </w:rPr>
        <w:t>Wild-type (</w:t>
      </w:r>
      <w:proofErr w:type="spellStart"/>
      <w:r w:rsidR="001C0D80" w:rsidRPr="00B459E7">
        <w:rPr>
          <w:i/>
          <w:lang w:val="en-GB"/>
        </w:rPr>
        <w:t>Hexb</w:t>
      </w:r>
      <w:proofErr w:type="spellEnd"/>
      <w:r w:rsidR="001C0D80" w:rsidRPr="00B459E7">
        <w:rPr>
          <w:i/>
          <w:vertAlign w:val="superscript"/>
          <w:lang w:val="en-GB"/>
        </w:rPr>
        <w:t>+/+</w:t>
      </w:r>
      <w:r w:rsidR="001C0D80" w:rsidRPr="00B459E7">
        <w:rPr>
          <w:lang w:val="en-GB"/>
        </w:rPr>
        <w:t xml:space="preserve">) </w:t>
      </w:r>
      <w:r w:rsidR="00B56B76" w:rsidRPr="00B459E7">
        <w:rPr>
          <w:lang w:val="en-GB"/>
        </w:rPr>
        <w:t>untreated (blue line</w:t>
      </w:r>
      <w:r w:rsidR="00032712" w:rsidRPr="00B459E7">
        <w:rPr>
          <w:lang w:val="en-GB"/>
        </w:rPr>
        <w:t>)</w:t>
      </w:r>
      <w:r w:rsidR="00032712">
        <w:rPr>
          <w:lang w:val="en-GB"/>
        </w:rPr>
        <w:t>,</w:t>
      </w:r>
      <w:r w:rsidR="00032712" w:rsidRPr="00B459E7">
        <w:rPr>
          <w:lang w:val="en-GB"/>
        </w:rPr>
        <w:t xml:space="preserve"> </w:t>
      </w:r>
      <w:r w:rsidR="001C0D80" w:rsidRPr="00F84F07">
        <w:rPr>
          <w:i/>
          <w:lang w:val="en-GB"/>
        </w:rPr>
        <w:t>n</w:t>
      </w:r>
      <w:r w:rsidRPr="00B459E7">
        <w:rPr>
          <w:lang w:val="en-GB"/>
        </w:rPr>
        <w:t xml:space="preserve"> </w:t>
      </w:r>
      <w:r w:rsidR="001C0D80" w:rsidRPr="00B459E7">
        <w:rPr>
          <w:lang w:val="en-GB"/>
        </w:rPr>
        <w:t>=</w:t>
      </w:r>
      <w:r w:rsidRPr="00B459E7">
        <w:rPr>
          <w:lang w:val="en-GB"/>
        </w:rPr>
        <w:t xml:space="preserve"> </w:t>
      </w:r>
      <w:r w:rsidR="001C0D80" w:rsidRPr="00B459E7">
        <w:rPr>
          <w:lang w:val="en-GB"/>
        </w:rPr>
        <w:t>5</w:t>
      </w:r>
      <w:r w:rsidR="00032712">
        <w:rPr>
          <w:lang w:val="en-GB"/>
        </w:rPr>
        <w:t>;</w:t>
      </w:r>
      <w:r w:rsidR="00032712" w:rsidRPr="00B459E7">
        <w:rPr>
          <w:lang w:val="en-GB"/>
        </w:rPr>
        <w:t xml:space="preserve"> </w:t>
      </w:r>
      <w:proofErr w:type="spellStart"/>
      <w:r w:rsidR="00421196" w:rsidRPr="00B459E7">
        <w:rPr>
          <w:lang w:val="en-GB"/>
        </w:rPr>
        <w:t>Sandhoff</w:t>
      </w:r>
      <w:proofErr w:type="spellEnd"/>
      <w:r w:rsidR="00421196" w:rsidRPr="00B459E7">
        <w:rPr>
          <w:lang w:val="en-GB"/>
        </w:rPr>
        <w:t xml:space="preserve"> (</w:t>
      </w:r>
      <w:proofErr w:type="spellStart"/>
      <w:r w:rsidR="00421196" w:rsidRPr="00B459E7">
        <w:rPr>
          <w:i/>
          <w:lang w:val="en-GB"/>
        </w:rPr>
        <w:t>Hexb</w:t>
      </w:r>
      <w:proofErr w:type="spellEnd"/>
      <w:r w:rsidR="00421196" w:rsidRPr="00B459E7">
        <w:rPr>
          <w:i/>
          <w:vertAlign w:val="superscript"/>
          <w:lang w:val="en-GB"/>
        </w:rPr>
        <w:t>-/-</w:t>
      </w:r>
      <w:r w:rsidR="00421196" w:rsidRPr="00B459E7">
        <w:rPr>
          <w:lang w:val="en-GB"/>
        </w:rPr>
        <w:t>)</w:t>
      </w:r>
      <w:r w:rsidR="00B56B76" w:rsidRPr="00B459E7">
        <w:rPr>
          <w:lang w:val="en-GB"/>
        </w:rPr>
        <w:t xml:space="preserve"> untreated (red line</w:t>
      </w:r>
      <w:r w:rsidR="00032712" w:rsidRPr="00B459E7">
        <w:rPr>
          <w:lang w:val="en-GB"/>
        </w:rPr>
        <w:t>)</w:t>
      </w:r>
      <w:r w:rsidR="00032712">
        <w:rPr>
          <w:lang w:val="en-GB"/>
        </w:rPr>
        <w:t>,</w:t>
      </w:r>
      <w:r w:rsidR="00032712" w:rsidRPr="00B459E7">
        <w:rPr>
          <w:lang w:val="en-GB"/>
        </w:rPr>
        <w:t xml:space="preserve"> </w:t>
      </w:r>
      <w:r w:rsidR="00421196" w:rsidRPr="00F84F07">
        <w:rPr>
          <w:i/>
          <w:lang w:val="en-GB"/>
        </w:rPr>
        <w:t>n</w:t>
      </w:r>
      <w:r w:rsidRPr="00B459E7">
        <w:rPr>
          <w:lang w:val="en-GB"/>
        </w:rPr>
        <w:t xml:space="preserve"> </w:t>
      </w:r>
      <w:r w:rsidR="00421196" w:rsidRPr="00B459E7">
        <w:rPr>
          <w:lang w:val="en-GB"/>
        </w:rPr>
        <w:t>=</w:t>
      </w:r>
      <w:r w:rsidRPr="00B459E7">
        <w:rPr>
          <w:lang w:val="en-GB"/>
        </w:rPr>
        <w:t xml:space="preserve"> </w:t>
      </w:r>
      <w:r w:rsidR="00421196" w:rsidRPr="00B459E7">
        <w:rPr>
          <w:lang w:val="en-GB"/>
        </w:rPr>
        <w:t>6</w:t>
      </w:r>
      <w:r w:rsidR="00032712">
        <w:rPr>
          <w:lang w:val="en-GB"/>
        </w:rPr>
        <w:t>;</w:t>
      </w:r>
      <w:r w:rsidR="00032712" w:rsidRPr="00B459E7">
        <w:rPr>
          <w:lang w:val="en-GB"/>
        </w:rPr>
        <w:t xml:space="preserve"> </w:t>
      </w:r>
      <w:proofErr w:type="spellStart"/>
      <w:r w:rsidR="00421196" w:rsidRPr="00B459E7">
        <w:rPr>
          <w:lang w:val="en-GB"/>
        </w:rPr>
        <w:t>Sandhoff</w:t>
      </w:r>
      <w:proofErr w:type="spellEnd"/>
      <w:r w:rsidR="00421196" w:rsidRPr="00B459E7">
        <w:rPr>
          <w:lang w:val="en-GB"/>
        </w:rPr>
        <w:t xml:space="preserve"> (</w:t>
      </w:r>
      <w:proofErr w:type="spellStart"/>
      <w:r w:rsidR="00421196" w:rsidRPr="00B459E7">
        <w:rPr>
          <w:i/>
          <w:lang w:val="en-GB"/>
        </w:rPr>
        <w:t>Hexb</w:t>
      </w:r>
      <w:proofErr w:type="spellEnd"/>
      <w:r w:rsidR="00421196" w:rsidRPr="00B459E7">
        <w:rPr>
          <w:i/>
          <w:vertAlign w:val="superscript"/>
          <w:lang w:val="en-GB"/>
        </w:rPr>
        <w:t>-/-</w:t>
      </w:r>
      <w:r w:rsidR="00B56B76" w:rsidRPr="00B459E7">
        <w:rPr>
          <w:iCs/>
          <w:lang w:val="en-GB"/>
        </w:rPr>
        <w:t>)</w:t>
      </w:r>
      <w:r w:rsidR="00B56B76" w:rsidRPr="00B459E7">
        <w:rPr>
          <w:iCs/>
          <w:vertAlign w:val="superscript"/>
          <w:lang w:val="en-GB"/>
        </w:rPr>
        <w:t xml:space="preserve"> </w:t>
      </w:r>
      <w:r w:rsidR="00421196" w:rsidRPr="00B459E7">
        <w:rPr>
          <w:lang w:val="en-GB"/>
        </w:rPr>
        <w:t>ADLL</w:t>
      </w:r>
      <w:r w:rsidR="00164ED3">
        <w:rPr>
          <w:lang w:val="en-GB"/>
        </w:rPr>
        <w:t xml:space="preserve"> </w:t>
      </w:r>
      <w:r w:rsidR="00B56B76" w:rsidRPr="00B459E7">
        <w:rPr>
          <w:lang w:val="en-GB"/>
        </w:rPr>
        <w:t>treated (green line</w:t>
      </w:r>
      <w:r w:rsidR="00032712" w:rsidRPr="00B459E7">
        <w:rPr>
          <w:lang w:val="en-GB"/>
        </w:rPr>
        <w:t>)</w:t>
      </w:r>
      <w:r w:rsidR="00032712">
        <w:rPr>
          <w:lang w:val="en-GB"/>
        </w:rPr>
        <w:t>,</w:t>
      </w:r>
      <w:r w:rsidR="00032712" w:rsidRPr="00B459E7">
        <w:rPr>
          <w:lang w:val="en-GB"/>
        </w:rPr>
        <w:t xml:space="preserve"> </w:t>
      </w:r>
      <w:r w:rsidR="00421196" w:rsidRPr="00F84F07">
        <w:rPr>
          <w:i/>
          <w:lang w:val="en-GB"/>
        </w:rPr>
        <w:t>n</w:t>
      </w:r>
      <w:r w:rsidRPr="00B459E7">
        <w:rPr>
          <w:lang w:val="en-GB"/>
        </w:rPr>
        <w:t xml:space="preserve"> </w:t>
      </w:r>
      <w:r w:rsidR="00421196" w:rsidRPr="00B459E7">
        <w:rPr>
          <w:lang w:val="en-GB"/>
        </w:rPr>
        <w:t>=</w:t>
      </w:r>
      <w:r w:rsidRPr="00B459E7">
        <w:rPr>
          <w:lang w:val="en-GB"/>
        </w:rPr>
        <w:t xml:space="preserve"> </w:t>
      </w:r>
      <w:r w:rsidR="00421196" w:rsidRPr="00B459E7">
        <w:rPr>
          <w:lang w:val="en-GB"/>
        </w:rPr>
        <w:t>6</w:t>
      </w:r>
      <w:r w:rsidR="00032712">
        <w:rPr>
          <w:lang w:val="en-GB"/>
        </w:rPr>
        <w:t>;</w:t>
      </w:r>
      <w:r w:rsidR="00032712" w:rsidRPr="00B459E7">
        <w:rPr>
          <w:lang w:val="en-GB"/>
        </w:rPr>
        <w:t xml:space="preserve"> </w:t>
      </w:r>
      <w:proofErr w:type="spellStart"/>
      <w:r w:rsidR="00421196" w:rsidRPr="00B459E7">
        <w:rPr>
          <w:lang w:val="en-GB"/>
        </w:rPr>
        <w:t>Sandhoff</w:t>
      </w:r>
      <w:proofErr w:type="spellEnd"/>
      <w:r w:rsidR="00421196" w:rsidRPr="00B459E7">
        <w:rPr>
          <w:lang w:val="en-GB"/>
        </w:rPr>
        <w:t xml:space="preserve"> (</w:t>
      </w:r>
      <w:proofErr w:type="spellStart"/>
      <w:r w:rsidR="00421196" w:rsidRPr="00B459E7">
        <w:rPr>
          <w:i/>
          <w:lang w:val="en-GB"/>
        </w:rPr>
        <w:t>Hexb</w:t>
      </w:r>
      <w:proofErr w:type="spellEnd"/>
      <w:r w:rsidR="00421196" w:rsidRPr="00B459E7">
        <w:rPr>
          <w:i/>
          <w:vertAlign w:val="superscript"/>
          <w:lang w:val="en-GB"/>
        </w:rPr>
        <w:t>-/-</w:t>
      </w:r>
      <w:r w:rsidR="00B56B76" w:rsidRPr="00B459E7">
        <w:rPr>
          <w:iCs/>
          <w:lang w:val="en-GB"/>
        </w:rPr>
        <w:t xml:space="preserve">) </w:t>
      </w:r>
      <w:proofErr w:type="spellStart"/>
      <w:r w:rsidR="00BD080F" w:rsidRPr="00B459E7">
        <w:rPr>
          <w:lang w:val="en-GB"/>
        </w:rPr>
        <w:t>m</w:t>
      </w:r>
      <w:r w:rsidR="00421196" w:rsidRPr="00B459E7">
        <w:rPr>
          <w:lang w:val="en-GB"/>
        </w:rPr>
        <w:t>iglustat</w:t>
      </w:r>
      <w:proofErr w:type="spellEnd"/>
      <w:r w:rsidR="00164ED3">
        <w:rPr>
          <w:lang w:val="en-GB"/>
        </w:rPr>
        <w:t xml:space="preserve"> </w:t>
      </w:r>
      <w:r w:rsidR="00B56B76" w:rsidRPr="00B459E7">
        <w:rPr>
          <w:lang w:val="en-GB"/>
        </w:rPr>
        <w:t>treated (purple line</w:t>
      </w:r>
      <w:r w:rsidR="00032712" w:rsidRPr="00B459E7">
        <w:rPr>
          <w:lang w:val="en-GB"/>
        </w:rPr>
        <w:t>)</w:t>
      </w:r>
      <w:r w:rsidR="00032712">
        <w:rPr>
          <w:lang w:val="en-GB"/>
        </w:rPr>
        <w:t>,</w:t>
      </w:r>
      <w:r w:rsidR="00032712" w:rsidRPr="00B459E7">
        <w:rPr>
          <w:lang w:val="en-GB"/>
        </w:rPr>
        <w:t xml:space="preserve"> </w:t>
      </w:r>
      <w:r w:rsidR="00421196" w:rsidRPr="00F84F07">
        <w:rPr>
          <w:i/>
          <w:lang w:val="en-GB"/>
        </w:rPr>
        <w:t>n</w:t>
      </w:r>
      <w:r w:rsidRPr="00B459E7">
        <w:rPr>
          <w:lang w:val="en-GB"/>
        </w:rPr>
        <w:t xml:space="preserve"> </w:t>
      </w:r>
      <w:r w:rsidR="00421196" w:rsidRPr="00B459E7">
        <w:rPr>
          <w:lang w:val="en-GB"/>
        </w:rPr>
        <w:t>=</w:t>
      </w:r>
      <w:r w:rsidRPr="00B459E7">
        <w:rPr>
          <w:lang w:val="en-GB"/>
        </w:rPr>
        <w:t xml:space="preserve"> </w:t>
      </w:r>
      <w:r w:rsidR="00421196" w:rsidRPr="00B459E7">
        <w:rPr>
          <w:lang w:val="en-GB"/>
        </w:rPr>
        <w:t>4</w:t>
      </w:r>
      <w:r w:rsidR="00032712">
        <w:rPr>
          <w:lang w:val="en-GB"/>
        </w:rPr>
        <w:t>;</w:t>
      </w:r>
      <w:r w:rsidR="00032712" w:rsidRPr="00B459E7">
        <w:rPr>
          <w:lang w:val="en-GB"/>
        </w:rPr>
        <w:t xml:space="preserve"> </w:t>
      </w:r>
      <w:proofErr w:type="spellStart"/>
      <w:r w:rsidR="00421196" w:rsidRPr="00B459E7">
        <w:rPr>
          <w:lang w:val="en-GB"/>
        </w:rPr>
        <w:t>Sandhoff</w:t>
      </w:r>
      <w:proofErr w:type="spellEnd"/>
      <w:r w:rsidR="00421196" w:rsidRPr="00B459E7">
        <w:rPr>
          <w:lang w:val="en-GB"/>
        </w:rPr>
        <w:t xml:space="preserve"> (</w:t>
      </w:r>
      <w:proofErr w:type="spellStart"/>
      <w:r w:rsidR="00421196" w:rsidRPr="00B459E7">
        <w:rPr>
          <w:i/>
          <w:lang w:val="en-GB"/>
        </w:rPr>
        <w:t>Hexb</w:t>
      </w:r>
      <w:proofErr w:type="spellEnd"/>
      <w:r w:rsidR="00421196" w:rsidRPr="00B459E7">
        <w:rPr>
          <w:i/>
          <w:vertAlign w:val="superscript"/>
          <w:lang w:val="en-GB"/>
        </w:rPr>
        <w:t>-</w:t>
      </w:r>
      <w:r w:rsidR="00444863" w:rsidRPr="00B459E7">
        <w:rPr>
          <w:i/>
          <w:vertAlign w:val="superscript"/>
          <w:lang w:val="en-GB"/>
        </w:rPr>
        <w:t>/-</w:t>
      </w:r>
      <w:r w:rsidR="00444863" w:rsidRPr="00B459E7">
        <w:rPr>
          <w:i/>
          <w:lang w:val="en-GB"/>
        </w:rPr>
        <w:t>)</w:t>
      </w:r>
      <w:r w:rsidR="00421196" w:rsidRPr="00B459E7">
        <w:rPr>
          <w:lang w:val="en-GB"/>
        </w:rPr>
        <w:t xml:space="preserve"> </w:t>
      </w:r>
      <w:proofErr w:type="spellStart"/>
      <w:r w:rsidR="00BD080F" w:rsidRPr="00B459E7">
        <w:rPr>
          <w:lang w:val="en-GB"/>
        </w:rPr>
        <w:t>m</w:t>
      </w:r>
      <w:r w:rsidR="00421196" w:rsidRPr="00B459E7">
        <w:rPr>
          <w:lang w:val="en-GB"/>
        </w:rPr>
        <w:t>iglustat</w:t>
      </w:r>
      <w:proofErr w:type="spellEnd"/>
      <w:r w:rsidR="00B56B76" w:rsidRPr="00B459E7">
        <w:rPr>
          <w:lang w:val="en-GB"/>
        </w:rPr>
        <w:t xml:space="preserve"> </w:t>
      </w:r>
      <w:r w:rsidR="00164ED3">
        <w:rPr>
          <w:lang w:val="en-GB"/>
        </w:rPr>
        <w:t>and</w:t>
      </w:r>
      <w:r w:rsidR="00164ED3" w:rsidRPr="00B459E7">
        <w:rPr>
          <w:lang w:val="en-GB"/>
        </w:rPr>
        <w:t xml:space="preserve"> </w:t>
      </w:r>
      <w:r w:rsidR="00421196" w:rsidRPr="00B459E7">
        <w:rPr>
          <w:lang w:val="en-GB"/>
        </w:rPr>
        <w:t>ADLL</w:t>
      </w:r>
      <w:r w:rsidR="00032712">
        <w:rPr>
          <w:lang w:val="en-GB"/>
        </w:rPr>
        <w:t xml:space="preserve"> </w:t>
      </w:r>
      <w:r w:rsidR="00444863" w:rsidRPr="00B459E7">
        <w:rPr>
          <w:lang w:val="en-GB"/>
        </w:rPr>
        <w:t>treated (orange line)</w:t>
      </w:r>
      <w:r w:rsidR="00032712">
        <w:rPr>
          <w:lang w:val="en-GB"/>
        </w:rPr>
        <w:t>,</w:t>
      </w:r>
      <w:r w:rsidR="00421196" w:rsidRPr="00B459E7">
        <w:rPr>
          <w:lang w:val="en-GB"/>
        </w:rPr>
        <w:t xml:space="preserve"> </w:t>
      </w:r>
      <w:r w:rsidR="00421196" w:rsidRPr="00F84F07">
        <w:rPr>
          <w:i/>
          <w:lang w:val="en-GB"/>
        </w:rPr>
        <w:t>n</w:t>
      </w:r>
      <w:r w:rsidRPr="00B459E7">
        <w:rPr>
          <w:lang w:val="en-GB"/>
        </w:rPr>
        <w:t xml:space="preserve"> </w:t>
      </w:r>
      <w:r w:rsidR="00421196" w:rsidRPr="00B459E7">
        <w:rPr>
          <w:lang w:val="en-GB"/>
        </w:rPr>
        <w:t>=</w:t>
      </w:r>
      <w:r w:rsidRPr="00B459E7">
        <w:rPr>
          <w:lang w:val="en-GB"/>
        </w:rPr>
        <w:t xml:space="preserve"> </w:t>
      </w:r>
      <w:r w:rsidR="00421196" w:rsidRPr="00B459E7">
        <w:rPr>
          <w:lang w:val="en-GB"/>
        </w:rPr>
        <w:t>5</w:t>
      </w:r>
      <w:r w:rsidR="00032712">
        <w:rPr>
          <w:lang w:val="en-GB"/>
        </w:rPr>
        <w:t>;</w:t>
      </w:r>
      <w:r w:rsidR="00032712" w:rsidRPr="00B459E7">
        <w:rPr>
          <w:lang w:val="en-GB"/>
        </w:rPr>
        <w:t xml:space="preserve"> </w:t>
      </w:r>
      <w:r w:rsidR="00032712">
        <w:rPr>
          <w:lang w:val="en-GB"/>
        </w:rPr>
        <w:t>c</w:t>
      </w:r>
      <w:r w:rsidR="00032712" w:rsidRPr="00B459E7">
        <w:rPr>
          <w:lang w:val="en-GB"/>
        </w:rPr>
        <w:t xml:space="preserve">hanges </w:t>
      </w:r>
      <w:r w:rsidR="00421196" w:rsidRPr="00B459E7">
        <w:rPr>
          <w:lang w:val="en-GB"/>
        </w:rPr>
        <w:t xml:space="preserve">in life </w:t>
      </w:r>
      <w:r w:rsidR="00421196" w:rsidRPr="00B459E7">
        <w:rPr>
          <w:lang w:val="en-GB"/>
        </w:rPr>
        <w:lastRenderedPageBreak/>
        <w:t>expectancy (%). Mean ± SD, *</w:t>
      </w:r>
      <w:r w:rsidRPr="00B459E7">
        <w:rPr>
          <w:lang w:val="en-GB"/>
        </w:rPr>
        <w:t xml:space="preserve"> </w:t>
      </w:r>
      <w:r w:rsidR="00421196" w:rsidRPr="00B459E7">
        <w:rPr>
          <w:i/>
          <w:lang w:val="en-GB"/>
        </w:rPr>
        <w:t>p</w:t>
      </w:r>
      <w:r w:rsidRPr="00B459E7">
        <w:rPr>
          <w:i/>
          <w:lang w:val="en-GB"/>
        </w:rPr>
        <w:t xml:space="preserve"> </w:t>
      </w:r>
      <w:r w:rsidR="00421196" w:rsidRPr="00B459E7">
        <w:rPr>
          <w:lang w:val="en-GB"/>
        </w:rPr>
        <w:t>=</w:t>
      </w:r>
      <w:r w:rsidRPr="00B459E7">
        <w:rPr>
          <w:lang w:val="en-GB"/>
        </w:rPr>
        <w:t xml:space="preserve"> </w:t>
      </w:r>
      <w:r w:rsidR="00421196" w:rsidRPr="00B459E7">
        <w:rPr>
          <w:lang w:val="en-GB"/>
        </w:rPr>
        <w:t>0.0247, **</w:t>
      </w:r>
      <w:r w:rsidRPr="00B459E7">
        <w:rPr>
          <w:lang w:val="en-GB"/>
        </w:rPr>
        <w:t xml:space="preserve"> </w:t>
      </w:r>
      <w:r w:rsidR="00421196" w:rsidRPr="00B459E7">
        <w:rPr>
          <w:i/>
          <w:lang w:val="en-GB"/>
        </w:rPr>
        <w:t>p</w:t>
      </w:r>
      <w:r w:rsidRPr="00B459E7">
        <w:rPr>
          <w:i/>
          <w:lang w:val="en-GB"/>
        </w:rPr>
        <w:t xml:space="preserve"> </w:t>
      </w:r>
      <w:r w:rsidR="00421196" w:rsidRPr="00B459E7">
        <w:rPr>
          <w:i/>
          <w:lang w:val="en-GB"/>
        </w:rPr>
        <w:t>&lt;</w:t>
      </w:r>
      <w:r w:rsidRPr="00B459E7">
        <w:rPr>
          <w:i/>
          <w:lang w:val="en-GB"/>
        </w:rPr>
        <w:t xml:space="preserve"> </w:t>
      </w:r>
      <w:r w:rsidR="00421196" w:rsidRPr="00B459E7">
        <w:rPr>
          <w:lang w:val="en-GB"/>
        </w:rPr>
        <w:t>0.0039 (</w:t>
      </w:r>
      <w:r w:rsidR="0004236A">
        <w:rPr>
          <w:lang w:val="en-GB"/>
        </w:rPr>
        <w:t>l</w:t>
      </w:r>
      <w:r w:rsidR="00421196" w:rsidRPr="00B459E7">
        <w:rPr>
          <w:lang w:val="en-GB"/>
        </w:rPr>
        <w:t>og-rank test). Median survivals are indicated in the table.</w:t>
      </w:r>
    </w:p>
    <w:p w14:paraId="45088D2A" w14:textId="305BAF39" w:rsidR="00996419" w:rsidRPr="00B459E7" w:rsidRDefault="003E169D" w:rsidP="003E169D">
      <w:pPr>
        <w:pStyle w:val="MDPI21heading1"/>
        <w:rPr>
          <w:lang w:val="en-GB"/>
        </w:rPr>
      </w:pPr>
      <w:r w:rsidRPr="00B459E7">
        <w:rPr>
          <w:lang w:val="en-GB"/>
        </w:rPr>
        <w:t xml:space="preserve">4. </w:t>
      </w:r>
      <w:r w:rsidR="00996419" w:rsidRPr="00B459E7">
        <w:rPr>
          <w:lang w:val="en-GB"/>
        </w:rPr>
        <w:t>Discussion</w:t>
      </w:r>
    </w:p>
    <w:p w14:paraId="5FFC5CBD" w14:textId="5368D927" w:rsidR="003372CB" w:rsidRPr="00B459E7" w:rsidRDefault="00661EC9" w:rsidP="00E94E59">
      <w:pPr>
        <w:widowControl w:val="0"/>
        <w:adjustRightInd w:val="0"/>
        <w:snapToGrid w:val="0"/>
        <w:spacing w:line="240" w:lineRule="auto"/>
        <w:ind w:firstLine="420"/>
        <w:rPr>
          <w:rFonts w:ascii="Palatino Linotype" w:hAnsi="Palatino Linotype"/>
          <w:iCs/>
          <w:sz w:val="20"/>
          <w:lang w:val="en-GB"/>
        </w:rPr>
      </w:pPr>
      <w:r w:rsidRPr="00B459E7">
        <w:rPr>
          <w:rFonts w:ascii="Palatino Linotype" w:hAnsi="Palatino Linotype"/>
          <w:sz w:val="20"/>
          <w:lang w:val="en-GB"/>
        </w:rPr>
        <w:t xml:space="preserve">L-Leucine not only serves as a building block for protein synthesis but is also a potent activator of the mammalian target of rapamycin (mTOR), involved in many cellular processes, including protein synthesis, nutrient sensing, cell growth, metabolism, and glucose, lipid and glutamate </w:t>
      </w:r>
      <w:r w:rsidR="001E784E" w:rsidRPr="00B459E7">
        <w:rPr>
          <w:rFonts w:ascii="Palatino Linotype" w:hAnsi="Palatino Linotype"/>
          <w:sz w:val="20"/>
          <w:lang w:val="en-GB"/>
        </w:rPr>
        <w:t>utili</w:t>
      </w:r>
      <w:r w:rsidR="001E784E">
        <w:rPr>
          <w:rFonts w:ascii="Palatino Linotype" w:hAnsi="Palatino Linotype"/>
          <w:sz w:val="20"/>
          <w:lang w:val="en-GB"/>
        </w:rPr>
        <w:t>s</w:t>
      </w:r>
      <w:r w:rsidR="001E784E" w:rsidRPr="00B459E7">
        <w:rPr>
          <w:rFonts w:ascii="Palatino Linotype" w:hAnsi="Palatino Linotype"/>
          <w:sz w:val="20"/>
          <w:lang w:val="en-GB"/>
        </w:rPr>
        <w:t>ation</w:t>
      </w:r>
      <w:r w:rsidR="001E784E">
        <w:rPr>
          <w:rFonts w:ascii="Palatino Linotype" w:hAnsi="Palatino Linotype"/>
          <w:sz w:val="20"/>
          <w:lang w:val="en-GB"/>
        </w:rPr>
        <w:t xml:space="preserve"> </w:t>
      </w:r>
      <w:r w:rsidR="0086309B" w:rsidRPr="00B459E7">
        <w:rPr>
          <w:rFonts w:ascii="Palatino Linotype" w:hAnsi="Palatino Linotype"/>
          <w:noProof/>
          <w:sz w:val="20"/>
          <w:lang w:val="en-GB"/>
        </w:rPr>
        <w:t>[26</w:t>
      </w:r>
      <w:r w:rsidRPr="00B459E7">
        <w:rPr>
          <w:rFonts w:ascii="Palatino Linotype" w:hAnsi="Palatino Linotype"/>
          <w:sz w:val="20"/>
          <w:lang w:val="en-GB"/>
        </w:rPr>
        <w:t>,</w:t>
      </w:r>
      <w:r w:rsidR="0086309B" w:rsidRPr="00B459E7">
        <w:rPr>
          <w:rFonts w:ascii="Palatino Linotype" w:hAnsi="Palatino Linotype"/>
          <w:noProof/>
          <w:sz w:val="20"/>
          <w:lang w:val="en-GB"/>
        </w:rPr>
        <w:t>34</w:t>
      </w:r>
      <w:r w:rsidRPr="00B459E7">
        <w:rPr>
          <w:rFonts w:ascii="Palatino Linotype" w:hAnsi="Palatino Linotype"/>
          <w:sz w:val="20"/>
          <w:lang w:val="en-GB"/>
        </w:rPr>
        <w:t>,</w:t>
      </w:r>
      <w:r w:rsidR="0086309B" w:rsidRPr="00B459E7">
        <w:rPr>
          <w:rFonts w:ascii="Palatino Linotype" w:hAnsi="Palatino Linotype"/>
          <w:noProof/>
          <w:sz w:val="20"/>
          <w:lang w:val="en-GB"/>
        </w:rPr>
        <w:t>38]</w:t>
      </w:r>
      <w:r w:rsidRPr="00B459E7">
        <w:rPr>
          <w:rFonts w:ascii="Palatino Linotype" w:hAnsi="Palatino Linotype"/>
          <w:sz w:val="20"/>
          <w:lang w:val="en-GB"/>
        </w:rPr>
        <w:t xml:space="preserve">. In this study, we explored </w:t>
      </w:r>
      <w:r w:rsidR="00444863" w:rsidRPr="00B459E7">
        <w:rPr>
          <w:rFonts w:ascii="Palatino Linotype" w:hAnsi="Palatino Linotype"/>
          <w:sz w:val="20"/>
          <w:lang w:val="en-GB"/>
        </w:rPr>
        <w:t xml:space="preserve">the </w:t>
      </w:r>
      <w:r w:rsidR="00F36FA0" w:rsidRPr="00B459E7">
        <w:rPr>
          <w:rFonts w:ascii="Palatino Linotype" w:hAnsi="Palatino Linotype"/>
          <w:sz w:val="20"/>
          <w:lang w:val="en-GB"/>
        </w:rPr>
        <w:t>modified leucine amino acid</w:t>
      </w:r>
      <w:r w:rsidR="00444863" w:rsidRPr="00B459E7">
        <w:rPr>
          <w:rFonts w:ascii="Palatino Linotype" w:hAnsi="Palatino Linotype"/>
          <w:sz w:val="20"/>
          <w:lang w:val="en-GB"/>
        </w:rPr>
        <w:t>,</w:t>
      </w:r>
      <w:r w:rsidR="00F36FA0" w:rsidRPr="00B459E7">
        <w:rPr>
          <w:rFonts w:ascii="Palatino Linotype" w:hAnsi="Palatino Linotype"/>
          <w:sz w:val="20"/>
          <w:lang w:val="en-GB"/>
        </w:rPr>
        <w:t xml:space="preserve"> </w:t>
      </w:r>
      <w:r w:rsidRPr="00B459E7">
        <w:rPr>
          <w:rFonts w:ascii="Palatino Linotype" w:hAnsi="Palatino Linotype"/>
          <w:sz w:val="20"/>
          <w:lang w:val="en-GB"/>
        </w:rPr>
        <w:t>ADLL</w:t>
      </w:r>
      <w:r w:rsidR="00444863" w:rsidRPr="00B459E7">
        <w:rPr>
          <w:rFonts w:ascii="Palatino Linotype" w:hAnsi="Palatino Linotype"/>
          <w:sz w:val="20"/>
          <w:lang w:val="en-GB"/>
        </w:rPr>
        <w:t>, for its</w:t>
      </w:r>
      <w:r w:rsidRPr="00B459E7">
        <w:rPr>
          <w:rFonts w:ascii="Palatino Linotype" w:hAnsi="Palatino Linotype"/>
          <w:sz w:val="20"/>
          <w:lang w:val="en-GB"/>
        </w:rPr>
        <w:t xml:space="preserve"> potential therapeutic effects in a mouse model of </w:t>
      </w:r>
      <w:proofErr w:type="spellStart"/>
      <w:r w:rsidRPr="00B459E7">
        <w:rPr>
          <w:rFonts w:ascii="Palatino Linotype" w:hAnsi="Palatino Linotype"/>
          <w:sz w:val="20"/>
          <w:lang w:val="en-GB"/>
        </w:rPr>
        <w:t>Sandhoff</w:t>
      </w:r>
      <w:proofErr w:type="spellEnd"/>
      <w:r w:rsidRPr="00B459E7">
        <w:rPr>
          <w:rFonts w:ascii="Palatino Linotype" w:hAnsi="Palatino Linotype"/>
          <w:sz w:val="20"/>
          <w:lang w:val="en-GB"/>
        </w:rPr>
        <w:t xml:space="preserve"> disease, as it had previously provided beneficial effects in </w:t>
      </w:r>
      <w:r w:rsidR="00AB1B81">
        <w:rPr>
          <w:rFonts w:ascii="Palatino Linotype" w:hAnsi="Palatino Linotype"/>
          <w:sz w:val="20"/>
          <w:lang w:val="en-GB"/>
        </w:rPr>
        <w:t xml:space="preserve">another </w:t>
      </w:r>
      <w:r w:rsidRPr="00B459E7">
        <w:rPr>
          <w:rFonts w:ascii="Palatino Linotype" w:hAnsi="Palatino Linotype"/>
          <w:sz w:val="20"/>
          <w:lang w:val="en-GB"/>
        </w:rPr>
        <w:t>lysosomal storage disease, NPC1 (observational clinical study)</w:t>
      </w:r>
      <w:r w:rsidRPr="00B459E7" w:rsidDel="00C85EEE">
        <w:rPr>
          <w:rFonts w:ascii="Palatino Linotype" w:hAnsi="Palatino Linotype"/>
          <w:sz w:val="20"/>
          <w:lang w:val="en-GB"/>
        </w:rPr>
        <w:t xml:space="preserve"> </w:t>
      </w:r>
      <w:r w:rsidRPr="00B459E7">
        <w:rPr>
          <w:rFonts w:ascii="Palatino Linotype" w:hAnsi="Palatino Linotype"/>
          <w:noProof/>
          <w:sz w:val="20"/>
          <w:lang w:val="en-GB"/>
        </w:rPr>
        <w:t>[16]</w:t>
      </w:r>
      <w:r w:rsidRPr="00B459E7">
        <w:rPr>
          <w:rFonts w:ascii="Palatino Linotype" w:hAnsi="Palatino Linotype"/>
          <w:sz w:val="20"/>
          <w:lang w:val="en-GB"/>
        </w:rPr>
        <w:t xml:space="preserve"> and </w:t>
      </w:r>
      <w:r w:rsidR="00AB1B81">
        <w:rPr>
          <w:rFonts w:ascii="Palatino Linotype" w:hAnsi="Palatino Linotype"/>
          <w:sz w:val="20"/>
          <w:lang w:val="en-GB"/>
        </w:rPr>
        <w:t xml:space="preserve">in </w:t>
      </w:r>
      <w:r w:rsidRPr="00B459E7">
        <w:rPr>
          <w:rFonts w:ascii="Palatino Linotype" w:hAnsi="Palatino Linotype"/>
          <w:sz w:val="20"/>
          <w:lang w:val="en-GB"/>
        </w:rPr>
        <w:t xml:space="preserve">Tangier disease </w:t>
      </w:r>
      <w:r w:rsidR="00AB1B81">
        <w:rPr>
          <w:rFonts w:ascii="Palatino Linotype" w:hAnsi="Palatino Linotype"/>
          <w:sz w:val="20"/>
          <w:lang w:val="en-GB"/>
        </w:rPr>
        <w:t xml:space="preserve">patient </w:t>
      </w:r>
      <w:r w:rsidRPr="00B459E7">
        <w:rPr>
          <w:rFonts w:ascii="Palatino Linotype" w:hAnsi="Palatino Linotype"/>
          <w:sz w:val="20"/>
          <w:lang w:val="en-GB"/>
        </w:rPr>
        <w:t xml:space="preserve">cells </w:t>
      </w:r>
      <w:r w:rsidRPr="00B459E7">
        <w:rPr>
          <w:rFonts w:ascii="Palatino Linotype" w:hAnsi="Palatino Linotype"/>
          <w:noProof/>
          <w:sz w:val="20"/>
          <w:lang w:val="en-GB"/>
        </w:rPr>
        <w:t>[17]</w:t>
      </w:r>
      <w:r w:rsidRPr="00B459E7">
        <w:rPr>
          <w:rFonts w:ascii="Palatino Linotype" w:hAnsi="Palatino Linotype"/>
          <w:sz w:val="20"/>
          <w:lang w:val="en-GB"/>
        </w:rPr>
        <w:t xml:space="preserve">. Here, we found that ADLL </w:t>
      </w:r>
      <w:r w:rsidR="00650F89">
        <w:rPr>
          <w:rFonts w:ascii="Palatino Linotype" w:hAnsi="Palatino Linotype"/>
          <w:sz w:val="20"/>
          <w:lang w:val="en-GB"/>
        </w:rPr>
        <w:t xml:space="preserve">modestly but </w:t>
      </w:r>
      <w:r w:rsidR="00E26C61">
        <w:rPr>
          <w:rFonts w:ascii="Palatino Linotype" w:hAnsi="Palatino Linotype"/>
          <w:sz w:val="20"/>
          <w:lang w:val="en-GB"/>
        </w:rPr>
        <w:t xml:space="preserve">significantly </w:t>
      </w:r>
      <w:r w:rsidRPr="00B459E7">
        <w:rPr>
          <w:rFonts w:ascii="Palatino Linotype" w:hAnsi="Palatino Linotype"/>
          <w:sz w:val="20"/>
          <w:lang w:val="en-GB"/>
        </w:rPr>
        <w:t xml:space="preserve">extended lifespan and significantly slowed disease progression in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vertAlign w:val="superscript"/>
          <w:lang w:val="en-GB"/>
        </w:rPr>
        <w:t xml:space="preserve"> </w:t>
      </w:r>
      <w:r w:rsidRPr="00B459E7">
        <w:rPr>
          <w:rFonts w:ascii="Palatino Linotype" w:hAnsi="Palatino Linotype"/>
          <w:sz w:val="20"/>
          <w:lang w:val="en-GB"/>
        </w:rPr>
        <w:t>mice. Furthermore, ADLL treatment reduced the most prominently accumulated glycosphingolipid, GA2, in both mouse liver and brain. In addition, ADLL increased autophagy, restored aerobic (PDH-dependent) and</w:t>
      </w:r>
      <w:r w:rsidR="007C149F" w:rsidRPr="00B459E7">
        <w:rPr>
          <w:rFonts w:ascii="Palatino Linotype" w:hAnsi="Palatino Linotype"/>
          <w:sz w:val="20"/>
          <w:lang w:val="en-GB"/>
        </w:rPr>
        <w:t xml:space="preserve"> </w:t>
      </w:r>
      <w:r w:rsidR="007B3D0C" w:rsidRPr="00B459E7">
        <w:rPr>
          <w:rFonts w:ascii="Palatino Linotype" w:hAnsi="Palatino Linotype"/>
          <w:sz w:val="20"/>
          <w:lang w:val="en-GB"/>
        </w:rPr>
        <w:t xml:space="preserve">enhanced </w:t>
      </w:r>
      <w:r w:rsidRPr="00B459E7">
        <w:rPr>
          <w:rFonts w:ascii="Palatino Linotype" w:hAnsi="Palatino Linotype"/>
          <w:sz w:val="20"/>
          <w:lang w:val="en-GB"/>
        </w:rPr>
        <w:t>anaerobic (LDH-dependent) glycolysis, and</w:t>
      </w:r>
      <w:r w:rsidR="007C149F" w:rsidRPr="00B459E7">
        <w:rPr>
          <w:rFonts w:ascii="Palatino Linotype" w:hAnsi="Palatino Linotype"/>
          <w:sz w:val="20"/>
          <w:lang w:val="en-GB"/>
        </w:rPr>
        <w:t xml:space="preserve"> </w:t>
      </w:r>
      <w:r w:rsidRPr="00B459E7">
        <w:rPr>
          <w:rFonts w:ascii="Palatino Linotype" w:hAnsi="Palatino Linotype"/>
          <w:sz w:val="20"/>
          <w:lang w:val="en-GB"/>
        </w:rPr>
        <w:t>returned the glutamate</w:t>
      </w:r>
      <w:r w:rsidR="00F65500">
        <w:rPr>
          <w:rFonts w:ascii="Palatino Linotype" w:hAnsi="Palatino Linotype"/>
          <w:sz w:val="20"/>
          <w:lang w:val="en-GB"/>
        </w:rPr>
        <w:t>-</w:t>
      </w:r>
      <w:r w:rsidR="00F20AE4" w:rsidRPr="00B459E7">
        <w:rPr>
          <w:rFonts w:ascii="Palatino Linotype" w:hAnsi="Palatino Linotype"/>
          <w:sz w:val="20"/>
          <w:lang w:val="en-GB"/>
        </w:rPr>
        <w:t>metabolizing</w:t>
      </w:r>
      <w:r w:rsidRPr="00B459E7">
        <w:rPr>
          <w:rFonts w:ascii="Palatino Linotype" w:hAnsi="Palatino Linotype"/>
          <w:sz w:val="20"/>
          <w:lang w:val="en-GB"/>
        </w:rPr>
        <w:t xml:space="preserve"> enzyme, GDH, to levels observed in </w:t>
      </w:r>
      <w:proofErr w:type="spellStart"/>
      <w:r w:rsidRPr="00B459E7">
        <w:rPr>
          <w:rFonts w:ascii="Palatino Linotype" w:hAnsi="Palatino Linotype"/>
          <w:i/>
          <w:iCs/>
          <w:sz w:val="20"/>
          <w:lang w:val="en-GB"/>
        </w:rPr>
        <w:t>Hexb</w:t>
      </w:r>
      <w:proofErr w:type="spellEnd"/>
      <w:r w:rsidRPr="00B459E7">
        <w:rPr>
          <w:rFonts w:ascii="Palatino Linotype" w:hAnsi="Palatino Linotype"/>
          <w:i/>
          <w:iCs/>
          <w:sz w:val="20"/>
          <w:vertAlign w:val="superscript"/>
          <w:lang w:val="en-GB"/>
        </w:rPr>
        <w:t>+/+</w:t>
      </w:r>
      <w:r w:rsidRPr="00B459E7">
        <w:rPr>
          <w:rFonts w:ascii="Palatino Linotype" w:hAnsi="Palatino Linotype"/>
          <w:i/>
          <w:iCs/>
          <w:sz w:val="20"/>
          <w:lang w:val="en-GB"/>
        </w:rPr>
        <w:t xml:space="preserve"> </w:t>
      </w:r>
      <w:r w:rsidRPr="00B459E7">
        <w:rPr>
          <w:rFonts w:ascii="Palatino Linotype" w:hAnsi="Palatino Linotype"/>
          <w:sz w:val="20"/>
          <w:lang w:val="en-GB"/>
        </w:rPr>
        <w:t>mice.</w:t>
      </w:r>
    </w:p>
    <w:p w14:paraId="741C52B4" w14:textId="64E31802" w:rsidR="00661EC9" w:rsidRPr="00B459E7" w:rsidRDefault="002D51CA" w:rsidP="00E94E59">
      <w:pPr>
        <w:widowControl w:val="0"/>
        <w:adjustRightInd w:val="0"/>
        <w:snapToGrid w:val="0"/>
        <w:spacing w:line="240" w:lineRule="auto"/>
        <w:ind w:firstLine="420"/>
        <w:rPr>
          <w:rFonts w:ascii="Palatino Linotype" w:hAnsi="Palatino Linotype"/>
          <w:sz w:val="20"/>
          <w:lang w:val="en-GB"/>
        </w:rPr>
      </w:pPr>
      <w:r w:rsidRPr="00B459E7">
        <w:rPr>
          <w:rFonts w:ascii="Palatino Linotype" w:hAnsi="Palatino Linotype"/>
          <w:iCs/>
          <w:sz w:val="20"/>
          <w:lang w:val="en-GB"/>
        </w:rPr>
        <w:t xml:space="preserve">GA2 is the most abundant stored GSL in the </w:t>
      </w:r>
      <w:proofErr w:type="spellStart"/>
      <w:r w:rsidRPr="00B459E7">
        <w:rPr>
          <w:rFonts w:ascii="Palatino Linotype" w:hAnsi="Palatino Linotype"/>
          <w:i/>
          <w:iCs/>
          <w:sz w:val="20"/>
          <w:lang w:val="en-GB"/>
        </w:rPr>
        <w:t>Hexb</w:t>
      </w:r>
      <w:proofErr w:type="spellEnd"/>
      <w:r w:rsidRPr="00B459E7">
        <w:rPr>
          <w:rFonts w:ascii="Palatino Linotype" w:hAnsi="Palatino Linotype"/>
          <w:i/>
          <w:iCs/>
          <w:sz w:val="20"/>
          <w:vertAlign w:val="superscript"/>
          <w:lang w:val="en-GB"/>
        </w:rPr>
        <w:t>-/-</w:t>
      </w:r>
      <w:r w:rsidRPr="00B459E7">
        <w:rPr>
          <w:rFonts w:ascii="Palatino Linotype" w:hAnsi="Palatino Linotype"/>
          <w:iCs/>
          <w:sz w:val="20"/>
          <w:lang w:val="en-GB"/>
        </w:rPr>
        <w:t xml:space="preserve"> model</w:t>
      </w:r>
      <w:r w:rsidR="00F10B9D" w:rsidRPr="00B459E7">
        <w:rPr>
          <w:rFonts w:ascii="Palatino Linotype" w:hAnsi="Palatino Linotype"/>
          <w:iCs/>
          <w:sz w:val="20"/>
          <w:lang w:val="en-GB"/>
        </w:rPr>
        <w:t xml:space="preserve"> (Figure 1)</w:t>
      </w:r>
      <w:r w:rsidRPr="00B459E7">
        <w:rPr>
          <w:rFonts w:ascii="Palatino Linotype" w:hAnsi="Palatino Linotype"/>
          <w:iCs/>
          <w:sz w:val="20"/>
          <w:lang w:val="en-GB"/>
        </w:rPr>
        <w:t>. Only this lipid showed a statistically significant reduction in response to ADLL treatment. As other GSLs</w:t>
      </w:r>
      <w:r w:rsidR="00602827" w:rsidRPr="00B459E7">
        <w:rPr>
          <w:rFonts w:ascii="Palatino Linotype" w:hAnsi="Palatino Linotype"/>
          <w:iCs/>
          <w:sz w:val="20"/>
          <w:lang w:val="en-GB"/>
        </w:rPr>
        <w:t xml:space="preserve"> (e.g.</w:t>
      </w:r>
      <w:r w:rsidR="00435CFD" w:rsidRPr="00B459E7">
        <w:rPr>
          <w:rFonts w:ascii="Palatino Linotype" w:hAnsi="Palatino Linotype"/>
          <w:iCs/>
          <w:sz w:val="20"/>
          <w:lang w:val="en-GB"/>
        </w:rPr>
        <w:t>,</w:t>
      </w:r>
      <w:r w:rsidR="00602827" w:rsidRPr="00B459E7">
        <w:rPr>
          <w:rFonts w:ascii="Palatino Linotype" w:hAnsi="Palatino Linotype"/>
          <w:iCs/>
          <w:sz w:val="20"/>
          <w:lang w:val="en-GB"/>
        </w:rPr>
        <w:t xml:space="preserve"> GM2)</w:t>
      </w:r>
      <w:r w:rsidRPr="00B459E7">
        <w:rPr>
          <w:rFonts w:ascii="Palatino Linotype" w:hAnsi="Palatino Linotype"/>
          <w:iCs/>
          <w:sz w:val="20"/>
          <w:lang w:val="en-GB"/>
        </w:rPr>
        <w:t xml:space="preserve"> were not reduced</w:t>
      </w:r>
      <w:r w:rsidR="003372CB" w:rsidRPr="00B459E7">
        <w:rPr>
          <w:rFonts w:ascii="Palatino Linotype" w:hAnsi="Palatino Linotype"/>
          <w:iCs/>
          <w:sz w:val="20"/>
          <w:lang w:val="en-GB"/>
        </w:rPr>
        <w:t>,</w:t>
      </w:r>
      <w:r w:rsidRPr="00B459E7">
        <w:rPr>
          <w:rFonts w:ascii="Palatino Linotype" w:hAnsi="Palatino Linotype"/>
          <w:iCs/>
          <w:sz w:val="20"/>
          <w:lang w:val="en-GB"/>
        </w:rPr>
        <w:t xml:space="preserve"> these data suggest</w:t>
      </w:r>
      <w:r w:rsidR="00B119CE">
        <w:rPr>
          <w:rFonts w:ascii="Palatino Linotype" w:hAnsi="Palatino Linotype"/>
          <w:iCs/>
          <w:sz w:val="20"/>
          <w:lang w:val="en-GB"/>
        </w:rPr>
        <w:t xml:space="preserve"> that</w:t>
      </w:r>
      <w:r w:rsidRPr="00B459E7">
        <w:rPr>
          <w:rFonts w:ascii="Palatino Linotype" w:hAnsi="Palatino Linotype"/>
          <w:iCs/>
          <w:sz w:val="20"/>
          <w:lang w:val="en-GB"/>
        </w:rPr>
        <w:t xml:space="preserve"> ADLL is not acting as a substrate reduction therapy drug and may indicate instead that the </w:t>
      </w:r>
      <w:r w:rsidR="000256AD">
        <w:rPr>
          <w:rFonts w:ascii="Palatino Linotype" w:hAnsi="Palatino Linotype"/>
          <w:iCs/>
          <w:sz w:val="20"/>
          <w:lang w:val="en-GB"/>
        </w:rPr>
        <w:t xml:space="preserve">GA2 reducing </w:t>
      </w:r>
      <w:r w:rsidRPr="00B459E7">
        <w:rPr>
          <w:rFonts w:ascii="Palatino Linotype" w:hAnsi="Palatino Linotype"/>
          <w:iCs/>
          <w:sz w:val="20"/>
          <w:lang w:val="en-GB"/>
        </w:rPr>
        <w:t xml:space="preserve">effect of ADLL </w:t>
      </w:r>
      <w:r w:rsidR="000256AD">
        <w:rPr>
          <w:rFonts w:ascii="Palatino Linotype" w:hAnsi="Palatino Linotype"/>
          <w:iCs/>
          <w:sz w:val="20"/>
          <w:lang w:val="en-GB"/>
        </w:rPr>
        <w:t xml:space="preserve">occurs </w:t>
      </w:r>
      <w:r w:rsidRPr="00B459E7">
        <w:rPr>
          <w:rFonts w:ascii="Palatino Linotype" w:hAnsi="Palatino Linotype"/>
          <w:iCs/>
          <w:sz w:val="20"/>
          <w:lang w:val="en-GB"/>
        </w:rPr>
        <w:t>through an</w:t>
      </w:r>
      <w:r w:rsidR="000256AD">
        <w:rPr>
          <w:rFonts w:ascii="Palatino Linotype" w:hAnsi="Palatino Linotype"/>
          <w:iCs/>
          <w:sz w:val="20"/>
          <w:lang w:val="en-GB"/>
        </w:rPr>
        <w:t xml:space="preserve"> </w:t>
      </w:r>
      <w:r w:rsidR="000256AD" w:rsidRPr="00B459E7">
        <w:rPr>
          <w:rFonts w:ascii="Palatino Linotype" w:hAnsi="Palatino Linotype"/>
          <w:iCs/>
          <w:sz w:val="20"/>
          <w:lang w:val="en-GB"/>
        </w:rPr>
        <w:t>indirect</w:t>
      </w:r>
      <w:r w:rsidRPr="00B459E7">
        <w:rPr>
          <w:rFonts w:ascii="Palatino Linotype" w:hAnsi="Palatino Linotype"/>
          <w:iCs/>
          <w:sz w:val="20"/>
          <w:lang w:val="en-GB"/>
        </w:rPr>
        <w:t xml:space="preserve"> mechanism. The precise mechanism will require further studies to elucidate.</w:t>
      </w:r>
    </w:p>
    <w:p w14:paraId="7D9DCA68" w14:textId="6768530A" w:rsidR="00661EC9" w:rsidRPr="00F84F07" w:rsidRDefault="007B3D0C" w:rsidP="00E94E59">
      <w:pPr>
        <w:widowControl w:val="0"/>
        <w:adjustRightInd w:val="0"/>
        <w:snapToGrid w:val="0"/>
        <w:spacing w:line="240" w:lineRule="auto"/>
        <w:ind w:firstLine="420"/>
        <w:rPr>
          <w:rFonts w:ascii="Palatino Linotype" w:hAnsi="Palatino Linotype"/>
          <w:color w:val="auto"/>
          <w:sz w:val="20"/>
          <w:lang w:val="en-GB"/>
        </w:rPr>
      </w:pPr>
      <w:r w:rsidRPr="00B459E7">
        <w:rPr>
          <w:rFonts w:ascii="Palatino Linotype" w:hAnsi="Palatino Linotype"/>
          <w:sz w:val="20"/>
          <w:lang w:val="en-GB"/>
        </w:rPr>
        <w:t>Although</w:t>
      </w:r>
      <w:r w:rsidR="00661EC9" w:rsidRPr="00B459E7">
        <w:rPr>
          <w:rFonts w:ascii="Palatino Linotype" w:hAnsi="Palatino Linotype"/>
          <w:sz w:val="20"/>
          <w:lang w:val="en-GB"/>
        </w:rPr>
        <w:t xml:space="preserve"> 12-week-old </w:t>
      </w:r>
      <w:proofErr w:type="spellStart"/>
      <w:r w:rsidR="00661EC9" w:rsidRPr="00B459E7">
        <w:rPr>
          <w:rFonts w:ascii="Palatino Linotype" w:hAnsi="Palatino Linotype"/>
          <w:sz w:val="20"/>
          <w:lang w:val="en-GB"/>
        </w:rPr>
        <w:t>Sandhoff</w:t>
      </w:r>
      <w:proofErr w:type="spellEnd"/>
      <w:r w:rsidR="00661EC9" w:rsidRPr="00B459E7">
        <w:rPr>
          <w:rFonts w:ascii="Palatino Linotype" w:hAnsi="Palatino Linotype"/>
          <w:sz w:val="20"/>
          <w:lang w:val="en-GB"/>
        </w:rPr>
        <w:t xml:space="preserve"> cerebellum had no difference in their </w:t>
      </w:r>
      <w:proofErr w:type="spellStart"/>
      <w:proofErr w:type="gramStart"/>
      <w:r w:rsidR="00661EC9" w:rsidRPr="00B459E7">
        <w:rPr>
          <w:rFonts w:ascii="Palatino Linotype" w:hAnsi="Palatino Linotype"/>
          <w:i/>
          <w:iCs/>
          <w:sz w:val="20"/>
          <w:lang w:val="en-GB"/>
        </w:rPr>
        <w:t>p</w:t>
      </w:r>
      <w:r w:rsidR="00661EC9" w:rsidRPr="00B459E7">
        <w:rPr>
          <w:rFonts w:ascii="Palatino Linotype" w:hAnsi="Palatino Linotype"/>
          <w:sz w:val="20"/>
          <w:lang w:val="en-GB"/>
        </w:rPr>
        <w:t>:T</w:t>
      </w:r>
      <w:proofErr w:type="spellEnd"/>
      <w:proofErr w:type="gramEnd"/>
      <w:r w:rsidR="00661EC9" w:rsidRPr="00B459E7">
        <w:rPr>
          <w:rFonts w:ascii="Palatino Linotype" w:hAnsi="Palatino Linotype"/>
          <w:sz w:val="20"/>
          <w:lang w:val="en-GB"/>
        </w:rPr>
        <w:t xml:space="preserve"> mTOR ratio, ADLL treatment caused a slight reduction in </w:t>
      </w:r>
      <w:r w:rsidR="00197A94" w:rsidRPr="00B459E7">
        <w:rPr>
          <w:rFonts w:ascii="Palatino Linotype" w:hAnsi="Palatino Linotype"/>
          <w:sz w:val="20"/>
          <w:lang w:val="en-GB"/>
        </w:rPr>
        <w:t xml:space="preserve">total </w:t>
      </w:r>
      <w:r w:rsidR="00661EC9" w:rsidRPr="00B459E7">
        <w:rPr>
          <w:rFonts w:ascii="Palatino Linotype" w:hAnsi="Palatino Linotype"/>
          <w:sz w:val="20"/>
          <w:lang w:val="en-GB"/>
        </w:rPr>
        <w:t xml:space="preserve">mTOR levels, and significantly elevated autophagy in </w:t>
      </w:r>
      <w:proofErr w:type="spellStart"/>
      <w:r w:rsidR="00661EC9" w:rsidRPr="00B459E7">
        <w:rPr>
          <w:rFonts w:ascii="Palatino Linotype" w:hAnsi="Palatino Linotype"/>
          <w:i/>
          <w:sz w:val="20"/>
          <w:lang w:val="en-GB"/>
        </w:rPr>
        <w:t>Hexb</w:t>
      </w:r>
      <w:proofErr w:type="spellEnd"/>
      <w:r w:rsidR="00661EC9" w:rsidRPr="00B459E7">
        <w:rPr>
          <w:rFonts w:ascii="Palatino Linotype" w:hAnsi="Palatino Linotype"/>
          <w:i/>
          <w:sz w:val="20"/>
          <w:vertAlign w:val="superscript"/>
          <w:lang w:val="en-GB"/>
        </w:rPr>
        <w:t>-/-</w:t>
      </w:r>
      <w:r w:rsidR="00661EC9" w:rsidRPr="00B459E7">
        <w:rPr>
          <w:rFonts w:ascii="Palatino Linotype" w:hAnsi="Palatino Linotype"/>
          <w:sz w:val="20"/>
          <w:vertAlign w:val="superscript"/>
          <w:lang w:val="en-GB"/>
        </w:rPr>
        <w:t xml:space="preserve"> </w:t>
      </w:r>
      <w:r w:rsidR="00661EC9" w:rsidRPr="00B459E7">
        <w:rPr>
          <w:rFonts w:ascii="Palatino Linotype" w:hAnsi="Palatino Linotype"/>
          <w:sz w:val="20"/>
          <w:lang w:val="en-GB"/>
        </w:rPr>
        <w:t xml:space="preserve">cerebellum. These findings may explain how ADLL induced the clearance of stored lipids through autophagy induction </w:t>
      </w:r>
      <w:r w:rsidR="0086309B" w:rsidRPr="00B459E7">
        <w:rPr>
          <w:rFonts w:ascii="Palatino Linotype" w:hAnsi="Palatino Linotype"/>
          <w:noProof/>
          <w:sz w:val="20"/>
          <w:lang w:val="en-GB"/>
        </w:rPr>
        <w:t>[40</w:t>
      </w:r>
      <w:r w:rsidR="0086309B" w:rsidRPr="00F84F07">
        <w:rPr>
          <w:rFonts w:ascii="Palatino Linotype" w:hAnsi="Palatino Linotype"/>
          <w:noProof/>
          <w:color w:val="auto"/>
          <w:sz w:val="20"/>
          <w:lang w:val="en-GB"/>
        </w:rPr>
        <w:t>]</w:t>
      </w:r>
      <w:r w:rsidR="00661EC9" w:rsidRPr="00F84F07">
        <w:rPr>
          <w:rFonts w:ascii="Palatino Linotype" w:hAnsi="Palatino Linotype"/>
          <w:color w:val="auto"/>
          <w:sz w:val="20"/>
          <w:lang w:val="en-GB"/>
        </w:rPr>
        <w:t xml:space="preserve">. It is possible that the N-acetylation of leucine in ADLL blocks the interaction of leucine with </w:t>
      </w:r>
      <w:r w:rsidR="001C0092" w:rsidRPr="00F84F07">
        <w:rPr>
          <w:rFonts w:ascii="Palatino Linotype" w:hAnsi="Palatino Linotype"/>
          <w:color w:val="auto"/>
          <w:sz w:val="20"/>
          <w:lang w:val="en-GB"/>
        </w:rPr>
        <w:t xml:space="preserve">the intracellular amino acid sensor, </w:t>
      </w:r>
      <w:proofErr w:type="spellStart"/>
      <w:r w:rsidR="000256AD" w:rsidRPr="00F84F07">
        <w:rPr>
          <w:rFonts w:ascii="Palatino Linotype" w:hAnsi="Palatino Linotype"/>
          <w:color w:val="auto"/>
          <w:sz w:val="20"/>
          <w:lang w:val="en-GB"/>
        </w:rPr>
        <w:t>Sestrin</w:t>
      </w:r>
      <w:proofErr w:type="spellEnd"/>
      <w:r w:rsidR="000256AD" w:rsidRPr="00F84F07">
        <w:rPr>
          <w:rFonts w:ascii="Palatino Linotype" w:hAnsi="Palatino Linotype"/>
          <w:color w:val="auto"/>
          <w:sz w:val="20"/>
          <w:lang w:val="en-GB"/>
        </w:rPr>
        <w:t xml:space="preserve"> 2</w:t>
      </w:r>
      <w:r w:rsidR="001C0092" w:rsidRPr="00F84F07">
        <w:rPr>
          <w:rFonts w:ascii="Palatino Linotype" w:hAnsi="Palatino Linotype"/>
          <w:color w:val="auto"/>
          <w:sz w:val="20"/>
          <w:lang w:val="en-GB"/>
        </w:rPr>
        <w:t xml:space="preserve">, causing reduced </w:t>
      </w:r>
      <w:r w:rsidR="00661EC9" w:rsidRPr="00F84F07">
        <w:rPr>
          <w:rFonts w:ascii="Palatino Linotype" w:hAnsi="Palatino Linotype"/>
          <w:color w:val="auto"/>
          <w:sz w:val="20"/>
          <w:lang w:val="en-GB"/>
        </w:rPr>
        <w:t xml:space="preserve">mTOR </w:t>
      </w:r>
      <w:r w:rsidR="001C0092" w:rsidRPr="00F84F07">
        <w:rPr>
          <w:rFonts w:ascii="Palatino Linotype" w:hAnsi="Palatino Linotype"/>
          <w:color w:val="auto"/>
          <w:sz w:val="20"/>
          <w:lang w:val="en-GB"/>
        </w:rPr>
        <w:t xml:space="preserve">activation, </w:t>
      </w:r>
      <w:r w:rsidR="00661EC9" w:rsidRPr="00F84F07">
        <w:rPr>
          <w:rFonts w:ascii="Palatino Linotype" w:hAnsi="Palatino Linotype"/>
          <w:color w:val="auto"/>
          <w:sz w:val="20"/>
          <w:lang w:val="en-GB"/>
        </w:rPr>
        <w:t>as was reported in He</w:t>
      </w:r>
      <w:r w:rsidR="00766604" w:rsidRPr="00F84F07">
        <w:rPr>
          <w:rFonts w:ascii="Palatino Linotype" w:hAnsi="Palatino Linotype"/>
          <w:color w:val="auto"/>
          <w:sz w:val="20"/>
          <w:lang w:val="en-GB"/>
        </w:rPr>
        <w:t>L</w:t>
      </w:r>
      <w:r w:rsidR="00661EC9" w:rsidRPr="00F84F07">
        <w:rPr>
          <w:rFonts w:ascii="Palatino Linotype" w:hAnsi="Palatino Linotype"/>
          <w:color w:val="auto"/>
          <w:sz w:val="20"/>
          <w:lang w:val="en-GB"/>
        </w:rPr>
        <w:t>a cells</w:t>
      </w:r>
      <w:r w:rsidR="00A95425" w:rsidRPr="00F84F07">
        <w:rPr>
          <w:rFonts w:ascii="Palatino Linotype" w:hAnsi="Palatino Linotype"/>
          <w:color w:val="auto"/>
          <w:sz w:val="20"/>
          <w:lang w:val="en-GB"/>
        </w:rPr>
        <w:t xml:space="preserve"> </w:t>
      </w:r>
      <w:r w:rsidR="0086309B" w:rsidRPr="00F84F07">
        <w:rPr>
          <w:rFonts w:ascii="Palatino Linotype" w:hAnsi="Palatino Linotype"/>
          <w:noProof/>
          <w:color w:val="auto"/>
          <w:sz w:val="20"/>
          <w:lang w:val="en-GB"/>
        </w:rPr>
        <w:t>[41]</w:t>
      </w:r>
      <w:r w:rsidR="00E26C61" w:rsidRPr="00F84F07">
        <w:rPr>
          <w:rFonts w:ascii="Palatino Linotype" w:hAnsi="Palatino Linotype"/>
          <w:noProof/>
          <w:color w:val="auto"/>
          <w:sz w:val="20"/>
          <w:lang w:val="en-GB"/>
        </w:rPr>
        <w:t>[42]</w:t>
      </w:r>
      <w:r w:rsidR="00661EC9" w:rsidRPr="00F84F07">
        <w:rPr>
          <w:rFonts w:ascii="Palatino Linotype" w:hAnsi="Palatino Linotype"/>
          <w:color w:val="auto"/>
          <w:sz w:val="20"/>
          <w:lang w:val="en-GB"/>
        </w:rPr>
        <w:t xml:space="preserve">, which </w:t>
      </w:r>
      <w:r w:rsidR="00A72E6B" w:rsidRPr="00F84F07">
        <w:rPr>
          <w:rFonts w:ascii="Palatino Linotype" w:hAnsi="Palatino Linotype"/>
          <w:color w:val="auto"/>
          <w:sz w:val="20"/>
          <w:lang w:val="en-GB"/>
        </w:rPr>
        <w:t>could</w:t>
      </w:r>
      <w:r w:rsidR="00661EC9" w:rsidRPr="00F84F07">
        <w:rPr>
          <w:rFonts w:ascii="Palatino Linotype" w:hAnsi="Palatino Linotype"/>
          <w:color w:val="auto"/>
          <w:sz w:val="20"/>
          <w:lang w:val="en-GB"/>
        </w:rPr>
        <w:t xml:space="preserve"> enhance autophagy.</w:t>
      </w:r>
    </w:p>
    <w:p w14:paraId="296B0446" w14:textId="5CB8C644" w:rsidR="00661EC9" w:rsidRPr="00F84F07" w:rsidRDefault="00197A94" w:rsidP="00E94E59">
      <w:pPr>
        <w:widowControl w:val="0"/>
        <w:adjustRightInd w:val="0"/>
        <w:snapToGrid w:val="0"/>
        <w:spacing w:line="240" w:lineRule="auto"/>
        <w:ind w:firstLine="420"/>
        <w:rPr>
          <w:rFonts w:ascii="Palatino Linotype" w:hAnsi="Palatino Linotype"/>
          <w:color w:val="auto"/>
          <w:sz w:val="20"/>
          <w:lang w:val="en-GB"/>
        </w:rPr>
      </w:pPr>
      <w:r w:rsidRPr="00F84F07">
        <w:rPr>
          <w:rFonts w:ascii="Palatino Linotype" w:hAnsi="Palatino Linotype"/>
          <w:color w:val="auto"/>
          <w:sz w:val="20"/>
          <w:lang w:val="en-GB"/>
        </w:rPr>
        <w:t xml:space="preserve">Evidence that ADLL did not affect leucine catabolism was seen from the lack of alteration in </w:t>
      </w:r>
      <w:r w:rsidR="00661EC9" w:rsidRPr="00F84F07">
        <w:rPr>
          <w:rFonts w:ascii="Palatino Linotype" w:hAnsi="Palatino Linotype"/>
          <w:color w:val="auto"/>
          <w:sz w:val="20"/>
          <w:lang w:val="en-GB"/>
        </w:rPr>
        <w:t>BCKADH activity (</w:t>
      </w:r>
      <w:proofErr w:type="spellStart"/>
      <w:proofErr w:type="gramStart"/>
      <w:r w:rsidR="00661EC9" w:rsidRPr="00F84F07">
        <w:rPr>
          <w:rFonts w:ascii="Palatino Linotype" w:hAnsi="Palatino Linotype"/>
          <w:i/>
          <w:iCs/>
          <w:color w:val="auto"/>
          <w:sz w:val="20"/>
          <w:lang w:val="en-GB"/>
        </w:rPr>
        <w:t>p</w:t>
      </w:r>
      <w:r w:rsidR="00661EC9" w:rsidRPr="00F84F07">
        <w:rPr>
          <w:rFonts w:ascii="Palatino Linotype" w:hAnsi="Palatino Linotype"/>
          <w:color w:val="auto"/>
          <w:sz w:val="20"/>
          <w:lang w:val="en-GB"/>
        </w:rPr>
        <w:t>:T</w:t>
      </w:r>
      <w:proofErr w:type="spellEnd"/>
      <w:proofErr w:type="gramEnd"/>
      <w:r w:rsidR="00661EC9" w:rsidRPr="00F84F07">
        <w:rPr>
          <w:rFonts w:ascii="Palatino Linotype" w:hAnsi="Palatino Linotype"/>
          <w:color w:val="auto"/>
          <w:sz w:val="20"/>
          <w:lang w:val="en-GB"/>
        </w:rPr>
        <w:t xml:space="preserve">) in </w:t>
      </w:r>
      <w:proofErr w:type="spellStart"/>
      <w:r w:rsidR="00661EC9" w:rsidRPr="00F84F07">
        <w:rPr>
          <w:rFonts w:ascii="Palatino Linotype" w:hAnsi="Palatino Linotype"/>
          <w:i/>
          <w:color w:val="auto"/>
          <w:sz w:val="20"/>
          <w:lang w:val="en-GB"/>
        </w:rPr>
        <w:t>Hexb</w:t>
      </w:r>
      <w:proofErr w:type="spellEnd"/>
      <w:r w:rsidR="00661EC9" w:rsidRPr="00F84F07">
        <w:rPr>
          <w:rFonts w:ascii="Palatino Linotype" w:hAnsi="Palatino Linotype"/>
          <w:i/>
          <w:color w:val="auto"/>
          <w:sz w:val="20"/>
          <w:vertAlign w:val="superscript"/>
          <w:lang w:val="en-GB"/>
        </w:rPr>
        <w:t>-/-</w:t>
      </w:r>
      <w:r w:rsidR="00661EC9" w:rsidRPr="00F84F07">
        <w:rPr>
          <w:rFonts w:ascii="Palatino Linotype" w:hAnsi="Palatino Linotype"/>
          <w:color w:val="auto"/>
          <w:sz w:val="20"/>
          <w:lang w:val="en-GB"/>
        </w:rPr>
        <w:t xml:space="preserve"> cerebellum. However, an elevated level of glutamate dehydrogenase (GDH) is in agreement with a recent metabolomics study of </w:t>
      </w:r>
      <w:proofErr w:type="spellStart"/>
      <w:r w:rsidR="00661EC9" w:rsidRPr="00F84F07">
        <w:rPr>
          <w:rFonts w:ascii="Palatino Linotype" w:hAnsi="Palatino Linotype"/>
          <w:i/>
          <w:color w:val="auto"/>
          <w:sz w:val="20"/>
          <w:lang w:val="en-GB"/>
        </w:rPr>
        <w:t>Hexb</w:t>
      </w:r>
      <w:proofErr w:type="spellEnd"/>
      <w:r w:rsidR="00661EC9" w:rsidRPr="00F84F07">
        <w:rPr>
          <w:rFonts w:ascii="Palatino Linotype" w:hAnsi="Palatino Linotype"/>
          <w:i/>
          <w:color w:val="auto"/>
          <w:sz w:val="20"/>
          <w:vertAlign w:val="superscript"/>
          <w:lang w:val="en-GB"/>
        </w:rPr>
        <w:t>-/-</w:t>
      </w:r>
      <w:r w:rsidR="00661EC9" w:rsidRPr="00F84F07">
        <w:rPr>
          <w:rFonts w:ascii="Palatino Linotype" w:hAnsi="Palatino Linotype"/>
          <w:color w:val="auto"/>
          <w:sz w:val="20"/>
          <w:lang w:val="en-GB"/>
        </w:rPr>
        <w:t xml:space="preserve"> mice </w:t>
      </w:r>
      <w:r w:rsidR="00E26C61" w:rsidRPr="00F84F07">
        <w:rPr>
          <w:rFonts w:ascii="Palatino Linotype" w:hAnsi="Palatino Linotype"/>
          <w:noProof/>
          <w:color w:val="auto"/>
          <w:sz w:val="20"/>
          <w:lang w:val="en-GB"/>
        </w:rPr>
        <w:t>[43]</w:t>
      </w:r>
      <w:r w:rsidR="00661EC9" w:rsidRPr="00F84F07">
        <w:rPr>
          <w:rFonts w:ascii="Palatino Linotype" w:hAnsi="Palatino Linotype"/>
          <w:color w:val="auto"/>
          <w:sz w:val="20"/>
          <w:lang w:val="en-GB"/>
        </w:rPr>
        <w:t>.</w:t>
      </w:r>
    </w:p>
    <w:p w14:paraId="098FBB16" w14:textId="6C0CA1FF" w:rsidR="00661EC9" w:rsidRPr="00F84F07" w:rsidRDefault="00661EC9" w:rsidP="00E94E59">
      <w:pPr>
        <w:widowControl w:val="0"/>
        <w:adjustRightInd w:val="0"/>
        <w:snapToGrid w:val="0"/>
        <w:spacing w:line="240" w:lineRule="auto"/>
        <w:ind w:firstLine="420"/>
        <w:rPr>
          <w:rFonts w:ascii="Palatino Linotype" w:hAnsi="Palatino Linotype"/>
          <w:color w:val="auto"/>
          <w:sz w:val="20"/>
          <w:lang w:val="en-GB"/>
        </w:rPr>
      </w:pPr>
      <w:r w:rsidRPr="00F84F07">
        <w:rPr>
          <w:rFonts w:ascii="Palatino Linotype" w:hAnsi="Palatino Linotype"/>
          <w:color w:val="auto"/>
          <w:sz w:val="20"/>
          <w:lang w:val="en-GB"/>
        </w:rPr>
        <w:t xml:space="preserve">Mitochondrial energy metabolism is a major source of cellular ROS production </w:t>
      </w:r>
      <w:r w:rsidR="00E26C61" w:rsidRPr="00F84F07">
        <w:rPr>
          <w:rFonts w:ascii="Palatino Linotype" w:hAnsi="Palatino Linotype"/>
          <w:noProof/>
          <w:color w:val="auto"/>
          <w:sz w:val="20"/>
          <w:lang w:val="en-GB"/>
        </w:rPr>
        <w:t>[44]</w:t>
      </w:r>
      <w:r w:rsidRPr="00F84F07">
        <w:rPr>
          <w:rFonts w:ascii="Palatino Linotype" w:hAnsi="Palatino Linotype"/>
          <w:color w:val="auto"/>
          <w:sz w:val="20"/>
          <w:lang w:val="en-GB"/>
        </w:rPr>
        <w:t>, which reacts with lipids, proteins and DNA</w:t>
      </w:r>
      <w:r w:rsidR="00F31353" w:rsidRPr="00F84F07">
        <w:rPr>
          <w:rFonts w:ascii="Palatino Linotype" w:hAnsi="Palatino Linotype"/>
          <w:color w:val="auto"/>
          <w:sz w:val="20"/>
          <w:lang w:val="en-GB"/>
        </w:rPr>
        <w:t>,</w:t>
      </w:r>
      <w:r w:rsidRPr="00F84F07">
        <w:rPr>
          <w:rFonts w:ascii="Palatino Linotype" w:hAnsi="Palatino Linotype"/>
          <w:color w:val="auto"/>
          <w:sz w:val="20"/>
          <w:lang w:val="en-GB"/>
        </w:rPr>
        <w:t xml:space="preserve"> and contributes to cell death </w:t>
      </w:r>
      <w:r w:rsidR="00E26C61" w:rsidRPr="00F84F07">
        <w:rPr>
          <w:rFonts w:ascii="Palatino Linotype" w:hAnsi="Palatino Linotype"/>
          <w:noProof/>
          <w:color w:val="auto"/>
          <w:sz w:val="20"/>
          <w:lang w:val="en-GB"/>
        </w:rPr>
        <w:t>[44]</w:t>
      </w:r>
      <w:r w:rsidRPr="00F84F07">
        <w:rPr>
          <w:rFonts w:ascii="Palatino Linotype" w:hAnsi="Palatino Linotype"/>
          <w:color w:val="auto"/>
          <w:sz w:val="20"/>
          <w:lang w:val="en-GB"/>
        </w:rPr>
        <w:t>. Elevated oxidative stress as a result of ROS is a crucial pathology that contributes to neurodegeneration in Alzheimer’s disease, Parkinson’s disease and many other neurodegenerative conditions</w:t>
      </w:r>
      <w:r w:rsidR="00E94E59" w:rsidRPr="00F84F07">
        <w:rPr>
          <w:rFonts w:ascii="Palatino Linotype" w:hAnsi="Palatino Linotype"/>
          <w:color w:val="auto"/>
          <w:sz w:val="20"/>
          <w:lang w:val="en-GB"/>
        </w:rPr>
        <w:t xml:space="preserve"> </w:t>
      </w:r>
      <w:r w:rsidR="00E26C61" w:rsidRPr="00F84F07">
        <w:rPr>
          <w:rFonts w:ascii="Palatino Linotype" w:hAnsi="Palatino Linotype"/>
          <w:noProof/>
          <w:color w:val="auto"/>
          <w:sz w:val="20"/>
          <w:lang w:val="en-GB"/>
        </w:rPr>
        <w:t>[45]</w:t>
      </w:r>
      <w:r w:rsidRPr="00F84F07">
        <w:rPr>
          <w:rFonts w:ascii="Palatino Linotype" w:hAnsi="Palatino Linotype"/>
          <w:color w:val="auto"/>
          <w:sz w:val="20"/>
          <w:lang w:val="en-GB"/>
        </w:rPr>
        <w:t xml:space="preserve">. Similarly, </w:t>
      </w:r>
      <w:proofErr w:type="spellStart"/>
      <w:r w:rsidRPr="00F84F07">
        <w:rPr>
          <w:rFonts w:ascii="Palatino Linotype" w:hAnsi="Palatino Linotype"/>
          <w:color w:val="auto"/>
          <w:sz w:val="20"/>
          <w:lang w:val="en-GB"/>
        </w:rPr>
        <w:t>Sandhoff</w:t>
      </w:r>
      <w:proofErr w:type="spellEnd"/>
      <w:r w:rsidRPr="00F84F07">
        <w:rPr>
          <w:rFonts w:ascii="Palatino Linotype" w:hAnsi="Palatino Linotype"/>
          <w:color w:val="auto"/>
          <w:sz w:val="20"/>
          <w:lang w:val="en-GB"/>
        </w:rPr>
        <w:t xml:space="preserve"> disease has been found to manifest oxidative damage upon inflammation, which fosters neural death </w:t>
      </w:r>
      <w:r w:rsidR="00E26C61" w:rsidRPr="00F84F07">
        <w:rPr>
          <w:rFonts w:ascii="Palatino Linotype" w:hAnsi="Palatino Linotype"/>
          <w:noProof/>
          <w:color w:val="auto"/>
          <w:sz w:val="20"/>
          <w:lang w:val="en-GB"/>
        </w:rPr>
        <w:t>[46]</w:t>
      </w:r>
      <w:r w:rsidRPr="00F84F07">
        <w:rPr>
          <w:rFonts w:ascii="Palatino Linotype" w:hAnsi="Palatino Linotype"/>
          <w:color w:val="auto"/>
          <w:sz w:val="20"/>
          <w:lang w:val="en-GB"/>
        </w:rPr>
        <w:t xml:space="preserve">. Leucine has been proposed to have differential effects on metabolism, depending on the catabolic and anabolic states. Several studies have observed that leucine-treated cells exhibited improvement in mitochondrial function and oxygen consumption </w:t>
      </w:r>
      <w:r w:rsidRPr="00F84F07">
        <w:rPr>
          <w:rFonts w:ascii="Palatino Linotype" w:hAnsi="Palatino Linotype"/>
          <w:noProof/>
          <w:color w:val="auto"/>
          <w:sz w:val="20"/>
          <w:lang w:val="en-GB"/>
        </w:rPr>
        <w:t>[30]</w:t>
      </w:r>
      <w:r w:rsidRPr="00F84F07">
        <w:rPr>
          <w:rFonts w:ascii="Palatino Linotype" w:hAnsi="Palatino Linotype"/>
          <w:color w:val="auto"/>
          <w:sz w:val="20"/>
          <w:lang w:val="en-GB"/>
        </w:rPr>
        <w:t xml:space="preserve">. </w:t>
      </w:r>
      <w:r w:rsidR="00197A94" w:rsidRPr="00F84F07">
        <w:rPr>
          <w:rFonts w:ascii="Palatino Linotype" w:hAnsi="Palatino Linotype"/>
          <w:color w:val="auto"/>
          <w:sz w:val="20"/>
          <w:lang w:val="en-GB"/>
        </w:rPr>
        <w:t>However</w:t>
      </w:r>
      <w:r w:rsidRPr="00F84F07">
        <w:rPr>
          <w:rFonts w:ascii="Palatino Linotype" w:hAnsi="Palatino Linotype"/>
          <w:color w:val="auto"/>
          <w:sz w:val="20"/>
          <w:lang w:val="en-GB"/>
        </w:rPr>
        <w:t xml:space="preserve">, another study found that leucine enhanced anaerobic glycolysis and therefore reduced OXPHOS-dependent ROS burden </w:t>
      </w:r>
      <w:r w:rsidR="0086309B" w:rsidRPr="00F84F07">
        <w:rPr>
          <w:rFonts w:ascii="Palatino Linotype" w:hAnsi="Palatino Linotype"/>
          <w:noProof/>
          <w:color w:val="auto"/>
          <w:sz w:val="20"/>
          <w:lang w:val="en-GB"/>
        </w:rPr>
        <w:t>[38]</w:t>
      </w:r>
      <w:r w:rsidRPr="00F84F07">
        <w:rPr>
          <w:rFonts w:ascii="Palatino Linotype" w:hAnsi="Palatino Linotype"/>
          <w:color w:val="auto"/>
          <w:sz w:val="20"/>
          <w:lang w:val="en-GB"/>
        </w:rPr>
        <w:t>. Similarly, leucine-treated rats on a high</w:t>
      </w:r>
      <w:r w:rsidR="00850ACF" w:rsidRPr="00F84F07">
        <w:rPr>
          <w:rFonts w:ascii="Palatino Linotype" w:hAnsi="Palatino Linotype"/>
          <w:color w:val="auto"/>
          <w:sz w:val="20"/>
          <w:lang w:val="en-GB"/>
        </w:rPr>
        <w:t>-</w:t>
      </w:r>
      <w:r w:rsidRPr="00F84F07">
        <w:rPr>
          <w:rFonts w:ascii="Palatino Linotype" w:hAnsi="Palatino Linotype"/>
          <w:color w:val="auto"/>
          <w:sz w:val="20"/>
          <w:lang w:val="en-GB"/>
        </w:rPr>
        <w:t>fat diet (HFD) exhibited improved insulin sensitivity, reduced gluconeogenesis, improved lipid oxidation and mitochondrial function in obese/diabetic stage</w:t>
      </w:r>
      <w:r w:rsidR="00163172" w:rsidRPr="00F84F07">
        <w:rPr>
          <w:rFonts w:ascii="Palatino Linotype" w:hAnsi="Palatino Linotype"/>
          <w:color w:val="auto"/>
          <w:sz w:val="20"/>
          <w:lang w:val="en-GB"/>
        </w:rPr>
        <w:t xml:space="preserve"> </w:t>
      </w:r>
      <w:r w:rsidR="00E26C61" w:rsidRPr="00F84F07">
        <w:rPr>
          <w:rFonts w:ascii="Palatino Linotype" w:hAnsi="Palatino Linotype"/>
          <w:noProof/>
          <w:color w:val="auto"/>
          <w:sz w:val="20"/>
          <w:lang w:val="en-GB"/>
        </w:rPr>
        <w:t>[47]</w:t>
      </w:r>
      <w:r w:rsidRPr="00F84F07">
        <w:rPr>
          <w:rFonts w:ascii="Palatino Linotype" w:hAnsi="Palatino Linotype"/>
          <w:color w:val="auto"/>
          <w:sz w:val="20"/>
          <w:lang w:val="en-GB"/>
        </w:rPr>
        <w:t>. However, ADLL was found to contribute to mitochondrial dysfunction in high</w:t>
      </w:r>
      <w:r w:rsidR="00850ACF" w:rsidRPr="00F84F07">
        <w:rPr>
          <w:rFonts w:ascii="Palatino Linotype" w:hAnsi="Palatino Linotype"/>
          <w:color w:val="auto"/>
          <w:sz w:val="20"/>
          <w:lang w:val="en-GB"/>
        </w:rPr>
        <w:t>-</w:t>
      </w:r>
      <w:r w:rsidRPr="00F84F07">
        <w:rPr>
          <w:rFonts w:ascii="Palatino Linotype" w:hAnsi="Palatino Linotype"/>
          <w:color w:val="auto"/>
          <w:sz w:val="20"/>
          <w:lang w:val="en-GB"/>
        </w:rPr>
        <w:t>fat diet (HFD)</w:t>
      </w:r>
      <w:r w:rsidR="00FE7F48" w:rsidRPr="00F84F07">
        <w:rPr>
          <w:rFonts w:ascii="Palatino Linotype" w:hAnsi="Palatino Linotype"/>
          <w:color w:val="auto"/>
          <w:sz w:val="20"/>
          <w:lang w:val="en-GB"/>
        </w:rPr>
        <w:t>-</w:t>
      </w:r>
      <w:r w:rsidRPr="00F84F07">
        <w:rPr>
          <w:rFonts w:ascii="Palatino Linotype" w:hAnsi="Palatino Linotype"/>
          <w:color w:val="auto"/>
          <w:sz w:val="20"/>
          <w:lang w:val="en-GB"/>
        </w:rPr>
        <w:t>fed rats at the early stage of insulin resistance</w:t>
      </w:r>
      <w:r w:rsidR="00EF5A30" w:rsidRPr="00F84F07">
        <w:rPr>
          <w:rFonts w:ascii="Palatino Linotype" w:hAnsi="Palatino Linotype"/>
          <w:color w:val="auto"/>
          <w:sz w:val="20"/>
          <w:lang w:val="en-GB"/>
        </w:rPr>
        <w:t xml:space="preserve"> </w:t>
      </w:r>
      <w:r w:rsidR="00E26C61" w:rsidRPr="00F84F07">
        <w:rPr>
          <w:rFonts w:ascii="Palatino Linotype" w:hAnsi="Palatino Linotype"/>
          <w:noProof/>
          <w:color w:val="auto"/>
          <w:sz w:val="20"/>
          <w:lang w:val="en-GB"/>
        </w:rPr>
        <w:t>[34,47]</w:t>
      </w:r>
      <w:r w:rsidRPr="00F84F07">
        <w:rPr>
          <w:rFonts w:ascii="Palatino Linotype" w:hAnsi="Palatino Linotype"/>
          <w:color w:val="auto"/>
          <w:sz w:val="20"/>
          <w:lang w:val="en-GB"/>
        </w:rPr>
        <w:t>, suggesting context</w:t>
      </w:r>
      <w:r w:rsidR="00BC77F3" w:rsidRPr="00F84F07">
        <w:rPr>
          <w:rFonts w:ascii="Palatino Linotype" w:hAnsi="Palatino Linotype"/>
          <w:color w:val="auto"/>
          <w:sz w:val="20"/>
          <w:lang w:val="en-GB"/>
        </w:rPr>
        <w:t>-</w:t>
      </w:r>
      <w:r w:rsidRPr="00F84F07">
        <w:rPr>
          <w:rFonts w:ascii="Palatino Linotype" w:hAnsi="Palatino Linotype"/>
          <w:color w:val="auto"/>
          <w:sz w:val="20"/>
          <w:lang w:val="en-GB"/>
        </w:rPr>
        <w:t>dependent effects.</w:t>
      </w:r>
    </w:p>
    <w:p w14:paraId="6A0903AC" w14:textId="1E35710F" w:rsidR="00661EC9" w:rsidRPr="00B459E7" w:rsidRDefault="00661EC9" w:rsidP="00980FA3">
      <w:pPr>
        <w:widowControl w:val="0"/>
        <w:adjustRightInd w:val="0"/>
        <w:snapToGrid w:val="0"/>
        <w:spacing w:after="160" w:line="240" w:lineRule="auto"/>
        <w:ind w:firstLine="420"/>
        <w:rPr>
          <w:rFonts w:ascii="Palatino Linotype" w:hAnsi="Palatino Linotype"/>
          <w:sz w:val="20"/>
          <w:lang w:val="en-GB"/>
        </w:rPr>
      </w:pPr>
      <w:r w:rsidRPr="00F84F07">
        <w:rPr>
          <w:rFonts w:ascii="Palatino Linotype" w:hAnsi="Palatino Linotype"/>
          <w:color w:val="auto"/>
          <w:sz w:val="20"/>
          <w:lang w:val="en-GB"/>
        </w:rPr>
        <w:t xml:space="preserve">Recent metabolomic studies of </w:t>
      </w:r>
      <w:proofErr w:type="spellStart"/>
      <w:r w:rsidR="0090656C" w:rsidRPr="00F84F07">
        <w:rPr>
          <w:rFonts w:ascii="Palatino Linotype" w:hAnsi="Palatino Linotype"/>
          <w:color w:val="auto"/>
          <w:sz w:val="20"/>
          <w:lang w:val="en-GB"/>
        </w:rPr>
        <w:t>Sandhoff</w:t>
      </w:r>
      <w:proofErr w:type="spellEnd"/>
      <w:r w:rsidR="0090656C" w:rsidRPr="00F84F07">
        <w:rPr>
          <w:rFonts w:ascii="Palatino Linotype" w:hAnsi="Palatino Linotype"/>
          <w:color w:val="auto"/>
          <w:sz w:val="20"/>
          <w:lang w:val="en-GB"/>
        </w:rPr>
        <w:t xml:space="preserve"> disease mice</w:t>
      </w:r>
      <w:r w:rsidRPr="00F84F07">
        <w:rPr>
          <w:rFonts w:ascii="Palatino Linotype" w:hAnsi="Palatino Linotype"/>
          <w:color w:val="auto"/>
          <w:sz w:val="20"/>
          <w:lang w:val="en-GB"/>
        </w:rPr>
        <w:t xml:space="preserve"> </w:t>
      </w:r>
      <w:r w:rsidRPr="00B459E7">
        <w:rPr>
          <w:rFonts w:ascii="Palatino Linotype" w:hAnsi="Palatino Linotype"/>
          <w:sz w:val="20"/>
          <w:lang w:val="en-GB"/>
        </w:rPr>
        <w:t xml:space="preserve">and patient samples reported alterations in energy metabolism, where high levels of ROS and markers of oxidative stress were interpreted as increased respiratory chain activity </w:t>
      </w:r>
      <w:r w:rsidR="00E26C61" w:rsidRPr="00E26C61">
        <w:rPr>
          <w:rFonts w:ascii="Palatino Linotype" w:hAnsi="Palatino Linotype"/>
          <w:noProof/>
          <w:sz w:val="20"/>
          <w:lang w:val="en-GB"/>
        </w:rPr>
        <w:t>[43]</w:t>
      </w:r>
      <w:r w:rsidRPr="00B459E7">
        <w:rPr>
          <w:rFonts w:ascii="Palatino Linotype" w:hAnsi="Palatino Linotype"/>
          <w:sz w:val="20"/>
          <w:lang w:val="en-GB"/>
        </w:rPr>
        <w:t>. In accordance with this, we found that PDH, a key indicator of aerobic respiration</w:t>
      </w:r>
      <w:r w:rsidR="00100DE7" w:rsidRPr="00B459E7">
        <w:rPr>
          <w:rFonts w:ascii="Palatino Linotype" w:hAnsi="Palatino Linotype"/>
          <w:sz w:val="20"/>
          <w:lang w:val="en-GB"/>
        </w:rPr>
        <w:t xml:space="preserve"> </w:t>
      </w:r>
      <w:r w:rsidR="00E26C61" w:rsidRPr="00E26C61">
        <w:rPr>
          <w:rFonts w:ascii="Palatino Linotype" w:hAnsi="Palatino Linotype"/>
          <w:noProof/>
          <w:sz w:val="20"/>
          <w:lang w:val="en-GB"/>
        </w:rPr>
        <w:t>[48]</w:t>
      </w:r>
      <w:r w:rsidRPr="00B459E7">
        <w:rPr>
          <w:rFonts w:ascii="Palatino Linotype" w:hAnsi="Palatino Linotype"/>
          <w:sz w:val="20"/>
          <w:lang w:val="en-GB"/>
        </w:rPr>
        <w:t xml:space="preserve">, was more active (55.9% reduction of </w:t>
      </w:r>
      <w:proofErr w:type="gramStart"/>
      <w:r w:rsidRPr="00B459E7">
        <w:rPr>
          <w:rFonts w:ascii="Palatino Linotype" w:hAnsi="Palatino Linotype"/>
          <w:i/>
          <w:sz w:val="20"/>
          <w:lang w:val="en-GB"/>
        </w:rPr>
        <w:t>p</w:t>
      </w:r>
      <w:r w:rsidRPr="00B459E7">
        <w:rPr>
          <w:rFonts w:ascii="Palatino Linotype" w:hAnsi="Palatino Linotype"/>
          <w:sz w:val="20"/>
          <w:lang w:val="en-GB"/>
        </w:rPr>
        <w:t>:T</w:t>
      </w:r>
      <w:proofErr w:type="gramEnd"/>
      <w:r w:rsidRPr="00B459E7">
        <w:rPr>
          <w:rFonts w:ascii="Palatino Linotype" w:hAnsi="Palatino Linotype"/>
          <w:sz w:val="20"/>
          <w:lang w:val="en-GB"/>
        </w:rPr>
        <w:t xml:space="preserve"> PDHE1-</w:t>
      </w:r>
      <w:r w:rsidRPr="00B459E7">
        <w:rPr>
          <w:rFonts w:ascii="Symbol" w:hAnsi="Symbol"/>
          <w:sz w:val="20"/>
          <w:lang w:val="en-GB"/>
        </w:rPr>
        <w:t></w:t>
      </w:r>
      <w:r w:rsidRPr="00B459E7">
        <w:rPr>
          <w:rFonts w:ascii="Palatino Linotype" w:hAnsi="Palatino Linotype"/>
          <w:sz w:val="20"/>
          <w:lang w:val="en-GB"/>
        </w:rPr>
        <w:t xml:space="preserve"> levels) in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compared to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mice. This finding was consistent with a </w:t>
      </w:r>
      <w:r w:rsidR="0088087E" w:rsidRPr="00B459E7">
        <w:rPr>
          <w:rFonts w:ascii="Palatino Linotype" w:hAnsi="Palatino Linotype"/>
          <w:sz w:val="20"/>
          <w:lang w:val="en-GB"/>
        </w:rPr>
        <w:t>downregulation</w:t>
      </w:r>
      <w:r w:rsidRPr="00B459E7">
        <w:rPr>
          <w:rFonts w:ascii="Palatino Linotype" w:hAnsi="Palatino Linotype"/>
          <w:sz w:val="20"/>
          <w:lang w:val="en-GB"/>
        </w:rPr>
        <w:t xml:space="preserve"> of PDK2, which phospho-inhibits PDH. ADLL treatment promoted </w:t>
      </w:r>
      <w:r w:rsidR="00A72E6B">
        <w:rPr>
          <w:rFonts w:ascii="Palatino Linotype" w:hAnsi="Palatino Linotype"/>
          <w:sz w:val="20"/>
          <w:lang w:val="en-GB"/>
        </w:rPr>
        <w:t>de</w:t>
      </w:r>
      <w:r w:rsidRPr="00B459E7">
        <w:rPr>
          <w:rFonts w:ascii="Palatino Linotype" w:hAnsi="Palatino Linotype"/>
          <w:sz w:val="20"/>
          <w:lang w:val="en-GB"/>
        </w:rPr>
        <w:t xml:space="preserve">activation of PDH by increasing PDK4 levels </w:t>
      </w:r>
      <w:r w:rsidR="00E26C61" w:rsidRPr="00E26C61">
        <w:rPr>
          <w:rFonts w:ascii="Palatino Linotype" w:hAnsi="Palatino Linotype"/>
          <w:noProof/>
          <w:sz w:val="20"/>
          <w:lang w:val="en-GB"/>
        </w:rPr>
        <w:t>[49,50]</w:t>
      </w:r>
      <w:r w:rsidRPr="00B459E7">
        <w:rPr>
          <w:rFonts w:ascii="Palatino Linotype" w:hAnsi="Palatino Linotype"/>
          <w:sz w:val="20"/>
          <w:lang w:val="en-GB"/>
        </w:rPr>
        <w:t xml:space="preserve"> and increas</w:t>
      </w:r>
      <w:r w:rsidR="00A72E6B">
        <w:rPr>
          <w:rFonts w:ascii="Palatino Linotype" w:hAnsi="Palatino Linotype"/>
          <w:sz w:val="20"/>
          <w:lang w:val="en-GB"/>
        </w:rPr>
        <w:t xml:space="preserve">ing </w:t>
      </w:r>
      <w:r w:rsidRPr="00B459E7">
        <w:rPr>
          <w:rFonts w:ascii="Palatino Linotype" w:hAnsi="Palatino Linotype"/>
          <w:sz w:val="20"/>
          <w:lang w:val="en-GB"/>
        </w:rPr>
        <w:t xml:space="preserve">LDH levels, </w:t>
      </w:r>
      <w:r w:rsidR="00A72E6B">
        <w:rPr>
          <w:rFonts w:ascii="Palatino Linotype" w:hAnsi="Palatino Linotype"/>
          <w:sz w:val="20"/>
          <w:lang w:val="en-GB"/>
        </w:rPr>
        <w:t xml:space="preserve">thus </w:t>
      </w:r>
      <w:r w:rsidRPr="00B459E7">
        <w:rPr>
          <w:rFonts w:ascii="Palatino Linotype" w:hAnsi="Palatino Linotype"/>
          <w:sz w:val="20"/>
          <w:lang w:val="en-GB"/>
        </w:rPr>
        <w:t xml:space="preserve">normalizing glycolytic pathways to levels observed in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mice. Previous studies reported</w:t>
      </w:r>
      <w:r w:rsidR="00E96DB3">
        <w:rPr>
          <w:rFonts w:ascii="Palatino Linotype" w:hAnsi="Palatino Linotype"/>
          <w:sz w:val="20"/>
          <w:lang w:val="en-GB"/>
        </w:rPr>
        <w:t xml:space="preserve"> that</w:t>
      </w:r>
      <w:r w:rsidRPr="00B459E7">
        <w:rPr>
          <w:rFonts w:ascii="Palatino Linotype" w:hAnsi="Palatino Linotype"/>
          <w:sz w:val="20"/>
          <w:lang w:val="en-GB"/>
        </w:rPr>
        <w:t xml:space="preserve"> PDK4 overexpression increased autophagy (elevated LC3-II levels) </w:t>
      </w:r>
      <w:r w:rsidR="00E26C61" w:rsidRPr="00E26C61">
        <w:rPr>
          <w:rFonts w:ascii="Palatino Linotype" w:hAnsi="Palatino Linotype"/>
          <w:noProof/>
          <w:sz w:val="20"/>
          <w:lang w:val="en-GB"/>
        </w:rPr>
        <w:t>[51]</w:t>
      </w:r>
      <w:r w:rsidRPr="00B459E7">
        <w:rPr>
          <w:rFonts w:ascii="Palatino Linotype" w:hAnsi="Palatino Linotype"/>
          <w:sz w:val="20"/>
          <w:lang w:val="en-GB"/>
        </w:rPr>
        <w:t xml:space="preserve">, and increased lactate production </w:t>
      </w:r>
      <w:r w:rsidR="0086309B" w:rsidRPr="00B459E7">
        <w:rPr>
          <w:rFonts w:ascii="Palatino Linotype" w:hAnsi="Palatino Linotype"/>
          <w:noProof/>
          <w:sz w:val="20"/>
          <w:lang w:val="en-GB"/>
        </w:rPr>
        <w:t>[36]</w:t>
      </w:r>
      <w:r w:rsidRPr="00B459E7">
        <w:rPr>
          <w:rFonts w:ascii="Palatino Linotype" w:hAnsi="Palatino Linotype"/>
          <w:sz w:val="20"/>
          <w:lang w:val="en-GB"/>
        </w:rPr>
        <w:t xml:space="preserve">, which may explain the elevation in </w:t>
      </w:r>
      <w:r w:rsidRPr="00B459E7">
        <w:rPr>
          <w:rFonts w:ascii="Palatino Linotype" w:hAnsi="Palatino Linotype"/>
          <w:sz w:val="20"/>
          <w:lang w:val="en-GB"/>
        </w:rPr>
        <w:lastRenderedPageBreak/>
        <w:t xml:space="preserve">autophagy and LDH levels in </w:t>
      </w:r>
      <w:proofErr w:type="spellStart"/>
      <w:r w:rsidRPr="00B459E7">
        <w:rPr>
          <w:rFonts w:ascii="Palatino Linotype" w:hAnsi="Palatino Linotype"/>
          <w:i/>
          <w:sz w:val="20"/>
          <w:lang w:val="en-GB"/>
        </w:rPr>
        <w:t>Hexb</w:t>
      </w:r>
      <w:proofErr w:type="spellEnd"/>
      <w:r w:rsidRPr="00B459E7">
        <w:rPr>
          <w:rFonts w:ascii="Palatino Linotype" w:hAnsi="Palatino Linotype"/>
          <w:i/>
          <w:sz w:val="20"/>
          <w:vertAlign w:val="superscript"/>
          <w:lang w:val="en-GB"/>
        </w:rPr>
        <w:t>-/-</w:t>
      </w:r>
      <w:r w:rsidRPr="00B459E7">
        <w:rPr>
          <w:rFonts w:ascii="Palatino Linotype" w:hAnsi="Palatino Linotype"/>
          <w:sz w:val="20"/>
          <w:lang w:val="en-GB"/>
        </w:rPr>
        <w:t xml:space="preserve"> cerebellum with ADLL therapy. In </w:t>
      </w:r>
      <w:r w:rsidR="004D5B46">
        <w:rPr>
          <w:rFonts w:ascii="Palatino Linotype" w:hAnsi="Palatino Linotype"/>
          <w:sz w:val="20"/>
          <w:lang w:val="en-GB"/>
        </w:rPr>
        <w:t>a</w:t>
      </w:r>
      <w:r w:rsidR="004D5B46" w:rsidRPr="00B459E7">
        <w:rPr>
          <w:rFonts w:ascii="Palatino Linotype" w:hAnsi="Palatino Linotype"/>
          <w:sz w:val="20"/>
          <w:lang w:val="en-GB"/>
        </w:rPr>
        <w:t xml:space="preserve"> </w:t>
      </w:r>
      <w:r w:rsidRPr="00B459E7">
        <w:rPr>
          <w:rFonts w:ascii="Palatino Linotype" w:hAnsi="Palatino Linotype"/>
          <w:sz w:val="20"/>
          <w:lang w:val="en-GB"/>
        </w:rPr>
        <w:t>previous study, non-acetylated leucine had a similar effect in porcine intestinal epithelial cells, where it reduced the PDH-dependent OXPHOS pathway, and increased LDH-dependent glycolysis, thus reducing</w:t>
      </w:r>
      <w:r w:rsidR="00E0111D">
        <w:rPr>
          <w:rFonts w:ascii="Palatino Linotype" w:hAnsi="Palatino Linotype"/>
          <w:sz w:val="20"/>
          <w:lang w:val="en-GB"/>
        </w:rPr>
        <w:t xml:space="preserve"> the</w:t>
      </w:r>
      <w:r w:rsidRPr="00B459E7">
        <w:rPr>
          <w:rFonts w:ascii="Palatino Linotype" w:hAnsi="Palatino Linotype"/>
          <w:sz w:val="20"/>
          <w:lang w:val="en-GB"/>
        </w:rPr>
        <w:t xml:space="preserve"> OXPHOS-derived ROS burden </w:t>
      </w:r>
      <w:r w:rsidR="0086309B" w:rsidRPr="00B459E7">
        <w:rPr>
          <w:rFonts w:ascii="Palatino Linotype" w:hAnsi="Palatino Linotype"/>
          <w:noProof/>
          <w:sz w:val="20"/>
          <w:lang w:val="en-GB"/>
        </w:rPr>
        <w:t>[38]</w:t>
      </w:r>
      <w:r w:rsidRPr="00B459E7">
        <w:rPr>
          <w:rFonts w:ascii="Palatino Linotype" w:hAnsi="Palatino Linotype"/>
          <w:sz w:val="20"/>
          <w:lang w:val="en-GB"/>
        </w:rPr>
        <w:t xml:space="preserve">. A leucine-mediated reduction in ROS levels is </w:t>
      </w:r>
      <w:r w:rsidR="00297669" w:rsidRPr="00B459E7">
        <w:rPr>
          <w:rFonts w:ascii="Palatino Linotype" w:hAnsi="Palatino Linotype"/>
          <w:sz w:val="20"/>
          <w:lang w:val="en-GB"/>
        </w:rPr>
        <w:t>consistent</w:t>
      </w:r>
      <w:r w:rsidRPr="00B459E7">
        <w:rPr>
          <w:rFonts w:ascii="Palatino Linotype" w:hAnsi="Palatino Linotype"/>
          <w:sz w:val="20"/>
          <w:lang w:val="en-GB"/>
        </w:rPr>
        <w:t xml:space="preserve"> with the upregulation of the ROS scavenger, SOD1, which we observed with ADLL treatment. However, how ADLL upregulates PDK4, autophagy and lipid oxidation, and how this may link to a reduction of glycosphingolipid storage, remains unclear. Overall, changes in metabolic pathways with ADLL may be linked to leucine’s </w:t>
      </w:r>
      <w:proofErr w:type="spellStart"/>
      <w:r w:rsidRPr="00B459E7">
        <w:rPr>
          <w:rFonts w:ascii="Palatino Linotype" w:hAnsi="Palatino Linotype"/>
          <w:sz w:val="20"/>
          <w:lang w:val="en-GB"/>
        </w:rPr>
        <w:t>activatory</w:t>
      </w:r>
      <w:proofErr w:type="spellEnd"/>
      <w:r w:rsidRPr="00B459E7">
        <w:rPr>
          <w:rFonts w:ascii="Palatino Linotype" w:hAnsi="Palatino Linotype"/>
          <w:sz w:val="20"/>
          <w:lang w:val="en-GB"/>
        </w:rPr>
        <w:t xml:space="preserve"> effect on homeostatic AMP-activated protein kinase (AMPK), which regulates the change in nutrient </w:t>
      </w:r>
      <w:r w:rsidR="001E784E" w:rsidRPr="00B459E7">
        <w:rPr>
          <w:rFonts w:ascii="Palatino Linotype" w:hAnsi="Palatino Linotype"/>
          <w:sz w:val="20"/>
          <w:lang w:val="en-GB"/>
        </w:rPr>
        <w:t>utili</w:t>
      </w:r>
      <w:r w:rsidR="001E784E">
        <w:rPr>
          <w:rFonts w:ascii="Palatino Linotype" w:hAnsi="Palatino Linotype"/>
          <w:sz w:val="20"/>
          <w:lang w:val="en-GB"/>
        </w:rPr>
        <w:t>s</w:t>
      </w:r>
      <w:r w:rsidR="001E784E" w:rsidRPr="00B459E7">
        <w:rPr>
          <w:rFonts w:ascii="Palatino Linotype" w:hAnsi="Palatino Linotype"/>
          <w:sz w:val="20"/>
          <w:lang w:val="en-GB"/>
        </w:rPr>
        <w:t>ation</w:t>
      </w:r>
      <w:r w:rsidRPr="00B459E7">
        <w:rPr>
          <w:rFonts w:ascii="Palatino Linotype" w:hAnsi="Palatino Linotype"/>
          <w:sz w:val="20"/>
          <w:lang w:val="en-GB"/>
        </w:rPr>
        <w:t xml:space="preserve">, anabolic/catabolic shift and glycolysis preference </w:t>
      </w:r>
      <w:r w:rsidR="00E26C61" w:rsidRPr="00E26C61">
        <w:rPr>
          <w:rFonts w:ascii="Palatino Linotype" w:hAnsi="Palatino Linotype"/>
          <w:noProof/>
          <w:sz w:val="20"/>
          <w:lang w:val="en-GB"/>
        </w:rPr>
        <w:t>[52]</w:t>
      </w:r>
      <w:r w:rsidRPr="00B459E7">
        <w:rPr>
          <w:rFonts w:ascii="Palatino Linotype" w:hAnsi="Palatino Linotype"/>
          <w:sz w:val="20"/>
          <w:lang w:val="en-GB"/>
        </w:rPr>
        <w:t xml:space="preserve">. AMPK can promote glycolysis as a survival mechanism upon oxidative stress </w:t>
      </w:r>
      <w:r w:rsidR="00E26C61" w:rsidRPr="00E26C61">
        <w:rPr>
          <w:rFonts w:ascii="Palatino Linotype" w:hAnsi="Palatino Linotype"/>
          <w:noProof/>
          <w:sz w:val="20"/>
          <w:lang w:val="en-GB"/>
        </w:rPr>
        <w:t>[53]</w:t>
      </w:r>
      <w:r w:rsidRPr="00B459E7">
        <w:rPr>
          <w:rFonts w:ascii="Palatino Linotype" w:hAnsi="Palatino Linotype"/>
          <w:sz w:val="20"/>
          <w:lang w:val="en-GB"/>
        </w:rPr>
        <w:t xml:space="preserve">. AMPK can also promote oxidative metabolism via increasing mitochondrial biogenesis and OXPHOS capacity </w:t>
      </w:r>
      <w:r w:rsidR="00E26C61" w:rsidRPr="00E26C61">
        <w:rPr>
          <w:rFonts w:ascii="Palatino Linotype" w:hAnsi="Palatino Linotype"/>
          <w:noProof/>
          <w:sz w:val="20"/>
          <w:lang w:val="en-GB"/>
        </w:rPr>
        <w:t>[54]</w:t>
      </w:r>
      <w:r w:rsidRPr="00B459E7">
        <w:rPr>
          <w:rFonts w:ascii="Palatino Linotype" w:hAnsi="Palatino Linotype"/>
          <w:sz w:val="20"/>
          <w:lang w:val="en-GB"/>
        </w:rPr>
        <w:t xml:space="preserve">, correlating with a dual metabolic response upon leucine treatment in different systems. Furthermore, β-hydroxy-β-methyl butyrate, a minor metabolite of leucine, has been reported to stimulate AMPK activation insulin sensitivity and fat oxidation </w:t>
      </w:r>
      <w:r w:rsidR="00E26C61" w:rsidRPr="00E26C61">
        <w:rPr>
          <w:rFonts w:ascii="Palatino Linotype" w:hAnsi="Palatino Linotype"/>
          <w:noProof/>
          <w:sz w:val="20"/>
          <w:lang w:val="en-GB"/>
        </w:rPr>
        <w:t>[55]</w:t>
      </w:r>
      <w:r w:rsidRPr="00B459E7">
        <w:rPr>
          <w:rFonts w:ascii="Palatino Linotype" w:hAnsi="Palatino Linotype"/>
          <w:sz w:val="20"/>
          <w:lang w:val="en-GB"/>
        </w:rPr>
        <w:t xml:space="preserve">. </w:t>
      </w:r>
      <w:r w:rsidR="00AD698F">
        <w:rPr>
          <w:rFonts w:ascii="Palatino Linotype" w:hAnsi="Palatino Linotype"/>
          <w:iCs/>
          <w:sz w:val="20"/>
          <w:lang w:val="en-GB"/>
        </w:rPr>
        <w:t>Therefore</w:t>
      </w:r>
      <w:r w:rsidR="00284443">
        <w:rPr>
          <w:rFonts w:ascii="Palatino Linotype" w:hAnsi="Palatino Linotype"/>
          <w:iCs/>
          <w:sz w:val="20"/>
          <w:lang w:val="en-GB"/>
        </w:rPr>
        <w:t>,</w:t>
      </w:r>
      <w:r w:rsidR="00D735CE" w:rsidRPr="00B459E7">
        <w:rPr>
          <w:rFonts w:ascii="Palatino Linotype" w:hAnsi="Palatino Linotype"/>
          <w:iCs/>
          <w:sz w:val="20"/>
          <w:lang w:val="en-GB"/>
        </w:rPr>
        <w:t xml:space="preserve"> </w:t>
      </w:r>
      <w:r w:rsidR="00284443">
        <w:rPr>
          <w:rFonts w:ascii="Palatino Linotype" w:hAnsi="Palatino Linotype"/>
          <w:sz w:val="20"/>
          <w:lang w:val="en-GB"/>
        </w:rPr>
        <w:t>t</w:t>
      </w:r>
      <w:r w:rsidRPr="00B459E7">
        <w:rPr>
          <w:rFonts w:ascii="Palatino Linotype" w:hAnsi="Palatino Linotype"/>
          <w:sz w:val="20"/>
          <w:lang w:val="en-GB"/>
        </w:rPr>
        <w:t>he molecular mechanism of ADLL</w:t>
      </w:r>
      <w:r w:rsidR="00AD698F">
        <w:rPr>
          <w:rFonts w:ascii="Palatino Linotype" w:hAnsi="Palatino Linotype"/>
          <w:sz w:val="20"/>
          <w:lang w:val="en-GB"/>
        </w:rPr>
        <w:t xml:space="preserve"> </w:t>
      </w:r>
      <w:r w:rsidRPr="00B459E7">
        <w:rPr>
          <w:rFonts w:ascii="Palatino Linotype" w:hAnsi="Palatino Linotype"/>
          <w:sz w:val="20"/>
          <w:lang w:val="en-GB"/>
        </w:rPr>
        <w:t>and its enantiomers</w:t>
      </w:r>
      <w:r w:rsidR="00163172">
        <w:rPr>
          <w:rFonts w:ascii="Palatino Linotype" w:hAnsi="Palatino Linotype"/>
          <w:sz w:val="20"/>
          <w:lang w:val="en-GB"/>
        </w:rPr>
        <w:t>,</w:t>
      </w:r>
      <w:r w:rsidRPr="00B459E7">
        <w:rPr>
          <w:rFonts w:ascii="Palatino Linotype" w:hAnsi="Palatino Linotype"/>
          <w:sz w:val="20"/>
          <w:lang w:val="en-GB"/>
        </w:rPr>
        <w:t xml:space="preserve"> </w:t>
      </w:r>
      <w:r w:rsidR="00AD698F">
        <w:rPr>
          <w:rFonts w:ascii="Palatino Linotype" w:hAnsi="Palatino Linotype"/>
          <w:sz w:val="20"/>
          <w:lang w:val="en-GB"/>
        </w:rPr>
        <w:t>and their</w:t>
      </w:r>
      <w:r w:rsidR="00163172">
        <w:rPr>
          <w:rFonts w:ascii="Palatino Linotype" w:hAnsi="Palatino Linotype"/>
          <w:sz w:val="20"/>
          <w:lang w:val="en-GB"/>
        </w:rPr>
        <w:t xml:space="preserve"> effect</w:t>
      </w:r>
      <w:r w:rsidR="00E66C77">
        <w:rPr>
          <w:rFonts w:ascii="Palatino Linotype" w:hAnsi="Palatino Linotype"/>
          <w:sz w:val="20"/>
          <w:lang w:val="en-GB"/>
        </w:rPr>
        <w:t>s</w:t>
      </w:r>
      <w:r w:rsidR="00AD698F">
        <w:rPr>
          <w:rFonts w:ascii="Palatino Linotype" w:hAnsi="Palatino Linotype"/>
          <w:sz w:val="20"/>
          <w:lang w:val="en-GB"/>
        </w:rPr>
        <w:t xml:space="preserve"> on AMPK </w:t>
      </w:r>
      <w:r w:rsidRPr="00B459E7">
        <w:rPr>
          <w:rFonts w:ascii="Palatino Linotype" w:hAnsi="Palatino Linotype"/>
          <w:sz w:val="20"/>
          <w:lang w:val="en-GB"/>
        </w:rPr>
        <w:t>merit further investigation in order to develop novel pharmacological approaches for lysosomal storage diseases. For a summary</w:t>
      </w:r>
      <w:r w:rsidR="00D901EF">
        <w:rPr>
          <w:rFonts w:ascii="Palatino Linotype" w:hAnsi="Palatino Linotype"/>
          <w:sz w:val="20"/>
          <w:lang w:val="en-GB"/>
        </w:rPr>
        <w:t>,</w:t>
      </w:r>
      <w:r w:rsidRPr="00B459E7">
        <w:rPr>
          <w:rFonts w:ascii="Palatino Linotype" w:hAnsi="Palatino Linotype"/>
          <w:sz w:val="20"/>
          <w:lang w:val="en-GB"/>
        </w:rPr>
        <w:t xml:space="preserve"> see Scheme 1.</w:t>
      </w:r>
    </w:p>
    <w:p w14:paraId="76DEBEAA" w14:textId="4FB75507" w:rsidR="00421196" w:rsidRPr="00B459E7" w:rsidRDefault="00AB4B5A" w:rsidP="00E94E59">
      <w:pPr>
        <w:pStyle w:val="MDPI52figure"/>
        <w:rPr>
          <w:lang w:val="en-GB"/>
        </w:rPr>
      </w:pPr>
      <w:r w:rsidRPr="00F84F07">
        <w:rPr>
          <w:noProof/>
          <w:snapToGrid/>
          <w:lang w:eastAsia="zh-CN" w:bidi="ar-SA"/>
        </w:rPr>
        <w:drawing>
          <wp:inline distT="0" distB="0" distL="0" distR="0" wp14:anchorId="25EF9634" wp14:editId="7636EAFF">
            <wp:extent cx="5612130" cy="4213225"/>
            <wp:effectExtent l="0" t="0" r="1270" b="3175"/>
            <wp:docPr id="5" name="Picture 5" descr="Macintosh HD:Users:ecemkaya:Dropbox:SANDHOFF PAPER:summary scheme 060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cemkaya:Dropbox:SANDHOFF PAPER:summary scheme 0604.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4213225"/>
                    </a:xfrm>
                    <a:prstGeom prst="rect">
                      <a:avLst/>
                    </a:prstGeom>
                    <a:noFill/>
                    <a:ln>
                      <a:noFill/>
                    </a:ln>
                  </pic:spPr>
                </pic:pic>
              </a:graphicData>
            </a:graphic>
          </wp:inline>
        </w:drawing>
      </w:r>
    </w:p>
    <w:p w14:paraId="5A457026" w14:textId="2B76AAD7" w:rsidR="00661EC9" w:rsidRPr="00B459E7" w:rsidRDefault="00421196" w:rsidP="00E94E59">
      <w:pPr>
        <w:pStyle w:val="MDPI51figurecaption"/>
        <w:rPr>
          <w:b/>
          <w:lang w:val="en-GB"/>
        </w:rPr>
      </w:pPr>
      <w:r w:rsidRPr="00B459E7">
        <w:rPr>
          <w:b/>
          <w:lang w:val="en-GB"/>
        </w:rPr>
        <w:t xml:space="preserve">Scheme 1. </w:t>
      </w:r>
      <w:r w:rsidRPr="00B459E7">
        <w:rPr>
          <w:bCs/>
          <w:lang w:val="en-GB"/>
        </w:rPr>
        <w:t>Summary of ADLL treatment effect</w:t>
      </w:r>
      <w:r w:rsidR="001D6D0E">
        <w:rPr>
          <w:bCs/>
          <w:lang w:val="en-GB"/>
        </w:rPr>
        <w:t>s</w:t>
      </w:r>
      <w:r w:rsidRPr="00B459E7">
        <w:rPr>
          <w:bCs/>
          <w:lang w:val="en-GB"/>
        </w:rPr>
        <w:t xml:space="preserve"> on </w:t>
      </w:r>
      <w:r w:rsidR="001D6D0E" w:rsidRPr="00F84F07">
        <w:rPr>
          <w:bCs/>
          <w:color w:val="auto"/>
          <w:lang w:val="en-GB"/>
        </w:rPr>
        <w:t xml:space="preserve">the </w:t>
      </w:r>
      <w:proofErr w:type="spellStart"/>
      <w:r w:rsidR="0009299B" w:rsidRPr="00F84F07">
        <w:rPr>
          <w:i/>
          <w:color w:val="auto"/>
          <w:sz w:val="20"/>
          <w:lang w:val="en-GB"/>
        </w:rPr>
        <w:t>Hexb</w:t>
      </w:r>
      <w:proofErr w:type="spellEnd"/>
      <w:r w:rsidR="0009299B" w:rsidRPr="00F84F07">
        <w:rPr>
          <w:i/>
          <w:color w:val="auto"/>
          <w:sz w:val="20"/>
          <w:vertAlign w:val="superscript"/>
          <w:lang w:val="en-GB"/>
        </w:rPr>
        <w:t>-/-</w:t>
      </w:r>
      <w:r w:rsidR="0009299B" w:rsidRPr="00F84F07">
        <w:rPr>
          <w:color w:val="auto"/>
          <w:sz w:val="20"/>
          <w:lang w:val="en-GB"/>
        </w:rPr>
        <w:t xml:space="preserve"> </w:t>
      </w:r>
      <w:r w:rsidR="001D6D0E" w:rsidRPr="00F84F07">
        <w:rPr>
          <w:bCs/>
          <w:color w:val="auto"/>
          <w:lang w:val="en-GB"/>
        </w:rPr>
        <w:t xml:space="preserve">mouse </w:t>
      </w:r>
      <w:r w:rsidRPr="00B459E7">
        <w:rPr>
          <w:bCs/>
          <w:lang w:val="en-GB"/>
        </w:rPr>
        <w:t>cerebellum</w:t>
      </w:r>
      <w:r w:rsidR="001D6D0E">
        <w:rPr>
          <w:bCs/>
          <w:lang w:val="en-GB"/>
        </w:rPr>
        <w:t xml:space="preserve"> at 12 weeks of age</w:t>
      </w:r>
      <w:r w:rsidRPr="00B459E7">
        <w:rPr>
          <w:bCs/>
          <w:lang w:val="en-GB"/>
        </w:rPr>
        <w:t>.</w:t>
      </w:r>
      <w:r w:rsidRPr="00B459E7">
        <w:rPr>
          <w:b/>
          <w:bCs/>
          <w:lang w:val="en-GB"/>
        </w:rPr>
        <w:t xml:space="preserve"> </w:t>
      </w:r>
      <w:r w:rsidRPr="00B459E7">
        <w:rPr>
          <w:lang w:val="en-GB"/>
        </w:rPr>
        <w:t xml:space="preserve">Investigated pathways </w:t>
      </w:r>
      <w:r w:rsidR="006F107C">
        <w:rPr>
          <w:lang w:val="en-GB"/>
        </w:rPr>
        <w:t>that</w:t>
      </w:r>
      <w:r w:rsidR="006F107C" w:rsidRPr="00B459E7">
        <w:rPr>
          <w:lang w:val="en-GB"/>
        </w:rPr>
        <w:t xml:space="preserve"> </w:t>
      </w:r>
      <w:r w:rsidRPr="00B459E7">
        <w:rPr>
          <w:lang w:val="en-GB"/>
        </w:rPr>
        <w:t xml:space="preserve">leucine can affect </w:t>
      </w:r>
      <w:r w:rsidR="001D6D0E">
        <w:rPr>
          <w:lang w:val="en-GB"/>
        </w:rPr>
        <w:t xml:space="preserve">are </w:t>
      </w:r>
      <w:r w:rsidRPr="00B459E7">
        <w:rPr>
          <w:lang w:val="en-GB"/>
        </w:rPr>
        <w:t>displayed. Red arrow</w:t>
      </w:r>
      <w:r w:rsidR="00480F10">
        <w:rPr>
          <w:lang w:val="en-GB"/>
        </w:rPr>
        <w:t>s</w:t>
      </w:r>
      <w:r w:rsidRPr="00B459E7">
        <w:rPr>
          <w:lang w:val="en-GB"/>
        </w:rPr>
        <w:t xml:space="preserve"> indicate the alterations </w:t>
      </w:r>
      <w:r w:rsidR="00480F10">
        <w:rPr>
          <w:lang w:val="en-GB"/>
        </w:rPr>
        <w:t>in</w:t>
      </w:r>
      <w:r w:rsidR="00480F10" w:rsidRPr="00B459E7">
        <w:rPr>
          <w:lang w:val="en-GB"/>
        </w:rPr>
        <w:t xml:space="preserve"> </w:t>
      </w:r>
      <w:r w:rsidR="001D6D0E">
        <w:rPr>
          <w:lang w:val="en-GB"/>
        </w:rPr>
        <w:t xml:space="preserve">untreated </w:t>
      </w:r>
      <w:proofErr w:type="spellStart"/>
      <w:r w:rsidRPr="00B459E7">
        <w:rPr>
          <w:i/>
          <w:iCs/>
          <w:lang w:val="en-GB"/>
        </w:rPr>
        <w:t>Hexb</w:t>
      </w:r>
      <w:proofErr w:type="spellEnd"/>
      <w:r w:rsidRPr="00B459E7">
        <w:rPr>
          <w:i/>
          <w:iCs/>
          <w:vertAlign w:val="superscript"/>
          <w:lang w:val="en-GB"/>
        </w:rPr>
        <w:t>-/-</w:t>
      </w:r>
      <w:r w:rsidRPr="00B459E7">
        <w:rPr>
          <w:lang w:val="en-GB"/>
        </w:rPr>
        <w:t xml:space="preserve"> mice, while green arrow</w:t>
      </w:r>
      <w:r w:rsidR="00480F10">
        <w:rPr>
          <w:lang w:val="en-GB"/>
        </w:rPr>
        <w:t>s</w:t>
      </w:r>
      <w:r w:rsidRPr="00B459E7">
        <w:rPr>
          <w:lang w:val="en-GB"/>
        </w:rPr>
        <w:t xml:space="preserve"> indicate the effect of pre-symptomatic ADLL treatment.</w:t>
      </w:r>
    </w:p>
    <w:p w14:paraId="34EC4D54" w14:textId="1A780BEE" w:rsidR="00661EC9" w:rsidRPr="00B459E7" w:rsidRDefault="00661EC9" w:rsidP="00E94E59">
      <w:pPr>
        <w:pStyle w:val="MDPI31text"/>
        <w:rPr>
          <w:lang w:val="en-GB"/>
        </w:rPr>
      </w:pPr>
      <w:proofErr w:type="spellStart"/>
      <w:r w:rsidRPr="00B459E7">
        <w:rPr>
          <w:lang w:val="en-GB"/>
        </w:rPr>
        <w:t>Miglustat</w:t>
      </w:r>
      <w:proofErr w:type="spellEnd"/>
      <w:r w:rsidRPr="00B459E7">
        <w:rPr>
          <w:lang w:val="en-GB"/>
        </w:rPr>
        <w:t xml:space="preserve"> reversibly inhibits glucosylceramide synthase, the enzyme that </w:t>
      </w:r>
      <w:r w:rsidR="009D116D" w:rsidRPr="00B459E7">
        <w:rPr>
          <w:lang w:val="en-GB"/>
        </w:rPr>
        <w:t>catalyses</w:t>
      </w:r>
      <w:r w:rsidRPr="00B459E7">
        <w:rPr>
          <w:lang w:val="en-GB"/>
        </w:rPr>
        <w:t xml:space="preserve"> the first committed step in GSL biosynthesis</w:t>
      </w:r>
      <w:r w:rsidR="0090656C">
        <w:rPr>
          <w:lang w:val="en-GB"/>
        </w:rPr>
        <w:t>,</w:t>
      </w:r>
      <w:r w:rsidRPr="00B459E7">
        <w:rPr>
          <w:lang w:val="en-GB"/>
        </w:rPr>
        <w:t xml:space="preserve"> and was previously shown to slow disease progression in </w:t>
      </w:r>
      <w:proofErr w:type="spellStart"/>
      <w:r w:rsidRPr="00B459E7">
        <w:rPr>
          <w:lang w:val="en-GB"/>
        </w:rPr>
        <w:t>Sandhoff</w:t>
      </w:r>
      <w:proofErr w:type="spellEnd"/>
      <w:r w:rsidRPr="00B459E7">
        <w:rPr>
          <w:lang w:val="en-GB"/>
        </w:rPr>
        <w:t xml:space="preserve"> disease mice </w:t>
      </w:r>
      <w:r w:rsidRPr="00B459E7">
        <w:rPr>
          <w:noProof/>
          <w:lang w:val="en-GB"/>
        </w:rPr>
        <w:t>[8–10]</w:t>
      </w:r>
      <w:r w:rsidRPr="00B459E7">
        <w:rPr>
          <w:lang w:val="en-GB"/>
        </w:rPr>
        <w:t xml:space="preserve">. When ADLL and </w:t>
      </w:r>
      <w:proofErr w:type="spellStart"/>
      <w:r w:rsidRPr="00B459E7">
        <w:rPr>
          <w:lang w:val="en-GB"/>
        </w:rPr>
        <w:t>miglustat</w:t>
      </w:r>
      <w:proofErr w:type="spellEnd"/>
      <w:r w:rsidRPr="00B459E7">
        <w:rPr>
          <w:lang w:val="en-GB"/>
        </w:rPr>
        <w:t xml:space="preserve"> were combined</w:t>
      </w:r>
      <w:r w:rsidR="00F26BE3">
        <w:rPr>
          <w:lang w:val="en-GB"/>
        </w:rPr>
        <w:t>,</w:t>
      </w:r>
      <w:r w:rsidRPr="00B459E7">
        <w:rPr>
          <w:lang w:val="en-GB"/>
        </w:rPr>
        <w:t xml:space="preserve"> there was an additive effect in relation to extension in life expectancy, extending the life span </w:t>
      </w:r>
      <w:r w:rsidR="00BF3E48">
        <w:rPr>
          <w:lang w:val="en-GB"/>
        </w:rPr>
        <w:t xml:space="preserve">by </w:t>
      </w:r>
      <w:r w:rsidR="00702D1A">
        <w:rPr>
          <w:lang w:val="en-GB"/>
        </w:rPr>
        <w:t>almost</w:t>
      </w:r>
      <w:r w:rsidRPr="00B459E7">
        <w:rPr>
          <w:lang w:val="en-GB"/>
        </w:rPr>
        <w:t xml:space="preserve"> 5 weeks in total.</w:t>
      </w:r>
    </w:p>
    <w:p w14:paraId="685F5C17" w14:textId="40952095" w:rsidR="00B27752" w:rsidRPr="00B459E7" w:rsidRDefault="00661EC9" w:rsidP="00FD51CE">
      <w:pPr>
        <w:pStyle w:val="MDPI31text"/>
        <w:spacing w:after="240"/>
        <w:rPr>
          <w:lang w:val="en-GB"/>
        </w:rPr>
      </w:pPr>
      <w:r w:rsidRPr="00B459E7">
        <w:rPr>
          <w:lang w:val="en-GB"/>
        </w:rPr>
        <w:t xml:space="preserve">In summary, we have found that ADLL treatment of </w:t>
      </w:r>
      <w:proofErr w:type="spellStart"/>
      <w:r w:rsidRPr="00B459E7">
        <w:rPr>
          <w:i/>
          <w:lang w:val="en-GB"/>
        </w:rPr>
        <w:t>Hexb</w:t>
      </w:r>
      <w:proofErr w:type="spellEnd"/>
      <w:r w:rsidRPr="00B459E7">
        <w:rPr>
          <w:i/>
          <w:vertAlign w:val="superscript"/>
          <w:lang w:val="en-GB"/>
        </w:rPr>
        <w:t>-/-</w:t>
      </w:r>
      <w:r w:rsidRPr="00B459E7">
        <w:rPr>
          <w:lang w:val="en-GB"/>
        </w:rPr>
        <w:t xml:space="preserve"> mice partially reduced lipid storage, </w:t>
      </w:r>
      <w:r w:rsidR="00FE1A3F" w:rsidRPr="00B459E7">
        <w:rPr>
          <w:lang w:val="en-GB"/>
        </w:rPr>
        <w:t xml:space="preserve">modestly </w:t>
      </w:r>
      <w:r w:rsidRPr="00B459E7">
        <w:rPr>
          <w:lang w:val="en-GB"/>
        </w:rPr>
        <w:t xml:space="preserve">improved </w:t>
      </w:r>
      <w:r w:rsidR="005A33FB">
        <w:rPr>
          <w:lang w:val="en-GB"/>
        </w:rPr>
        <w:t>behaviour</w:t>
      </w:r>
      <w:r w:rsidRPr="00B459E7">
        <w:rPr>
          <w:lang w:val="en-GB"/>
        </w:rPr>
        <w:t>al parameters</w:t>
      </w:r>
      <w:r w:rsidR="00DB0C5A">
        <w:rPr>
          <w:lang w:val="en-GB"/>
        </w:rPr>
        <w:t>,</w:t>
      </w:r>
      <w:r w:rsidRPr="00B459E7">
        <w:rPr>
          <w:lang w:val="en-GB"/>
        </w:rPr>
        <w:t xml:space="preserve"> significantly extended lifespan and provided </w:t>
      </w:r>
      <w:r w:rsidRPr="00B459E7">
        <w:rPr>
          <w:lang w:val="en-GB"/>
        </w:rPr>
        <w:lastRenderedPageBreak/>
        <w:t xml:space="preserve">additive benefit when combined with </w:t>
      </w:r>
      <w:proofErr w:type="spellStart"/>
      <w:r w:rsidRPr="00B459E7">
        <w:rPr>
          <w:lang w:val="en-GB"/>
        </w:rPr>
        <w:t>miglustat</w:t>
      </w:r>
      <w:proofErr w:type="spellEnd"/>
      <w:r w:rsidRPr="00B459E7">
        <w:rPr>
          <w:lang w:val="en-GB"/>
        </w:rPr>
        <w:t xml:space="preserve">. This study provides mechanistic insights into novel pathological alterations in </w:t>
      </w:r>
      <w:proofErr w:type="spellStart"/>
      <w:r w:rsidRPr="00B459E7">
        <w:rPr>
          <w:lang w:val="en-GB"/>
        </w:rPr>
        <w:t>Sandhoff</w:t>
      </w:r>
      <w:proofErr w:type="spellEnd"/>
      <w:r w:rsidRPr="00B459E7">
        <w:rPr>
          <w:lang w:val="en-GB"/>
        </w:rPr>
        <w:t xml:space="preserve"> </w:t>
      </w:r>
      <w:r w:rsidR="00DB0C5A">
        <w:rPr>
          <w:lang w:val="en-GB"/>
        </w:rPr>
        <w:t xml:space="preserve">disease </w:t>
      </w:r>
      <w:r w:rsidRPr="00B459E7">
        <w:rPr>
          <w:lang w:val="en-GB"/>
        </w:rPr>
        <w:t>brain metabolism</w:t>
      </w:r>
      <w:bookmarkStart w:id="16" w:name="_Hlk36806154"/>
      <w:r w:rsidR="007128F0" w:rsidRPr="00E11DBD">
        <w:rPr>
          <w:szCs w:val="20"/>
        </w:rPr>
        <w:t>—</w:t>
      </w:r>
      <w:bookmarkEnd w:id="16"/>
      <w:r w:rsidRPr="00B459E7">
        <w:rPr>
          <w:lang w:val="en-GB"/>
        </w:rPr>
        <w:t>some of which were corrected by ADLL treatment</w:t>
      </w:r>
      <w:r w:rsidR="004B113F">
        <w:rPr>
          <w:lang w:val="en-GB"/>
        </w:rPr>
        <w:t>,</w:t>
      </w:r>
      <w:r w:rsidRPr="00B459E7">
        <w:rPr>
          <w:lang w:val="en-GB"/>
        </w:rPr>
        <w:t xml:space="preserve"> highlighting the potential of this drug for treating </w:t>
      </w:r>
      <w:proofErr w:type="spellStart"/>
      <w:r w:rsidRPr="00B459E7">
        <w:rPr>
          <w:lang w:val="en-GB"/>
        </w:rPr>
        <w:t>Sandhoff</w:t>
      </w:r>
      <w:proofErr w:type="spellEnd"/>
      <w:r w:rsidRPr="00B459E7">
        <w:rPr>
          <w:lang w:val="en-GB"/>
        </w:rPr>
        <w:t xml:space="preserve"> disease and other lysosomal disorders.</w:t>
      </w:r>
    </w:p>
    <w:p w14:paraId="3E0FE772" w14:textId="3A84D674" w:rsidR="00FD51CE" w:rsidRPr="00B459E7" w:rsidRDefault="00FD51CE" w:rsidP="00FD51CE">
      <w:pPr>
        <w:pStyle w:val="MDPI64CoI"/>
        <w:rPr>
          <w:lang w:val="en-GB"/>
        </w:rPr>
      </w:pPr>
      <w:r w:rsidRPr="00F84F07">
        <w:rPr>
          <w:b/>
          <w:lang w:val="en-GB"/>
        </w:rPr>
        <w:t>Supplementary Materials:</w:t>
      </w:r>
      <w:r w:rsidRPr="00F84F07">
        <w:rPr>
          <w:lang w:val="en-GB"/>
        </w:rPr>
        <w:t xml:space="preserve"> The following</w:t>
      </w:r>
      <w:r w:rsidRPr="00B459E7">
        <w:rPr>
          <w:lang w:val="en-GB"/>
        </w:rPr>
        <w:t xml:space="preserve"> are available online at www.mdpi.com/xxx/s1, Figure S1: </w:t>
      </w:r>
      <w:r w:rsidRPr="00B459E7">
        <w:rPr>
          <w:szCs w:val="18"/>
          <w:lang w:val="en-GB"/>
        </w:rPr>
        <w:t xml:space="preserve">Total GSL levels </w:t>
      </w:r>
      <w:r w:rsidR="004B113F">
        <w:rPr>
          <w:szCs w:val="18"/>
          <w:lang w:val="en-GB"/>
        </w:rPr>
        <w:t xml:space="preserve">at </w:t>
      </w:r>
      <w:r w:rsidRPr="00B459E7">
        <w:rPr>
          <w:szCs w:val="18"/>
          <w:lang w:val="en-GB"/>
        </w:rPr>
        <w:t xml:space="preserve">12 weeks </w:t>
      </w:r>
      <w:r w:rsidR="004B113F">
        <w:rPr>
          <w:szCs w:val="18"/>
          <w:lang w:val="en-GB"/>
        </w:rPr>
        <w:t>in</w:t>
      </w:r>
      <w:r w:rsidRPr="00B459E7">
        <w:rPr>
          <w:szCs w:val="18"/>
          <w:lang w:val="en-GB"/>
        </w:rPr>
        <w:t xml:space="preserve"> </w:t>
      </w:r>
      <w:proofErr w:type="spellStart"/>
      <w:r w:rsidR="0009299B" w:rsidRPr="002D0D3D">
        <w:rPr>
          <w:i/>
          <w:color w:val="FF0000"/>
          <w:szCs w:val="18"/>
          <w:highlight w:val="yellow"/>
          <w:lang w:val="en-GB"/>
        </w:rPr>
        <w:t>Hexb</w:t>
      </w:r>
      <w:proofErr w:type="spellEnd"/>
      <w:r w:rsidR="0009299B" w:rsidRPr="002D0D3D">
        <w:rPr>
          <w:i/>
          <w:color w:val="FF0000"/>
          <w:szCs w:val="18"/>
          <w:highlight w:val="yellow"/>
          <w:vertAlign w:val="superscript"/>
          <w:lang w:val="en-GB"/>
        </w:rPr>
        <w:t>-/-</w:t>
      </w:r>
      <w:r w:rsidR="0009299B" w:rsidRPr="00B459E7">
        <w:rPr>
          <w:sz w:val="20"/>
          <w:lang w:val="en-GB"/>
        </w:rPr>
        <w:t xml:space="preserve"> </w:t>
      </w:r>
      <w:r w:rsidR="0090656C">
        <w:rPr>
          <w:szCs w:val="18"/>
          <w:lang w:val="en-GB"/>
        </w:rPr>
        <w:t>mice</w:t>
      </w:r>
      <w:r w:rsidRPr="00B459E7">
        <w:rPr>
          <w:szCs w:val="18"/>
          <w:lang w:val="en-GB"/>
        </w:rPr>
        <w:t xml:space="preserve"> with and without treatment</w:t>
      </w:r>
      <w:r w:rsidRPr="00B459E7">
        <w:rPr>
          <w:b/>
          <w:szCs w:val="18"/>
          <w:lang w:val="en-GB"/>
        </w:rPr>
        <w:t xml:space="preserve">. </w:t>
      </w:r>
      <w:r w:rsidRPr="00B459E7">
        <w:rPr>
          <w:szCs w:val="18"/>
          <w:lang w:val="en-GB"/>
        </w:rPr>
        <w:t>Wild</w:t>
      </w:r>
      <w:r w:rsidR="007F3EB0">
        <w:rPr>
          <w:szCs w:val="18"/>
          <w:lang w:val="en-GB"/>
        </w:rPr>
        <w:t>-</w:t>
      </w:r>
      <w:r w:rsidRPr="00B459E7">
        <w:rPr>
          <w:szCs w:val="18"/>
          <w:lang w:val="en-GB"/>
        </w:rPr>
        <w:t>type untreated (</w:t>
      </w:r>
      <w:proofErr w:type="spellStart"/>
      <w:r w:rsidRPr="00B459E7">
        <w:rPr>
          <w:i/>
          <w:szCs w:val="18"/>
          <w:lang w:val="en-GB"/>
        </w:rPr>
        <w:t>Hexb</w:t>
      </w:r>
      <w:proofErr w:type="spellEnd"/>
      <w:r w:rsidRPr="00B459E7">
        <w:rPr>
          <w:i/>
          <w:szCs w:val="18"/>
          <w:vertAlign w:val="superscript"/>
          <w:lang w:val="en-GB"/>
        </w:rPr>
        <w:t>+/+</w:t>
      </w:r>
      <w:r w:rsidRPr="00B459E7">
        <w:rPr>
          <w:szCs w:val="18"/>
          <w:lang w:val="en-GB"/>
        </w:rPr>
        <w:t>),</w:t>
      </w:r>
      <w:r w:rsidRPr="00B459E7">
        <w:rPr>
          <w:i/>
          <w:szCs w:val="18"/>
          <w:vertAlign w:val="superscript"/>
          <w:lang w:val="en-GB"/>
        </w:rPr>
        <w:t xml:space="preserve"> </w:t>
      </w:r>
      <w:proofErr w:type="spellStart"/>
      <w:r w:rsidRPr="00B459E7">
        <w:rPr>
          <w:szCs w:val="18"/>
          <w:lang w:val="en-GB"/>
        </w:rPr>
        <w:t>Sandhoff</w:t>
      </w:r>
      <w:proofErr w:type="spellEnd"/>
      <w:r w:rsidRPr="00B459E7">
        <w:rPr>
          <w:szCs w:val="18"/>
          <w:lang w:val="en-GB"/>
        </w:rPr>
        <w:t xml:space="preserve"> untreated (</w:t>
      </w:r>
      <w:proofErr w:type="spellStart"/>
      <w:r w:rsidRPr="00B459E7">
        <w:rPr>
          <w:i/>
          <w:szCs w:val="18"/>
          <w:lang w:val="en-GB"/>
        </w:rPr>
        <w:t>Hexb</w:t>
      </w:r>
      <w:proofErr w:type="spellEnd"/>
      <w:r w:rsidRPr="00B459E7">
        <w:rPr>
          <w:i/>
          <w:szCs w:val="18"/>
          <w:vertAlign w:val="superscript"/>
          <w:lang w:val="en-GB"/>
        </w:rPr>
        <w:t xml:space="preserve">-/- </w:t>
      </w:r>
      <w:r w:rsidRPr="00B459E7">
        <w:rPr>
          <w:szCs w:val="18"/>
          <w:lang w:val="en-GB"/>
        </w:rPr>
        <w:t>UT), ADLL treated (</w:t>
      </w:r>
      <w:proofErr w:type="spellStart"/>
      <w:r w:rsidRPr="00B459E7">
        <w:rPr>
          <w:i/>
          <w:szCs w:val="18"/>
          <w:lang w:val="en-GB"/>
        </w:rPr>
        <w:t>Hexb</w:t>
      </w:r>
      <w:proofErr w:type="spellEnd"/>
      <w:r w:rsidRPr="00B459E7">
        <w:rPr>
          <w:i/>
          <w:szCs w:val="18"/>
          <w:vertAlign w:val="superscript"/>
          <w:lang w:val="en-GB"/>
        </w:rPr>
        <w:t>-/-</w:t>
      </w:r>
      <w:r w:rsidRPr="00B459E7">
        <w:rPr>
          <w:szCs w:val="18"/>
          <w:lang w:val="en-GB"/>
        </w:rPr>
        <w:t xml:space="preserve">ADLL). </w:t>
      </w:r>
      <w:proofErr w:type="spellStart"/>
      <w:r w:rsidRPr="00B459E7">
        <w:rPr>
          <w:i/>
          <w:szCs w:val="18"/>
          <w:lang w:val="en-GB"/>
        </w:rPr>
        <w:t>Hexb</w:t>
      </w:r>
      <w:proofErr w:type="spellEnd"/>
      <w:r w:rsidRPr="00B459E7">
        <w:rPr>
          <w:i/>
          <w:szCs w:val="18"/>
          <w:vertAlign w:val="superscript"/>
          <w:lang w:val="en-GB"/>
        </w:rPr>
        <w:t>+/+</w:t>
      </w:r>
      <w:r w:rsidRPr="00B459E7">
        <w:rPr>
          <w:i/>
          <w:szCs w:val="18"/>
          <w:lang w:val="en-GB"/>
        </w:rPr>
        <w:t>(n</w:t>
      </w:r>
      <w:r w:rsidR="00937122" w:rsidRPr="00B459E7">
        <w:rPr>
          <w:i/>
          <w:szCs w:val="18"/>
          <w:lang w:val="en-GB"/>
        </w:rPr>
        <w:t xml:space="preserve"> </w:t>
      </w:r>
      <w:r w:rsidRPr="00B459E7">
        <w:rPr>
          <w:i/>
          <w:szCs w:val="18"/>
          <w:lang w:val="en-GB"/>
        </w:rPr>
        <w:t>=</w:t>
      </w:r>
      <w:r w:rsidR="00937122" w:rsidRPr="00B459E7">
        <w:rPr>
          <w:i/>
          <w:szCs w:val="18"/>
          <w:lang w:val="en-GB"/>
        </w:rPr>
        <w:t xml:space="preserve"> </w:t>
      </w:r>
      <w:r w:rsidRPr="00B459E7">
        <w:rPr>
          <w:szCs w:val="18"/>
          <w:lang w:val="en-GB"/>
        </w:rPr>
        <w:t>2</w:t>
      </w:r>
      <w:r w:rsidRPr="00B459E7">
        <w:rPr>
          <w:i/>
          <w:szCs w:val="18"/>
          <w:lang w:val="en-GB"/>
        </w:rPr>
        <w:t>)</w:t>
      </w:r>
      <w:r w:rsidRPr="00B459E7">
        <w:rPr>
          <w:szCs w:val="18"/>
          <w:lang w:val="en-GB"/>
        </w:rPr>
        <w:t xml:space="preserve">, </w:t>
      </w:r>
      <w:r w:rsidR="0067587F">
        <w:rPr>
          <w:szCs w:val="18"/>
          <w:lang w:val="en-GB"/>
        </w:rPr>
        <w:t>five</w:t>
      </w:r>
      <w:r w:rsidR="0067587F" w:rsidRPr="00B459E7">
        <w:rPr>
          <w:szCs w:val="18"/>
          <w:lang w:val="en-GB"/>
        </w:rPr>
        <w:t xml:space="preserve"> </w:t>
      </w:r>
      <w:r w:rsidRPr="00B459E7">
        <w:rPr>
          <w:szCs w:val="18"/>
          <w:lang w:val="en-GB"/>
        </w:rPr>
        <w:t xml:space="preserve">animals for </w:t>
      </w:r>
      <w:proofErr w:type="spellStart"/>
      <w:r w:rsidRPr="00B459E7">
        <w:rPr>
          <w:i/>
          <w:szCs w:val="18"/>
          <w:lang w:val="en-GB"/>
        </w:rPr>
        <w:t>Hexb</w:t>
      </w:r>
      <w:proofErr w:type="spellEnd"/>
      <w:r w:rsidRPr="00B459E7">
        <w:rPr>
          <w:i/>
          <w:szCs w:val="18"/>
          <w:vertAlign w:val="superscript"/>
          <w:lang w:val="en-GB"/>
        </w:rPr>
        <w:t xml:space="preserve">-/- </w:t>
      </w:r>
      <w:r w:rsidRPr="00B459E7">
        <w:rPr>
          <w:szCs w:val="18"/>
          <w:lang w:val="en-GB"/>
        </w:rPr>
        <w:t xml:space="preserve">UT and </w:t>
      </w:r>
      <w:proofErr w:type="spellStart"/>
      <w:r w:rsidRPr="00B459E7">
        <w:rPr>
          <w:i/>
          <w:szCs w:val="18"/>
          <w:lang w:val="en-GB"/>
        </w:rPr>
        <w:t>Hexb</w:t>
      </w:r>
      <w:proofErr w:type="spellEnd"/>
      <w:r w:rsidRPr="00B459E7">
        <w:rPr>
          <w:i/>
          <w:szCs w:val="18"/>
          <w:vertAlign w:val="superscript"/>
          <w:lang w:val="en-GB"/>
        </w:rPr>
        <w:t>-/-</w:t>
      </w:r>
      <w:r w:rsidRPr="00B459E7">
        <w:rPr>
          <w:szCs w:val="18"/>
          <w:lang w:val="en-GB"/>
        </w:rPr>
        <w:t xml:space="preserve">ADLL, </w:t>
      </w:r>
      <w:r w:rsidR="00434304" w:rsidRPr="00B459E7">
        <w:rPr>
          <w:lang w:val="en-GB"/>
        </w:rPr>
        <w:t xml:space="preserve">mean </w:t>
      </w:r>
      <w:r w:rsidRPr="00B459E7">
        <w:rPr>
          <w:szCs w:val="18"/>
          <w:lang w:val="en-GB"/>
        </w:rPr>
        <w:t>± SD (</w:t>
      </w:r>
      <w:r w:rsidR="00333B3C">
        <w:rPr>
          <w:szCs w:val="18"/>
          <w:lang w:val="en-GB"/>
        </w:rPr>
        <w:t>two-way</w:t>
      </w:r>
      <w:r w:rsidRPr="00B459E7">
        <w:rPr>
          <w:szCs w:val="18"/>
          <w:lang w:val="en-GB"/>
        </w:rPr>
        <w:t xml:space="preserve"> ANOVA).</w:t>
      </w:r>
    </w:p>
    <w:p w14:paraId="048AF548" w14:textId="555C4456" w:rsidR="00FD51CE" w:rsidRPr="00B459E7" w:rsidRDefault="00FD51CE" w:rsidP="00FD51CE">
      <w:pPr>
        <w:pStyle w:val="MDPI62Acknowledgments"/>
        <w:rPr>
          <w:lang w:val="en-GB"/>
        </w:rPr>
      </w:pPr>
      <w:r w:rsidRPr="00B459E7">
        <w:rPr>
          <w:b/>
          <w:lang w:val="en-GB"/>
        </w:rPr>
        <w:t xml:space="preserve">Author Contributions: </w:t>
      </w:r>
      <w:r w:rsidRPr="00B459E7">
        <w:rPr>
          <w:lang w:val="en-GB"/>
        </w:rPr>
        <w:t>E</w:t>
      </w:r>
      <w:r w:rsidR="00EF5A30" w:rsidRPr="00B459E7">
        <w:rPr>
          <w:lang w:val="en-GB"/>
        </w:rPr>
        <w:t>.</w:t>
      </w:r>
      <w:r w:rsidRPr="00B459E7">
        <w:rPr>
          <w:lang w:val="en-GB"/>
        </w:rPr>
        <w:t>K</w:t>
      </w:r>
      <w:r w:rsidR="00EF5A30" w:rsidRPr="00B459E7">
        <w:rPr>
          <w:lang w:val="en-GB"/>
        </w:rPr>
        <w:t>.</w:t>
      </w:r>
      <w:r w:rsidRPr="00B459E7">
        <w:rPr>
          <w:lang w:val="en-GB"/>
        </w:rPr>
        <w:t xml:space="preserve"> and F</w:t>
      </w:r>
      <w:r w:rsidR="00EF5A30" w:rsidRPr="00B459E7">
        <w:rPr>
          <w:lang w:val="en-GB"/>
        </w:rPr>
        <w:t>.M.</w:t>
      </w:r>
      <w:r w:rsidRPr="00B459E7">
        <w:rPr>
          <w:lang w:val="en-GB"/>
        </w:rPr>
        <w:t>P</w:t>
      </w:r>
      <w:r w:rsidR="00EF5A30" w:rsidRPr="00B459E7">
        <w:rPr>
          <w:lang w:val="en-GB"/>
        </w:rPr>
        <w:t>.</w:t>
      </w:r>
      <w:r w:rsidRPr="00B459E7">
        <w:rPr>
          <w:lang w:val="en-GB"/>
        </w:rPr>
        <w:t xml:space="preserve"> planned the studies</w:t>
      </w:r>
      <w:r w:rsidR="009A679E">
        <w:rPr>
          <w:lang w:val="en-GB"/>
        </w:rPr>
        <w:t>;</w:t>
      </w:r>
      <w:r w:rsidRPr="00B459E7">
        <w:rPr>
          <w:lang w:val="en-GB"/>
        </w:rPr>
        <w:t xml:space="preserve"> E.K. performed all the studies</w:t>
      </w:r>
      <w:r w:rsidR="009A679E">
        <w:rPr>
          <w:lang w:val="en-GB"/>
        </w:rPr>
        <w:t>;</w:t>
      </w:r>
      <w:r w:rsidRPr="00B459E7">
        <w:rPr>
          <w:lang w:val="en-GB"/>
        </w:rPr>
        <w:t xml:space="preserve"> D</w:t>
      </w:r>
      <w:r w:rsidR="00F912C3" w:rsidRPr="00B459E7">
        <w:rPr>
          <w:lang w:val="en-GB"/>
        </w:rPr>
        <w:t>.</w:t>
      </w:r>
      <w:r w:rsidRPr="00B459E7">
        <w:rPr>
          <w:lang w:val="en-GB"/>
        </w:rPr>
        <w:t>S</w:t>
      </w:r>
      <w:r w:rsidR="00F912C3" w:rsidRPr="00B459E7">
        <w:rPr>
          <w:lang w:val="en-GB"/>
        </w:rPr>
        <w:t>.</w:t>
      </w:r>
      <w:r w:rsidRPr="00B459E7">
        <w:rPr>
          <w:lang w:val="en-GB"/>
        </w:rPr>
        <w:t xml:space="preserve"> and C</w:t>
      </w:r>
      <w:r w:rsidR="00F912C3" w:rsidRPr="00B459E7">
        <w:rPr>
          <w:lang w:val="en-GB"/>
        </w:rPr>
        <w:t>.</w:t>
      </w:r>
      <w:r w:rsidRPr="00B459E7">
        <w:rPr>
          <w:lang w:val="en-GB"/>
        </w:rPr>
        <w:t>S</w:t>
      </w:r>
      <w:r w:rsidR="00F912C3" w:rsidRPr="00B459E7">
        <w:rPr>
          <w:lang w:val="en-GB"/>
        </w:rPr>
        <w:t>.</w:t>
      </w:r>
      <w:r w:rsidRPr="00B459E7">
        <w:rPr>
          <w:lang w:val="en-GB"/>
        </w:rPr>
        <w:t xml:space="preserve"> performed the animal genotyping and </w:t>
      </w:r>
      <w:r w:rsidR="005A33FB">
        <w:rPr>
          <w:lang w:val="en-GB"/>
        </w:rPr>
        <w:t>behaviour</w:t>
      </w:r>
      <w:r w:rsidRPr="00B459E7">
        <w:rPr>
          <w:lang w:val="en-GB"/>
        </w:rPr>
        <w:t>al analysis. E.K., B.B., M.S. and F.</w:t>
      </w:r>
      <w:r w:rsidR="00F912C3" w:rsidRPr="00B459E7">
        <w:rPr>
          <w:lang w:val="en-GB"/>
        </w:rPr>
        <w:t>M.</w:t>
      </w:r>
      <w:r w:rsidRPr="00B459E7">
        <w:rPr>
          <w:lang w:val="en-GB"/>
        </w:rPr>
        <w:t>P. wrote the manuscript.</w:t>
      </w:r>
    </w:p>
    <w:p w14:paraId="61F085E6" w14:textId="1076F0B2" w:rsidR="00FD51CE" w:rsidRPr="000E5FC9" w:rsidRDefault="00FD51CE" w:rsidP="000E5FC9">
      <w:pPr>
        <w:spacing w:line="240" w:lineRule="auto"/>
        <w:jc w:val="left"/>
        <w:rPr>
          <w:rFonts w:asciiTheme="minorHAnsi" w:hAnsiTheme="minorHAnsi" w:cstheme="minorHAnsi"/>
          <w:color w:val="000000" w:themeColor="text1"/>
          <w:sz w:val="18"/>
          <w:szCs w:val="18"/>
          <w:lang w:val="en-GB" w:eastAsia="en-US"/>
        </w:rPr>
      </w:pPr>
      <w:r w:rsidRPr="00B459E7">
        <w:rPr>
          <w:b/>
          <w:lang w:val="en-GB"/>
        </w:rPr>
        <w:t xml:space="preserve">Funding: </w:t>
      </w:r>
      <w:r w:rsidR="00536C44" w:rsidRPr="00536C44">
        <w:rPr>
          <w:highlight w:val="yellow"/>
          <w:lang w:val="en-GB"/>
        </w:rPr>
        <w:t>EK was supported by</w:t>
      </w:r>
      <w:r w:rsidR="007A1E25">
        <w:rPr>
          <w:highlight w:val="yellow"/>
          <w:lang w:val="en-GB"/>
        </w:rPr>
        <w:t xml:space="preserve"> NPUK, </w:t>
      </w:r>
      <w:proofErr w:type="spellStart"/>
      <w:r w:rsidR="00536C44" w:rsidRPr="00536C44">
        <w:rPr>
          <w:highlight w:val="yellow"/>
          <w:lang w:val="en-GB"/>
        </w:rPr>
        <w:t>NPSuisse</w:t>
      </w:r>
      <w:proofErr w:type="spellEnd"/>
      <w:r w:rsidR="00536C44" w:rsidRPr="00536C44">
        <w:rPr>
          <w:highlight w:val="yellow"/>
          <w:lang w:val="en-GB"/>
        </w:rPr>
        <w:t xml:space="preserve"> and</w:t>
      </w:r>
      <w:r w:rsidR="000E5FC9">
        <w:rPr>
          <w:highlight w:val="yellow"/>
          <w:lang w:val="en-GB"/>
        </w:rPr>
        <w:t xml:space="preserve"> </w:t>
      </w:r>
      <w:bookmarkStart w:id="17" w:name="_GoBack"/>
      <w:bookmarkEnd w:id="17"/>
      <w:r w:rsidR="000E5FC9" w:rsidRPr="000E5FC9">
        <w:rPr>
          <w:rFonts w:asciiTheme="minorHAnsi" w:hAnsiTheme="minorHAnsi" w:cstheme="minorHAnsi"/>
          <w:color w:val="000000" w:themeColor="text1"/>
          <w:spacing w:val="30"/>
          <w:sz w:val="18"/>
          <w:szCs w:val="18"/>
          <w:lang w:val="en-GB" w:eastAsia="en-US"/>
        </w:rPr>
        <w:t xml:space="preserve">Horizon 2020 - Marie </w:t>
      </w:r>
      <w:proofErr w:type="spellStart"/>
      <w:r w:rsidR="000E5FC9" w:rsidRPr="000E5FC9">
        <w:rPr>
          <w:rFonts w:asciiTheme="minorHAnsi" w:hAnsiTheme="minorHAnsi" w:cstheme="minorHAnsi"/>
          <w:color w:val="000000" w:themeColor="text1"/>
          <w:spacing w:val="30"/>
          <w:sz w:val="18"/>
          <w:szCs w:val="18"/>
          <w:lang w:val="en-GB" w:eastAsia="en-US"/>
        </w:rPr>
        <w:t>Skłodowska</w:t>
      </w:r>
      <w:proofErr w:type="spellEnd"/>
      <w:r w:rsidR="000E5FC9" w:rsidRPr="000E5FC9">
        <w:rPr>
          <w:rFonts w:asciiTheme="minorHAnsi" w:hAnsiTheme="minorHAnsi" w:cstheme="minorHAnsi"/>
          <w:color w:val="000000" w:themeColor="text1"/>
          <w:spacing w:val="30"/>
          <w:sz w:val="18"/>
          <w:szCs w:val="18"/>
          <w:lang w:val="en-GB" w:eastAsia="en-US"/>
        </w:rPr>
        <w:t>-Curie Research and Innovation Staff Exchange (RISE) program</w:t>
      </w:r>
      <w:r w:rsidR="000E5FC9">
        <w:rPr>
          <w:rFonts w:asciiTheme="minorHAnsi" w:hAnsiTheme="minorHAnsi" w:cstheme="minorHAnsi"/>
          <w:color w:val="000000" w:themeColor="text1"/>
          <w:spacing w:val="30"/>
          <w:sz w:val="18"/>
          <w:szCs w:val="18"/>
          <w:lang w:val="en-GB" w:eastAsia="en-US"/>
        </w:rPr>
        <w:t xml:space="preserve">. </w:t>
      </w:r>
      <w:commentRangeStart w:id="18"/>
      <w:r w:rsidRPr="00B459E7">
        <w:rPr>
          <w:lang w:val="en-GB"/>
        </w:rPr>
        <w:t>F</w:t>
      </w:r>
      <w:commentRangeEnd w:id="18"/>
      <w:r w:rsidR="00536C44">
        <w:rPr>
          <w:rStyle w:val="CommentReference"/>
        </w:rPr>
        <w:commentReference w:id="18"/>
      </w:r>
      <w:r w:rsidRPr="00B459E7">
        <w:rPr>
          <w:lang w:val="en-GB"/>
        </w:rPr>
        <w:t xml:space="preserve">.M.P. is a Royal Society Wolfson Research Merit Award holder and a </w:t>
      </w:r>
      <w:proofErr w:type="spellStart"/>
      <w:r w:rsidRPr="00B459E7">
        <w:rPr>
          <w:lang w:val="en-GB"/>
        </w:rPr>
        <w:t>Wellcome</w:t>
      </w:r>
      <w:proofErr w:type="spellEnd"/>
      <w:r w:rsidRPr="00B459E7">
        <w:rPr>
          <w:lang w:val="en-GB"/>
        </w:rPr>
        <w:t xml:space="preserve"> Trust Investigator in Science.</w:t>
      </w:r>
      <w:r w:rsidR="00536C44">
        <w:rPr>
          <w:lang w:val="en-GB"/>
        </w:rPr>
        <w:t xml:space="preserve"> </w:t>
      </w:r>
    </w:p>
    <w:p w14:paraId="634DB1FA" w14:textId="7448690E" w:rsidR="00FD51CE" w:rsidRPr="00B459E7" w:rsidRDefault="00FD51CE" w:rsidP="00FD51CE">
      <w:pPr>
        <w:pStyle w:val="MDPI64CoI"/>
        <w:rPr>
          <w:lang w:val="en-GB"/>
        </w:rPr>
      </w:pPr>
      <w:r w:rsidRPr="00B459E7">
        <w:rPr>
          <w:b/>
          <w:lang w:val="en-GB"/>
        </w:rPr>
        <w:t>Conflicts of Interest:</w:t>
      </w:r>
      <w:r w:rsidRPr="00B459E7">
        <w:rPr>
          <w:lang w:val="en-GB"/>
        </w:rPr>
        <w:t xml:space="preserve"> F</w:t>
      </w:r>
      <w:r w:rsidR="000D4D04">
        <w:rPr>
          <w:lang w:val="en-GB"/>
        </w:rPr>
        <w:t>.</w:t>
      </w:r>
      <w:r w:rsidRPr="00B459E7">
        <w:rPr>
          <w:lang w:val="en-GB"/>
        </w:rPr>
        <w:t>P</w:t>
      </w:r>
      <w:r w:rsidR="000D4D04">
        <w:rPr>
          <w:lang w:val="en-GB"/>
        </w:rPr>
        <w:t>.</w:t>
      </w:r>
      <w:r w:rsidRPr="00B459E7">
        <w:rPr>
          <w:lang w:val="en-GB"/>
        </w:rPr>
        <w:t xml:space="preserve"> is a co-founder and consultant to </w:t>
      </w:r>
      <w:proofErr w:type="spellStart"/>
      <w:r w:rsidRPr="00B459E7">
        <w:rPr>
          <w:lang w:val="en-GB"/>
        </w:rPr>
        <w:t>IntraBio</w:t>
      </w:r>
      <w:proofErr w:type="spellEnd"/>
      <w:r w:rsidRPr="00B459E7">
        <w:rPr>
          <w:lang w:val="en-GB"/>
        </w:rPr>
        <w:t xml:space="preserve"> and has consulted for Actelion. M. </w:t>
      </w:r>
      <w:proofErr w:type="spellStart"/>
      <w:r w:rsidRPr="00B459E7">
        <w:rPr>
          <w:lang w:val="en-GB"/>
        </w:rPr>
        <w:t>Strupp</w:t>
      </w:r>
      <w:proofErr w:type="spellEnd"/>
      <w:r w:rsidRPr="00B459E7">
        <w:rPr>
          <w:lang w:val="en-GB"/>
        </w:rPr>
        <w:t xml:space="preserve"> is Joint Chief Editor of the Journal of Neurology, Editor in Chief of Frontiers of Neuro-otology and Section Editor of F1000. He has received speaker’s honoraria from Abbott, Actelion, Auris Medical, Biogen, Eisai, </w:t>
      </w:r>
      <w:proofErr w:type="spellStart"/>
      <w:r w:rsidRPr="00B459E7">
        <w:rPr>
          <w:lang w:val="en-GB"/>
        </w:rPr>
        <w:t>Grünenthal</w:t>
      </w:r>
      <w:proofErr w:type="spellEnd"/>
      <w:r w:rsidRPr="00B459E7">
        <w:rPr>
          <w:lang w:val="en-GB"/>
        </w:rPr>
        <w:t xml:space="preserve">, GSK, Henning Pharma, </w:t>
      </w:r>
      <w:proofErr w:type="spellStart"/>
      <w:r w:rsidRPr="00B459E7">
        <w:rPr>
          <w:lang w:val="en-GB"/>
        </w:rPr>
        <w:t>Interacoustics</w:t>
      </w:r>
      <w:proofErr w:type="spellEnd"/>
      <w:r w:rsidRPr="00B459E7">
        <w:rPr>
          <w:lang w:val="en-GB"/>
        </w:rPr>
        <w:t xml:space="preserve">, MSD, </w:t>
      </w:r>
      <w:proofErr w:type="spellStart"/>
      <w:r w:rsidRPr="00B459E7">
        <w:rPr>
          <w:lang w:val="en-GB"/>
        </w:rPr>
        <w:t>Otometrics</w:t>
      </w:r>
      <w:proofErr w:type="spellEnd"/>
      <w:r w:rsidRPr="00B459E7">
        <w:rPr>
          <w:lang w:val="en-GB"/>
        </w:rPr>
        <w:t xml:space="preserve">, Pierre-Fabre, TEVA, </w:t>
      </w:r>
      <w:r w:rsidR="00497460">
        <w:rPr>
          <w:lang w:val="en-GB"/>
        </w:rPr>
        <w:t xml:space="preserve">and </w:t>
      </w:r>
      <w:r w:rsidRPr="00B459E7">
        <w:rPr>
          <w:lang w:val="en-GB"/>
        </w:rPr>
        <w:t xml:space="preserve">UCB. He is a shareholder of </w:t>
      </w:r>
      <w:proofErr w:type="spellStart"/>
      <w:r w:rsidRPr="00B459E7">
        <w:rPr>
          <w:lang w:val="en-GB"/>
        </w:rPr>
        <w:t>IntraBio</w:t>
      </w:r>
      <w:proofErr w:type="spellEnd"/>
      <w:r w:rsidRPr="00B459E7">
        <w:rPr>
          <w:lang w:val="en-GB"/>
        </w:rPr>
        <w:t xml:space="preserve">. He acts as a consultant for Abbott, Actelion, </w:t>
      </w:r>
      <w:proofErr w:type="spellStart"/>
      <w:r w:rsidRPr="00B459E7">
        <w:rPr>
          <w:lang w:val="en-GB"/>
        </w:rPr>
        <w:t>AurisMedical</w:t>
      </w:r>
      <w:proofErr w:type="spellEnd"/>
      <w:r w:rsidRPr="00B459E7">
        <w:rPr>
          <w:lang w:val="en-GB"/>
        </w:rPr>
        <w:t xml:space="preserve">, Heel, </w:t>
      </w:r>
      <w:proofErr w:type="spellStart"/>
      <w:r w:rsidRPr="00B459E7">
        <w:rPr>
          <w:lang w:val="en-GB"/>
        </w:rPr>
        <w:t>IntraBio</w:t>
      </w:r>
      <w:proofErr w:type="spellEnd"/>
      <w:r w:rsidRPr="00B459E7">
        <w:rPr>
          <w:lang w:val="en-GB"/>
        </w:rPr>
        <w:t xml:space="preserve"> and </w:t>
      </w:r>
      <w:proofErr w:type="spellStart"/>
      <w:r w:rsidRPr="00B459E7">
        <w:rPr>
          <w:lang w:val="en-GB"/>
        </w:rPr>
        <w:t>Sensorion</w:t>
      </w:r>
      <w:proofErr w:type="spellEnd"/>
      <w:r w:rsidRPr="00B459E7">
        <w:rPr>
          <w:lang w:val="en-GB"/>
        </w:rPr>
        <w:t>.</w:t>
      </w:r>
    </w:p>
    <w:p w14:paraId="50BBCB13" w14:textId="77777777" w:rsidR="00C06B82" w:rsidRPr="00C06B82" w:rsidRDefault="00C06B82" w:rsidP="00C06B82">
      <w:pPr>
        <w:adjustRightInd w:val="0"/>
        <w:snapToGrid w:val="0"/>
        <w:spacing w:before="240" w:after="120" w:line="240" w:lineRule="auto"/>
        <w:jc w:val="left"/>
        <w:outlineLvl w:val="0"/>
        <w:rPr>
          <w:rFonts w:ascii="Palatino Linotype" w:hAnsi="Palatino Linotype"/>
          <w:b/>
          <w:snapToGrid w:val="0"/>
          <w:sz w:val="20"/>
          <w:szCs w:val="22"/>
          <w:lang w:bidi="en-US"/>
        </w:rPr>
      </w:pPr>
      <w:r w:rsidRPr="00F84F07">
        <w:rPr>
          <w:rFonts w:ascii="Palatino Linotype" w:hAnsi="Palatino Linotype"/>
          <w:b/>
          <w:snapToGrid w:val="0"/>
          <w:sz w:val="20"/>
          <w:szCs w:val="22"/>
          <w:lang w:bidi="en-US"/>
        </w:rPr>
        <w:t>References</w:t>
      </w:r>
    </w:p>
    <w:p w14:paraId="7274291D" w14:textId="16FF26DF"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 </w:t>
      </w:r>
      <w:r w:rsidRPr="00E26C61">
        <w:rPr>
          <w:rFonts w:ascii="Palatino Linotype" w:hAnsi="Palatino Linotype"/>
          <w:noProof/>
          <w:sz w:val="18"/>
          <w:szCs w:val="24"/>
        </w:rPr>
        <w:tab/>
        <w:t xml:space="preserve">Platt, F.M.; Boland, B.; van der Spoel, A.C. The cell biology of disease: lysosomal storage disorders: the cellular impact of lysosomal dysfunction. </w:t>
      </w:r>
      <w:r w:rsidRPr="00E26C61">
        <w:rPr>
          <w:rFonts w:ascii="Palatino Linotype" w:hAnsi="Palatino Linotype"/>
          <w:i/>
          <w:iCs/>
          <w:noProof/>
          <w:sz w:val="18"/>
          <w:szCs w:val="24"/>
        </w:rPr>
        <w:t>J. Cell Biol.</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2012</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199</w:t>
      </w:r>
      <w:r w:rsidRPr="00E26C61">
        <w:rPr>
          <w:rFonts w:ascii="Palatino Linotype" w:hAnsi="Palatino Linotype"/>
          <w:noProof/>
          <w:sz w:val="18"/>
          <w:szCs w:val="24"/>
        </w:rPr>
        <w:t>, 723–34.</w:t>
      </w:r>
    </w:p>
    <w:p w14:paraId="6D5A3DE3"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2. </w:t>
      </w:r>
      <w:r w:rsidRPr="00E26C61">
        <w:rPr>
          <w:rFonts w:ascii="Palatino Linotype" w:hAnsi="Palatino Linotype"/>
          <w:noProof/>
          <w:sz w:val="18"/>
          <w:szCs w:val="24"/>
        </w:rPr>
        <w:tab/>
        <w:t xml:space="preserve">Wiederschain, G.Y. The metabolic and molecular bases of inherited disease. </w:t>
      </w:r>
      <w:r w:rsidRPr="00E26C61">
        <w:rPr>
          <w:rFonts w:ascii="Palatino Linotype" w:hAnsi="Palatino Linotype"/>
          <w:i/>
          <w:iCs/>
          <w:noProof/>
          <w:sz w:val="18"/>
          <w:szCs w:val="24"/>
        </w:rPr>
        <w:t>Biochem.</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2002</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67</w:t>
      </w:r>
      <w:r w:rsidRPr="00E26C61">
        <w:rPr>
          <w:rFonts w:ascii="Palatino Linotype" w:hAnsi="Palatino Linotype"/>
          <w:noProof/>
          <w:sz w:val="18"/>
          <w:szCs w:val="24"/>
        </w:rPr>
        <w:t>, 611.</w:t>
      </w:r>
    </w:p>
    <w:p w14:paraId="3A050D26"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 </w:t>
      </w:r>
      <w:r w:rsidRPr="00E26C61">
        <w:rPr>
          <w:rFonts w:ascii="Palatino Linotype" w:hAnsi="Palatino Linotype"/>
          <w:noProof/>
          <w:sz w:val="18"/>
          <w:szCs w:val="24"/>
        </w:rPr>
        <w:tab/>
        <w:t xml:space="preserve">Maegawa, G.H.B.; Stockley, T.; Tropak, M.; Banwell, B.; Blaser, S.; Kok, F.; Giugliani, R.; Mahuran, D.; Clarke, J.T.R. The Natural History of Juvenile or Subacute GM2 Gangliosidosis: 21 New Cases and Literature Review of 134 Previously Reported. </w:t>
      </w:r>
      <w:r w:rsidRPr="00E26C61">
        <w:rPr>
          <w:rFonts w:ascii="Palatino Linotype" w:hAnsi="Palatino Linotype"/>
          <w:i/>
          <w:iCs/>
          <w:noProof/>
          <w:sz w:val="18"/>
          <w:szCs w:val="24"/>
        </w:rPr>
        <w:t>Pediatrics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2006</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5</w:t>
      </w:r>
      <w:r w:rsidRPr="00E26C61">
        <w:rPr>
          <w:rFonts w:ascii="Palatino Linotype" w:hAnsi="Palatino Linotype"/>
          <w:noProof/>
          <w:sz w:val="18"/>
          <w:szCs w:val="24"/>
        </w:rPr>
        <w:t>, e1550-62.</w:t>
      </w:r>
    </w:p>
    <w:p w14:paraId="6ED642FE"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4. </w:t>
      </w:r>
      <w:r w:rsidRPr="00E26C61">
        <w:rPr>
          <w:rFonts w:ascii="Palatino Linotype" w:hAnsi="Palatino Linotype"/>
          <w:noProof/>
          <w:sz w:val="18"/>
          <w:szCs w:val="24"/>
        </w:rPr>
        <w:tab/>
        <w:t xml:space="preserve">Butters, T.D.; Dwek, R.A.; Platt, F.M. Imino sugar inhibitors for treating the lysosomal glycosphingolipidoses. </w:t>
      </w:r>
      <w:r w:rsidRPr="00E26C61">
        <w:rPr>
          <w:rFonts w:ascii="Palatino Linotype" w:hAnsi="Palatino Linotype"/>
          <w:i/>
          <w:iCs/>
          <w:noProof/>
          <w:sz w:val="18"/>
          <w:szCs w:val="24"/>
        </w:rPr>
        <w:t>Glycobiology</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2005</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10</w:t>
      </w:r>
      <w:r w:rsidRPr="00E26C61">
        <w:rPr>
          <w:rFonts w:ascii="Palatino Linotype" w:hAnsi="Palatino Linotype"/>
          <w:noProof/>
          <w:sz w:val="18"/>
          <w:szCs w:val="24"/>
        </w:rPr>
        <w:t>, 43R-52R.</w:t>
      </w:r>
    </w:p>
    <w:p w14:paraId="2CD50276"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5. </w:t>
      </w:r>
      <w:r w:rsidRPr="00E26C61">
        <w:rPr>
          <w:rFonts w:ascii="Palatino Linotype" w:hAnsi="Palatino Linotype"/>
          <w:noProof/>
          <w:sz w:val="18"/>
          <w:szCs w:val="24"/>
        </w:rPr>
        <w:tab/>
        <w:t xml:space="preserve">Wada, R.; Tifft, C.J.; Proia, R.L. Microglial activation precedes acute neurodegeneration in Sandhoff disease and is suppressed by bone marrow transplantation. </w:t>
      </w:r>
      <w:r w:rsidRPr="00E26C61">
        <w:rPr>
          <w:rFonts w:ascii="Palatino Linotype" w:hAnsi="Palatino Linotype"/>
          <w:i/>
          <w:iCs/>
          <w:noProof/>
          <w:sz w:val="18"/>
          <w:szCs w:val="24"/>
        </w:rPr>
        <w:t>Proc. Natl. Acad. Sci. U. S. A.</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2000</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97</w:t>
      </w:r>
      <w:r w:rsidRPr="00E26C61">
        <w:rPr>
          <w:rFonts w:ascii="Palatino Linotype" w:hAnsi="Palatino Linotype"/>
          <w:noProof/>
          <w:sz w:val="18"/>
          <w:szCs w:val="24"/>
        </w:rPr>
        <w:t>, 10954–10959.</w:t>
      </w:r>
    </w:p>
    <w:p w14:paraId="02CC29D6"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6. </w:t>
      </w:r>
      <w:r w:rsidRPr="00E26C61">
        <w:rPr>
          <w:rFonts w:ascii="Palatino Linotype" w:hAnsi="Palatino Linotype"/>
          <w:noProof/>
          <w:sz w:val="18"/>
          <w:szCs w:val="24"/>
        </w:rPr>
        <w:tab/>
        <w:t xml:space="preserve">Jeyakumar, M.; Norflus, F.; Tiff, C.J.; Cortina-Borja, M.; Butters, T.D.; Proia, R.L.; Perry, V.H.; Dwek, R.A.; Platt, F.M. Enhanced survival in Sandhoff disease mice receiving a combination of substrate deprivation therapy and bone marrow transplantation. </w:t>
      </w:r>
      <w:r w:rsidRPr="00E26C61">
        <w:rPr>
          <w:rFonts w:ascii="Palatino Linotype" w:hAnsi="Palatino Linotype"/>
          <w:i/>
          <w:iCs/>
          <w:noProof/>
          <w:sz w:val="18"/>
          <w:szCs w:val="24"/>
        </w:rPr>
        <w:t>Blood</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2001</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97</w:t>
      </w:r>
      <w:r w:rsidRPr="00E26C61">
        <w:rPr>
          <w:rFonts w:ascii="Palatino Linotype" w:hAnsi="Palatino Linotype"/>
          <w:noProof/>
          <w:sz w:val="18"/>
          <w:szCs w:val="24"/>
        </w:rPr>
        <w:t>, 327–329.</w:t>
      </w:r>
    </w:p>
    <w:p w14:paraId="6D6D965C"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7. </w:t>
      </w:r>
      <w:r w:rsidRPr="00E26C61">
        <w:rPr>
          <w:rFonts w:ascii="Palatino Linotype" w:hAnsi="Palatino Linotype"/>
          <w:noProof/>
          <w:sz w:val="18"/>
          <w:szCs w:val="24"/>
        </w:rPr>
        <w:tab/>
        <w:t xml:space="preserve">Begoacachon-González, M.; Wang, S.Z.; McNair, R.; Bradley, J.; Lunn, D.; Ziegler, R.; Cheng, S.H.; Cox, T.M. Gene transfer corrects acute GM2 gangliosidosispotential therapeutic contribution of perivascular enzyme flow. </w:t>
      </w:r>
      <w:r w:rsidRPr="00E26C61">
        <w:rPr>
          <w:rFonts w:ascii="Palatino Linotype" w:hAnsi="Palatino Linotype"/>
          <w:i/>
          <w:iCs/>
          <w:noProof/>
          <w:sz w:val="18"/>
          <w:szCs w:val="24"/>
        </w:rPr>
        <w:t>Mol. Ther.</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2012</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8</w:t>
      </w:r>
      <w:r w:rsidRPr="00E26C61">
        <w:rPr>
          <w:rFonts w:ascii="Palatino Linotype" w:hAnsi="Palatino Linotype"/>
          <w:noProof/>
          <w:sz w:val="18"/>
          <w:szCs w:val="24"/>
        </w:rPr>
        <w:t>, 1489–500.</w:t>
      </w:r>
    </w:p>
    <w:p w14:paraId="202E3A4B" w14:textId="1D31DDC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8. </w:t>
      </w:r>
      <w:r w:rsidRPr="00E26C61">
        <w:rPr>
          <w:rFonts w:ascii="Palatino Linotype" w:hAnsi="Palatino Linotype"/>
          <w:noProof/>
          <w:sz w:val="18"/>
          <w:szCs w:val="24"/>
        </w:rPr>
        <w:tab/>
        <w:t>Jeyakumar, M.; Butters, T.D.; Cortina-Borja, M.; Hunnam, V.; Proia, R.L.; Perry, V.H.; Dwek, R.</w:t>
      </w:r>
      <w:r w:rsidR="00503E87">
        <w:rPr>
          <w:rFonts w:ascii="Palatino Linotype" w:hAnsi="Palatino Linotype"/>
          <w:noProof/>
          <w:sz w:val="18"/>
          <w:szCs w:val="24"/>
        </w:rPr>
        <w:t>A</w:t>
      </w:r>
      <w:r w:rsidR="00F84F07">
        <w:rPr>
          <w:rFonts w:ascii="Palatino Linotype" w:hAnsi="Palatino Linotype"/>
          <w:noProof/>
          <w:sz w:val="18"/>
          <w:szCs w:val="24"/>
        </w:rPr>
        <w:t>.</w:t>
      </w:r>
      <w:r w:rsidRPr="00E26C61">
        <w:rPr>
          <w:rFonts w:ascii="Palatino Linotype" w:hAnsi="Palatino Linotype"/>
          <w:noProof/>
          <w:sz w:val="18"/>
          <w:szCs w:val="24"/>
        </w:rPr>
        <w:t xml:space="preserve">; Platt, F.M. Delayed symptom onset and increased life expectancy in Sandhoff disease mice treated with N-butyldeoxynojirimycin. </w:t>
      </w:r>
      <w:r w:rsidRPr="00E26C61">
        <w:rPr>
          <w:rFonts w:ascii="Palatino Linotype" w:hAnsi="Palatino Linotype"/>
          <w:i/>
          <w:iCs/>
          <w:noProof/>
          <w:sz w:val="18"/>
          <w:szCs w:val="24"/>
        </w:rPr>
        <w:t>Proc. Natl. Acad. Sci. U. S. A.</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1999</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96</w:t>
      </w:r>
      <w:r w:rsidRPr="00E26C61">
        <w:rPr>
          <w:rFonts w:ascii="Palatino Linotype" w:hAnsi="Palatino Linotype"/>
          <w:noProof/>
          <w:sz w:val="18"/>
          <w:szCs w:val="24"/>
        </w:rPr>
        <w:t>, 6388–93.</w:t>
      </w:r>
    </w:p>
    <w:p w14:paraId="287F04D2"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9. </w:t>
      </w:r>
      <w:r w:rsidRPr="00E26C61">
        <w:rPr>
          <w:rFonts w:ascii="Palatino Linotype" w:hAnsi="Palatino Linotype"/>
          <w:noProof/>
          <w:sz w:val="18"/>
          <w:szCs w:val="24"/>
        </w:rPr>
        <w:tab/>
        <w:t xml:space="preserve">Tallaksen, C.M.E.; Berg, J.E. Miglustat therapy in juvenile Sandhoff disease. </w:t>
      </w:r>
      <w:r w:rsidRPr="00E26C61">
        <w:rPr>
          <w:rFonts w:ascii="Palatino Linotype" w:hAnsi="Palatino Linotype"/>
          <w:i/>
          <w:iCs/>
          <w:noProof/>
          <w:sz w:val="18"/>
          <w:szCs w:val="24"/>
        </w:rPr>
        <w:t>J. Inherit. Metab. Dis.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2009</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32</w:t>
      </w:r>
      <w:r w:rsidRPr="00E26C61">
        <w:rPr>
          <w:rFonts w:ascii="Palatino Linotype" w:hAnsi="Palatino Linotype"/>
          <w:noProof/>
          <w:sz w:val="18"/>
          <w:szCs w:val="24"/>
        </w:rPr>
        <w:t>, 289–93.</w:t>
      </w:r>
    </w:p>
    <w:p w14:paraId="2BE8C142"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10. </w:t>
      </w:r>
      <w:r w:rsidRPr="00E26C61">
        <w:rPr>
          <w:rFonts w:ascii="Palatino Linotype" w:hAnsi="Palatino Linotype"/>
          <w:noProof/>
          <w:sz w:val="18"/>
          <w:szCs w:val="24"/>
        </w:rPr>
        <w:tab/>
        <w:t xml:space="preserve">Wortmann, S.B.; Lefeber, D.J.; Dekomien, G.; Willemsen, M.A.A.P.; Wevers, R.A.; Morava, E. Substrate </w:t>
      </w:r>
      <w:r w:rsidRPr="00E26C61">
        <w:rPr>
          <w:rFonts w:ascii="Palatino Linotype" w:hAnsi="Palatino Linotype"/>
          <w:noProof/>
          <w:sz w:val="18"/>
          <w:szCs w:val="24"/>
        </w:rPr>
        <w:lastRenderedPageBreak/>
        <w:t xml:space="preserve">deprivation therapy in juvenile Sandhoff disease. </w:t>
      </w:r>
      <w:r w:rsidRPr="00E26C61">
        <w:rPr>
          <w:rFonts w:ascii="Palatino Linotype" w:hAnsi="Palatino Linotype"/>
          <w:i/>
          <w:iCs/>
          <w:noProof/>
          <w:sz w:val="18"/>
          <w:szCs w:val="24"/>
        </w:rPr>
        <w:t>J. Inherit. Metab. Dis.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2009</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32</w:t>
      </w:r>
      <w:r w:rsidRPr="00E26C61">
        <w:rPr>
          <w:rFonts w:ascii="Palatino Linotype" w:hAnsi="Palatino Linotype"/>
          <w:noProof/>
          <w:sz w:val="18"/>
          <w:szCs w:val="24"/>
        </w:rPr>
        <w:t>, 307–11.</w:t>
      </w:r>
    </w:p>
    <w:p w14:paraId="1B4ADA12" w14:textId="6D029B30"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11. </w:t>
      </w:r>
      <w:r w:rsidRPr="00E26C61">
        <w:rPr>
          <w:rFonts w:ascii="Palatino Linotype" w:hAnsi="Palatino Linotype"/>
          <w:noProof/>
          <w:sz w:val="18"/>
          <w:szCs w:val="24"/>
        </w:rPr>
        <w:tab/>
        <w:t xml:space="preserve">Benard, P.; Cousse, H.; Bengonei, T.; Germaini, C. Autoradiography in Brain of </w:t>
      </w:r>
      <w:r w:rsidRPr="00F84F07">
        <w:rPr>
          <w:rFonts w:ascii="Palatino Linotype" w:hAnsi="Palatino Linotype"/>
          <w:i/>
          <w:noProof/>
          <w:sz w:val="18"/>
          <w:szCs w:val="24"/>
        </w:rPr>
        <w:t>Macaca Iesciculeris</w:t>
      </w:r>
      <w:r w:rsidRPr="00E26C61">
        <w:rPr>
          <w:rFonts w:ascii="Palatino Linotype" w:hAnsi="Palatino Linotype"/>
          <w:noProof/>
          <w:sz w:val="18"/>
          <w:szCs w:val="24"/>
        </w:rPr>
        <w:t xml:space="preserve"> Monkeys after injection of Acetyl-DL-Leucine [ 2 _ 14C ] ( Tanganil</w:t>
      </w:r>
      <w:r w:rsidR="00503E87" w:rsidRPr="007A55AC">
        <w:rPr>
          <w:rFonts w:ascii="Palatino Linotype" w:hAnsi="Palatino Linotype"/>
          <w:noProof/>
          <w:sz w:val="18"/>
          <w:szCs w:val="24"/>
        </w:rPr>
        <w:t>®</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2001</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26</w:t>
      </w:r>
      <w:r w:rsidRPr="00E26C61">
        <w:rPr>
          <w:rFonts w:ascii="Palatino Linotype" w:hAnsi="Palatino Linotype"/>
          <w:noProof/>
          <w:sz w:val="18"/>
          <w:szCs w:val="24"/>
        </w:rPr>
        <w:t>, 71–6.</w:t>
      </w:r>
    </w:p>
    <w:p w14:paraId="219C96E5" w14:textId="5D98F454"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12. </w:t>
      </w:r>
      <w:r w:rsidRPr="00E26C61">
        <w:rPr>
          <w:rFonts w:ascii="Palatino Linotype" w:hAnsi="Palatino Linotype"/>
          <w:noProof/>
          <w:sz w:val="18"/>
          <w:szCs w:val="24"/>
        </w:rPr>
        <w:tab/>
        <w:t xml:space="preserve">Vibert, N.; Vidal, P.-P. </w:t>
      </w:r>
      <w:r w:rsidRPr="00E26C61">
        <w:rPr>
          <w:rFonts w:ascii="Palatino Linotype" w:hAnsi="Palatino Linotype"/>
          <w:i/>
          <w:iCs/>
          <w:noProof/>
          <w:sz w:val="18"/>
          <w:szCs w:val="24"/>
        </w:rPr>
        <w:t>In vitro</w:t>
      </w:r>
      <w:r w:rsidRPr="00E26C61">
        <w:rPr>
          <w:rFonts w:ascii="Palatino Linotype" w:hAnsi="Palatino Linotype"/>
          <w:noProof/>
          <w:sz w:val="18"/>
          <w:szCs w:val="24"/>
        </w:rPr>
        <w:t xml:space="preserve"> effects of acetyl-</w:t>
      </w:r>
      <w:r w:rsidR="00503E87">
        <w:rPr>
          <w:rFonts w:ascii="Palatino Linotype" w:hAnsi="Palatino Linotype"/>
          <w:noProof/>
          <w:sz w:val="18"/>
          <w:szCs w:val="24"/>
        </w:rPr>
        <w:t>DL</w:t>
      </w:r>
      <w:r w:rsidRPr="00E26C61">
        <w:rPr>
          <w:rFonts w:ascii="Palatino Linotype" w:hAnsi="Palatino Linotype"/>
          <w:noProof/>
          <w:sz w:val="18"/>
          <w:szCs w:val="24"/>
        </w:rPr>
        <w:t>-leucine (</w:t>
      </w:r>
      <w:r w:rsidR="00503E87">
        <w:rPr>
          <w:rFonts w:ascii="Palatino Linotype" w:hAnsi="Palatino Linotype"/>
          <w:noProof/>
          <w:sz w:val="18"/>
          <w:szCs w:val="24"/>
        </w:rPr>
        <w:t>T</w:t>
      </w:r>
      <w:r w:rsidRPr="00E26C61">
        <w:rPr>
          <w:rFonts w:ascii="Palatino Linotype" w:hAnsi="Palatino Linotype"/>
          <w:noProof/>
          <w:sz w:val="18"/>
          <w:szCs w:val="24"/>
        </w:rPr>
        <w:t xml:space="preserve">anganil®) on central vestibular neurons and vestibulo-ocular networks of the guinea-pig. </w:t>
      </w:r>
      <w:r w:rsidRPr="00E26C61">
        <w:rPr>
          <w:rFonts w:ascii="Palatino Linotype" w:hAnsi="Palatino Linotype"/>
          <w:i/>
          <w:iCs/>
          <w:noProof/>
          <w:sz w:val="18"/>
          <w:szCs w:val="24"/>
        </w:rPr>
        <w:t>Eur. J. Neurosci.</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2001</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13</w:t>
      </w:r>
      <w:r w:rsidRPr="00E26C61">
        <w:rPr>
          <w:rFonts w:ascii="Palatino Linotype" w:hAnsi="Palatino Linotype"/>
          <w:noProof/>
          <w:sz w:val="18"/>
          <w:szCs w:val="24"/>
        </w:rPr>
        <w:t>, 735–748.</w:t>
      </w:r>
    </w:p>
    <w:p w14:paraId="0F558511"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13. </w:t>
      </w:r>
      <w:r w:rsidRPr="00E26C61">
        <w:rPr>
          <w:rFonts w:ascii="Palatino Linotype" w:hAnsi="Palatino Linotype"/>
          <w:noProof/>
          <w:sz w:val="18"/>
          <w:szCs w:val="24"/>
        </w:rPr>
        <w:tab/>
        <w:t xml:space="preserve">Schniepp, R.; Strupp, M.; Wuehr, M.; Jahn, K.; Dieterich, M.; Brandt, T.; Feil, K. Acetyl-DL-leucine improves gait variability in patients with cerebellar ataxia-a case series. </w:t>
      </w:r>
      <w:r w:rsidRPr="00E26C61">
        <w:rPr>
          <w:rFonts w:ascii="Palatino Linotype" w:hAnsi="Palatino Linotype"/>
          <w:i/>
          <w:iCs/>
          <w:noProof/>
          <w:sz w:val="18"/>
          <w:szCs w:val="24"/>
        </w:rPr>
        <w:t>Cerebellum &amp; ataxias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2016</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3</w:t>
      </w:r>
      <w:r w:rsidRPr="00E26C61">
        <w:rPr>
          <w:rFonts w:ascii="Palatino Linotype" w:hAnsi="Palatino Linotype"/>
          <w:noProof/>
          <w:sz w:val="18"/>
          <w:szCs w:val="24"/>
        </w:rPr>
        <w:t>, 8.</w:t>
      </w:r>
    </w:p>
    <w:p w14:paraId="5EDEA7A7"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14. </w:t>
      </w:r>
      <w:r w:rsidRPr="00E26C61">
        <w:rPr>
          <w:rFonts w:ascii="Palatino Linotype" w:hAnsi="Palatino Linotype"/>
          <w:noProof/>
          <w:sz w:val="18"/>
          <w:szCs w:val="24"/>
        </w:rPr>
        <w:tab/>
        <w:t xml:space="preserve">Cortina-Borja, M.; Te Vruchte, D.; Mengel, E.; Amraoui, Y.; Imrie, J.; Jones, S.A.; I Dali, C.; Fineran, P.; Kirkegaard, T.; Runz, H.; et al. Annual severity increment score as a tool for stratifying patients with Niemann-Pick disease type C and for recruitment to clinical trials. </w:t>
      </w:r>
      <w:r w:rsidRPr="00E26C61">
        <w:rPr>
          <w:rFonts w:ascii="Palatino Linotype" w:hAnsi="Palatino Linotype"/>
          <w:i/>
          <w:iCs/>
          <w:noProof/>
          <w:sz w:val="18"/>
          <w:szCs w:val="24"/>
        </w:rPr>
        <w:t>Orphanet J. Rare Dis.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2018</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13</w:t>
      </w:r>
      <w:r w:rsidRPr="00E26C61">
        <w:rPr>
          <w:rFonts w:ascii="Palatino Linotype" w:hAnsi="Palatino Linotype"/>
          <w:noProof/>
          <w:sz w:val="18"/>
          <w:szCs w:val="24"/>
        </w:rPr>
        <w:t>, 1–16.</w:t>
      </w:r>
    </w:p>
    <w:p w14:paraId="1ED2A0A4"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15. </w:t>
      </w:r>
      <w:r w:rsidRPr="00E26C61">
        <w:rPr>
          <w:rFonts w:ascii="Palatino Linotype" w:hAnsi="Palatino Linotype"/>
          <w:noProof/>
          <w:sz w:val="18"/>
          <w:szCs w:val="24"/>
        </w:rPr>
        <w:tab/>
        <w:t xml:space="preserve">Pelz, J.O.; Fricke, C.; Saur, D.; Classen, J. Failure to confirm benefit of acetyl-dl-leucine in degenerative cerebellar ataxia: a case series. </w:t>
      </w:r>
      <w:r w:rsidRPr="00E26C61">
        <w:rPr>
          <w:rFonts w:ascii="Palatino Linotype" w:hAnsi="Palatino Linotype"/>
          <w:i/>
          <w:iCs/>
          <w:noProof/>
          <w:sz w:val="18"/>
          <w:szCs w:val="24"/>
        </w:rPr>
        <w:t>J. Neurol.</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2015</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262</w:t>
      </w:r>
      <w:r w:rsidRPr="00E26C61">
        <w:rPr>
          <w:rFonts w:ascii="Palatino Linotype" w:hAnsi="Palatino Linotype"/>
          <w:noProof/>
          <w:sz w:val="18"/>
          <w:szCs w:val="24"/>
        </w:rPr>
        <w:t>, 1373–1375.</w:t>
      </w:r>
    </w:p>
    <w:p w14:paraId="1169676F"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16. </w:t>
      </w:r>
      <w:r w:rsidRPr="00E26C61">
        <w:rPr>
          <w:rFonts w:ascii="Palatino Linotype" w:hAnsi="Palatino Linotype"/>
          <w:noProof/>
          <w:sz w:val="18"/>
          <w:szCs w:val="24"/>
        </w:rPr>
        <w:tab/>
        <w:t xml:space="preserve">Bremova, T.; Malinova, V.; Amraoui, Y.; Mengel, E.; Reinke, J.; Kolnikova, M.; Strupp, M. Acetyl-DL-leucine in Niemann-Pick type C: A case series. </w:t>
      </w:r>
      <w:r w:rsidRPr="00E26C61">
        <w:rPr>
          <w:rFonts w:ascii="Palatino Linotype" w:hAnsi="Palatino Linotype"/>
          <w:i/>
          <w:iCs/>
          <w:noProof/>
          <w:sz w:val="18"/>
          <w:szCs w:val="24"/>
        </w:rPr>
        <w:t>Neurology</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2015</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85</w:t>
      </w:r>
      <w:r w:rsidRPr="00E26C61">
        <w:rPr>
          <w:rFonts w:ascii="Palatino Linotype" w:hAnsi="Palatino Linotype"/>
          <w:noProof/>
          <w:sz w:val="18"/>
          <w:szCs w:val="24"/>
        </w:rPr>
        <w:t>, 1368–1375.</w:t>
      </w:r>
    </w:p>
    <w:p w14:paraId="13B1B51D"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17. </w:t>
      </w:r>
      <w:r w:rsidRPr="00E26C61">
        <w:rPr>
          <w:rFonts w:ascii="Palatino Linotype" w:hAnsi="Palatino Linotype"/>
          <w:noProof/>
          <w:sz w:val="18"/>
          <w:szCs w:val="24"/>
        </w:rPr>
        <w:tab/>
      </w:r>
      <w:r w:rsidRPr="00F84F07">
        <w:rPr>
          <w:rFonts w:ascii="Palatino Linotype" w:hAnsi="Palatino Linotype"/>
          <w:noProof/>
          <w:sz w:val="18"/>
          <w:szCs w:val="24"/>
        </w:rPr>
        <w:t xml:space="preserve">Colaco, A.; Kaya, E.; Adriaenssens, E.; Davis, L.C.; Zampieri, S.; Fernández-Suárez, M.E.; Tan, C.Y.; Deegan, P.; Porter, F.D.; Galione, A.; et al. Mechanistic convergence and shared therapeutic targets in Niemann-Pick disease type C and Tangier disease. </w:t>
      </w:r>
      <w:r w:rsidRPr="00F84F07">
        <w:rPr>
          <w:rFonts w:ascii="Palatino Linotype" w:hAnsi="Palatino Linotype"/>
          <w:i/>
          <w:iCs/>
          <w:noProof/>
          <w:sz w:val="18"/>
          <w:szCs w:val="24"/>
        </w:rPr>
        <w:t>J. Inherit. Metab. Dis.</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2019</w:t>
      </w:r>
      <w:r w:rsidRPr="00F84F07">
        <w:rPr>
          <w:rFonts w:ascii="Palatino Linotype" w:hAnsi="Palatino Linotype"/>
          <w:noProof/>
          <w:sz w:val="18"/>
          <w:szCs w:val="24"/>
        </w:rPr>
        <w:t>, 1–12.</w:t>
      </w:r>
    </w:p>
    <w:p w14:paraId="237DDE52"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18. </w:t>
      </w:r>
      <w:r w:rsidRPr="00F84F07">
        <w:rPr>
          <w:rFonts w:ascii="Palatino Linotype" w:hAnsi="Palatino Linotype"/>
          <w:noProof/>
          <w:sz w:val="18"/>
          <w:szCs w:val="24"/>
        </w:rPr>
        <w:tab/>
        <w:t xml:space="preserve">Te-Vruchte, D.; Galione, A.; Strupp, M.; Mann, M. Effects of N-Acetyl-Leucine and its enantiomers in Niemann-Pick disease type C cells Danielle. </w:t>
      </w:r>
      <w:r w:rsidRPr="00F84F07">
        <w:rPr>
          <w:rFonts w:ascii="Palatino Linotype" w:hAnsi="Palatino Linotype"/>
          <w:i/>
          <w:iCs/>
          <w:noProof/>
          <w:sz w:val="18"/>
          <w:szCs w:val="24"/>
        </w:rPr>
        <w:t>bioRxiv Prepr.</w:t>
      </w:r>
    </w:p>
    <w:p w14:paraId="2EC6BFE4"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19. </w:t>
      </w:r>
      <w:r w:rsidRPr="00F84F07">
        <w:rPr>
          <w:rFonts w:ascii="Palatino Linotype" w:hAnsi="Palatino Linotype"/>
          <w:noProof/>
          <w:sz w:val="18"/>
          <w:szCs w:val="24"/>
        </w:rPr>
        <w:tab/>
        <w:t xml:space="preserve">Churchill, G.C.; Strupp, M.; Galione, A.; Platt, F.M. Unexpected differences in the pharmacokinetics of N-acetyl-DL-leucine enantiomers after oral dosing and their clinical relevance. </w:t>
      </w:r>
      <w:r w:rsidRPr="00F84F07">
        <w:rPr>
          <w:rFonts w:ascii="Palatino Linotype" w:hAnsi="Palatino Linotype"/>
          <w:i/>
          <w:iCs/>
          <w:noProof/>
          <w:sz w:val="18"/>
          <w:szCs w:val="24"/>
        </w:rPr>
        <w:t>PLoS One</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2020</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15</w:t>
      </w:r>
      <w:r w:rsidRPr="00F84F07">
        <w:rPr>
          <w:rFonts w:ascii="Palatino Linotype" w:hAnsi="Palatino Linotype"/>
          <w:noProof/>
          <w:sz w:val="18"/>
          <w:szCs w:val="24"/>
        </w:rPr>
        <w:t>, e0229585.</w:t>
      </w:r>
    </w:p>
    <w:p w14:paraId="19BC47FA"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20. </w:t>
      </w:r>
      <w:r w:rsidRPr="00F84F07">
        <w:rPr>
          <w:rFonts w:ascii="Palatino Linotype" w:hAnsi="Palatino Linotype"/>
          <w:noProof/>
          <w:sz w:val="18"/>
          <w:szCs w:val="24"/>
        </w:rPr>
        <w:tab/>
        <w:t xml:space="preserve">Sango, K.; Yamanaka, S.; Hoffmann, A.; Okuda, Y.; Grinberg, A.; Westphal, H.; McDonald, M.P.; Crawley, J.N.; Sandhoff, K.; Suzuki, K.; et al. Mouse models of Tay–Sachs and Sandhoff diseases differ in neurologic phenotype and ganglioside metabolism. </w:t>
      </w:r>
      <w:r w:rsidRPr="00F84F07">
        <w:rPr>
          <w:rFonts w:ascii="Palatino Linotype" w:hAnsi="Palatino Linotype"/>
          <w:i/>
          <w:iCs/>
          <w:noProof/>
          <w:sz w:val="18"/>
          <w:szCs w:val="24"/>
        </w:rPr>
        <w:t>Nat. Genet.</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1995</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2</w:t>
      </w:r>
      <w:r w:rsidRPr="00F84F07">
        <w:rPr>
          <w:rFonts w:ascii="Palatino Linotype" w:hAnsi="Palatino Linotype"/>
          <w:noProof/>
          <w:sz w:val="18"/>
          <w:szCs w:val="24"/>
        </w:rPr>
        <w:t>, 170–6.</w:t>
      </w:r>
    </w:p>
    <w:p w14:paraId="6721F37F"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21. </w:t>
      </w:r>
      <w:r w:rsidRPr="00F84F07">
        <w:rPr>
          <w:rFonts w:ascii="Palatino Linotype" w:hAnsi="Palatino Linotype"/>
          <w:noProof/>
          <w:sz w:val="18"/>
          <w:szCs w:val="24"/>
        </w:rPr>
        <w:tab/>
        <w:t xml:space="preserve">Barclay, L.L.; Gibson, G.E.; Blass, J.P. The string test: An early behavioral change in thiamine deficiency. </w:t>
      </w:r>
      <w:r w:rsidRPr="00F84F07">
        <w:rPr>
          <w:rFonts w:ascii="Palatino Linotype" w:hAnsi="Palatino Linotype"/>
          <w:i/>
          <w:iCs/>
          <w:noProof/>
          <w:sz w:val="18"/>
          <w:szCs w:val="24"/>
        </w:rPr>
        <w:t>Pharmacol. Biochem. Behav.</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1981</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2</w:t>
      </w:r>
      <w:r w:rsidRPr="00F84F07">
        <w:rPr>
          <w:rFonts w:ascii="Palatino Linotype" w:hAnsi="Palatino Linotype"/>
          <w:noProof/>
          <w:sz w:val="18"/>
          <w:szCs w:val="24"/>
        </w:rPr>
        <w:t>, 153–7.</w:t>
      </w:r>
    </w:p>
    <w:p w14:paraId="1C873963"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22. </w:t>
      </w:r>
      <w:r w:rsidRPr="00F84F07">
        <w:rPr>
          <w:rFonts w:ascii="Palatino Linotype" w:hAnsi="Palatino Linotype"/>
          <w:noProof/>
          <w:sz w:val="18"/>
          <w:szCs w:val="24"/>
        </w:rPr>
        <w:tab/>
        <w:t xml:space="preserve">Neville, D.C.A.; Coquard, V.; Priestman, D.A.; Te Vruchte, D.J.M.; Sillence, D.J.; Dwek, R.A.; Platt, F.M.; Butters, T.D. Analysis of fluorescently labeled glycosphingolipid-derived oligosaccharides following ceramide glycanase digestion and anthranilic acid labeling. </w:t>
      </w:r>
      <w:r w:rsidRPr="00F84F07">
        <w:rPr>
          <w:rFonts w:ascii="Palatino Linotype" w:hAnsi="Palatino Linotype"/>
          <w:i/>
          <w:iCs/>
          <w:noProof/>
          <w:sz w:val="18"/>
          <w:szCs w:val="24"/>
        </w:rPr>
        <w:t>Anal. Biochem.</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2004</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331</w:t>
      </w:r>
      <w:r w:rsidRPr="00F84F07">
        <w:rPr>
          <w:rFonts w:ascii="Palatino Linotype" w:hAnsi="Palatino Linotype"/>
          <w:noProof/>
          <w:sz w:val="18"/>
          <w:szCs w:val="24"/>
        </w:rPr>
        <w:t>, 275–282.</w:t>
      </w:r>
    </w:p>
    <w:p w14:paraId="0AB1542C"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23. </w:t>
      </w:r>
      <w:r w:rsidRPr="00E26C61">
        <w:rPr>
          <w:rFonts w:ascii="Palatino Linotype" w:hAnsi="Palatino Linotype"/>
          <w:noProof/>
          <w:sz w:val="18"/>
          <w:szCs w:val="24"/>
        </w:rPr>
        <w:tab/>
        <w:t xml:space="preserve">Jung, C.H.; Ro, S.H.; Cao, J.; Otto, N.M.; Kim, D.H. MTOR regulation of autophagy. </w:t>
      </w:r>
      <w:r w:rsidRPr="00E26C61">
        <w:rPr>
          <w:rFonts w:ascii="Palatino Linotype" w:hAnsi="Palatino Linotype"/>
          <w:i/>
          <w:iCs/>
          <w:noProof/>
          <w:sz w:val="18"/>
          <w:szCs w:val="24"/>
        </w:rPr>
        <w:t>FEBS Lett.</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2010</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584</w:t>
      </w:r>
      <w:r w:rsidRPr="00E26C61">
        <w:rPr>
          <w:rFonts w:ascii="Palatino Linotype" w:hAnsi="Palatino Linotype"/>
          <w:noProof/>
          <w:sz w:val="18"/>
          <w:szCs w:val="24"/>
        </w:rPr>
        <w:t>, 1287–1295.</w:t>
      </w:r>
    </w:p>
    <w:p w14:paraId="4FF6E138"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24. </w:t>
      </w:r>
      <w:r w:rsidRPr="00E26C61">
        <w:rPr>
          <w:rFonts w:ascii="Palatino Linotype" w:hAnsi="Palatino Linotype"/>
          <w:noProof/>
          <w:sz w:val="18"/>
          <w:szCs w:val="24"/>
        </w:rPr>
        <w:tab/>
        <w:t xml:space="preserve">Yanagisawa, H.; Ishii, T.; Endo, K.; Kawakami, E.; Nagao, K.; Miyashita, T.; Akiyama, K.; Watabe, K.; Komatsu, M.; Yamamoto, D.; et al. L-leucine and SPNS1 coordinately ameliorate dysfunction of autophagy in mouse and human Niemann-Pick type C disease. </w:t>
      </w:r>
      <w:r w:rsidRPr="00E26C61">
        <w:rPr>
          <w:rFonts w:ascii="Palatino Linotype" w:hAnsi="Palatino Linotype"/>
          <w:i/>
          <w:iCs/>
          <w:noProof/>
          <w:sz w:val="18"/>
          <w:szCs w:val="24"/>
        </w:rPr>
        <w:t>Sci. Rep.</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2017</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7</w:t>
      </w:r>
      <w:r w:rsidRPr="00E26C61">
        <w:rPr>
          <w:rFonts w:ascii="Palatino Linotype" w:hAnsi="Palatino Linotype"/>
          <w:noProof/>
          <w:sz w:val="18"/>
          <w:szCs w:val="24"/>
        </w:rPr>
        <w:t>, 1–9.</w:t>
      </w:r>
    </w:p>
    <w:p w14:paraId="4D2AF4E3"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25. </w:t>
      </w:r>
      <w:r w:rsidRPr="00E26C61">
        <w:rPr>
          <w:rFonts w:ascii="Palatino Linotype" w:hAnsi="Palatino Linotype"/>
          <w:noProof/>
          <w:sz w:val="18"/>
          <w:szCs w:val="24"/>
        </w:rPr>
        <w:tab/>
        <w:t xml:space="preserve">Mizushima, N.; Yoshimori, T. How to interpret LC3 immunoblotting. </w:t>
      </w:r>
      <w:r w:rsidRPr="00E26C61">
        <w:rPr>
          <w:rFonts w:ascii="Palatino Linotype" w:hAnsi="Palatino Linotype"/>
          <w:i/>
          <w:iCs/>
          <w:noProof/>
          <w:sz w:val="18"/>
          <w:szCs w:val="24"/>
        </w:rPr>
        <w:t>Autophagy</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2007</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3</w:t>
      </w:r>
      <w:r w:rsidRPr="00E26C61">
        <w:rPr>
          <w:rFonts w:ascii="Palatino Linotype" w:hAnsi="Palatino Linotype"/>
          <w:noProof/>
          <w:sz w:val="18"/>
          <w:szCs w:val="24"/>
        </w:rPr>
        <w:t>, 542–545.</w:t>
      </w:r>
    </w:p>
    <w:p w14:paraId="0401969D"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26. </w:t>
      </w:r>
      <w:r w:rsidRPr="00E26C61">
        <w:rPr>
          <w:rFonts w:ascii="Palatino Linotype" w:hAnsi="Palatino Linotype"/>
          <w:noProof/>
          <w:sz w:val="18"/>
          <w:szCs w:val="24"/>
        </w:rPr>
        <w:tab/>
        <w:t xml:space="preserve">Zhang, Y.; Guo, K.; Leblanc, R.E.; Loh, D.; Schwartz, G.J.; Yu, Y.H. Increasing Dietary Leucine Intake Reduces Diet-Induced Obesity and Improves Glucose and Cholesterol Metabolism in Mice via Multimechanisms. </w:t>
      </w:r>
      <w:r w:rsidRPr="00E26C61">
        <w:rPr>
          <w:rFonts w:ascii="Palatino Linotype" w:hAnsi="Palatino Linotype"/>
          <w:i/>
          <w:iCs/>
          <w:noProof/>
          <w:sz w:val="18"/>
          <w:szCs w:val="24"/>
        </w:rPr>
        <w:t>Diabetes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2007</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56</w:t>
      </w:r>
      <w:r w:rsidRPr="00E26C61">
        <w:rPr>
          <w:rFonts w:ascii="Palatino Linotype" w:hAnsi="Palatino Linotype"/>
          <w:noProof/>
          <w:sz w:val="18"/>
          <w:szCs w:val="24"/>
        </w:rPr>
        <w:t>, 1647–1654.</w:t>
      </w:r>
    </w:p>
    <w:p w14:paraId="4BFBB8F6" w14:textId="4FE2322D"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27. </w:t>
      </w:r>
      <w:r w:rsidRPr="00E26C61">
        <w:rPr>
          <w:rFonts w:ascii="Palatino Linotype" w:hAnsi="Palatino Linotype"/>
          <w:noProof/>
          <w:sz w:val="18"/>
          <w:szCs w:val="24"/>
        </w:rPr>
        <w:tab/>
        <w:t xml:space="preserve">Klionsky, D.J.; Emr, S.D. Autophagy as a regulated pathway of cellular degradation. </w:t>
      </w:r>
      <w:r w:rsidRPr="00E26C61">
        <w:rPr>
          <w:rFonts w:ascii="Palatino Linotype" w:hAnsi="Palatino Linotype"/>
          <w:i/>
          <w:iCs/>
          <w:noProof/>
          <w:sz w:val="18"/>
          <w:szCs w:val="24"/>
        </w:rPr>
        <w:t>Science.</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2000</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290</w:t>
      </w:r>
      <w:r w:rsidRPr="00E26C61">
        <w:rPr>
          <w:rFonts w:ascii="Palatino Linotype" w:hAnsi="Palatino Linotype"/>
          <w:noProof/>
          <w:sz w:val="18"/>
          <w:szCs w:val="24"/>
        </w:rPr>
        <w:t>, 1717–1721.</w:t>
      </w:r>
    </w:p>
    <w:p w14:paraId="12F38A7D"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28. </w:t>
      </w:r>
      <w:r w:rsidRPr="00E26C61">
        <w:rPr>
          <w:rFonts w:ascii="Palatino Linotype" w:hAnsi="Palatino Linotype"/>
          <w:noProof/>
          <w:sz w:val="18"/>
          <w:szCs w:val="24"/>
        </w:rPr>
        <w:tab/>
        <w:t xml:space="preserve">Yamamoto, A.; Cremona, M.L.; Rothman, J.E. Autophagy-mediated clearance of huntingtin aggregates triggered by the insulin-signaling pathway. </w:t>
      </w:r>
      <w:r w:rsidRPr="00E26C61">
        <w:rPr>
          <w:rFonts w:ascii="Palatino Linotype" w:hAnsi="Palatino Linotype"/>
          <w:i/>
          <w:iCs/>
          <w:noProof/>
          <w:sz w:val="18"/>
          <w:szCs w:val="24"/>
        </w:rPr>
        <w:t>J. Cell Biol.</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2006</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172</w:t>
      </w:r>
      <w:r w:rsidRPr="00E26C61">
        <w:rPr>
          <w:rFonts w:ascii="Palatino Linotype" w:hAnsi="Palatino Linotype"/>
          <w:noProof/>
          <w:sz w:val="18"/>
          <w:szCs w:val="24"/>
        </w:rPr>
        <w:t>, 719–731.</w:t>
      </w:r>
    </w:p>
    <w:p w14:paraId="24149E13"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lastRenderedPageBreak/>
        <w:t xml:space="preserve">29. </w:t>
      </w:r>
      <w:r w:rsidRPr="00E26C61">
        <w:rPr>
          <w:rFonts w:ascii="Palatino Linotype" w:hAnsi="Palatino Linotype"/>
          <w:noProof/>
          <w:sz w:val="18"/>
          <w:szCs w:val="24"/>
        </w:rPr>
        <w:tab/>
        <w:t xml:space="preserve">Yudkoff, M. Brain metabolism of branched-chain amino acids. </w:t>
      </w:r>
      <w:r w:rsidRPr="00E26C61">
        <w:rPr>
          <w:rFonts w:ascii="Palatino Linotype" w:hAnsi="Palatino Linotype"/>
          <w:i/>
          <w:iCs/>
          <w:noProof/>
          <w:sz w:val="18"/>
          <w:szCs w:val="24"/>
        </w:rPr>
        <w:t>Glia</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1997</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21</w:t>
      </w:r>
      <w:r w:rsidRPr="00E26C61">
        <w:rPr>
          <w:rFonts w:ascii="Palatino Linotype" w:hAnsi="Palatino Linotype"/>
          <w:noProof/>
          <w:sz w:val="18"/>
          <w:szCs w:val="24"/>
        </w:rPr>
        <w:t>, 92–8.</w:t>
      </w:r>
    </w:p>
    <w:p w14:paraId="46010F60"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30. </w:t>
      </w:r>
      <w:r w:rsidRPr="00E26C61">
        <w:rPr>
          <w:rFonts w:ascii="Palatino Linotype" w:hAnsi="Palatino Linotype"/>
          <w:noProof/>
          <w:sz w:val="18"/>
          <w:szCs w:val="24"/>
        </w:rPr>
        <w:tab/>
        <w:t xml:space="preserve">Kennedy, B.E.; Hundert, A.S.; Goguen, D.; Weaver, I.C.G.; Karten, B. Presymptomatic Alterations in Amino Acid Metabolism and DNA Methylation in the Cerebellum of a Murine Model of Niemann-Pick Type C Disease. </w:t>
      </w:r>
      <w:r w:rsidRPr="00E26C61">
        <w:rPr>
          <w:rFonts w:ascii="Palatino Linotype" w:hAnsi="Palatino Linotype"/>
          <w:i/>
          <w:iCs/>
          <w:noProof/>
          <w:sz w:val="18"/>
          <w:szCs w:val="24"/>
        </w:rPr>
        <w:t>Am. J. Pathol.</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2016</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186</w:t>
      </w:r>
      <w:r w:rsidRPr="00E26C61">
        <w:rPr>
          <w:rFonts w:ascii="Palatino Linotype" w:hAnsi="Palatino Linotype"/>
          <w:noProof/>
          <w:sz w:val="18"/>
          <w:szCs w:val="24"/>
        </w:rPr>
        <w:t>, 1–18.</w:t>
      </w:r>
    </w:p>
    <w:p w14:paraId="31B7B2DD" w14:textId="5D065EDA"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31. </w:t>
      </w:r>
      <w:r w:rsidRPr="00E26C61">
        <w:rPr>
          <w:rFonts w:ascii="Palatino Linotype" w:hAnsi="Palatino Linotype"/>
          <w:noProof/>
          <w:sz w:val="18"/>
          <w:szCs w:val="24"/>
        </w:rPr>
        <w:tab/>
        <w:t xml:space="preserve">Harris, A.; Paxton, R.; Powell, S.M.; Gillim, S.E. Physiological </w:t>
      </w:r>
      <w:r w:rsidR="00503E87">
        <w:rPr>
          <w:rFonts w:ascii="Palatino Linotype" w:hAnsi="Palatino Linotype"/>
          <w:noProof/>
          <w:sz w:val="18"/>
          <w:szCs w:val="24"/>
        </w:rPr>
        <w:t>c</w:t>
      </w:r>
      <w:r w:rsidRPr="00E26C61">
        <w:rPr>
          <w:rFonts w:ascii="Palatino Linotype" w:hAnsi="Palatino Linotype"/>
          <w:noProof/>
          <w:sz w:val="18"/>
          <w:szCs w:val="24"/>
        </w:rPr>
        <w:t xml:space="preserve">ovalent </w:t>
      </w:r>
      <w:r w:rsidR="00503E87">
        <w:rPr>
          <w:rFonts w:ascii="Palatino Linotype" w:hAnsi="Palatino Linotype"/>
          <w:noProof/>
          <w:sz w:val="18"/>
          <w:szCs w:val="24"/>
        </w:rPr>
        <w:t>r</w:t>
      </w:r>
      <w:r w:rsidRPr="00E26C61">
        <w:rPr>
          <w:rFonts w:ascii="Palatino Linotype" w:hAnsi="Palatino Linotype"/>
          <w:noProof/>
          <w:sz w:val="18"/>
          <w:szCs w:val="24"/>
        </w:rPr>
        <w:t xml:space="preserve">egulation of </w:t>
      </w:r>
      <w:r w:rsidR="00503E87">
        <w:rPr>
          <w:rFonts w:ascii="Palatino Linotype" w:hAnsi="Palatino Linotype"/>
          <w:noProof/>
          <w:sz w:val="18"/>
          <w:szCs w:val="24"/>
        </w:rPr>
        <w:t>r</w:t>
      </w:r>
      <w:r w:rsidRPr="00E26C61">
        <w:rPr>
          <w:rFonts w:ascii="Palatino Linotype" w:hAnsi="Palatino Linotype"/>
          <w:noProof/>
          <w:sz w:val="18"/>
          <w:szCs w:val="24"/>
        </w:rPr>
        <w:t xml:space="preserve">at </w:t>
      </w:r>
      <w:r w:rsidR="00503E87">
        <w:rPr>
          <w:rFonts w:ascii="Palatino Linotype" w:hAnsi="Palatino Linotype"/>
          <w:noProof/>
          <w:sz w:val="18"/>
          <w:szCs w:val="24"/>
        </w:rPr>
        <w:t>l</w:t>
      </w:r>
      <w:r w:rsidRPr="00E26C61">
        <w:rPr>
          <w:rFonts w:ascii="Palatino Linotype" w:hAnsi="Palatino Linotype"/>
          <w:noProof/>
          <w:sz w:val="18"/>
          <w:szCs w:val="24"/>
        </w:rPr>
        <w:t xml:space="preserve">iver Branched-Chain a-Ketoacid Dehydrogenase. </w:t>
      </w:r>
      <w:r w:rsidRPr="00E26C61">
        <w:rPr>
          <w:rFonts w:ascii="Palatino Linotype" w:hAnsi="Palatino Linotype"/>
          <w:i/>
          <w:iCs/>
          <w:noProof/>
          <w:sz w:val="18"/>
          <w:szCs w:val="24"/>
        </w:rPr>
        <w:t>Arch. Biochem. Biophys.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1985</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243</w:t>
      </w:r>
      <w:r w:rsidRPr="00E26C61">
        <w:rPr>
          <w:rFonts w:ascii="Palatino Linotype" w:hAnsi="Palatino Linotype"/>
          <w:noProof/>
          <w:sz w:val="18"/>
          <w:szCs w:val="24"/>
        </w:rPr>
        <w:t>, 542–555.</w:t>
      </w:r>
    </w:p>
    <w:p w14:paraId="6F558BB8"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32. </w:t>
      </w:r>
      <w:r w:rsidRPr="00E26C61">
        <w:rPr>
          <w:rFonts w:ascii="Palatino Linotype" w:hAnsi="Palatino Linotype"/>
          <w:noProof/>
          <w:sz w:val="18"/>
          <w:szCs w:val="24"/>
        </w:rPr>
        <w:tab/>
        <w:t xml:space="preserve">Harris, R. a; Joshi, M.; Jeoung, N.H.; Obayashi, M. Overview of the molecular and biochemical basis of branched-chain amino acid catabolism. </w:t>
      </w:r>
      <w:r w:rsidRPr="00E26C61">
        <w:rPr>
          <w:rFonts w:ascii="Palatino Linotype" w:hAnsi="Palatino Linotype"/>
          <w:i/>
          <w:iCs/>
          <w:noProof/>
          <w:sz w:val="18"/>
          <w:szCs w:val="24"/>
        </w:rPr>
        <w:t>J. Nutr.</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2005</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135</w:t>
      </w:r>
      <w:r w:rsidRPr="00E26C61">
        <w:rPr>
          <w:rFonts w:ascii="Palatino Linotype" w:hAnsi="Palatino Linotype"/>
          <w:noProof/>
          <w:sz w:val="18"/>
          <w:szCs w:val="24"/>
        </w:rPr>
        <w:t>, 1527S–30S.</w:t>
      </w:r>
    </w:p>
    <w:p w14:paraId="3FDDFDF7" w14:textId="4E8C659B"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33. </w:t>
      </w:r>
      <w:r w:rsidRPr="00E26C61">
        <w:rPr>
          <w:rFonts w:ascii="Palatino Linotype" w:hAnsi="Palatino Linotype"/>
          <w:noProof/>
          <w:sz w:val="18"/>
          <w:szCs w:val="24"/>
        </w:rPr>
        <w:tab/>
        <w:t xml:space="preserve">Erecińska, M.; Nelson, D. Activation of Glutamate Dehydrogenase by Leucine and </w:t>
      </w:r>
      <w:r w:rsidR="00503E87">
        <w:rPr>
          <w:rFonts w:ascii="Palatino Linotype" w:hAnsi="Palatino Linotype"/>
          <w:noProof/>
          <w:sz w:val="18"/>
          <w:szCs w:val="24"/>
        </w:rPr>
        <w:t>i</w:t>
      </w:r>
      <w:r w:rsidRPr="00E26C61">
        <w:rPr>
          <w:rFonts w:ascii="Palatino Linotype" w:hAnsi="Palatino Linotype"/>
          <w:noProof/>
          <w:sz w:val="18"/>
          <w:szCs w:val="24"/>
        </w:rPr>
        <w:t xml:space="preserve">ts </w:t>
      </w:r>
      <w:r w:rsidR="00503E87">
        <w:rPr>
          <w:rFonts w:ascii="Palatino Linotype" w:hAnsi="Palatino Linotype"/>
          <w:noProof/>
          <w:sz w:val="18"/>
          <w:szCs w:val="24"/>
        </w:rPr>
        <w:t>n</w:t>
      </w:r>
      <w:r w:rsidRPr="00E26C61">
        <w:rPr>
          <w:rFonts w:ascii="Palatino Linotype" w:hAnsi="Palatino Linotype"/>
          <w:noProof/>
          <w:sz w:val="18"/>
          <w:szCs w:val="24"/>
        </w:rPr>
        <w:t xml:space="preserve">onmetabolizable </w:t>
      </w:r>
      <w:r w:rsidR="00503E87">
        <w:rPr>
          <w:rFonts w:ascii="Palatino Linotype" w:hAnsi="Palatino Linotype"/>
          <w:noProof/>
          <w:sz w:val="18"/>
          <w:szCs w:val="24"/>
        </w:rPr>
        <w:t>a</w:t>
      </w:r>
      <w:r w:rsidRPr="00E26C61">
        <w:rPr>
          <w:rFonts w:ascii="Palatino Linotype" w:hAnsi="Palatino Linotype"/>
          <w:noProof/>
          <w:sz w:val="18"/>
          <w:szCs w:val="24"/>
        </w:rPr>
        <w:t xml:space="preserve">nalogue in </w:t>
      </w:r>
      <w:r w:rsidR="00503E87">
        <w:rPr>
          <w:rFonts w:ascii="Palatino Linotype" w:hAnsi="Palatino Linotype"/>
          <w:noProof/>
          <w:sz w:val="18"/>
          <w:szCs w:val="24"/>
        </w:rPr>
        <w:t>r</w:t>
      </w:r>
      <w:r w:rsidRPr="00E26C61">
        <w:rPr>
          <w:rFonts w:ascii="Palatino Linotype" w:hAnsi="Palatino Linotype"/>
          <w:noProof/>
          <w:sz w:val="18"/>
          <w:szCs w:val="24"/>
        </w:rPr>
        <w:t xml:space="preserve">at </w:t>
      </w:r>
      <w:r w:rsidR="00503E87">
        <w:rPr>
          <w:rFonts w:ascii="Palatino Linotype" w:hAnsi="Palatino Linotype"/>
          <w:noProof/>
          <w:sz w:val="18"/>
          <w:szCs w:val="24"/>
        </w:rPr>
        <w:t>b</w:t>
      </w:r>
      <w:r w:rsidRPr="00E26C61">
        <w:rPr>
          <w:rFonts w:ascii="Palatino Linotype" w:hAnsi="Palatino Linotype"/>
          <w:noProof/>
          <w:sz w:val="18"/>
          <w:szCs w:val="24"/>
        </w:rPr>
        <w:t xml:space="preserve">rain </w:t>
      </w:r>
      <w:r w:rsidR="00503E87">
        <w:rPr>
          <w:rFonts w:ascii="Palatino Linotype" w:hAnsi="Palatino Linotype"/>
          <w:noProof/>
          <w:sz w:val="18"/>
          <w:szCs w:val="24"/>
        </w:rPr>
        <w:t>s</w:t>
      </w:r>
      <w:r w:rsidRPr="00E26C61">
        <w:rPr>
          <w:rFonts w:ascii="Palatino Linotype" w:hAnsi="Palatino Linotype"/>
          <w:noProof/>
          <w:sz w:val="18"/>
          <w:szCs w:val="24"/>
        </w:rPr>
        <w:t xml:space="preserve">ynaptosomes. </w:t>
      </w:r>
      <w:r w:rsidRPr="00E26C61">
        <w:rPr>
          <w:rFonts w:ascii="Palatino Linotype" w:hAnsi="Palatino Linotype"/>
          <w:i/>
          <w:iCs/>
          <w:noProof/>
          <w:sz w:val="18"/>
          <w:szCs w:val="24"/>
        </w:rPr>
        <w:t>J. Neurochem.</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1990</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54</w:t>
      </w:r>
      <w:r w:rsidRPr="00E26C61">
        <w:rPr>
          <w:rFonts w:ascii="Palatino Linotype" w:hAnsi="Palatino Linotype"/>
          <w:noProof/>
          <w:sz w:val="18"/>
          <w:szCs w:val="24"/>
        </w:rPr>
        <w:t>, 1335–1343.</w:t>
      </w:r>
    </w:p>
    <w:p w14:paraId="4264CAC4"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34. </w:t>
      </w:r>
      <w:r w:rsidRPr="00E26C61">
        <w:rPr>
          <w:rFonts w:ascii="Palatino Linotype" w:hAnsi="Palatino Linotype"/>
          <w:noProof/>
          <w:sz w:val="18"/>
          <w:szCs w:val="24"/>
        </w:rPr>
        <w:tab/>
        <w:t xml:space="preserve">Pedroso, J.A.B.; Zampieri, T.T.; Donato, J. Reviewing the effects of l-leucine supplementation in the regulation of food intake, energy balance, and glucose homeostasis. </w:t>
      </w:r>
      <w:r w:rsidRPr="00E26C61">
        <w:rPr>
          <w:rFonts w:ascii="Palatino Linotype" w:hAnsi="Palatino Linotype"/>
          <w:i/>
          <w:iCs/>
          <w:noProof/>
          <w:sz w:val="18"/>
          <w:szCs w:val="24"/>
        </w:rPr>
        <w:t>Nutrients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2015</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7</w:t>
      </w:r>
      <w:r w:rsidRPr="00E26C61">
        <w:rPr>
          <w:rFonts w:ascii="Palatino Linotype" w:hAnsi="Palatino Linotype"/>
          <w:noProof/>
          <w:sz w:val="18"/>
          <w:szCs w:val="24"/>
        </w:rPr>
        <w:t>, 3914–3937.</w:t>
      </w:r>
    </w:p>
    <w:p w14:paraId="2FC39978"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35. </w:t>
      </w:r>
      <w:r w:rsidRPr="00E26C61">
        <w:rPr>
          <w:rFonts w:ascii="Palatino Linotype" w:hAnsi="Palatino Linotype"/>
          <w:noProof/>
          <w:sz w:val="18"/>
          <w:szCs w:val="24"/>
        </w:rPr>
        <w:tab/>
        <w:t xml:space="preserve">Park, S.; Jeon, J.H.; Min, B.K.; Ha, C.M.; Thoudam, T.; Park, B.Y.; Lee, I.K. Role of the pyruvate dehydrogenase complex in metabolic remodeling: Differential pyruvate dehydrogenase complex functions in metabolism. </w:t>
      </w:r>
      <w:r w:rsidRPr="00E26C61">
        <w:rPr>
          <w:rFonts w:ascii="Palatino Linotype" w:hAnsi="Palatino Linotype"/>
          <w:i/>
          <w:iCs/>
          <w:noProof/>
          <w:sz w:val="18"/>
          <w:szCs w:val="24"/>
        </w:rPr>
        <w:t>Diabetes Metab. J.</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2018</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42</w:t>
      </w:r>
      <w:r w:rsidRPr="00E26C61">
        <w:rPr>
          <w:rFonts w:ascii="Palatino Linotype" w:hAnsi="Palatino Linotype"/>
          <w:noProof/>
          <w:sz w:val="18"/>
          <w:szCs w:val="24"/>
        </w:rPr>
        <w:t>, 270–281.</w:t>
      </w:r>
    </w:p>
    <w:p w14:paraId="7DE36961"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36. </w:t>
      </w:r>
      <w:r w:rsidRPr="00E26C61">
        <w:rPr>
          <w:rFonts w:ascii="Palatino Linotype" w:hAnsi="Palatino Linotype"/>
          <w:noProof/>
          <w:sz w:val="18"/>
          <w:szCs w:val="24"/>
        </w:rPr>
        <w:tab/>
        <w:t xml:space="preserve">Zhang, S.; Hulver, M.W.; McMillan, R.P.; Cline, M.A.; Gilbert, E.R. The pivotal role of pyruvate dehydrogenase kinases in metabolic flexibility. </w:t>
      </w:r>
      <w:r w:rsidRPr="00E26C61">
        <w:rPr>
          <w:rFonts w:ascii="Palatino Linotype" w:hAnsi="Palatino Linotype"/>
          <w:i/>
          <w:iCs/>
          <w:noProof/>
          <w:sz w:val="18"/>
          <w:szCs w:val="24"/>
        </w:rPr>
        <w:t>Nutr. Metab.</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2014</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11</w:t>
      </w:r>
      <w:r w:rsidRPr="00E26C61">
        <w:rPr>
          <w:rFonts w:ascii="Palatino Linotype" w:hAnsi="Palatino Linotype"/>
          <w:noProof/>
          <w:sz w:val="18"/>
          <w:szCs w:val="24"/>
        </w:rPr>
        <w:t>, 1–9.</w:t>
      </w:r>
    </w:p>
    <w:p w14:paraId="184EB7CF"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37. </w:t>
      </w:r>
      <w:r w:rsidRPr="00E26C61">
        <w:rPr>
          <w:rFonts w:ascii="Palatino Linotype" w:hAnsi="Palatino Linotype"/>
          <w:noProof/>
          <w:sz w:val="18"/>
          <w:szCs w:val="24"/>
        </w:rPr>
        <w:tab/>
        <w:t xml:space="preserve">Gray, L.R.; Tompkins, S.C.; Taylor, E.B. Regulation of pyruvate metabolism and human disease. </w:t>
      </w:r>
      <w:r w:rsidRPr="00E26C61">
        <w:rPr>
          <w:rFonts w:ascii="Palatino Linotype" w:hAnsi="Palatino Linotype"/>
          <w:i/>
          <w:iCs/>
          <w:noProof/>
          <w:sz w:val="18"/>
          <w:szCs w:val="24"/>
        </w:rPr>
        <w:t>Cell. Mol. Life Sci.</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2014</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71</w:t>
      </w:r>
      <w:r w:rsidRPr="00E26C61">
        <w:rPr>
          <w:rFonts w:ascii="Palatino Linotype" w:hAnsi="Palatino Linotype"/>
          <w:noProof/>
          <w:sz w:val="18"/>
          <w:szCs w:val="24"/>
        </w:rPr>
        <w:t>, 2577–2604.</w:t>
      </w:r>
    </w:p>
    <w:p w14:paraId="1EEE468F"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38. </w:t>
      </w:r>
      <w:r w:rsidRPr="00E26C61">
        <w:rPr>
          <w:rFonts w:ascii="Palatino Linotype" w:hAnsi="Palatino Linotype"/>
          <w:noProof/>
          <w:sz w:val="18"/>
          <w:szCs w:val="24"/>
        </w:rPr>
        <w:tab/>
        <w:t xml:space="preserve">Hu, J.; Nie, Y.; Chen, S.; Xie, C.; Fan, Q.; Wang, Z.; Long, B.; Yan, G.; Zhong, Q.; Yan, X. Leucine reduces reactive oxygen species levels via an energy metabolism switch by activation of the mTOR-HIF-1α pathway in porcine intestinal epithelial cells. </w:t>
      </w:r>
      <w:r w:rsidRPr="00E26C61">
        <w:rPr>
          <w:rFonts w:ascii="Palatino Linotype" w:hAnsi="Palatino Linotype"/>
          <w:i/>
          <w:iCs/>
          <w:noProof/>
          <w:sz w:val="18"/>
          <w:szCs w:val="24"/>
        </w:rPr>
        <w:t>Int. J. Biochem. Cell Biol.</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2017</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89</w:t>
      </w:r>
      <w:r w:rsidRPr="00E26C61">
        <w:rPr>
          <w:rFonts w:ascii="Palatino Linotype" w:hAnsi="Palatino Linotype"/>
          <w:noProof/>
          <w:sz w:val="18"/>
          <w:szCs w:val="24"/>
        </w:rPr>
        <w:t>, 42–56.</w:t>
      </w:r>
    </w:p>
    <w:p w14:paraId="3615A4EE"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39. </w:t>
      </w:r>
      <w:r w:rsidRPr="00E26C61">
        <w:rPr>
          <w:rFonts w:ascii="Palatino Linotype" w:hAnsi="Palatino Linotype"/>
          <w:noProof/>
          <w:sz w:val="18"/>
          <w:szCs w:val="24"/>
        </w:rPr>
        <w:tab/>
        <w:t xml:space="preserve">Cojocaru, E.; Filip, N.; Ungureanu, C.; Filip, C.; Danciu, M. Effects of Valine and Leucine on Some Antioxidant Enzymes in Hypercholesterolemic Rats. </w:t>
      </w:r>
      <w:r w:rsidRPr="00E26C61">
        <w:rPr>
          <w:rFonts w:ascii="Palatino Linotype" w:hAnsi="Palatino Linotype"/>
          <w:i/>
          <w:iCs/>
          <w:noProof/>
          <w:sz w:val="18"/>
          <w:szCs w:val="24"/>
        </w:rPr>
        <w:t>Health (Irvine. Calif).</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2014</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06</w:t>
      </w:r>
      <w:r w:rsidRPr="00E26C61">
        <w:rPr>
          <w:rFonts w:ascii="Palatino Linotype" w:hAnsi="Palatino Linotype"/>
          <w:noProof/>
          <w:sz w:val="18"/>
          <w:szCs w:val="24"/>
        </w:rPr>
        <w:t>, 2313–2321.</w:t>
      </w:r>
    </w:p>
    <w:p w14:paraId="77651526"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40. </w:t>
      </w:r>
      <w:r w:rsidRPr="00E26C61">
        <w:rPr>
          <w:rFonts w:ascii="Palatino Linotype" w:hAnsi="Palatino Linotype"/>
          <w:noProof/>
          <w:sz w:val="18"/>
          <w:szCs w:val="24"/>
        </w:rPr>
        <w:tab/>
      </w:r>
      <w:r w:rsidRPr="00F84F07">
        <w:rPr>
          <w:rFonts w:ascii="Palatino Linotype" w:hAnsi="Palatino Linotype"/>
          <w:noProof/>
          <w:sz w:val="18"/>
          <w:szCs w:val="24"/>
        </w:rPr>
        <w:t xml:space="preserve">Lieberman, A.P.; Puertollano, R.; Raben, N.; Slaugenhaupt, S.; Walkley, S.U.; Ballabio, A. Autophagy in lysosomal storage disorders. </w:t>
      </w:r>
      <w:r w:rsidRPr="00F84F07">
        <w:rPr>
          <w:rFonts w:ascii="Palatino Linotype" w:hAnsi="Palatino Linotype"/>
          <w:i/>
          <w:iCs/>
          <w:noProof/>
          <w:sz w:val="18"/>
          <w:szCs w:val="24"/>
        </w:rPr>
        <w:t>Autophagy</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2012</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8</w:t>
      </w:r>
      <w:r w:rsidRPr="00F84F07">
        <w:rPr>
          <w:rFonts w:ascii="Palatino Linotype" w:hAnsi="Palatino Linotype"/>
          <w:noProof/>
          <w:sz w:val="18"/>
          <w:szCs w:val="24"/>
        </w:rPr>
        <w:t>, 719–730.</w:t>
      </w:r>
    </w:p>
    <w:p w14:paraId="7BE95913"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41. </w:t>
      </w:r>
      <w:r w:rsidRPr="00F84F07">
        <w:rPr>
          <w:rFonts w:ascii="Palatino Linotype" w:hAnsi="Palatino Linotype"/>
          <w:noProof/>
          <w:sz w:val="18"/>
          <w:szCs w:val="24"/>
        </w:rPr>
        <w:tab/>
        <w:t xml:space="preserve">Nagamori, S.; Wiriyasermkul, P.; Okuda, S.; Kojima, N.; Hari, Y.; Kiyonaka, S.; Mori, Y.; Tominaga, H.; Ohgaki, R.; Kanai, Y. Structure-activity relations of leucine derivatives reveal critical moieties for cellular uptake and activation of mTORC1-mediated signaling. </w:t>
      </w:r>
      <w:r w:rsidRPr="00F84F07">
        <w:rPr>
          <w:rFonts w:ascii="Palatino Linotype" w:hAnsi="Palatino Linotype"/>
          <w:i/>
          <w:iCs/>
          <w:noProof/>
          <w:sz w:val="18"/>
          <w:szCs w:val="24"/>
        </w:rPr>
        <w:t>Amino Acids</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2016</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48</w:t>
      </w:r>
      <w:r w:rsidRPr="00F84F07">
        <w:rPr>
          <w:rFonts w:ascii="Palatino Linotype" w:hAnsi="Palatino Linotype"/>
          <w:noProof/>
          <w:sz w:val="18"/>
          <w:szCs w:val="24"/>
        </w:rPr>
        <w:t>, 1045–1058.</w:t>
      </w:r>
    </w:p>
    <w:p w14:paraId="420B1AEC"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42. </w:t>
      </w:r>
      <w:r w:rsidRPr="00F84F07">
        <w:rPr>
          <w:rFonts w:ascii="Palatino Linotype" w:hAnsi="Palatino Linotype"/>
          <w:noProof/>
          <w:sz w:val="18"/>
          <w:szCs w:val="24"/>
        </w:rPr>
        <w:tab/>
        <w:t xml:space="preserve">Wolfson, R.L.; Chantranupong, L.; Saxton, R.A.; Shen, K.; Scaria, S.M.; Cantor, J.R.; Sabatini, D.M. Sestrin2 is a leucine sensor for the mTORC1 pathway. </w:t>
      </w:r>
      <w:r w:rsidRPr="00F84F07">
        <w:rPr>
          <w:rFonts w:ascii="Palatino Linotype" w:hAnsi="Palatino Linotype"/>
          <w:i/>
          <w:iCs/>
          <w:noProof/>
          <w:sz w:val="18"/>
          <w:szCs w:val="24"/>
        </w:rPr>
        <w:t>Science (80-. ).</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2016</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351</w:t>
      </w:r>
      <w:r w:rsidRPr="00F84F07">
        <w:rPr>
          <w:rFonts w:ascii="Palatino Linotype" w:hAnsi="Palatino Linotype"/>
          <w:noProof/>
          <w:sz w:val="18"/>
          <w:szCs w:val="24"/>
        </w:rPr>
        <w:t>, 43–48.</w:t>
      </w:r>
    </w:p>
    <w:p w14:paraId="3F14B4AA"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43. </w:t>
      </w:r>
      <w:r w:rsidRPr="00F84F07">
        <w:rPr>
          <w:rFonts w:ascii="Palatino Linotype" w:hAnsi="Palatino Linotype"/>
          <w:noProof/>
          <w:sz w:val="18"/>
          <w:szCs w:val="24"/>
        </w:rPr>
        <w:tab/>
        <w:t xml:space="preserve">Ou, L.; Przybilla, M.J.; Whitley, C.B. Metabolomics profiling reveals profound metabolic impairments in mice and patients with Sandhoff disease. </w:t>
      </w:r>
      <w:r w:rsidRPr="00F84F07">
        <w:rPr>
          <w:rFonts w:ascii="Palatino Linotype" w:hAnsi="Palatino Linotype"/>
          <w:i/>
          <w:iCs/>
          <w:noProof/>
          <w:sz w:val="18"/>
          <w:szCs w:val="24"/>
        </w:rPr>
        <w:t>Mol. Genet. Metab.</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2018</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123</w:t>
      </w:r>
      <w:r w:rsidRPr="00F84F07">
        <w:rPr>
          <w:rFonts w:ascii="Palatino Linotype" w:hAnsi="Palatino Linotype"/>
          <w:noProof/>
          <w:sz w:val="18"/>
          <w:szCs w:val="24"/>
        </w:rPr>
        <w:t>, 0–5.</w:t>
      </w:r>
    </w:p>
    <w:p w14:paraId="1863AAF0"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44. </w:t>
      </w:r>
      <w:r w:rsidRPr="00F84F07">
        <w:rPr>
          <w:rFonts w:ascii="Palatino Linotype" w:hAnsi="Palatino Linotype"/>
          <w:noProof/>
          <w:sz w:val="18"/>
          <w:szCs w:val="24"/>
        </w:rPr>
        <w:tab/>
        <w:t xml:space="preserve">Murphy, M.P. How mitochondria produce reactive oxygen species. </w:t>
      </w:r>
      <w:r w:rsidRPr="00F84F07">
        <w:rPr>
          <w:rFonts w:ascii="Palatino Linotype" w:hAnsi="Palatino Linotype"/>
          <w:i/>
          <w:iCs/>
          <w:noProof/>
          <w:sz w:val="18"/>
          <w:szCs w:val="24"/>
        </w:rPr>
        <w:t>Biochem. J.</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2009</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417</w:t>
      </w:r>
      <w:r w:rsidRPr="00F84F07">
        <w:rPr>
          <w:rFonts w:ascii="Palatino Linotype" w:hAnsi="Palatino Linotype"/>
          <w:noProof/>
          <w:sz w:val="18"/>
          <w:szCs w:val="24"/>
        </w:rPr>
        <w:t>, 1–13.</w:t>
      </w:r>
    </w:p>
    <w:p w14:paraId="42A1701C"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45. </w:t>
      </w:r>
      <w:r w:rsidRPr="00F84F07">
        <w:rPr>
          <w:rFonts w:ascii="Palatino Linotype" w:hAnsi="Palatino Linotype"/>
          <w:noProof/>
          <w:sz w:val="18"/>
          <w:szCs w:val="24"/>
        </w:rPr>
        <w:tab/>
        <w:t xml:space="preserve">Liu, Z.; Zhou, T.; Ziegler, A.C.; Dimitrion, P.; Zuo, L. Oxidative Stress in Neurodegenerative Diseases: From Molecular Mechanisms to Clinical Applications. </w:t>
      </w:r>
      <w:r w:rsidRPr="00F84F07">
        <w:rPr>
          <w:rFonts w:ascii="Palatino Linotype" w:hAnsi="Palatino Linotype"/>
          <w:i/>
          <w:iCs/>
          <w:noProof/>
          <w:sz w:val="18"/>
          <w:szCs w:val="24"/>
        </w:rPr>
        <w:t>Oxid. Med. Cell. Longev.</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2017</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2017</w:t>
      </w:r>
      <w:r w:rsidRPr="00F84F07">
        <w:rPr>
          <w:rFonts w:ascii="Palatino Linotype" w:hAnsi="Palatino Linotype"/>
          <w:noProof/>
          <w:sz w:val="18"/>
          <w:szCs w:val="24"/>
        </w:rPr>
        <w:t>.</w:t>
      </w:r>
    </w:p>
    <w:p w14:paraId="4656C17B"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46. </w:t>
      </w:r>
      <w:r w:rsidRPr="00F84F07">
        <w:rPr>
          <w:rFonts w:ascii="Palatino Linotype" w:hAnsi="Palatino Linotype"/>
          <w:noProof/>
          <w:sz w:val="18"/>
          <w:szCs w:val="24"/>
        </w:rPr>
        <w:tab/>
        <w:t xml:space="preserve">Jeyakumar, M.; Thomas, R.; Elliot-Smith, E.; Smith, D.A.; Van der Spoel, A.C.; D’Azzo, A.; Perry, V.H.; Butters, T.D.; Dwek, R.A.; Platt, F.M. Central nervous system inflammation is a hallmark of pathogenesis in mouse models of GM1 and GM2 gangliosidosis. </w:t>
      </w:r>
      <w:r w:rsidRPr="00F84F07">
        <w:rPr>
          <w:rFonts w:ascii="Palatino Linotype" w:hAnsi="Palatino Linotype"/>
          <w:i/>
          <w:iCs/>
          <w:noProof/>
          <w:sz w:val="18"/>
          <w:szCs w:val="24"/>
        </w:rPr>
        <w:t>Brain</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2003</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126</w:t>
      </w:r>
      <w:r w:rsidRPr="00F84F07">
        <w:rPr>
          <w:rFonts w:ascii="Palatino Linotype" w:hAnsi="Palatino Linotype"/>
          <w:noProof/>
          <w:sz w:val="18"/>
          <w:szCs w:val="24"/>
        </w:rPr>
        <w:t>, 974–987.</w:t>
      </w:r>
    </w:p>
    <w:p w14:paraId="09496753"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47. </w:t>
      </w:r>
      <w:r w:rsidRPr="00F84F07">
        <w:rPr>
          <w:rFonts w:ascii="Palatino Linotype" w:hAnsi="Palatino Linotype"/>
          <w:noProof/>
          <w:sz w:val="18"/>
          <w:szCs w:val="24"/>
        </w:rPr>
        <w:tab/>
        <w:t xml:space="preserve">Liu, R.; Li, H.; Fan, W.; Jin, Q.; Chao, T.; Wu, Y.; Huang, J.; Hao, L.; Yang, X. Leucine supplementation differently modulates branched-chain amino acid catabolism, mitochondrial function and metabolic profiles at the different stage of insulin resistance in rats on high-fat diet. </w:t>
      </w:r>
      <w:r w:rsidRPr="00F84F07">
        <w:rPr>
          <w:rFonts w:ascii="Palatino Linotype" w:hAnsi="Palatino Linotype"/>
          <w:i/>
          <w:iCs/>
          <w:noProof/>
          <w:sz w:val="18"/>
          <w:szCs w:val="24"/>
        </w:rPr>
        <w:t>Nutrients</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2017</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9</w:t>
      </w:r>
      <w:r w:rsidRPr="00F84F07">
        <w:rPr>
          <w:rFonts w:ascii="Palatino Linotype" w:hAnsi="Palatino Linotype"/>
          <w:noProof/>
          <w:sz w:val="18"/>
          <w:szCs w:val="24"/>
        </w:rPr>
        <w:t>, 565–575.</w:t>
      </w:r>
    </w:p>
    <w:p w14:paraId="600D943F"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48. </w:t>
      </w:r>
      <w:r w:rsidRPr="00F84F07">
        <w:rPr>
          <w:rFonts w:ascii="Palatino Linotype" w:hAnsi="Palatino Linotype"/>
          <w:noProof/>
          <w:sz w:val="18"/>
          <w:szCs w:val="24"/>
        </w:rPr>
        <w:tab/>
        <w:t>Zheng, X.; Boyer, L.; Jin, M.; Mertens, J.; Kim, Y.; Ma, L.; Ma, L.; Hamm, M.; Gage, F.H.; Hunter,</w:t>
      </w:r>
      <w:r w:rsidRPr="00E26C61">
        <w:rPr>
          <w:rFonts w:ascii="Palatino Linotype" w:hAnsi="Palatino Linotype"/>
          <w:noProof/>
          <w:sz w:val="18"/>
          <w:szCs w:val="24"/>
        </w:rPr>
        <w:t xml:space="preserve"> T. </w:t>
      </w:r>
      <w:r w:rsidRPr="00E26C61">
        <w:rPr>
          <w:rFonts w:ascii="Palatino Linotype" w:hAnsi="Palatino Linotype"/>
          <w:noProof/>
          <w:sz w:val="18"/>
          <w:szCs w:val="24"/>
        </w:rPr>
        <w:lastRenderedPageBreak/>
        <w:t xml:space="preserve">Metabolic reprogramming during neuronal differentiation from aerobic glycolysis to neuronal oxidative phosphorylation. </w:t>
      </w:r>
      <w:r w:rsidRPr="00E26C61">
        <w:rPr>
          <w:rFonts w:ascii="Palatino Linotype" w:hAnsi="Palatino Linotype"/>
          <w:i/>
          <w:iCs/>
          <w:noProof/>
          <w:sz w:val="18"/>
          <w:szCs w:val="24"/>
        </w:rPr>
        <w:t>Elife</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2016</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5</w:t>
      </w:r>
      <w:r w:rsidRPr="00E26C61">
        <w:rPr>
          <w:rFonts w:ascii="Palatino Linotype" w:hAnsi="Palatino Linotype"/>
          <w:noProof/>
          <w:sz w:val="18"/>
          <w:szCs w:val="24"/>
        </w:rPr>
        <w:t>, 1–25.</w:t>
      </w:r>
    </w:p>
    <w:p w14:paraId="03FD1E77"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49. </w:t>
      </w:r>
      <w:r w:rsidRPr="00E26C61">
        <w:rPr>
          <w:rFonts w:ascii="Palatino Linotype" w:hAnsi="Palatino Linotype"/>
          <w:noProof/>
          <w:sz w:val="18"/>
          <w:szCs w:val="24"/>
        </w:rPr>
        <w:tab/>
        <w:t xml:space="preserve">Vary, T.C. Sepsis-induced alterations in pyruvate dehydrogenase complex activity in rat skeletal muscle: Effects on plasma lactate. </w:t>
      </w:r>
      <w:r w:rsidRPr="00E26C61">
        <w:rPr>
          <w:rFonts w:ascii="Palatino Linotype" w:hAnsi="Palatino Linotype"/>
          <w:i/>
          <w:iCs/>
          <w:noProof/>
          <w:sz w:val="18"/>
          <w:szCs w:val="24"/>
        </w:rPr>
        <w:t>Shock</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1996</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2</w:t>
      </w:r>
      <w:r w:rsidRPr="00E26C61">
        <w:rPr>
          <w:rFonts w:ascii="Palatino Linotype" w:hAnsi="Palatino Linotype"/>
          <w:noProof/>
          <w:sz w:val="18"/>
          <w:szCs w:val="24"/>
        </w:rPr>
        <w:t>, 89–94.</w:t>
      </w:r>
    </w:p>
    <w:p w14:paraId="20866C16"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50. </w:t>
      </w:r>
      <w:r w:rsidRPr="00E26C61">
        <w:rPr>
          <w:rFonts w:ascii="Palatino Linotype" w:hAnsi="Palatino Linotype"/>
          <w:noProof/>
          <w:sz w:val="18"/>
          <w:szCs w:val="24"/>
        </w:rPr>
        <w:tab/>
        <w:t xml:space="preserve">Patel, M.S.; Korotchkina, L.G. Regulation of mammalian pyruvate dehydrogenase complex by phosphorylation: complexity of multiple phosphorylation sites and kinases. </w:t>
      </w:r>
      <w:r w:rsidRPr="00E26C61">
        <w:rPr>
          <w:rFonts w:ascii="Palatino Linotype" w:hAnsi="Palatino Linotype"/>
          <w:i/>
          <w:iCs/>
          <w:noProof/>
          <w:sz w:val="18"/>
          <w:szCs w:val="24"/>
        </w:rPr>
        <w:t>Exp. Mol. Med.</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2001</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33</w:t>
      </w:r>
      <w:r w:rsidRPr="00E26C61">
        <w:rPr>
          <w:rFonts w:ascii="Palatino Linotype" w:hAnsi="Palatino Linotype"/>
          <w:noProof/>
          <w:sz w:val="18"/>
          <w:szCs w:val="24"/>
        </w:rPr>
        <w:t>, 191–197.</w:t>
      </w:r>
    </w:p>
    <w:p w14:paraId="5FED4BF3" w14:textId="7F70BA4B"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51. </w:t>
      </w:r>
      <w:r w:rsidRPr="00E26C61">
        <w:rPr>
          <w:rFonts w:ascii="Palatino Linotype" w:hAnsi="Palatino Linotype"/>
          <w:noProof/>
          <w:sz w:val="18"/>
          <w:szCs w:val="24"/>
        </w:rPr>
        <w:tab/>
        <w:t xml:space="preserve">Mariño, G.; Pietrocola, F.; Eisenberg, T.; Kong, Y.; Malik, S.A.; Andryushkova, A.; Schroeder, S.; Pendl, T.; Harger, A.; Niso-Santano, M.; et al. Regulation of </w:t>
      </w:r>
      <w:r w:rsidR="00DC5116">
        <w:rPr>
          <w:rFonts w:ascii="Palatino Linotype" w:hAnsi="Palatino Linotype"/>
          <w:noProof/>
          <w:sz w:val="18"/>
          <w:szCs w:val="24"/>
        </w:rPr>
        <w:t>a</w:t>
      </w:r>
      <w:r w:rsidRPr="00E26C61">
        <w:rPr>
          <w:rFonts w:ascii="Palatino Linotype" w:hAnsi="Palatino Linotype"/>
          <w:noProof/>
          <w:sz w:val="18"/>
          <w:szCs w:val="24"/>
        </w:rPr>
        <w:t xml:space="preserve">utophagy by </w:t>
      </w:r>
      <w:r w:rsidR="00DC5116">
        <w:rPr>
          <w:rFonts w:ascii="Palatino Linotype" w:hAnsi="Palatino Linotype"/>
          <w:noProof/>
          <w:sz w:val="18"/>
          <w:szCs w:val="24"/>
        </w:rPr>
        <w:t>c</w:t>
      </w:r>
      <w:r w:rsidRPr="00E26C61">
        <w:rPr>
          <w:rFonts w:ascii="Palatino Linotype" w:hAnsi="Palatino Linotype"/>
          <w:noProof/>
          <w:sz w:val="18"/>
          <w:szCs w:val="24"/>
        </w:rPr>
        <w:t xml:space="preserve">ytosolic Acetyl-Coenzyme A. </w:t>
      </w:r>
      <w:r w:rsidRPr="00E26C61">
        <w:rPr>
          <w:rFonts w:ascii="Palatino Linotype" w:hAnsi="Palatino Linotype"/>
          <w:i/>
          <w:iCs/>
          <w:noProof/>
          <w:sz w:val="18"/>
          <w:szCs w:val="24"/>
        </w:rPr>
        <w:t xml:space="preserve">Mol. </w:t>
      </w:r>
      <w:r w:rsidRPr="00F84F07">
        <w:rPr>
          <w:rFonts w:ascii="Palatino Linotype" w:hAnsi="Palatino Linotype"/>
          <w:i/>
          <w:iCs/>
          <w:noProof/>
          <w:sz w:val="18"/>
          <w:szCs w:val="24"/>
        </w:rPr>
        <w:t>Cell</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2014</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53</w:t>
      </w:r>
      <w:r w:rsidRPr="00F84F07">
        <w:rPr>
          <w:rFonts w:ascii="Palatino Linotype" w:hAnsi="Palatino Linotype"/>
          <w:noProof/>
          <w:sz w:val="18"/>
          <w:szCs w:val="24"/>
        </w:rPr>
        <w:t>, 710–725.</w:t>
      </w:r>
    </w:p>
    <w:p w14:paraId="2D879FD1" w14:textId="77777777" w:rsidR="00E26C61" w:rsidRPr="00F84F07"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52. </w:t>
      </w:r>
      <w:r w:rsidRPr="00F84F07">
        <w:rPr>
          <w:rFonts w:ascii="Palatino Linotype" w:hAnsi="Palatino Linotype"/>
          <w:noProof/>
          <w:sz w:val="18"/>
          <w:szCs w:val="24"/>
        </w:rPr>
        <w:tab/>
        <w:t xml:space="preserve">Hardie, D.G. Sensing of energy and nutrients by AMP-activated protein kinase. </w:t>
      </w:r>
      <w:r w:rsidRPr="00F84F07">
        <w:rPr>
          <w:rFonts w:ascii="Palatino Linotype" w:hAnsi="Palatino Linotype"/>
          <w:i/>
          <w:iCs/>
          <w:noProof/>
          <w:sz w:val="18"/>
          <w:szCs w:val="24"/>
        </w:rPr>
        <w:t>Am. J. Clin. Nutr.</w:t>
      </w:r>
      <w:r w:rsidRPr="00F84F07">
        <w:rPr>
          <w:rFonts w:ascii="Palatino Linotype" w:hAnsi="Palatino Linotype"/>
          <w:noProof/>
          <w:sz w:val="18"/>
          <w:szCs w:val="24"/>
        </w:rPr>
        <w:t xml:space="preserve"> </w:t>
      </w:r>
      <w:r w:rsidRPr="00F84F07">
        <w:rPr>
          <w:rFonts w:ascii="Palatino Linotype" w:hAnsi="Palatino Linotype"/>
          <w:b/>
          <w:bCs/>
          <w:noProof/>
          <w:sz w:val="18"/>
          <w:szCs w:val="24"/>
        </w:rPr>
        <w:t>2011</w:t>
      </w:r>
      <w:r w:rsidRPr="00F84F07">
        <w:rPr>
          <w:rFonts w:ascii="Palatino Linotype" w:hAnsi="Palatino Linotype"/>
          <w:noProof/>
          <w:sz w:val="18"/>
          <w:szCs w:val="24"/>
        </w:rPr>
        <w:t xml:space="preserve">, </w:t>
      </w:r>
      <w:r w:rsidRPr="00F84F07">
        <w:rPr>
          <w:rFonts w:ascii="Palatino Linotype" w:hAnsi="Palatino Linotype"/>
          <w:i/>
          <w:iCs/>
          <w:noProof/>
          <w:sz w:val="18"/>
          <w:szCs w:val="24"/>
        </w:rPr>
        <w:t>93</w:t>
      </w:r>
      <w:r w:rsidRPr="00F84F07">
        <w:rPr>
          <w:rFonts w:ascii="Palatino Linotype" w:hAnsi="Palatino Linotype"/>
          <w:noProof/>
          <w:sz w:val="18"/>
          <w:szCs w:val="24"/>
        </w:rPr>
        <w:t>, 891–896.</w:t>
      </w:r>
    </w:p>
    <w:p w14:paraId="470AD60A"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F84F07">
        <w:rPr>
          <w:rFonts w:ascii="Palatino Linotype" w:hAnsi="Palatino Linotype"/>
          <w:noProof/>
          <w:sz w:val="18"/>
          <w:szCs w:val="24"/>
        </w:rPr>
        <w:t xml:space="preserve">53. </w:t>
      </w:r>
      <w:r w:rsidRPr="00F84F07">
        <w:rPr>
          <w:rFonts w:ascii="Palatino Linotype" w:hAnsi="Palatino Linotype"/>
          <w:noProof/>
          <w:sz w:val="18"/>
          <w:szCs w:val="24"/>
        </w:rPr>
        <w:tab/>
        <w:t>Wu, S.B.; Wei, Y.H.</w:t>
      </w:r>
      <w:r w:rsidRPr="00E26C61">
        <w:rPr>
          <w:rFonts w:ascii="Palatino Linotype" w:hAnsi="Palatino Linotype"/>
          <w:noProof/>
          <w:sz w:val="18"/>
          <w:szCs w:val="24"/>
        </w:rPr>
        <w:t xml:space="preserve"> AMPK-mediated increase of glycolysis as an adaptive response to oxidative stress in human cells: Implication of the cell survival in mitochondrial diseases. </w:t>
      </w:r>
      <w:r w:rsidRPr="00E26C61">
        <w:rPr>
          <w:rFonts w:ascii="Palatino Linotype" w:hAnsi="Palatino Linotype"/>
          <w:i/>
          <w:iCs/>
          <w:noProof/>
          <w:sz w:val="18"/>
          <w:szCs w:val="24"/>
        </w:rPr>
        <w:t>Biochim. Biophys. Acta - Mol. Basis Dis.</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2012</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1822</w:t>
      </w:r>
      <w:r w:rsidRPr="00E26C61">
        <w:rPr>
          <w:rFonts w:ascii="Palatino Linotype" w:hAnsi="Palatino Linotype"/>
          <w:noProof/>
          <w:sz w:val="18"/>
          <w:szCs w:val="24"/>
        </w:rPr>
        <w:t>, 233–247.</w:t>
      </w:r>
    </w:p>
    <w:p w14:paraId="05C2118E"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szCs w:val="24"/>
        </w:rPr>
      </w:pPr>
      <w:r w:rsidRPr="00E26C61">
        <w:rPr>
          <w:rFonts w:ascii="Palatino Linotype" w:hAnsi="Palatino Linotype"/>
          <w:noProof/>
          <w:sz w:val="18"/>
          <w:szCs w:val="24"/>
        </w:rPr>
        <w:t xml:space="preserve">54. </w:t>
      </w:r>
      <w:r w:rsidRPr="00E26C61">
        <w:rPr>
          <w:rFonts w:ascii="Palatino Linotype" w:hAnsi="Palatino Linotype"/>
          <w:noProof/>
          <w:sz w:val="18"/>
          <w:szCs w:val="24"/>
        </w:rPr>
        <w:tab/>
        <w:t xml:space="preserve">Chaube, B.; Malvi, P.; Singh, S. V.; Mohammad, N.; Viollet, B.; Bhat, M.K. AMPK maintains energy homeostasis and survival in cancer cells via regulating p38/PGC-1α-mediated mitochondrial biogenesis. </w:t>
      </w:r>
      <w:r w:rsidRPr="00E26C61">
        <w:rPr>
          <w:rFonts w:ascii="Palatino Linotype" w:hAnsi="Palatino Linotype"/>
          <w:i/>
          <w:iCs/>
          <w:noProof/>
          <w:sz w:val="18"/>
          <w:szCs w:val="24"/>
        </w:rPr>
        <w:t>Cell Death Discov.</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2015</w:t>
      </w:r>
      <w:r w:rsidRPr="00E26C61">
        <w:rPr>
          <w:rFonts w:ascii="Palatino Linotype" w:hAnsi="Palatino Linotype"/>
          <w:noProof/>
          <w:sz w:val="18"/>
          <w:szCs w:val="24"/>
        </w:rPr>
        <w:t>, 15063.</w:t>
      </w:r>
    </w:p>
    <w:p w14:paraId="012838DA" w14:textId="77777777" w:rsidR="00E26C61" w:rsidRPr="00E26C61" w:rsidRDefault="00E26C61" w:rsidP="00E26C61">
      <w:pPr>
        <w:widowControl w:val="0"/>
        <w:autoSpaceDE w:val="0"/>
        <w:autoSpaceDN w:val="0"/>
        <w:adjustRightInd w:val="0"/>
        <w:spacing w:line="240" w:lineRule="atLeast"/>
        <w:ind w:left="640" w:hanging="640"/>
        <w:rPr>
          <w:rFonts w:ascii="Palatino Linotype" w:hAnsi="Palatino Linotype"/>
          <w:noProof/>
          <w:sz w:val="18"/>
        </w:rPr>
      </w:pPr>
      <w:r w:rsidRPr="00E26C61">
        <w:rPr>
          <w:rFonts w:ascii="Palatino Linotype" w:hAnsi="Palatino Linotype"/>
          <w:noProof/>
          <w:sz w:val="18"/>
          <w:szCs w:val="24"/>
        </w:rPr>
        <w:t xml:space="preserve">55. </w:t>
      </w:r>
      <w:r w:rsidRPr="00E26C61">
        <w:rPr>
          <w:rFonts w:ascii="Palatino Linotype" w:hAnsi="Palatino Linotype"/>
          <w:noProof/>
          <w:sz w:val="18"/>
          <w:szCs w:val="24"/>
        </w:rPr>
        <w:tab/>
        <w:t xml:space="preserve">Bruckbauer, A.; Zemel, M.B. Synergistic effects of metformin, resveratrol, and hydroxymethylbutyrate on insulin sensitivity. </w:t>
      </w:r>
      <w:r w:rsidRPr="00E26C61">
        <w:rPr>
          <w:rFonts w:ascii="Palatino Linotype" w:hAnsi="Palatino Linotype"/>
          <w:i/>
          <w:iCs/>
          <w:noProof/>
          <w:sz w:val="18"/>
          <w:szCs w:val="24"/>
        </w:rPr>
        <w:t>Diabetes, Metab. Syndr. Obes. Targets Ther.</w:t>
      </w:r>
      <w:r w:rsidRPr="00E26C61">
        <w:rPr>
          <w:rFonts w:ascii="Palatino Linotype" w:hAnsi="Palatino Linotype"/>
          <w:noProof/>
          <w:sz w:val="18"/>
          <w:szCs w:val="24"/>
        </w:rPr>
        <w:t xml:space="preserve"> </w:t>
      </w:r>
      <w:r w:rsidRPr="00E26C61">
        <w:rPr>
          <w:rFonts w:ascii="Palatino Linotype" w:hAnsi="Palatino Linotype"/>
          <w:b/>
          <w:bCs/>
          <w:noProof/>
          <w:sz w:val="18"/>
          <w:szCs w:val="24"/>
        </w:rPr>
        <w:t>2013</w:t>
      </w:r>
      <w:r w:rsidRPr="00E26C61">
        <w:rPr>
          <w:rFonts w:ascii="Palatino Linotype" w:hAnsi="Palatino Linotype"/>
          <w:noProof/>
          <w:sz w:val="18"/>
          <w:szCs w:val="24"/>
        </w:rPr>
        <w:t xml:space="preserve">, </w:t>
      </w:r>
      <w:r w:rsidRPr="00E26C61">
        <w:rPr>
          <w:rFonts w:ascii="Palatino Linotype" w:hAnsi="Palatino Linotype"/>
          <w:i/>
          <w:iCs/>
          <w:noProof/>
          <w:sz w:val="18"/>
          <w:szCs w:val="24"/>
        </w:rPr>
        <w:t>6</w:t>
      </w:r>
      <w:r w:rsidRPr="00E26C61">
        <w:rPr>
          <w:rFonts w:ascii="Palatino Linotype" w:hAnsi="Palatino Linotype"/>
          <w:noProof/>
          <w:sz w:val="18"/>
          <w:szCs w:val="24"/>
        </w:rPr>
        <w:t>, 93–102.</w:t>
      </w:r>
    </w:p>
    <w:p w14:paraId="4DE91084" w14:textId="36CAA3EA" w:rsidR="00853B85" w:rsidRPr="00B459E7" w:rsidRDefault="00853B85" w:rsidP="00E26C61">
      <w:pPr>
        <w:widowControl w:val="0"/>
        <w:autoSpaceDE w:val="0"/>
        <w:autoSpaceDN w:val="0"/>
        <w:adjustRightInd w:val="0"/>
        <w:spacing w:line="240" w:lineRule="atLeast"/>
        <w:ind w:left="640" w:hanging="640"/>
        <w:rPr>
          <w:rFonts w:ascii="Palatino Linotype" w:hAnsi="Palatino Linotype"/>
          <w:sz w:val="18"/>
          <w:lang w:val="en-GB"/>
        </w:rPr>
      </w:pPr>
    </w:p>
    <w:tbl>
      <w:tblPr>
        <w:tblW w:w="0" w:type="auto"/>
        <w:jc w:val="center"/>
        <w:tblLook w:val="04A0" w:firstRow="1" w:lastRow="0" w:firstColumn="1" w:lastColumn="0" w:noHBand="0" w:noVBand="1"/>
      </w:tblPr>
      <w:tblGrid>
        <w:gridCol w:w="1700"/>
        <w:gridCol w:w="7149"/>
      </w:tblGrid>
      <w:tr w:rsidR="00853B85" w:rsidRPr="00B459E7" w14:paraId="7C1CE4D3" w14:textId="77777777" w:rsidTr="007018DC">
        <w:trPr>
          <w:jc w:val="center"/>
        </w:trPr>
        <w:tc>
          <w:tcPr>
            <w:tcW w:w="0" w:type="auto"/>
            <w:shd w:val="clear" w:color="auto" w:fill="auto"/>
            <w:vAlign w:val="center"/>
          </w:tcPr>
          <w:p w14:paraId="012B76E4" w14:textId="77777777" w:rsidR="00853B85" w:rsidRPr="00B459E7" w:rsidRDefault="00421196" w:rsidP="00980FA3">
            <w:pPr>
              <w:pStyle w:val="MDPI71References"/>
              <w:numPr>
                <w:ilvl w:val="0"/>
                <w:numId w:val="0"/>
              </w:numPr>
              <w:adjustRightInd w:val="0"/>
              <w:snapToGrid w:val="0"/>
              <w:spacing w:line="240" w:lineRule="auto"/>
              <w:ind w:left="-85"/>
              <w:rPr>
                <w:rFonts w:eastAsia="SimSun"/>
                <w:bCs/>
                <w:lang w:val="en-GB"/>
              </w:rPr>
            </w:pPr>
            <w:r w:rsidRPr="00B459E7">
              <w:rPr>
                <w:rFonts w:eastAsia="SimSun"/>
                <w:bCs/>
                <w:noProof/>
                <w:snapToGrid/>
                <w:lang w:eastAsia="zh-CN" w:bidi="ar-SA"/>
              </w:rPr>
              <w:drawing>
                <wp:inline distT="0" distB="0" distL="0" distR="0" wp14:anchorId="0E4D84C2" wp14:editId="4EEAB18F">
                  <wp:extent cx="996315" cy="359410"/>
                  <wp:effectExtent l="0" t="0" r="0" b="0"/>
                  <wp:docPr id="2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6315" cy="359410"/>
                          </a:xfrm>
                          <a:prstGeom prst="rect">
                            <a:avLst/>
                          </a:prstGeom>
                          <a:noFill/>
                          <a:ln>
                            <a:noFill/>
                          </a:ln>
                        </pic:spPr>
                      </pic:pic>
                    </a:graphicData>
                  </a:graphic>
                </wp:inline>
              </w:drawing>
            </w:r>
          </w:p>
        </w:tc>
        <w:tc>
          <w:tcPr>
            <w:tcW w:w="7149" w:type="dxa"/>
            <w:shd w:val="clear" w:color="auto" w:fill="auto"/>
            <w:vAlign w:val="center"/>
          </w:tcPr>
          <w:p w14:paraId="7B7CC19F" w14:textId="77777777" w:rsidR="00853B85" w:rsidRPr="00B459E7" w:rsidRDefault="00705D61" w:rsidP="00980FA3">
            <w:pPr>
              <w:pStyle w:val="MDPI71References"/>
              <w:numPr>
                <w:ilvl w:val="0"/>
                <w:numId w:val="0"/>
              </w:numPr>
              <w:adjustRightInd w:val="0"/>
              <w:snapToGrid w:val="0"/>
              <w:spacing w:line="240" w:lineRule="auto"/>
              <w:ind w:left="-85"/>
              <w:rPr>
                <w:rFonts w:eastAsia="SimSun"/>
                <w:bCs/>
                <w:lang w:val="en-GB"/>
              </w:rPr>
            </w:pPr>
            <w:r w:rsidRPr="00B459E7">
              <w:rPr>
                <w:rFonts w:eastAsia="SimSun"/>
                <w:bCs/>
                <w:lang w:val="en-GB"/>
              </w:rPr>
              <w:t>© 20</w:t>
            </w:r>
            <w:r w:rsidR="000C0FC2" w:rsidRPr="00B459E7">
              <w:rPr>
                <w:rFonts w:eastAsia="SimSun"/>
                <w:bCs/>
                <w:lang w:val="en-GB"/>
              </w:rPr>
              <w:t>20</w:t>
            </w:r>
            <w:r w:rsidR="00853B85" w:rsidRPr="00B459E7">
              <w:rPr>
                <w:rFonts w:eastAsia="SimSun"/>
                <w:bCs/>
                <w:lang w:val="en-GB"/>
              </w:rPr>
              <w:t xml:space="preserve"> by the authors. Submitted for possible open access publication under the terms and conditions of the Creative Commons Attribution (CC BY) license (http://creativecommons.org/licenses/by/4.0/).</w:t>
            </w:r>
          </w:p>
        </w:tc>
      </w:tr>
    </w:tbl>
    <w:p w14:paraId="7B8365F7" w14:textId="77777777" w:rsidR="00996419" w:rsidRPr="00B459E7" w:rsidRDefault="00996419" w:rsidP="00980FA3">
      <w:pPr>
        <w:pStyle w:val="MDPI71References"/>
        <w:numPr>
          <w:ilvl w:val="0"/>
          <w:numId w:val="0"/>
        </w:numPr>
        <w:adjustRightInd w:val="0"/>
        <w:snapToGrid w:val="0"/>
        <w:spacing w:after="240"/>
        <w:rPr>
          <w:rFonts w:eastAsia="SimSun"/>
          <w:lang w:val="en-GB"/>
        </w:rPr>
      </w:pPr>
    </w:p>
    <w:sectPr w:rsidR="00996419" w:rsidRPr="00B459E7" w:rsidSect="00980FA3">
      <w:headerReference w:type="even" r:id="rId18"/>
      <w:headerReference w:type="default" r:id="rId19"/>
      <w:footerReference w:type="default" r:id="rId20"/>
      <w:headerReference w:type="first" r:id="rId21"/>
      <w:footerReference w:type="first" r:id="rId22"/>
      <w:type w:val="continuous"/>
      <w:pgSz w:w="11906" w:h="16838" w:code="9"/>
      <w:pgMar w:top="1417" w:right="1531" w:bottom="1077" w:left="1531" w:header="1020" w:footer="850" w:gutter="0"/>
      <w:pgNumType w:start="1"/>
      <w:cols w:space="425"/>
      <w:titlePg/>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MDPI" w:date="2020-04-03T14:54:00Z" w:initials="M">
    <w:p w14:paraId="5AC7CB03" w14:textId="14D7C8DC" w:rsidR="007476CB" w:rsidRDefault="007476CB">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Please state manufacturer, city and country from where equipment has been sourced.</w:t>
      </w:r>
    </w:p>
  </w:comment>
  <w:comment w:id="8" w:author="MDPI" w:date="2020-04-07T09:42:00Z" w:initials="M">
    <w:p w14:paraId="5424DEF6" w14:textId="78881216" w:rsidR="00F84F07" w:rsidRDefault="00F84F07">
      <w:pPr>
        <w:pStyle w:val="CommentText"/>
      </w:pPr>
      <w:r>
        <w:rPr>
          <w:rStyle w:val="CommentReference"/>
        </w:rPr>
        <w:annotationRef/>
      </w:r>
      <w:r>
        <w:t>Please confirm</w:t>
      </w:r>
      <w:r w:rsidR="00243764">
        <w:t xml:space="preserve"> </w:t>
      </w:r>
      <w:r w:rsidR="00243764" w:rsidRPr="00243764">
        <w:rPr>
          <w:highlight w:val="yellow"/>
        </w:rPr>
        <w:t>yes</w:t>
      </w:r>
      <w:r w:rsidR="005A6F04">
        <w:rPr>
          <w:highlight w:val="yellow"/>
        </w:rPr>
        <w:t xml:space="preserve"> and added the version (v6)</w:t>
      </w:r>
    </w:p>
  </w:comment>
  <w:comment w:id="10" w:author="Frances Platt" w:date="2020-04-07T09:04:00Z" w:initials="FP">
    <w:p w14:paraId="47F255A3" w14:textId="5FD342B7" w:rsidR="00243764" w:rsidRDefault="00243764">
      <w:pPr>
        <w:pStyle w:val="CommentText"/>
      </w:pPr>
      <w:r>
        <w:rPr>
          <w:rStyle w:val="CommentReference"/>
        </w:rPr>
        <w:annotationRef/>
      </w:r>
      <w:r>
        <w:t>They progressively accumulate GSLs in particular….</w:t>
      </w:r>
    </w:p>
  </w:comment>
  <w:comment w:id="18" w:author="Frances Platt" w:date="2020-04-07T09:40:00Z" w:initials="FP">
    <w:p w14:paraId="3E811C3A" w14:textId="557A73B4" w:rsidR="00536C44" w:rsidRDefault="00536C44">
      <w:pPr>
        <w:pStyle w:val="CommentText"/>
      </w:pPr>
      <w:r>
        <w:rPr>
          <w:rStyle w:val="CommentReference"/>
        </w:rPr>
        <w:annotationRef/>
      </w:r>
      <w:r>
        <w:t xml:space="preserve">Added </w:t>
      </w:r>
      <w:proofErr w:type="spellStart"/>
      <w:r>
        <w:t>Ecem’s</w:t>
      </w:r>
      <w:proofErr w:type="spellEnd"/>
      <w:r>
        <w:t xml:space="preserve"> funders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C7CB03" w15:done="0"/>
  <w15:commentEx w15:paraId="5424DEF6" w15:done="0"/>
  <w15:commentEx w15:paraId="47F255A3" w15:done="0"/>
  <w15:commentEx w15:paraId="3E811C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C7CB03" w16cid:durableId="2231BD20"/>
  <w16cid:commentId w16cid:paraId="5424DEF6" w16cid:durableId="2236BFF5"/>
  <w16cid:commentId w16cid:paraId="47F255A3" w16cid:durableId="2236C0B4"/>
  <w16cid:commentId w16cid:paraId="3E811C3A" w16cid:durableId="2236C9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7123D" w14:textId="77777777" w:rsidR="00F226EE" w:rsidRDefault="00F226EE">
      <w:pPr>
        <w:spacing w:line="240" w:lineRule="auto"/>
      </w:pPr>
      <w:r>
        <w:separator/>
      </w:r>
    </w:p>
  </w:endnote>
  <w:endnote w:type="continuationSeparator" w:id="0">
    <w:p w14:paraId="62E41FCE" w14:textId="77777777" w:rsidR="00F226EE" w:rsidRDefault="00F226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webkit-standard">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488CC" w14:textId="77777777" w:rsidR="007476CB" w:rsidRPr="00032917" w:rsidRDefault="007476CB" w:rsidP="00357C8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4B143" w14:textId="77777777" w:rsidR="007476CB" w:rsidRPr="008B308E" w:rsidRDefault="007476CB" w:rsidP="000C0FC2">
    <w:pPr>
      <w:pStyle w:val="MDPIfooterfirstpage"/>
      <w:spacing w:line="240" w:lineRule="auto"/>
      <w:jc w:val="both"/>
      <w:rPr>
        <w:lang w:val="fr-CH"/>
      </w:rPr>
    </w:pPr>
    <w:r w:rsidRPr="00BB0268">
      <w:rPr>
        <w:i/>
        <w:szCs w:val="16"/>
      </w:rPr>
      <w:t xml:space="preserve">J. </w:t>
    </w:r>
    <w:proofErr w:type="spellStart"/>
    <w:r w:rsidRPr="00BB0268">
      <w:rPr>
        <w:i/>
        <w:szCs w:val="16"/>
      </w:rPr>
      <w:t>Clin</w:t>
    </w:r>
    <w:proofErr w:type="spellEnd"/>
    <w:r w:rsidRPr="00BB0268">
      <w:rPr>
        <w:i/>
        <w:szCs w:val="16"/>
      </w:rPr>
      <w:t>. Med.</w:t>
    </w:r>
    <w:r w:rsidRPr="00BB0268">
      <w:rPr>
        <w:szCs w:val="16"/>
      </w:rPr>
      <w:t xml:space="preserve"> </w:t>
    </w:r>
    <w:r w:rsidRPr="00853B85">
      <w:rPr>
        <w:b/>
        <w:szCs w:val="16"/>
      </w:rPr>
      <w:t>20</w:t>
    </w:r>
    <w:r>
      <w:rPr>
        <w:b/>
        <w:szCs w:val="16"/>
      </w:rPr>
      <w:t>20</w:t>
    </w:r>
    <w:r w:rsidRPr="00853B85">
      <w:rPr>
        <w:szCs w:val="16"/>
      </w:rPr>
      <w:t xml:space="preserve">, </w:t>
    </w:r>
    <w:r>
      <w:rPr>
        <w:i/>
        <w:szCs w:val="16"/>
      </w:rPr>
      <w:t>9</w:t>
    </w:r>
    <w:r w:rsidRPr="00853B85">
      <w:rPr>
        <w:szCs w:val="16"/>
      </w:rPr>
      <w:t xml:space="preserve">, </w:t>
    </w:r>
    <w:r>
      <w:rPr>
        <w:szCs w:val="16"/>
      </w:rPr>
      <w:t xml:space="preserve">x; </w:t>
    </w:r>
    <w:proofErr w:type="spellStart"/>
    <w:r>
      <w:rPr>
        <w:szCs w:val="16"/>
      </w:rPr>
      <w:t>doi</w:t>
    </w:r>
    <w:proofErr w:type="spellEnd"/>
    <w:r>
      <w:rPr>
        <w:szCs w:val="16"/>
      </w:rPr>
      <w:t>: FOR PEER REVIEW</w:t>
    </w:r>
    <w:r w:rsidRPr="008B308E">
      <w:rPr>
        <w:lang w:val="fr-CH"/>
      </w:rPr>
      <w:tab/>
      <w:t>www.mdpi.com/journal/</w:t>
    </w:r>
    <w:proofErr w:type="spellStart"/>
    <w:r>
      <w:t>jcm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612A6" w14:textId="77777777" w:rsidR="00F226EE" w:rsidRDefault="00F226EE">
      <w:pPr>
        <w:spacing w:line="240" w:lineRule="auto"/>
      </w:pPr>
      <w:r>
        <w:separator/>
      </w:r>
    </w:p>
  </w:footnote>
  <w:footnote w:type="continuationSeparator" w:id="0">
    <w:p w14:paraId="5E9AD4FE" w14:textId="77777777" w:rsidR="00F226EE" w:rsidRDefault="00F226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CF577" w14:textId="77777777" w:rsidR="007476CB" w:rsidRDefault="007476CB" w:rsidP="00357C8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ED374" w14:textId="77777777" w:rsidR="007476CB" w:rsidRPr="007A5CE1" w:rsidRDefault="007476CB" w:rsidP="000C0FC2">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J. </w:t>
    </w:r>
    <w:proofErr w:type="spellStart"/>
    <w:r>
      <w:rPr>
        <w:rFonts w:ascii="Palatino Linotype" w:hAnsi="Palatino Linotype"/>
        <w:i/>
        <w:sz w:val="16"/>
      </w:rPr>
      <w:t>Clin</w:t>
    </w:r>
    <w:proofErr w:type="spellEnd"/>
    <w:r>
      <w:rPr>
        <w:rFonts w:ascii="Palatino Linotype" w:hAnsi="Palatino Linotype"/>
        <w:i/>
        <w:sz w:val="16"/>
      </w:rPr>
      <w:t xml:space="preserve">. Med. </w:t>
    </w:r>
    <w:r w:rsidRPr="00853B85">
      <w:rPr>
        <w:rFonts w:ascii="Palatino Linotype" w:hAnsi="Palatino Linotype"/>
        <w:b/>
        <w:sz w:val="16"/>
      </w:rPr>
      <w:t>20</w:t>
    </w:r>
    <w:r>
      <w:rPr>
        <w:rFonts w:ascii="Palatino Linotype" w:hAnsi="Palatino Linotype"/>
        <w:b/>
        <w:sz w:val="16"/>
      </w:rPr>
      <w:t>20</w:t>
    </w:r>
    <w:r w:rsidRPr="00853B85">
      <w:rPr>
        <w:rFonts w:ascii="Palatino Linotype" w:hAnsi="Palatino Linotype"/>
        <w:sz w:val="16"/>
      </w:rPr>
      <w:t xml:space="preserve">, </w:t>
    </w:r>
    <w:r>
      <w:rPr>
        <w:rFonts w:ascii="Palatino Linotype" w:hAnsi="Palatino Linotype"/>
        <w:i/>
        <w:sz w:val="16"/>
      </w:rPr>
      <w:t>9</w:t>
    </w:r>
    <w:r>
      <w:rPr>
        <w:rFonts w:ascii="Palatino Linotype" w:hAnsi="Palatino Linotype"/>
        <w:sz w:val="16"/>
      </w:rPr>
      <w:t>, x FOR PEER REVIEW</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F84F07">
      <w:rPr>
        <w:rFonts w:ascii="Palatino Linotype" w:hAnsi="Palatino Linotype"/>
        <w:noProof/>
        <w:sz w:val="16"/>
      </w:rPr>
      <w:t>5</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 MERGEFORMAT </w:instrText>
    </w:r>
    <w:r>
      <w:rPr>
        <w:rFonts w:ascii="Palatino Linotype" w:hAnsi="Palatino Linotype"/>
        <w:sz w:val="16"/>
      </w:rPr>
      <w:fldChar w:fldCharType="separate"/>
    </w:r>
    <w:r w:rsidR="00F84F07">
      <w:rPr>
        <w:rFonts w:ascii="Palatino Linotype" w:hAnsi="Palatino Linotype"/>
        <w:noProof/>
        <w:sz w:val="16"/>
      </w:rPr>
      <w:t>15</w:t>
    </w:r>
    <w:r>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F6092" w14:textId="77777777" w:rsidR="007476CB" w:rsidRDefault="007476CB" w:rsidP="00357C8D">
    <w:pPr>
      <w:pStyle w:val="MDPIheaderjournallogo"/>
    </w:pPr>
    <w:r>
      <w:rPr>
        <w:noProof/>
        <w:lang w:eastAsia="zh-CN"/>
      </w:rPr>
      <mc:AlternateContent>
        <mc:Choice Requires="wps">
          <w:drawing>
            <wp:anchor distT="45720" distB="45720" distL="114300" distR="114300" simplePos="0" relativeHeight="251657728" behindDoc="1" locked="0" layoutInCell="1" allowOverlap="1" wp14:anchorId="2FFD1A1B" wp14:editId="1BDF47FD">
              <wp:simplePos x="0" y="0"/>
              <wp:positionH relativeFrom="page">
                <wp:posOffset>6029960</wp:posOffset>
              </wp:positionH>
              <wp:positionV relativeFrom="page">
                <wp:posOffset>647700</wp:posOffset>
              </wp:positionV>
              <wp:extent cx="553085" cy="70866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3085" cy="708660"/>
                      </a:xfrm>
                      <a:prstGeom prst="rect">
                        <a:avLst/>
                      </a:prstGeom>
                      <a:solidFill>
                        <a:srgbClr val="FFFFFF"/>
                      </a:solidFill>
                      <a:ln w="9525">
                        <a:noFill/>
                        <a:miter lim="800000"/>
                        <a:headEnd/>
                        <a:tailEnd/>
                      </a:ln>
                    </wps:spPr>
                    <wps:txbx>
                      <w:txbxContent>
                        <w:p w14:paraId="32882777" w14:textId="77777777" w:rsidR="007476CB" w:rsidRDefault="007476CB" w:rsidP="00357C8D">
                          <w:pPr>
                            <w:pStyle w:val="MDPIheaderjournallogo"/>
                            <w:jc w:val="center"/>
                            <w:rPr>
                              <w:i w:val="0"/>
                              <w:szCs w:val="16"/>
                            </w:rPr>
                          </w:pPr>
                          <w:r w:rsidRPr="00996419">
                            <w:rPr>
                              <w:i w:val="0"/>
                              <w:noProof/>
                              <w:szCs w:val="16"/>
                              <w:lang w:eastAsia="zh-CN"/>
                            </w:rPr>
                            <w:drawing>
                              <wp:inline distT="0" distB="0" distL="0" distR="0" wp14:anchorId="3126972D" wp14:editId="30826B18">
                                <wp:extent cx="544830" cy="359410"/>
                                <wp:effectExtent l="0" t="0" r="0" b="0"/>
                                <wp:docPr id="4" name="Picture 3" descr="C:\Users\home\Desktop\logos\ori\png\logo-mdp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830" cy="359410"/>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D1A1B" id="_x0000_t202" coordsize="21600,21600" o:spt="202" path="m,l,21600r21600,l21600,xe">
              <v:stroke joinstyle="miter"/>
              <v:path gradientshapeok="t" o:connecttype="rect"/>
            </v:shapetype>
            <v:shape id="Text Box 2" o:spid="_x0000_s1026" type="#_x0000_t202" style="position:absolute;left:0;text-align:left;margin-left:474.8pt;margin-top:51pt;width:43.55pt;height:55.8pt;z-index:-251658752;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" stroked="f">
              <v:path arrowok="t"/>
              <v:textbox inset="0,0,0,0">
                <w:txbxContent>
                  <w:p w14:paraId="32882777" w14:textId="77777777" w:rsidR="007476CB" w:rsidRDefault="007476CB" w:rsidP="00357C8D">
                    <w:pPr>
                      <w:pStyle w:val="MDPIheaderjournallogo"/>
                      <w:jc w:val="center"/>
                      <w:rPr>
                        <w:i w:val="0"/>
                        <w:szCs w:val="16"/>
                      </w:rPr>
                    </w:pPr>
                    <w:r w:rsidRPr="00996419">
                      <w:rPr>
                        <w:i w:val="0"/>
                        <w:noProof/>
                        <w:szCs w:val="16"/>
                        <w:lang w:eastAsia="zh-CN"/>
                      </w:rPr>
                      <w:drawing>
                        <wp:inline distT="0" distB="0" distL="0" distR="0" wp14:anchorId="3126972D" wp14:editId="30826B18">
                          <wp:extent cx="544830" cy="359410"/>
                          <wp:effectExtent l="0" t="0" r="0" b="0"/>
                          <wp:docPr id="4" name="Picture 3" descr="C:\Users\home\Desktop\logos\ori\png\logo-mdp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4830" cy="359410"/>
                                  </a:xfrm>
                                  <a:prstGeom prst="rect">
                                    <a:avLst/>
                                  </a:prstGeom>
                                  <a:noFill/>
                                  <a:ln>
                                    <a:noFill/>
                                  </a:ln>
                                </pic:spPr>
                              </pic:pic>
                            </a:graphicData>
                          </a:graphic>
                        </wp:inline>
                      </w:drawing>
                    </w:r>
                  </w:p>
                </w:txbxContent>
              </v:textbox>
              <w10:wrap anchorx="page" anchory="page"/>
            </v:shape>
          </w:pict>
        </mc:Fallback>
      </mc:AlternateContent>
    </w:r>
    <w:r w:rsidRPr="00A04686">
      <w:rPr>
        <w:noProof/>
        <w:lang w:eastAsia="zh-CN"/>
      </w:rPr>
      <w:drawing>
        <wp:inline distT="0" distB="0" distL="0" distR="0" wp14:anchorId="5FD98801" wp14:editId="37437910">
          <wp:extent cx="1674495" cy="431800"/>
          <wp:effectExtent l="0" t="0" r="0" b="0"/>
          <wp:docPr id="1" name="Picture 5" descr="C:\Users\home\Desktop\logos\png\jcm-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home\Desktop\logos\png\jcm-logo.png"/>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4495" cy="431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A245F"/>
    <w:multiLevelType w:val="hybridMultilevel"/>
    <w:tmpl w:val="1C3A3F0C"/>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857682CE"/>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781408B4"/>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3" w15:restartNumberingAfterBreak="0">
    <w:nsid w:val="58C00FB7"/>
    <w:multiLevelType w:val="hybridMultilevel"/>
    <w:tmpl w:val="3E9439CC"/>
    <w:lvl w:ilvl="0" w:tplc="9F5AB346">
      <w:start w:val="1"/>
      <w:numFmt w:val="decimal"/>
      <w:lvlText w:val="%1."/>
      <w:lvlJc w:val="left"/>
      <w:pPr>
        <w:ind w:left="720" w:hanging="360"/>
      </w:pPr>
      <w:rPr>
        <w:rFonts w:hint="eastAsia"/>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0"/>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DPI">
    <w15:presenceInfo w15:providerId="None" w15:userId="MDPI"/>
  </w15:person>
  <w15:person w15:author="Frances Platt">
    <w15:presenceInfo w15:providerId="AD" w15:userId="S::bioc0035@ox.ac.uk::aa9da95d-b80a-4059-a02c-7b1c59b7b8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bordersDoNotSurroundHeader/>
  <w:bordersDoNotSurroundFooter/>
  <w:proofState w:spelling="clean" w:grammar="clean"/>
  <w:defaultTabStop w:val="420"/>
  <w:hyphenationZone w:val="425"/>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27FD"/>
    <w:rsid w:val="000019D8"/>
    <w:rsid w:val="000021C7"/>
    <w:rsid w:val="00006F9A"/>
    <w:rsid w:val="00014971"/>
    <w:rsid w:val="000178FC"/>
    <w:rsid w:val="000218A8"/>
    <w:rsid w:val="000256AD"/>
    <w:rsid w:val="00027AF7"/>
    <w:rsid w:val="00031C18"/>
    <w:rsid w:val="00032712"/>
    <w:rsid w:val="00032FF3"/>
    <w:rsid w:val="00036378"/>
    <w:rsid w:val="00041D95"/>
    <w:rsid w:val="0004236A"/>
    <w:rsid w:val="0004437B"/>
    <w:rsid w:val="00055845"/>
    <w:rsid w:val="00055AEC"/>
    <w:rsid w:val="00057947"/>
    <w:rsid w:val="00062A70"/>
    <w:rsid w:val="00082EE4"/>
    <w:rsid w:val="00085CDE"/>
    <w:rsid w:val="0009299B"/>
    <w:rsid w:val="000C0FC2"/>
    <w:rsid w:val="000C4BA0"/>
    <w:rsid w:val="000C553E"/>
    <w:rsid w:val="000D4D04"/>
    <w:rsid w:val="000E5FC9"/>
    <w:rsid w:val="000E7253"/>
    <w:rsid w:val="00100DE7"/>
    <w:rsid w:val="0010129C"/>
    <w:rsid w:val="00101C11"/>
    <w:rsid w:val="00103E13"/>
    <w:rsid w:val="0010684D"/>
    <w:rsid w:val="00110FF6"/>
    <w:rsid w:val="001115FB"/>
    <w:rsid w:val="001213A3"/>
    <w:rsid w:val="001235E6"/>
    <w:rsid w:val="00136ECB"/>
    <w:rsid w:val="00141D5C"/>
    <w:rsid w:val="001428A5"/>
    <w:rsid w:val="001474C4"/>
    <w:rsid w:val="00151022"/>
    <w:rsid w:val="001543E8"/>
    <w:rsid w:val="001549D9"/>
    <w:rsid w:val="00163172"/>
    <w:rsid w:val="0016471F"/>
    <w:rsid w:val="00164ED3"/>
    <w:rsid w:val="001667A7"/>
    <w:rsid w:val="00176028"/>
    <w:rsid w:val="00185950"/>
    <w:rsid w:val="00186DA5"/>
    <w:rsid w:val="0019154C"/>
    <w:rsid w:val="00197A94"/>
    <w:rsid w:val="001A0215"/>
    <w:rsid w:val="001A0CCE"/>
    <w:rsid w:val="001A0DA0"/>
    <w:rsid w:val="001A6143"/>
    <w:rsid w:val="001B3886"/>
    <w:rsid w:val="001C0092"/>
    <w:rsid w:val="001C0D80"/>
    <w:rsid w:val="001C4EF2"/>
    <w:rsid w:val="001D1C27"/>
    <w:rsid w:val="001D25D3"/>
    <w:rsid w:val="001D6D0E"/>
    <w:rsid w:val="001D6D56"/>
    <w:rsid w:val="001E2AEB"/>
    <w:rsid w:val="001E558B"/>
    <w:rsid w:val="001E610F"/>
    <w:rsid w:val="001E784E"/>
    <w:rsid w:val="001F2223"/>
    <w:rsid w:val="001F462D"/>
    <w:rsid w:val="001F5225"/>
    <w:rsid w:val="00203383"/>
    <w:rsid w:val="00205E42"/>
    <w:rsid w:val="00207DA1"/>
    <w:rsid w:val="00216F95"/>
    <w:rsid w:val="00221BC5"/>
    <w:rsid w:val="00223A57"/>
    <w:rsid w:val="002347AA"/>
    <w:rsid w:val="00235C55"/>
    <w:rsid w:val="00243764"/>
    <w:rsid w:val="002535A7"/>
    <w:rsid w:val="00255501"/>
    <w:rsid w:val="00272CC0"/>
    <w:rsid w:val="00274D95"/>
    <w:rsid w:val="0027712E"/>
    <w:rsid w:val="00280F25"/>
    <w:rsid w:val="00284443"/>
    <w:rsid w:val="0029303F"/>
    <w:rsid w:val="00297669"/>
    <w:rsid w:val="002A2ED6"/>
    <w:rsid w:val="002A4587"/>
    <w:rsid w:val="002A5C2B"/>
    <w:rsid w:val="002A6519"/>
    <w:rsid w:val="002B1F59"/>
    <w:rsid w:val="002B49D0"/>
    <w:rsid w:val="002C10B7"/>
    <w:rsid w:val="002C2F21"/>
    <w:rsid w:val="002C5B08"/>
    <w:rsid w:val="002C60CD"/>
    <w:rsid w:val="002D0D3D"/>
    <w:rsid w:val="002D3EEC"/>
    <w:rsid w:val="002D51CA"/>
    <w:rsid w:val="002D5FAC"/>
    <w:rsid w:val="002E25A5"/>
    <w:rsid w:val="00302B32"/>
    <w:rsid w:val="00303185"/>
    <w:rsid w:val="0031265E"/>
    <w:rsid w:val="00312FB4"/>
    <w:rsid w:val="00325956"/>
    <w:rsid w:val="00325CF8"/>
    <w:rsid w:val="00326141"/>
    <w:rsid w:val="00331432"/>
    <w:rsid w:val="00333B3C"/>
    <w:rsid w:val="003372CB"/>
    <w:rsid w:val="0034278A"/>
    <w:rsid w:val="0034365E"/>
    <w:rsid w:val="00357C8D"/>
    <w:rsid w:val="003705CA"/>
    <w:rsid w:val="00373DF7"/>
    <w:rsid w:val="00377E0D"/>
    <w:rsid w:val="00381EE6"/>
    <w:rsid w:val="00385343"/>
    <w:rsid w:val="003900B8"/>
    <w:rsid w:val="0039337F"/>
    <w:rsid w:val="003977A3"/>
    <w:rsid w:val="003A09EA"/>
    <w:rsid w:val="003A36B5"/>
    <w:rsid w:val="003C6291"/>
    <w:rsid w:val="003D4857"/>
    <w:rsid w:val="003D55AB"/>
    <w:rsid w:val="003E115A"/>
    <w:rsid w:val="003E169D"/>
    <w:rsid w:val="003E6DD8"/>
    <w:rsid w:val="003E7F56"/>
    <w:rsid w:val="003F128D"/>
    <w:rsid w:val="003F2DA1"/>
    <w:rsid w:val="003F3C70"/>
    <w:rsid w:val="003F4199"/>
    <w:rsid w:val="003F4A7A"/>
    <w:rsid w:val="00401D30"/>
    <w:rsid w:val="004034AA"/>
    <w:rsid w:val="00405F78"/>
    <w:rsid w:val="00413E93"/>
    <w:rsid w:val="0041417D"/>
    <w:rsid w:val="004142C7"/>
    <w:rsid w:val="00414E9E"/>
    <w:rsid w:val="00415BD5"/>
    <w:rsid w:val="00420A4C"/>
    <w:rsid w:val="00421196"/>
    <w:rsid w:val="004225B0"/>
    <w:rsid w:val="004236D7"/>
    <w:rsid w:val="0042460F"/>
    <w:rsid w:val="00426557"/>
    <w:rsid w:val="00427848"/>
    <w:rsid w:val="00434304"/>
    <w:rsid w:val="00435CFD"/>
    <w:rsid w:val="00444863"/>
    <w:rsid w:val="00456582"/>
    <w:rsid w:val="0046043E"/>
    <w:rsid w:val="00480F10"/>
    <w:rsid w:val="0048577C"/>
    <w:rsid w:val="004858A1"/>
    <w:rsid w:val="004908B9"/>
    <w:rsid w:val="00497460"/>
    <w:rsid w:val="00497514"/>
    <w:rsid w:val="00497AEE"/>
    <w:rsid w:val="004A206B"/>
    <w:rsid w:val="004A3784"/>
    <w:rsid w:val="004A72FD"/>
    <w:rsid w:val="004B113F"/>
    <w:rsid w:val="004B2312"/>
    <w:rsid w:val="004B29B9"/>
    <w:rsid w:val="004B7429"/>
    <w:rsid w:val="004C4B82"/>
    <w:rsid w:val="004C4DA1"/>
    <w:rsid w:val="004D5B46"/>
    <w:rsid w:val="004D5F4D"/>
    <w:rsid w:val="004F2203"/>
    <w:rsid w:val="005019C5"/>
    <w:rsid w:val="00503E87"/>
    <w:rsid w:val="005058D7"/>
    <w:rsid w:val="00511649"/>
    <w:rsid w:val="005119EE"/>
    <w:rsid w:val="005353E7"/>
    <w:rsid w:val="0053672C"/>
    <w:rsid w:val="00536C44"/>
    <w:rsid w:val="00545356"/>
    <w:rsid w:val="00547A54"/>
    <w:rsid w:val="005577F2"/>
    <w:rsid w:val="00565518"/>
    <w:rsid w:val="005662B8"/>
    <w:rsid w:val="00566C2E"/>
    <w:rsid w:val="005700DC"/>
    <w:rsid w:val="00577A07"/>
    <w:rsid w:val="005902E4"/>
    <w:rsid w:val="005963C5"/>
    <w:rsid w:val="005A0D9F"/>
    <w:rsid w:val="005A2017"/>
    <w:rsid w:val="005A33FB"/>
    <w:rsid w:val="005A6F04"/>
    <w:rsid w:val="005B1287"/>
    <w:rsid w:val="005B4650"/>
    <w:rsid w:val="005B496E"/>
    <w:rsid w:val="005C183D"/>
    <w:rsid w:val="005D06D9"/>
    <w:rsid w:val="005D1FDB"/>
    <w:rsid w:val="005D2C71"/>
    <w:rsid w:val="005D2D2E"/>
    <w:rsid w:val="005D698A"/>
    <w:rsid w:val="005E057C"/>
    <w:rsid w:val="005E161E"/>
    <w:rsid w:val="005E18EF"/>
    <w:rsid w:val="005E7C9D"/>
    <w:rsid w:val="005F32EF"/>
    <w:rsid w:val="00602827"/>
    <w:rsid w:val="00604F27"/>
    <w:rsid w:val="00622838"/>
    <w:rsid w:val="006237F3"/>
    <w:rsid w:val="00637CD2"/>
    <w:rsid w:val="00645E7A"/>
    <w:rsid w:val="00650E8C"/>
    <w:rsid w:val="00650F89"/>
    <w:rsid w:val="00656382"/>
    <w:rsid w:val="00660B2C"/>
    <w:rsid w:val="00661EC9"/>
    <w:rsid w:val="00667913"/>
    <w:rsid w:val="00672235"/>
    <w:rsid w:val="00672BF1"/>
    <w:rsid w:val="00672F05"/>
    <w:rsid w:val="0067587F"/>
    <w:rsid w:val="00675ED1"/>
    <w:rsid w:val="006800ED"/>
    <w:rsid w:val="00685F96"/>
    <w:rsid w:val="00692393"/>
    <w:rsid w:val="006A5D76"/>
    <w:rsid w:val="006B216D"/>
    <w:rsid w:val="006C1F68"/>
    <w:rsid w:val="006C3990"/>
    <w:rsid w:val="006C4F19"/>
    <w:rsid w:val="006C76DE"/>
    <w:rsid w:val="006D0B4D"/>
    <w:rsid w:val="006D48A3"/>
    <w:rsid w:val="006D652D"/>
    <w:rsid w:val="006F107C"/>
    <w:rsid w:val="006F162A"/>
    <w:rsid w:val="006F3233"/>
    <w:rsid w:val="007018DC"/>
    <w:rsid w:val="00702552"/>
    <w:rsid w:val="00702D1A"/>
    <w:rsid w:val="00705D61"/>
    <w:rsid w:val="00706D77"/>
    <w:rsid w:val="007070FF"/>
    <w:rsid w:val="007128F0"/>
    <w:rsid w:val="00717CC9"/>
    <w:rsid w:val="00720DEA"/>
    <w:rsid w:val="00720ED1"/>
    <w:rsid w:val="00726C4D"/>
    <w:rsid w:val="0072784F"/>
    <w:rsid w:val="00731F11"/>
    <w:rsid w:val="0073424F"/>
    <w:rsid w:val="0073593C"/>
    <w:rsid w:val="00735E19"/>
    <w:rsid w:val="00744565"/>
    <w:rsid w:val="007476CB"/>
    <w:rsid w:val="00762052"/>
    <w:rsid w:val="00766604"/>
    <w:rsid w:val="00775DE3"/>
    <w:rsid w:val="007760E2"/>
    <w:rsid w:val="007852D9"/>
    <w:rsid w:val="00791C7D"/>
    <w:rsid w:val="00794CD4"/>
    <w:rsid w:val="00795204"/>
    <w:rsid w:val="007A1E25"/>
    <w:rsid w:val="007A55AC"/>
    <w:rsid w:val="007A721B"/>
    <w:rsid w:val="007B3D0C"/>
    <w:rsid w:val="007B4EE1"/>
    <w:rsid w:val="007C149F"/>
    <w:rsid w:val="007C6ED7"/>
    <w:rsid w:val="007D32B2"/>
    <w:rsid w:val="007D77E8"/>
    <w:rsid w:val="007D7E3F"/>
    <w:rsid w:val="007F0EC1"/>
    <w:rsid w:val="007F27F6"/>
    <w:rsid w:val="007F2AF8"/>
    <w:rsid w:val="007F3EB0"/>
    <w:rsid w:val="007F45E7"/>
    <w:rsid w:val="007F5699"/>
    <w:rsid w:val="00805C7C"/>
    <w:rsid w:val="00816BBE"/>
    <w:rsid w:val="00817318"/>
    <w:rsid w:val="008243F6"/>
    <w:rsid w:val="00824785"/>
    <w:rsid w:val="008342D3"/>
    <w:rsid w:val="00837FBC"/>
    <w:rsid w:val="00841301"/>
    <w:rsid w:val="00842FCA"/>
    <w:rsid w:val="00843BED"/>
    <w:rsid w:val="00847014"/>
    <w:rsid w:val="00850ACF"/>
    <w:rsid w:val="00851192"/>
    <w:rsid w:val="0085131D"/>
    <w:rsid w:val="008516DE"/>
    <w:rsid w:val="00851C3C"/>
    <w:rsid w:val="0085246C"/>
    <w:rsid w:val="008526A3"/>
    <w:rsid w:val="00853B85"/>
    <w:rsid w:val="00853C49"/>
    <w:rsid w:val="00856DBB"/>
    <w:rsid w:val="0086309B"/>
    <w:rsid w:val="008759EE"/>
    <w:rsid w:val="0088087E"/>
    <w:rsid w:val="00882E34"/>
    <w:rsid w:val="008930CE"/>
    <w:rsid w:val="008A1F91"/>
    <w:rsid w:val="008A250D"/>
    <w:rsid w:val="008A3F62"/>
    <w:rsid w:val="008A71EF"/>
    <w:rsid w:val="008A7E38"/>
    <w:rsid w:val="008B4E0A"/>
    <w:rsid w:val="008B5875"/>
    <w:rsid w:val="008D0B41"/>
    <w:rsid w:val="008D0F78"/>
    <w:rsid w:val="008D51B1"/>
    <w:rsid w:val="008D69E4"/>
    <w:rsid w:val="008F2578"/>
    <w:rsid w:val="008F536F"/>
    <w:rsid w:val="008F6E8C"/>
    <w:rsid w:val="009035B8"/>
    <w:rsid w:val="0090656C"/>
    <w:rsid w:val="00910398"/>
    <w:rsid w:val="00910423"/>
    <w:rsid w:val="00914275"/>
    <w:rsid w:val="00914E04"/>
    <w:rsid w:val="009175DF"/>
    <w:rsid w:val="0092012F"/>
    <w:rsid w:val="009257B1"/>
    <w:rsid w:val="00937122"/>
    <w:rsid w:val="00951D07"/>
    <w:rsid w:val="009542F2"/>
    <w:rsid w:val="009550C7"/>
    <w:rsid w:val="00955CC8"/>
    <w:rsid w:val="00957FA8"/>
    <w:rsid w:val="0096011A"/>
    <w:rsid w:val="0096188E"/>
    <w:rsid w:val="00962393"/>
    <w:rsid w:val="00967FF7"/>
    <w:rsid w:val="00970559"/>
    <w:rsid w:val="00970888"/>
    <w:rsid w:val="00972530"/>
    <w:rsid w:val="00980FA3"/>
    <w:rsid w:val="009817F5"/>
    <w:rsid w:val="009915E5"/>
    <w:rsid w:val="00995857"/>
    <w:rsid w:val="00995F53"/>
    <w:rsid w:val="00996090"/>
    <w:rsid w:val="00996419"/>
    <w:rsid w:val="009A679E"/>
    <w:rsid w:val="009C0584"/>
    <w:rsid w:val="009C53C5"/>
    <w:rsid w:val="009C5893"/>
    <w:rsid w:val="009D116D"/>
    <w:rsid w:val="009D4728"/>
    <w:rsid w:val="009E5947"/>
    <w:rsid w:val="009E60BB"/>
    <w:rsid w:val="009E6E41"/>
    <w:rsid w:val="009E73F5"/>
    <w:rsid w:val="009F40BA"/>
    <w:rsid w:val="009F5A32"/>
    <w:rsid w:val="009F70E6"/>
    <w:rsid w:val="00A03CBE"/>
    <w:rsid w:val="00A03FA7"/>
    <w:rsid w:val="00A131D6"/>
    <w:rsid w:val="00A13906"/>
    <w:rsid w:val="00A20AEB"/>
    <w:rsid w:val="00A24B08"/>
    <w:rsid w:val="00A3476C"/>
    <w:rsid w:val="00A4136C"/>
    <w:rsid w:val="00A50E3C"/>
    <w:rsid w:val="00A5493B"/>
    <w:rsid w:val="00A5546B"/>
    <w:rsid w:val="00A573FF"/>
    <w:rsid w:val="00A62ED4"/>
    <w:rsid w:val="00A72E6B"/>
    <w:rsid w:val="00A73115"/>
    <w:rsid w:val="00A73B50"/>
    <w:rsid w:val="00A9264E"/>
    <w:rsid w:val="00A95425"/>
    <w:rsid w:val="00A97EB7"/>
    <w:rsid w:val="00AA425A"/>
    <w:rsid w:val="00AA7226"/>
    <w:rsid w:val="00AB1B81"/>
    <w:rsid w:val="00AB292A"/>
    <w:rsid w:val="00AB4B5A"/>
    <w:rsid w:val="00AC39E6"/>
    <w:rsid w:val="00AC41FB"/>
    <w:rsid w:val="00AD3640"/>
    <w:rsid w:val="00AD4E9B"/>
    <w:rsid w:val="00AD5805"/>
    <w:rsid w:val="00AD698F"/>
    <w:rsid w:val="00AF47C4"/>
    <w:rsid w:val="00AF63F6"/>
    <w:rsid w:val="00AF6850"/>
    <w:rsid w:val="00AF7024"/>
    <w:rsid w:val="00B074F7"/>
    <w:rsid w:val="00B119CE"/>
    <w:rsid w:val="00B146DE"/>
    <w:rsid w:val="00B16BBF"/>
    <w:rsid w:val="00B20917"/>
    <w:rsid w:val="00B25F44"/>
    <w:rsid w:val="00B26D2F"/>
    <w:rsid w:val="00B276E7"/>
    <w:rsid w:val="00B27752"/>
    <w:rsid w:val="00B27BDC"/>
    <w:rsid w:val="00B33B03"/>
    <w:rsid w:val="00B364AA"/>
    <w:rsid w:val="00B4003D"/>
    <w:rsid w:val="00B402D5"/>
    <w:rsid w:val="00B459E7"/>
    <w:rsid w:val="00B5278E"/>
    <w:rsid w:val="00B56B76"/>
    <w:rsid w:val="00B80483"/>
    <w:rsid w:val="00B80FED"/>
    <w:rsid w:val="00B830CA"/>
    <w:rsid w:val="00B84BC1"/>
    <w:rsid w:val="00B87537"/>
    <w:rsid w:val="00B9541E"/>
    <w:rsid w:val="00B9548F"/>
    <w:rsid w:val="00BA1245"/>
    <w:rsid w:val="00BA47A0"/>
    <w:rsid w:val="00BA7591"/>
    <w:rsid w:val="00BA7CA1"/>
    <w:rsid w:val="00BB27FD"/>
    <w:rsid w:val="00BB2CD9"/>
    <w:rsid w:val="00BB3054"/>
    <w:rsid w:val="00BC2D10"/>
    <w:rsid w:val="00BC3F9E"/>
    <w:rsid w:val="00BC62AA"/>
    <w:rsid w:val="00BC77F3"/>
    <w:rsid w:val="00BD080F"/>
    <w:rsid w:val="00BD4E48"/>
    <w:rsid w:val="00BE362D"/>
    <w:rsid w:val="00BF3249"/>
    <w:rsid w:val="00BF3431"/>
    <w:rsid w:val="00BF3E48"/>
    <w:rsid w:val="00BF5D96"/>
    <w:rsid w:val="00C00EDC"/>
    <w:rsid w:val="00C01C4A"/>
    <w:rsid w:val="00C06B82"/>
    <w:rsid w:val="00C1327E"/>
    <w:rsid w:val="00C1439D"/>
    <w:rsid w:val="00C154A6"/>
    <w:rsid w:val="00C17D2C"/>
    <w:rsid w:val="00C300DD"/>
    <w:rsid w:val="00C33634"/>
    <w:rsid w:val="00C36C85"/>
    <w:rsid w:val="00C4563E"/>
    <w:rsid w:val="00C47F8C"/>
    <w:rsid w:val="00C5547C"/>
    <w:rsid w:val="00C60BEE"/>
    <w:rsid w:val="00C61B06"/>
    <w:rsid w:val="00C673AD"/>
    <w:rsid w:val="00C73C4A"/>
    <w:rsid w:val="00C76749"/>
    <w:rsid w:val="00C80586"/>
    <w:rsid w:val="00C843FB"/>
    <w:rsid w:val="00CA15A7"/>
    <w:rsid w:val="00CA6FBF"/>
    <w:rsid w:val="00CB254F"/>
    <w:rsid w:val="00CB5986"/>
    <w:rsid w:val="00CC18A9"/>
    <w:rsid w:val="00CC33F4"/>
    <w:rsid w:val="00CE5536"/>
    <w:rsid w:val="00CF02FF"/>
    <w:rsid w:val="00CF1055"/>
    <w:rsid w:val="00CF1BD1"/>
    <w:rsid w:val="00D012E3"/>
    <w:rsid w:val="00D03DFF"/>
    <w:rsid w:val="00D0452F"/>
    <w:rsid w:val="00D06DB4"/>
    <w:rsid w:val="00D15FBD"/>
    <w:rsid w:val="00D260E1"/>
    <w:rsid w:val="00D2689D"/>
    <w:rsid w:val="00D32E72"/>
    <w:rsid w:val="00D4196F"/>
    <w:rsid w:val="00D52617"/>
    <w:rsid w:val="00D56B5C"/>
    <w:rsid w:val="00D72E82"/>
    <w:rsid w:val="00D735CE"/>
    <w:rsid w:val="00D76EFE"/>
    <w:rsid w:val="00D8260F"/>
    <w:rsid w:val="00D857A8"/>
    <w:rsid w:val="00D8660E"/>
    <w:rsid w:val="00D901EF"/>
    <w:rsid w:val="00DA1D17"/>
    <w:rsid w:val="00DA5251"/>
    <w:rsid w:val="00DB0632"/>
    <w:rsid w:val="00DB0C5A"/>
    <w:rsid w:val="00DB65CB"/>
    <w:rsid w:val="00DC5116"/>
    <w:rsid w:val="00DC7A59"/>
    <w:rsid w:val="00DD1438"/>
    <w:rsid w:val="00DE6F5C"/>
    <w:rsid w:val="00DF09A7"/>
    <w:rsid w:val="00E0066A"/>
    <w:rsid w:val="00E0111D"/>
    <w:rsid w:val="00E076E3"/>
    <w:rsid w:val="00E1002E"/>
    <w:rsid w:val="00E10230"/>
    <w:rsid w:val="00E1042B"/>
    <w:rsid w:val="00E2197A"/>
    <w:rsid w:val="00E22727"/>
    <w:rsid w:val="00E24E79"/>
    <w:rsid w:val="00E25476"/>
    <w:rsid w:val="00E26C61"/>
    <w:rsid w:val="00E33858"/>
    <w:rsid w:val="00E33B71"/>
    <w:rsid w:val="00E33E7A"/>
    <w:rsid w:val="00E3612B"/>
    <w:rsid w:val="00E548E8"/>
    <w:rsid w:val="00E56F4C"/>
    <w:rsid w:val="00E60201"/>
    <w:rsid w:val="00E66C77"/>
    <w:rsid w:val="00E703E4"/>
    <w:rsid w:val="00E72AF9"/>
    <w:rsid w:val="00E7334F"/>
    <w:rsid w:val="00E77A6C"/>
    <w:rsid w:val="00E80B10"/>
    <w:rsid w:val="00E81FA7"/>
    <w:rsid w:val="00E82E7F"/>
    <w:rsid w:val="00E94E59"/>
    <w:rsid w:val="00E95C4D"/>
    <w:rsid w:val="00E96DB3"/>
    <w:rsid w:val="00EA6886"/>
    <w:rsid w:val="00EA6C2F"/>
    <w:rsid w:val="00EB0FD3"/>
    <w:rsid w:val="00EB237B"/>
    <w:rsid w:val="00EB530A"/>
    <w:rsid w:val="00EB730D"/>
    <w:rsid w:val="00EB7D6D"/>
    <w:rsid w:val="00EC088D"/>
    <w:rsid w:val="00EC2CB7"/>
    <w:rsid w:val="00ED53EA"/>
    <w:rsid w:val="00EE1564"/>
    <w:rsid w:val="00EE210A"/>
    <w:rsid w:val="00EF01CE"/>
    <w:rsid w:val="00EF52C5"/>
    <w:rsid w:val="00EF5A30"/>
    <w:rsid w:val="00EF612B"/>
    <w:rsid w:val="00F07646"/>
    <w:rsid w:val="00F076D6"/>
    <w:rsid w:val="00F10B9D"/>
    <w:rsid w:val="00F159D6"/>
    <w:rsid w:val="00F20AE4"/>
    <w:rsid w:val="00F226EE"/>
    <w:rsid w:val="00F237D4"/>
    <w:rsid w:val="00F23DAC"/>
    <w:rsid w:val="00F26483"/>
    <w:rsid w:val="00F26BE3"/>
    <w:rsid w:val="00F30B9B"/>
    <w:rsid w:val="00F31353"/>
    <w:rsid w:val="00F36FA0"/>
    <w:rsid w:val="00F415AC"/>
    <w:rsid w:val="00F41D77"/>
    <w:rsid w:val="00F42FC8"/>
    <w:rsid w:val="00F55404"/>
    <w:rsid w:val="00F56A44"/>
    <w:rsid w:val="00F61547"/>
    <w:rsid w:val="00F62130"/>
    <w:rsid w:val="00F65500"/>
    <w:rsid w:val="00F65695"/>
    <w:rsid w:val="00F6731A"/>
    <w:rsid w:val="00F73D7C"/>
    <w:rsid w:val="00F74718"/>
    <w:rsid w:val="00F84F07"/>
    <w:rsid w:val="00F9039E"/>
    <w:rsid w:val="00F90601"/>
    <w:rsid w:val="00F907F5"/>
    <w:rsid w:val="00F912C3"/>
    <w:rsid w:val="00F96187"/>
    <w:rsid w:val="00FA2DB6"/>
    <w:rsid w:val="00FA4695"/>
    <w:rsid w:val="00FB06F8"/>
    <w:rsid w:val="00FB0DCD"/>
    <w:rsid w:val="00FB146A"/>
    <w:rsid w:val="00FB23DA"/>
    <w:rsid w:val="00FB2A01"/>
    <w:rsid w:val="00FB4C14"/>
    <w:rsid w:val="00FC3AE9"/>
    <w:rsid w:val="00FC5A08"/>
    <w:rsid w:val="00FC61A9"/>
    <w:rsid w:val="00FD01AE"/>
    <w:rsid w:val="00FD098A"/>
    <w:rsid w:val="00FD4789"/>
    <w:rsid w:val="00FD51CE"/>
    <w:rsid w:val="00FD7EB2"/>
    <w:rsid w:val="00FE0756"/>
    <w:rsid w:val="00FE1A3F"/>
    <w:rsid w:val="00FE5FA0"/>
    <w:rsid w:val="00FE6450"/>
    <w:rsid w:val="00FE7F48"/>
    <w:rsid w:val="00FF45F2"/>
    <w:rsid w:val="00FF48FB"/>
  </w:rsids>
  <m:mathPr>
    <m:mathFont m:val="Cambria Math"/>
    <m:brkBin m:val="before"/>
    <m:brkBinSub m:val="--"/>
    <m:smallFrac m:val="0"/>
    <m:dispDef/>
    <m:lMargin m:val="0"/>
    <m:rMargin m:val="0"/>
    <m:defJc m:val="centerGroup"/>
    <m:wrapIndent m:val="1440"/>
    <m:intLim m:val="subSup"/>
    <m:naryLim m:val="undOvr"/>
  </m:mathPr>
  <w:themeFontLang w:val="uz-Cyrl-U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66C15F"/>
  <w15:docId w15:val="{EE0218F9-DD3C-4F66-81FC-2B9B87CE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uz-Cyrl-UZ"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6419"/>
    <w:pPr>
      <w:spacing w:line="340" w:lineRule="atLeast"/>
      <w:jc w:val="both"/>
    </w:pPr>
    <w:rPr>
      <w:rFonts w:ascii="Times New Roman" w:eastAsia="Times New Roman" w:hAnsi="Times New Roman"/>
      <w:color w:val="000000"/>
      <w:sz w:val="24"/>
      <w:lang w:val="en-US" w:eastAsia="de-DE"/>
    </w:rPr>
  </w:style>
  <w:style w:type="paragraph" w:styleId="Heading2">
    <w:name w:val="heading 2"/>
    <w:basedOn w:val="Normal"/>
    <w:next w:val="Normal"/>
    <w:link w:val="Heading2Char"/>
    <w:uiPriority w:val="9"/>
    <w:qFormat/>
    <w:rsid w:val="00795204"/>
    <w:pPr>
      <w:keepNext/>
      <w:keepLines/>
      <w:spacing w:before="200" w:line="240" w:lineRule="auto"/>
      <w:jc w:val="left"/>
      <w:outlineLvl w:val="1"/>
    </w:pPr>
    <w:rPr>
      <w:rFonts w:ascii="Calibri" w:eastAsia="MS Gothic" w:hAnsi="Calibri"/>
      <w:b/>
      <w:bCs/>
      <w:color w:val="4F81BD"/>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MDPI12title"/>
    <w:qFormat/>
    <w:rsid w:val="00980FA3"/>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MDPI13authornames"/>
    <w:qFormat/>
    <w:rsid w:val="00980FA3"/>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MDPI14history"/>
    <w:qFormat/>
    <w:rsid w:val="00980FA3"/>
    <w:pPr>
      <w:adjustRightInd w:val="0"/>
      <w:snapToGrid w:val="0"/>
      <w:spacing w:after="12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MDPI62Acknowledgments"/>
    <w:next w:val="Normal"/>
    <w:qFormat/>
    <w:rsid w:val="00980FA3"/>
    <w:pPr>
      <w:ind w:left="113"/>
      <w:jc w:val="left"/>
    </w:pPr>
    <w:rPr>
      <w:snapToGrid/>
    </w:rPr>
  </w:style>
  <w:style w:type="paragraph" w:customStyle="1" w:styleId="MDPI16affiliation">
    <w:name w:val="MDPI_1.6_affiliation"/>
    <w:qFormat/>
    <w:rsid w:val="00980FA3"/>
    <w:pPr>
      <w:adjustRightInd w:val="0"/>
      <w:snapToGrid w:val="0"/>
      <w:spacing w:line="260" w:lineRule="atLeast"/>
      <w:ind w:left="311" w:hanging="198"/>
    </w:pPr>
    <w:rPr>
      <w:rFonts w:ascii="Palatino Linotype" w:eastAsia="Times New Roman" w:hAnsi="Palatino Linotype"/>
      <w:color w:val="000000"/>
      <w:sz w:val="18"/>
      <w:szCs w:val="18"/>
      <w:lang w:val="en-US" w:eastAsia="de-DE" w:bidi="en-US"/>
    </w:rPr>
  </w:style>
  <w:style w:type="paragraph" w:customStyle="1" w:styleId="MDPI17abstract">
    <w:name w:val="MDPI_1.7_abstract"/>
    <w:next w:val="Normal"/>
    <w:qFormat/>
    <w:rsid w:val="00980FA3"/>
    <w:pPr>
      <w:adjustRightInd w:val="0"/>
      <w:snapToGrid w:val="0"/>
      <w:spacing w:before="240" w:line="260" w:lineRule="atLeast"/>
      <w:ind w:left="113"/>
      <w:jc w:val="both"/>
    </w:pPr>
    <w:rPr>
      <w:rFonts w:ascii="Palatino Linotype" w:eastAsia="Times New Roman" w:hAnsi="Palatino Linotype"/>
      <w:color w:val="000000"/>
      <w:szCs w:val="22"/>
      <w:lang w:val="en-US" w:eastAsia="de-DE" w:bidi="en-US"/>
    </w:rPr>
  </w:style>
  <w:style w:type="paragraph" w:customStyle="1" w:styleId="MDPI18keywords">
    <w:name w:val="MDPI_1.8_keywords"/>
    <w:next w:val="Normal"/>
    <w:qFormat/>
    <w:rsid w:val="00980FA3"/>
    <w:pPr>
      <w:adjustRightInd w:val="0"/>
      <w:snapToGrid w:val="0"/>
      <w:spacing w:before="240" w:line="260" w:lineRule="atLeast"/>
      <w:ind w:left="113"/>
      <w:jc w:val="both"/>
    </w:pPr>
    <w:rPr>
      <w:rFonts w:ascii="Palatino Linotype" w:eastAsia="Times New Roman" w:hAnsi="Palatino Linotype"/>
      <w:snapToGrid w:val="0"/>
      <w:color w:val="000000"/>
      <w:szCs w:val="22"/>
      <w:lang w:val="en-US" w:eastAsia="de-DE" w:bidi="en-US"/>
    </w:rPr>
  </w:style>
  <w:style w:type="paragraph" w:customStyle="1" w:styleId="MDPI19line">
    <w:name w:val="MDPI_1.9_line"/>
    <w:qFormat/>
    <w:rsid w:val="00980FA3"/>
    <w:pPr>
      <w:pBdr>
        <w:bottom w:val="single" w:sz="6" w:space="1" w:color="auto"/>
      </w:pBdr>
      <w:spacing w:line="260" w:lineRule="atLeast"/>
      <w:jc w:val="both"/>
    </w:pPr>
    <w:rPr>
      <w:rFonts w:ascii="Palatino Linotype" w:eastAsia="Times New Roman" w:hAnsi="Palatino Linotype" w:cstheme="minorBidi"/>
      <w:color w:val="000000"/>
      <w:szCs w:val="24"/>
      <w:lang w:val="en-US" w:eastAsia="de-DE" w:bidi="en-US"/>
    </w:rPr>
  </w:style>
  <w:style w:type="paragraph" w:styleId="Footer">
    <w:name w:val="footer"/>
    <w:basedOn w:val="Normal"/>
    <w:link w:val="FooterChar"/>
    <w:uiPriority w:val="99"/>
    <w:rsid w:val="00996419"/>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996419"/>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99641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996419"/>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980FA3"/>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MDPI32textnoindent">
    <w:name w:val="MDPI_3.2_text_no_indent"/>
    <w:qFormat/>
    <w:rsid w:val="00980FA3"/>
    <w:pPr>
      <w:adjustRightInd w:val="0"/>
      <w:snapToGrid w:val="0"/>
      <w:spacing w:line="260" w:lineRule="atLeast"/>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rsid w:val="00980FA3"/>
    <w:pPr>
      <w:spacing w:after="240" w:line="260" w:lineRule="atLeast"/>
      <w:jc w:val="both"/>
    </w:pPr>
    <w:rPr>
      <w:rFonts w:ascii="Palatino Linotype" w:eastAsia="Times New Roman" w:hAnsi="Palatino Linotype"/>
      <w:snapToGrid w:val="0"/>
      <w:color w:val="000000"/>
      <w:szCs w:val="22"/>
      <w:lang w:val="en-US" w:eastAsia="de-DE" w:bidi="en-US"/>
    </w:rPr>
  </w:style>
  <w:style w:type="paragraph" w:customStyle="1" w:styleId="MDPI34textspacebefore">
    <w:name w:val="MDPI_3.4_text_space_before"/>
    <w:qFormat/>
    <w:rsid w:val="00980FA3"/>
    <w:pPr>
      <w:spacing w:before="240" w:line="260" w:lineRule="atLeast"/>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rsid w:val="00980FA3"/>
    <w:pPr>
      <w:spacing w:after="120" w:line="260" w:lineRule="atLeast"/>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rsid w:val="00980FA3"/>
    <w:pPr>
      <w:spacing w:before="120" w:line="260" w:lineRule="atLeast"/>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rsid w:val="00980FA3"/>
    <w:pPr>
      <w:numPr>
        <w:numId w:val="5"/>
      </w:numPr>
      <w:spacing w:line="260" w:lineRule="atLeast"/>
      <w:jc w:val="both"/>
    </w:pPr>
    <w:rPr>
      <w:rFonts w:ascii="Palatino Linotype" w:eastAsia="Times New Roman" w:hAnsi="Palatino Linotype"/>
      <w:snapToGrid w:val="0"/>
      <w:color w:val="000000"/>
      <w:szCs w:val="22"/>
      <w:lang w:val="en-US" w:eastAsia="de-DE" w:bidi="en-US"/>
    </w:rPr>
  </w:style>
  <w:style w:type="paragraph" w:customStyle="1" w:styleId="MDPI38bullet">
    <w:name w:val="MDPI_3.8_bullet"/>
    <w:qFormat/>
    <w:rsid w:val="00980FA3"/>
    <w:pPr>
      <w:numPr>
        <w:numId w:val="6"/>
      </w:numPr>
      <w:adjustRightInd w:val="0"/>
      <w:snapToGrid w:val="0"/>
      <w:spacing w:line="260" w:lineRule="atLeast"/>
      <w:jc w:val="both"/>
    </w:pPr>
    <w:rPr>
      <w:rFonts w:ascii="Palatino Linotype" w:eastAsia="Times New Roman" w:hAnsi="Palatino Linotype"/>
      <w:snapToGrid w:val="0"/>
      <w:color w:val="000000"/>
      <w:szCs w:val="22"/>
      <w:lang w:val="en-US" w:eastAsia="de-DE" w:bidi="en-US"/>
    </w:rPr>
  </w:style>
  <w:style w:type="paragraph" w:customStyle="1" w:styleId="MDPI39equation">
    <w:name w:val="MDPI_3.9_equation"/>
    <w:qFormat/>
    <w:rsid w:val="00980FA3"/>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rsid w:val="00980FA3"/>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MDPI62Acknowledgments">
    <w:name w:val="MDPI_6.2_Acknowledgments"/>
    <w:qFormat/>
    <w:rsid w:val="00980FA3"/>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qFormat/>
    <w:rsid w:val="00980FA3"/>
    <w:pPr>
      <w:adjustRightInd w:val="0"/>
      <w:snapToGrid w:val="0"/>
      <w:spacing w:before="240" w:after="120" w:line="260" w:lineRule="atLeast"/>
      <w:ind w:left="425" w:right="425"/>
      <w:jc w:val="both"/>
    </w:pPr>
    <w:rPr>
      <w:rFonts w:ascii="Palatino Linotype" w:eastAsia="Times New Roman" w:hAnsi="Palatino Linotype" w:cstheme="minorBidi"/>
      <w:color w:val="000000"/>
      <w:sz w:val="18"/>
      <w:szCs w:val="22"/>
      <w:lang w:val="en-US"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rsid w:val="00980FA3"/>
    <w:pPr>
      <w:adjustRightInd w:val="0"/>
      <w:snapToGrid w:val="0"/>
      <w:spacing w:after="240" w:line="260" w:lineRule="atLeast"/>
      <w:jc w:val="both"/>
    </w:pPr>
    <w:rPr>
      <w:rFonts w:ascii="Palatino Linotype" w:eastAsia="Times New Roman" w:hAnsi="Palatino Linotype" w:cstheme="minorBidi"/>
      <w:color w:val="000000"/>
      <w:sz w:val="18"/>
      <w:szCs w:val="22"/>
      <w:lang w:val="en-US" w:eastAsia="de-DE" w:bidi="en-US"/>
    </w:rPr>
  </w:style>
  <w:style w:type="paragraph" w:customStyle="1" w:styleId="MDPI51figurecaption">
    <w:name w:val="MDPI_5.1_figure_caption"/>
    <w:qFormat/>
    <w:rsid w:val="00980FA3"/>
    <w:pPr>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980FA3"/>
    <w:pPr>
      <w:adjustRightInd w:val="0"/>
      <w:snapToGrid w:val="0"/>
      <w:spacing w:before="240" w:after="120" w:line="260" w:lineRule="atLeast"/>
      <w:jc w:val="center"/>
    </w:pPr>
    <w:rPr>
      <w:rFonts w:ascii="Palatino Linotype" w:eastAsia="Times New Roman" w:hAnsi="Palatino Linotype"/>
      <w:snapToGrid w:val="0"/>
      <w:color w:val="000000"/>
      <w:lang w:val="en-US" w:eastAsia="de-DE" w:bidi="en-US"/>
    </w:rPr>
  </w:style>
  <w:style w:type="paragraph" w:customStyle="1" w:styleId="MDPI61Supplementary">
    <w:name w:val="MDPI_6.1_Supplementary"/>
    <w:qFormat/>
    <w:rsid w:val="00980FA3"/>
    <w:pPr>
      <w:spacing w:before="240" w:line="260" w:lineRule="atLeast"/>
      <w:jc w:val="both"/>
    </w:pPr>
    <w:rPr>
      <w:rFonts w:ascii="Palatino Linotype" w:eastAsia="Times New Roman" w:hAnsi="Palatino Linotype"/>
      <w:snapToGrid w:val="0"/>
      <w:color w:val="000000"/>
      <w:sz w:val="18"/>
      <w:lang w:val="en-US" w:eastAsia="en-US" w:bidi="en-US"/>
    </w:rPr>
  </w:style>
  <w:style w:type="paragraph" w:customStyle="1" w:styleId="MDPI63AuthorContributions">
    <w:name w:val="MDPI_6.3_AuthorContributions"/>
    <w:qFormat/>
    <w:rsid w:val="00980FA3"/>
    <w:pPr>
      <w:spacing w:line="260" w:lineRule="atLeast"/>
      <w:jc w:val="both"/>
    </w:pPr>
    <w:rPr>
      <w:rFonts w:ascii="Palatino Linotype" w:hAnsi="Palatino Linotype"/>
      <w:snapToGrid w:val="0"/>
      <w:sz w:val="18"/>
      <w:lang w:val="en-US" w:eastAsia="en-US" w:bidi="en-US"/>
    </w:rPr>
  </w:style>
  <w:style w:type="paragraph" w:customStyle="1" w:styleId="MDPI64CoI">
    <w:name w:val="MDPI_6.4_CoI"/>
    <w:qFormat/>
    <w:rsid w:val="00980FA3"/>
    <w:pPr>
      <w:adjustRightInd w:val="0"/>
      <w:snapToGrid w:val="0"/>
      <w:spacing w:before="120" w:after="120" w:line="260" w:lineRule="atLeast"/>
      <w:jc w:val="both"/>
    </w:pPr>
    <w:rPr>
      <w:rFonts w:ascii="Palatino Linotype" w:eastAsia="Times New Roman" w:hAnsi="Palatino Linotype"/>
      <w:snapToGrid w:val="0"/>
      <w:color w:val="000000"/>
      <w:sz w:val="18"/>
      <w:lang w:val="en-US" w:eastAsia="de-DE" w:bidi="en-US"/>
    </w:rPr>
  </w:style>
  <w:style w:type="paragraph" w:customStyle="1" w:styleId="MDPI81theorem">
    <w:name w:val="MDPI_8.1_theorem"/>
    <w:qFormat/>
    <w:rsid w:val="00980FA3"/>
    <w:pPr>
      <w:spacing w:line="260" w:lineRule="atLeast"/>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rsid w:val="00980FA3"/>
    <w:pPr>
      <w:spacing w:line="260" w:lineRule="atLeast"/>
      <w:jc w:val="both"/>
    </w:pPr>
    <w:rPr>
      <w:rFonts w:ascii="Palatino Linotype" w:eastAsia="Times New Roman" w:hAnsi="Palatino Linotype"/>
      <w:snapToGrid w:val="0"/>
      <w:color w:val="000000"/>
      <w:szCs w:val="22"/>
      <w:lang w:val="en-US" w:eastAsia="de-DE" w:bidi="en-US"/>
    </w:rPr>
  </w:style>
  <w:style w:type="paragraph" w:customStyle="1" w:styleId="MDPIfooterfirstpage">
    <w:name w:val="MDPI_footer_firstpage"/>
    <w:qFormat/>
    <w:rsid w:val="00980FA3"/>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MDPI31text">
    <w:name w:val="MDPI_3.1_text"/>
    <w:qFormat/>
    <w:rsid w:val="00980FA3"/>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qFormat/>
    <w:rsid w:val="00980FA3"/>
    <w:pPr>
      <w:adjustRightInd w:val="0"/>
      <w:snapToGrid w:val="0"/>
      <w:spacing w:before="240" w:after="120" w:line="260" w:lineRule="atLeast"/>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rsid w:val="00980FA3"/>
    <w:pPr>
      <w:adjustRightInd w:val="0"/>
      <w:snapToGrid w:val="0"/>
      <w:spacing w:before="240" w:after="120" w:line="260" w:lineRule="atLeast"/>
      <w:jc w:val="both"/>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rsid w:val="00980FA3"/>
    <w:pPr>
      <w:adjustRightInd w:val="0"/>
      <w:snapToGrid w:val="0"/>
      <w:spacing w:before="240" w:after="120" w:line="260" w:lineRule="atLeast"/>
      <w:outlineLvl w:val="1"/>
    </w:pPr>
    <w:rPr>
      <w:rFonts w:ascii="Palatino Linotype" w:eastAsia="Times New Roman" w:hAnsi="Palatino Linotype"/>
      <w:i/>
      <w:noProof/>
      <w:snapToGrid w:val="0"/>
      <w:color w:val="000000"/>
      <w:szCs w:val="22"/>
      <w:lang w:val="en-US" w:eastAsia="de-DE" w:bidi="en-US"/>
    </w:rPr>
  </w:style>
  <w:style w:type="paragraph" w:customStyle="1" w:styleId="MDPI71References">
    <w:name w:val="MDPI_7.1_References"/>
    <w:qFormat/>
    <w:rsid w:val="00980FA3"/>
    <w:pPr>
      <w:numPr>
        <w:numId w:val="7"/>
      </w:numPr>
      <w:spacing w:line="260" w:lineRule="atLeast"/>
      <w:jc w:val="both"/>
    </w:pPr>
    <w:rPr>
      <w:rFonts w:ascii="Palatino Linotype" w:eastAsia="Times New Roman" w:hAnsi="Palatino Linotype"/>
      <w:snapToGrid w:val="0"/>
      <w:color w:val="000000"/>
      <w:sz w:val="18"/>
      <w:lang w:val="en-US" w:eastAsia="de-DE" w:bidi="en-US"/>
    </w:rPr>
  </w:style>
  <w:style w:type="paragraph" w:styleId="BalloonText">
    <w:name w:val="Balloon Text"/>
    <w:basedOn w:val="Normal"/>
    <w:link w:val="BalloonTextChar"/>
    <w:uiPriority w:val="99"/>
    <w:semiHidden/>
    <w:unhideWhenUsed/>
    <w:rsid w:val="00996419"/>
    <w:pPr>
      <w:spacing w:line="240" w:lineRule="auto"/>
    </w:pPr>
    <w:rPr>
      <w:sz w:val="18"/>
      <w:szCs w:val="18"/>
    </w:rPr>
  </w:style>
  <w:style w:type="character" w:customStyle="1" w:styleId="BalloonTextChar">
    <w:name w:val="Balloon Text Char"/>
    <w:link w:val="BalloonText"/>
    <w:uiPriority w:val="99"/>
    <w:semiHidden/>
    <w:rsid w:val="00996419"/>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996419"/>
  </w:style>
  <w:style w:type="table" w:customStyle="1" w:styleId="MDPI41threelinetable">
    <w:name w:val="MDPI_4.1_three_line_table"/>
    <w:basedOn w:val="TableNormal"/>
    <w:uiPriority w:val="99"/>
    <w:rsid w:val="00980FA3"/>
    <w:pPr>
      <w:adjustRightInd w:val="0"/>
      <w:snapToGrid w:val="0"/>
      <w:jc w:val="center"/>
    </w:pPr>
    <w:rPr>
      <w:rFonts w:ascii="Palatino Linotype" w:eastAsiaTheme="minorEastAsia" w:hAnsi="Palatino Linotype"/>
      <w:color w:val="00000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unhideWhenUsed/>
    <w:rsid w:val="00BF5D96"/>
    <w:rPr>
      <w:color w:val="0563C1"/>
      <w:u w:val="single"/>
    </w:rPr>
  </w:style>
  <w:style w:type="character" w:customStyle="1" w:styleId="UnresolvedMention1">
    <w:name w:val="Unresolved Mention1"/>
    <w:uiPriority w:val="99"/>
    <w:semiHidden/>
    <w:unhideWhenUsed/>
    <w:rsid w:val="0034278A"/>
    <w:rPr>
      <w:color w:val="605E5C"/>
      <w:shd w:val="clear" w:color="auto" w:fill="E1DFDD"/>
    </w:rPr>
  </w:style>
  <w:style w:type="table" w:styleId="TableGrid">
    <w:name w:val="Table Grid"/>
    <w:basedOn w:val="TableNormal"/>
    <w:uiPriority w:val="59"/>
    <w:rsid w:val="00853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BB27FD"/>
    <w:rPr>
      <w:color w:val="954F72" w:themeColor="followedHyperlink"/>
      <w:u w:val="single"/>
    </w:rPr>
  </w:style>
  <w:style w:type="character" w:customStyle="1" w:styleId="Heading2Char">
    <w:name w:val="Heading 2 Char"/>
    <w:basedOn w:val="DefaultParagraphFont"/>
    <w:link w:val="Heading2"/>
    <w:uiPriority w:val="9"/>
    <w:rsid w:val="00795204"/>
    <w:rPr>
      <w:rFonts w:eastAsia="MS Gothic"/>
      <w:b/>
      <w:bCs/>
      <w:color w:val="4F81BD"/>
      <w:sz w:val="26"/>
      <w:szCs w:val="26"/>
      <w:lang w:val="en-US" w:eastAsia="ja-JP"/>
    </w:rPr>
  </w:style>
  <w:style w:type="character" w:styleId="CommentReference">
    <w:name w:val="annotation reference"/>
    <w:basedOn w:val="DefaultParagraphFont"/>
    <w:uiPriority w:val="99"/>
    <w:semiHidden/>
    <w:unhideWhenUsed/>
    <w:rsid w:val="00F6731A"/>
    <w:rPr>
      <w:sz w:val="16"/>
      <w:szCs w:val="16"/>
    </w:rPr>
  </w:style>
  <w:style w:type="paragraph" w:styleId="CommentText">
    <w:name w:val="annotation text"/>
    <w:basedOn w:val="Normal"/>
    <w:link w:val="CommentTextChar"/>
    <w:uiPriority w:val="99"/>
    <w:semiHidden/>
    <w:unhideWhenUsed/>
    <w:rsid w:val="00F6731A"/>
    <w:pPr>
      <w:spacing w:line="240" w:lineRule="auto"/>
    </w:pPr>
    <w:rPr>
      <w:sz w:val="20"/>
    </w:rPr>
  </w:style>
  <w:style w:type="character" w:customStyle="1" w:styleId="CommentTextChar">
    <w:name w:val="Comment Text Char"/>
    <w:basedOn w:val="DefaultParagraphFont"/>
    <w:link w:val="CommentText"/>
    <w:uiPriority w:val="99"/>
    <w:semiHidden/>
    <w:rsid w:val="00F6731A"/>
    <w:rPr>
      <w:rFonts w:ascii="Times New Roman" w:eastAsia="Times New Roman" w:hAnsi="Times New Roman"/>
      <w:color w:val="000000"/>
      <w:lang w:val="en-US" w:eastAsia="de-DE"/>
    </w:rPr>
  </w:style>
  <w:style w:type="paragraph" w:styleId="CommentSubject">
    <w:name w:val="annotation subject"/>
    <w:basedOn w:val="CommentText"/>
    <w:next w:val="CommentText"/>
    <w:link w:val="CommentSubjectChar"/>
    <w:uiPriority w:val="99"/>
    <w:semiHidden/>
    <w:unhideWhenUsed/>
    <w:rsid w:val="00F6731A"/>
    <w:rPr>
      <w:b/>
      <w:bCs/>
    </w:rPr>
  </w:style>
  <w:style w:type="character" w:customStyle="1" w:styleId="CommentSubjectChar">
    <w:name w:val="Comment Subject Char"/>
    <w:basedOn w:val="CommentTextChar"/>
    <w:link w:val="CommentSubject"/>
    <w:uiPriority w:val="99"/>
    <w:semiHidden/>
    <w:rsid w:val="00F6731A"/>
    <w:rPr>
      <w:rFonts w:ascii="Times New Roman" w:eastAsia="Times New Roman" w:hAnsi="Times New Roman"/>
      <w:b/>
      <w:bCs/>
      <w:color w:val="000000"/>
      <w:lang w:val="en-US" w:eastAsia="de-DE"/>
    </w:rPr>
  </w:style>
  <w:style w:type="paragraph" w:customStyle="1" w:styleId="MDPI15academiceditor">
    <w:name w:val="MDPI_1.5_academic_editor"/>
    <w:qFormat/>
    <w:rsid w:val="00980FA3"/>
    <w:pPr>
      <w:adjustRightInd w:val="0"/>
      <w:snapToGrid w:val="0"/>
      <w:spacing w:line="260" w:lineRule="atLeast"/>
      <w:ind w:left="113"/>
    </w:pPr>
    <w:rPr>
      <w:rFonts w:ascii="Palatino Linotype" w:eastAsia="Times New Roman" w:hAnsi="Palatino Linotype"/>
      <w:color w:val="000000"/>
      <w:sz w:val="18"/>
      <w:szCs w:val="22"/>
      <w:lang w:val="en-US" w:eastAsia="de-DE" w:bidi="en-US"/>
    </w:rPr>
  </w:style>
  <w:style w:type="paragraph" w:customStyle="1" w:styleId="MDPI19classification">
    <w:name w:val="MDPI_1.9_classification"/>
    <w:qFormat/>
    <w:rsid w:val="00980FA3"/>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MDPI411onetablecaption">
    <w:name w:val="MDPI_4.1.1_one_table_caption"/>
    <w:qFormat/>
    <w:rsid w:val="00980FA3"/>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val="en-US" w:eastAsia="zh-CN" w:bidi="en-US"/>
    </w:rPr>
  </w:style>
  <w:style w:type="paragraph" w:customStyle="1" w:styleId="MDPI511onefigurecaption">
    <w:name w:val="MDPI_5.1.1_one_figure_caption"/>
    <w:qFormat/>
    <w:rsid w:val="00980FA3"/>
    <w:pPr>
      <w:adjustRightInd w:val="0"/>
      <w:snapToGrid w:val="0"/>
      <w:spacing w:before="240" w:after="120" w:line="260" w:lineRule="atLeast"/>
      <w:jc w:val="center"/>
    </w:pPr>
    <w:rPr>
      <w:rFonts w:ascii="Palatino Linotype" w:eastAsiaTheme="minorEastAsia" w:hAnsi="Palatino Linotype"/>
      <w:noProof/>
      <w:color w:val="000000"/>
      <w:sz w:val="18"/>
      <w:lang w:val="en-US" w:eastAsia="zh-CN" w:bidi="en-US"/>
    </w:rPr>
  </w:style>
  <w:style w:type="paragraph" w:customStyle="1" w:styleId="MDPI72Copyright">
    <w:name w:val="MDPI_7.2_Copyright"/>
    <w:qFormat/>
    <w:rsid w:val="00980FA3"/>
    <w:pPr>
      <w:adjustRightInd w:val="0"/>
      <w:snapToGrid w:val="0"/>
      <w:spacing w:before="400" w:line="260" w:lineRule="atLeast"/>
      <w:jc w:val="both"/>
    </w:pPr>
    <w:rPr>
      <w:rFonts w:ascii="Palatino Linotype" w:eastAsia="Times New Roman" w:hAnsi="Palatino Linotype"/>
      <w:noProof/>
      <w:snapToGrid w:val="0"/>
      <w:color w:val="000000"/>
      <w:spacing w:val="-2"/>
      <w:sz w:val="18"/>
      <w:lang w:val="en-GB"/>
    </w:rPr>
  </w:style>
  <w:style w:type="paragraph" w:customStyle="1" w:styleId="MDPI73CopyrightImage">
    <w:name w:val="MDPI_7.3_CopyrightImage"/>
    <w:rsid w:val="00980FA3"/>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MDPIequationFram">
    <w:name w:val="MDPI_equationFram"/>
    <w:qFormat/>
    <w:rsid w:val="00980FA3"/>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MDPIfooter">
    <w:name w:val="MDPI_footer"/>
    <w:qFormat/>
    <w:rsid w:val="00980FA3"/>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MDPIheader">
    <w:name w:val="MDPI_header"/>
    <w:qFormat/>
    <w:rsid w:val="00980FA3"/>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rsid w:val="00980FA3"/>
    <w:pPr>
      <w:spacing w:after="240"/>
    </w:pPr>
    <w:rPr>
      <w:rFonts w:ascii="Palatino Linotype" w:eastAsia="Times New Roman" w:hAnsi="Palatino Linotype"/>
      <w:snapToGrid w:val="0"/>
      <w:color w:val="000000"/>
      <w:sz w:val="18"/>
      <w:lang w:val="en-US" w:eastAsia="de-DE" w:bidi="en-US"/>
    </w:rPr>
  </w:style>
  <w:style w:type="paragraph" w:customStyle="1" w:styleId="MDPIheadermdpilogo">
    <w:name w:val="MDPI_header_mdpi_logo"/>
    <w:qFormat/>
    <w:rsid w:val="00980FA3"/>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paragraph" w:customStyle="1" w:styleId="MDPItext">
    <w:name w:val="MDPI_text"/>
    <w:qFormat/>
    <w:rsid w:val="00980FA3"/>
    <w:pPr>
      <w:spacing w:line="260" w:lineRule="atLeast"/>
      <w:ind w:left="425" w:right="425" w:firstLine="284"/>
      <w:jc w:val="both"/>
    </w:pPr>
    <w:rPr>
      <w:rFonts w:ascii="Times New Roman" w:eastAsia="Times New Roman" w:hAnsi="Times New Roman"/>
      <w:noProof/>
      <w:snapToGrid w:val="0"/>
      <w:color w:val="000000"/>
      <w:sz w:val="22"/>
      <w:szCs w:val="22"/>
      <w:lang w:val="en-US" w:eastAsia="de-DE" w:bidi="en-US"/>
    </w:rPr>
  </w:style>
  <w:style w:type="paragraph" w:customStyle="1" w:styleId="MDPItitle">
    <w:name w:val="MDPI_title"/>
    <w:qFormat/>
    <w:rsid w:val="00980FA3"/>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paragraph" w:styleId="Revision">
    <w:name w:val="Revision"/>
    <w:hidden/>
    <w:uiPriority w:val="99"/>
    <w:semiHidden/>
    <w:rsid w:val="00B459E7"/>
    <w:rPr>
      <w:rFonts w:ascii="Times New Roman" w:eastAsia="Times New Roman" w:hAnsi="Times New Roman"/>
      <w:color w:val="000000"/>
      <w:sz w:val="24"/>
      <w:lang w:val="en-US" w:eastAsia="de-DE"/>
    </w:rPr>
  </w:style>
  <w:style w:type="character" w:customStyle="1" w:styleId="UnresolvedMention2">
    <w:name w:val="Unresolved Mention2"/>
    <w:basedOn w:val="DefaultParagraphFont"/>
    <w:uiPriority w:val="99"/>
    <w:semiHidden/>
    <w:unhideWhenUsed/>
    <w:rsid w:val="001C0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35810">
      <w:bodyDiv w:val="1"/>
      <w:marLeft w:val="0"/>
      <w:marRight w:val="0"/>
      <w:marTop w:val="0"/>
      <w:marBottom w:val="0"/>
      <w:divBdr>
        <w:top w:val="none" w:sz="0" w:space="0" w:color="auto"/>
        <w:left w:val="none" w:sz="0" w:space="0" w:color="auto"/>
        <w:bottom w:val="none" w:sz="0" w:space="0" w:color="auto"/>
        <w:right w:val="none" w:sz="0" w:space="0" w:color="auto"/>
      </w:divBdr>
    </w:div>
    <w:div w:id="245042406">
      <w:bodyDiv w:val="1"/>
      <w:marLeft w:val="0"/>
      <w:marRight w:val="0"/>
      <w:marTop w:val="0"/>
      <w:marBottom w:val="0"/>
      <w:divBdr>
        <w:top w:val="none" w:sz="0" w:space="0" w:color="auto"/>
        <w:left w:val="none" w:sz="0" w:space="0" w:color="auto"/>
        <w:bottom w:val="none" w:sz="0" w:space="0" w:color="auto"/>
        <w:right w:val="none" w:sz="0" w:space="0" w:color="auto"/>
      </w:divBdr>
    </w:div>
    <w:div w:id="314377119">
      <w:bodyDiv w:val="1"/>
      <w:marLeft w:val="0"/>
      <w:marRight w:val="0"/>
      <w:marTop w:val="0"/>
      <w:marBottom w:val="0"/>
      <w:divBdr>
        <w:top w:val="none" w:sz="0" w:space="0" w:color="auto"/>
        <w:left w:val="none" w:sz="0" w:space="0" w:color="auto"/>
        <w:bottom w:val="none" w:sz="0" w:space="0" w:color="auto"/>
        <w:right w:val="none" w:sz="0" w:space="0" w:color="auto"/>
      </w:divBdr>
    </w:div>
    <w:div w:id="636685174">
      <w:bodyDiv w:val="1"/>
      <w:marLeft w:val="0"/>
      <w:marRight w:val="0"/>
      <w:marTop w:val="0"/>
      <w:marBottom w:val="0"/>
      <w:divBdr>
        <w:top w:val="none" w:sz="0" w:space="0" w:color="auto"/>
        <w:left w:val="none" w:sz="0" w:space="0" w:color="auto"/>
        <w:bottom w:val="none" w:sz="0" w:space="0" w:color="auto"/>
        <w:right w:val="none" w:sz="0" w:space="0" w:color="auto"/>
      </w:divBdr>
    </w:div>
    <w:div w:id="773793975">
      <w:bodyDiv w:val="1"/>
      <w:marLeft w:val="0"/>
      <w:marRight w:val="0"/>
      <w:marTop w:val="0"/>
      <w:marBottom w:val="0"/>
      <w:divBdr>
        <w:top w:val="none" w:sz="0" w:space="0" w:color="auto"/>
        <w:left w:val="none" w:sz="0" w:space="0" w:color="auto"/>
        <w:bottom w:val="none" w:sz="0" w:space="0" w:color="auto"/>
        <w:right w:val="none" w:sz="0" w:space="0" w:color="auto"/>
      </w:divBdr>
      <w:divsChild>
        <w:div w:id="1533152151">
          <w:marLeft w:val="0"/>
          <w:marRight w:val="0"/>
          <w:marTop w:val="0"/>
          <w:marBottom w:val="0"/>
          <w:divBdr>
            <w:top w:val="none" w:sz="0" w:space="0" w:color="auto"/>
            <w:left w:val="none" w:sz="0" w:space="0" w:color="auto"/>
            <w:bottom w:val="none" w:sz="0" w:space="0" w:color="auto"/>
            <w:right w:val="none" w:sz="0" w:space="0" w:color="auto"/>
          </w:divBdr>
          <w:divsChild>
            <w:div w:id="1453741845">
              <w:marLeft w:val="0"/>
              <w:marRight w:val="0"/>
              <w:marTop w:val="0"/>
              <w:marBottom w:val="0"/>
              <w:divBdr>
                <w:top w:val="none" w:sz="0" w:space="0" w:color="auto"/>
                <w:left w:val="none" w:sz="0" w:space="0" w:color="auto"/>
                <w:bottom w:val="none" w:sz="0" w:space="0" w:color="auto"/>
                <w:right w:val="none" w:sz="0" w:space="0" w:color="auto"/>
              </w:divBdr>
              <w:divsChild>
                <w:div w:id="6503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6467">
      <w:bodyDiv w:val="1"/>
      <w:marLeft w:val="0"/>
      <w:marRight w:val="0"/>
      <w:marTop w:val="0"/>
      <w:marBottom w:val="0"/>
      <w:divBdr>
        <w:top w:val="none" w:sz="0" w:space="0" w:color="auto"/>
        <w:left w:val="none" w:sz="0" w:space="0" w:color="auto"/>
        <w:bottom w:val="none" w:sz="0" w:space="0" w:color="auto"/>
        <w:right w:val="none" w:sz="0" w:space="0" w:color="auto"/>
      </w:divBdr>
    </w:div>
    <w:div w:id="1307315714">
      <w:bodyDiv w:val="1"/>
      <w:marLeft w:val="0"/>
      <w:marRight w:val="0"/>
      <w:marTop w:val="0"/>
      <w:marBottom w:val="0"/>
      <w:divBdr>
        <w:top w:val="none" w:sz="0" w:space="0" w:color="auto"/>
        <w:left w:val="none" w:sz="0" w:space="0" w:color="auto"/>
        <w:bottom w:val="none" w:sz="0" w:space="0" w:color="auto"/>
        <w:right w:val="none" w:sz="0" w:space="0" w:color="auto"/>
      </w:divBdr>
    </w:div>
    <w:div w:id="1495147799">
      <w:bodyDiv w:val="1"/>
      <w:marLeft w:val="0"/>
      <w:marRight w:val="0"/>
      <w:marTop w:val="0"/>
      <w:marBottom w:val="0"/>
      <w:divBdr>
        <w:top w:val="none" w:sz="0" w:space="0" w:color="auto"/>
        <w:left w:val="none" w:sz="0" w:space="0" w:color="auto"/>
        <w:bottom w:val="none" w:sz="0" w:space="0" w:color="auto"/>
        <w:right w:val="none" w:sz="0" w:space="0" w:color="auto"/>
      </w:divBdr>
    </w:div>
    <w:div w:id="1983198065">
      <w:bodyDiv w:val="1"/>
      <w:marLeft w:val="0"/>
      <w:marRight w:val="0"/>
      <w:marTop w:val="0"/>
      <w:marBottom w:val="0"/>
      <w:divBdr>
        <w:top w:val="none" w:sz="0" w:space="0" w:color="auto"/>
        <w:left w:val="none" w:sz="0" w:space="0" w:color="auto"/>
        <w:bottom w:val="none" w:sz="0" w:space="0" w:color="auto"/>
        <w:right w:val="none" w:sz="0" w:space="0" w:color="auto"/>
      </w:divBdr>
    </w:div>
    <w:div w:id="213878927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emf"/><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0.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E13D2-3A2D-D94A-88CC-AA4FE6F6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15</Pages>
  <Words>7310</Words>
  <Characters>41669</Characters>
  <Application>Microsoft Office Word</Application>
  <DocSecurity>0</DocSecurity>
  <Lines>347</Lines>
  <Paragraphs>97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vt:lpstr>
      <vt:lpstr>A</vt:lpstr>
    </vt:vector>
  </TitlesOfParts>
  <Company/>
  <LinksUpToDate>false</LinksUpToDate>
  <CharactersWithSpaces>48882</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MDPI</dc:creator>
  <cp:keywords/>
  <dc:description/>
  <cp:lastModifiedBy>Frances Platt</cp:lastModifiedBy>
  <cp:revision>9</cp:revision>
  <cp:lastPrinted>2020-04-04T03:06:00Z</cp:lastPrinted>
  <dcterms:created xsi:type="dcterms:W3CDTF">2020-04-06T12:58:00Z</dcterms:created>
  <dcterms:modified xsi:type="dcterms:W3CDTF">2020-04-07T13:14:00Z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http://www.zotero.org/styles/acs-synthetic-biology</vt:lpwstr>
  </property>
  <property fmtid="{D5CDD505-2E9C-101B-9397-08002B2CF9AE}" pid="3" name="Mendeley Recent Style Name 0_1">
    <vt:lpwstr>ACS Synthetic Biology</vt:lpwstr>
  </property>
  <property fmtid="{D5CDD505-2E9C-101B-9397-08002B2CF9AE}" pid="4" name="Mendeley Recent Style Id 1_1">
    <vt:lpwstr>http://www.zotero.org/styles/american-chemical-society</vt:lpwstr>
  </property>
  <property fmtid="{D5CDD505-2E9C-101B-9397-08002B2CF9AE}" pid="5" name="Mendeley Recent Style Name 1_1">
    <vt:lpwstr>American Chemical Society</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http://www.zotero.org/styles/brain</vt:lpwstr>
  </property>
  <property fmtid="{D5CDD505-2E9C-101B-9397-08002B2CF9AE}" pid="13" name="Mendeley Recent Style Name 5_1">
    <vt:lpwstr>Brain</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http://www.zotero.org/styles/multidisciplinary-digital-publishing-institute</vt:lpwstr>
  </property>
  <property fmtid="{D5CDD505-2E9C-101B-9397-08002B2CF9AE}" pid="19" name="Mendeley Recent Style Name 8_1">
    <vt:lpwstr>Multidisciplinary Digital Publishing Institute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5eef9372-59c1-38a7-825b-62b869baa634</vt:lpwstr>
  </property>
  <property fmtid="{D5CDD505-2E9C-101B-9397-08002B2CF9AE}" pid="24" name="Mendeley Citation Style_1">
    <vt:lpwstr>http://www.zotero.org/styles/multidisciplinary-digital-publishing-institute</vt:lpwstr>
  </property>
</Properties>
</file>