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075C" w:rsidRDefault="00A53D1E">
      <w:pPr>
        <w:pStyle w:val="TableCaption"/>
        <w:keepNext/>
        <w:pBdr>
          <w:top w:val="none" w:sz="0" w:space="0" w:color="000000"/>
          <w:left w:val="none" w:sz="0" w:space="0" w:color="000000"/>
          <w:bottom w:val="none" w:sz="0" w:space="0" w:color="000000"/>
          <w:right w:val="none" w:sz="0" w:space="0" w:color="000000"/>
        </w:pBdr>
        <w:spacing w:before="60" w:after="60"/>
        <w:ind w:left="60" w:right="60"/>
      </w:pPr>
      <w:r>
        <w:rPr>
          <w:rFonts w:ascii="Arial" w:eastAsia="Arial" w:hAnsi="Arial" w:cs="Arial"/>
          <w:i w:val="0"/>
          <w:color w:val="000000"/>
          <w:sz w:val="22"/>
          <w:szCs w:val="22"/>
        </w:rPr>
        <w:t>Supplementary Table S1</w:t>
      </w:r>
      <w:r w:rsidR="00045470">
        <w:rPr>
          <w:rFonts w:ascii="Arial" w:eastAsia="Arial" w:hAnsi="Arial" w:cs="Arial"/>
          <w:i w:val="0"/>
          <w:color w:val="000000"/>
          <w:sz w:val="22"/>
          <w:szCs w:val="22"/>
        </w:rPr>
        <w:t>0</w:t>
      </w:r>
      <w:r>
        <w:rPr>
          <w:rFonts w:ascii="Arial" w:eastAsia="Arial" w:hAnsi="Arial" w:cs="Arial"/>
          <w:i w:val="0"/>
          <w:color w:val="000000"/>
          <w:sz w:val="22"/>
          <w:szCs w:val="22"/>
        </w:rPr>
        <w:t>a. Counts of overlaps (defined as being within 5Kbp of the Virus Interacting Protein (VIP) structural gene) between different classes of VIPs and saltiLASSi selected regions in the UKB and CKB participants.</w:t>
      </w:r>
      <w:r>
        <w:rPr>
          <w:rFonts w:ascii="Arial" w:eastAsia="Arial" w:hAnsi="Arial" w:cs="Arial"/>
          <w:b w:val="0"/>
          <w:i w:val="0"/>
          <w:color w:val="000000"/>
          <w:sz w:val="22"/>
          <w:szCs w:val="22"/>
        </w:rPr>
        <w:t xml:space="preserve"> Enrichment and P-values (one-tailed test) were determined for the frequency with which the genes encoding different classes of VIPs overlap with saltiLASSi-identified regions of selection, compared with 10,000 bootstrap iterations of randomly distributing regions of selection across the genome, controlling for local gene density. The HLA region (chr6:20-40Mb) and other excludable regions (see methods) and VIP genes lying within it were excluded from analysis. Asterisks next to P-values denote significance after multiple testing adjustment (P&lt;0.05</w:t>
      </w:r>
      <w:proofErr w:type="gramStart"/>
      <w:r>
        <w:rPr>
          <w:rFonts w:ascii="Arial" w:eastAsia="Arial" w:hAnsi="Arial" w:cs="Arial"/>
          <w:b w:val="0"/>
          <w:i w:val="0"/>
          <w:color w:val="000000"/>
          <w:sz w:val="22"/>
          <w:szCs w:val="22"/>
        </w:rPr>
        <w:t>/(</w:t>
      </w:r>
      <w:proofErr w:type="gramEnd"/>
      <w:r>
        <w:rPr>
          <w:rFonts w:ascii="Arial" w:eastAsia="Arial" w:hAnsi="Arial" w:cs="Arial"/>
          <w:b w:val="0"/>
          <w:i w:val="0"/>
          <w:color w:val="000000"/>
          <w:sz w:val="22"/>
          <w:szCs w:val="22"/>
        </w:rPr>
        <w:t>2*2.36).</w:t>
      </w:r>
    </w:p>
    <w:tbl>
      <w:tblPr>
        <w:tblW w:w="0" w:type="auto"/>
        <w:jc w:val="center"/>
        <w:tblLayout w:type="fixed"/>
        <w:tblLook w:val="0420" w:firstRow="1" w:lastRow="0" w:firstColumn="0" w:lastColumn="0" w:noHBand="0" w:noVBand="1"/>
      </w:tblPr>
      <w:tblGrid>
        <w:gridCol w:w="2848"/>
        <w:gridCol w:w="2037"/>
        <w:gridCol w:w="2098"/>
        <w:gridCol w:w="1047"/>
        <w:gridCol w:w="2037"/>
        <w:gridCol w:w="2098"/>
        <w:gridCol w:w="961"/>
      </w:tblGrid>
      <w:tr w:rsidR="0052075C">
        <w:trPr>
          <w:tblHeader/>
          <w:jc w:val="center"/>
        </w:trPr>
        <w:tc>
          <w:tcPr>
            <w:tcW w:w="13126" w:type="dxa"/>
            <w:gridSpan w:val="7"/>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jc w:val="center"/>
            </w:pPr>
            <w:r>
              <w:rPr>
                <w:rFonts w:ascii="Arial" w:eastAsia="Arial" w:hAnsi="Arial" w:cs="Arial"/>
                <w:color w:val="000000"/>
                <w:sz w:val="22"/>
                <w:szCs w:val="22"/>
              </w:rPr>
              <w:t>Selection Region Set (5Kbp)</w:t>
            </w:r>
          </w:p>
        </w:tc>
      </w:tr>
      <w:tr w:rsidR="0052075C">
        <w:trPr>
          <w:tblHeader/>
          <w:jc w:val="center"/>
        </w:trPr>
        <w:tc>
          <w:tcPr>
            <w:tcW w:w="2848"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 </w:t>
            </w:r>
          </w:p>
        </w:tc>
        <w:tc>
          <w:tcPr>
            <w:tcW w:w="20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CKB</w:t>
            </w:r>
          </w:p>
        </w:tc>
        <w:tc>
          <w:tcPr>
            <w:tcW w:w="2098"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 </w:t>
            </w:r>
          </w:p>
        </w:tc>
        <w:tc>
          <w:tcPr>
            <w:tcW w:w="104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 </w:t>
            </w:r>
          </w:p>
        </w:tc>
        <w:tc>
          <w:tcPr>
            <w:tcW w:w="20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UKB</w:t>
            </w:r>
          </w:p>
        </w:tc>
        <w:tc>
          <w:tcPr>
            <w:tcW w:w="2098"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 </w:t>
            </w:r>
          </w:p>
        </w:tc>
        <w:tc>
          <w:tcPr>
            <w:tcW w:w="961"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 </w:t>
            </w:r>
          </w:p>
        </w:tc>
      </w:tr>
      <w:tr w:rsidR="0052075C">
        <w:trPr>
          <w:tblHeader/>
          <w:jc w:val="center"/>
        </w:trPr>
        <w:tc>
          <w:tcPr>
            <w:tcW w:w="2848"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VIP</w:t>
            </w:r>
          </w:p>
        </w:tc>
        <w:tc>
          <w:tcPr>
            <w:tcW w:w="20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Overlap</w:t>
            </w:r>
          </w:p>
        </w:tc>
        <w:tc>
          <w:tcPr>
            <w:tcW w:w="2098"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Enrichment</w:t>
            </w:r>
          </w:p>
        </w:tc>
        <w:tc>
          <w:tcPr>
            <w:tcW w:w="104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P</w:t>
            </w:r>
          </w:p>
        </w:tc>
        <w:tc>
          <w:tcPr>
            <w:tcW w:w="20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Overlap</w:t>
            </w:r>
          </w:p>
        </w:tc>
        <w:tc>
          <w:tcPr>
            <w:tcW w:w="2098"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Enrichment</w:t>
            </w:r>
          </w:p>
        </w:tc>
        <w:tc>
          <w:tcPr>
            <w:tcW w:w="961"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P</w:t>
            </w:r>
          </w:p>
        </w:tc>
      </w:tr>
      <w:tr w:rsidR="0052075C">
        <w:trPr>
          <w:jc w:val="center"/>
        </w:trPr>
        <w:tc>
          <w:tcPr>
            <w:tcW w:w="2848"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All</w:t>
            </w:r>
          </w:p>
        </w:tc>
        <w:tc>
          <w:tcPr>
            <w:tcW w:w="20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111/4768 (2.3%)</w:t>
            </w:r>
          </w:p>
        </w:tc>
        <w:tc>
          <w:tcPr>
            <w:tcW w:w="2098"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1.07 (0.78 - 1.56)</w:t>
            </w:r>
          </w:p>
        </w:tc>
        <w:tc>
          <w:tcPr>
            <w:tcW w:w="104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0.341</w:t>
            </w:r>
          </w:p>
        </w:tc>
        <w:tc>
          <w:tcPr>
            <w:tcW w:w="20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102/4768 (2.1%)</w:t>
            </w:r>
          </w:p>
        </w:tc>
        <w:tc>
          <w:tcPr>
            <w:tcW w:w="2098"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1.06 (0.78 - 1.52)</w:t>
            </w:r>
          </w:p>
        </w:tc>
        <w:tc>
          <w:tcPr>
            <w:tcW w:w="961"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0.344</w:t>
            </w:r>
          </w:p>
        </w:tc>
      </w:tr>
      <w:tr w:rsidR="0052075C">
        <w:trPr>
          <w:jc w:val="center"/>
        </w:trPr>
        <w:tc>
          <w:tcPr>
            <w:tcW w:w="2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200" w:right="100"/>
            </w:pPr>
            <w:r>
              <w:rPr>
                <w:rFonts w:ascii="Arial" w:eastAsia="Arial" w:hAnsi="Arial" w:cs="Arial"/>
                <w:color w:val="000000"/>
                <w:sz w:val="22"/>
                <w:szCs w:val="22"/>
              </w:rPr>
              <w:t>DNA viruses</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21/1273 (1.6%)</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0.75 (0.49 - 1.31)</w:t>
            </w:r>
          </w:p>
        </w:tc>
        <w:tc>
          <w:tcPr>
            <w:tcW w:w="104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0.858</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23/1273 (1.8%)</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0.88 (0.58 - 1.53)</w:t>
            </w:r>
          </w:p>
        </w:tc>
        <w:tc>
          <w:tcPr>
            <w:tcW w:w="96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0.657</w:t>
            </w:r>
          </w:p>
        </w:tc>
      </w:tr>
      <w:tr w:rsidR="0052075C">
        <w:trPr>
          <w:jc w:val="center"/>
        </w:trPr>
        <w:tc>
          <w:tcPr>
            <w:tcW w:w="2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200" w:right="100"/>
            </w:pPr>
            <w:r>
              <w:rPr>
                <w:rFonts w:ascii="Arial" w:eastAsia="Arial" w:hAnsi="Arial" w:cs="Arial"/>
                <w:color w:val="000000"/>
                <w:sz w:val="22"/>
                <w:szCs w:val="22"/>
              </w:rPr>
              <w:t>RNA viruses</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90/3495 (2.6%)</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1.18 (0.86 - 1.80)</w:t>
            </w:r>
          </w:p>
        </w:tc>
        <w:tc>
          <w:tcPr>
            <w:tcW w:w="104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0.157</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79/3495 (2.3%)</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1.13 (0.81 - 1.68)</w:t>
            </w:r>
          </w:p>
        </w:tc>
        <w:tc>
          <w:tcPr>
            <w:tcW w:w="96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0.225</w:t>
            </w:r>
          </w:p>
        </w:tc>
      </w:tr>
      <w:tr w:rsidR="0052075C">
        <w:trPr>
          <w:jc w:val="center"/>
        </w:trPr>
        <w:tc>
          <w:tcPr>
            <w:tcW w:w="2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400" w:right="100"/>
            </w:pPr>
            <w:r>
              <w:rPr>
                <w:rFonts w:ascii="Arial" w:eastAsia="Arial" w:hAnsi="Arial" w:cs="Arial"/>
                <w:color w:val="000000"/>
                <w:sz w:val="22"/>
                <w:szCs w:val="22"/>
              </w:rPr>
              <w:t>non-COV</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74/3101 (2.4%)</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1.09 (0.78 - 1.64)</w:t>
            </w:r>
          </w:p>
        </w:tc>
        <w:tc>
          <w:tcPr>
            <w:tcW w:w="104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0.306</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69/3101 (2.2%)</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1.10 (0.78 - 1.68)</w:t>
            </w:r>
          </w:p>
        </w:tc>
        <w:tc>
          <w:tcPr>
            <w:tcW w:w="96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0.280</w:t>
            </w:r>
          </w:p>
        </w:tc>
      </w:tr>
      <w:tr w:rsidR="0052075C">
        <w:trPr>
          <w:jc w:val="center"/>
        </w:trPr>
        <w:tc>
          <w:tcPr>
            <w:tcW w:w="2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400" w:right="100"/>
            </w:pPr>
            <w:r>
              <w:rPr>
                <w:rFonts w:ascii="Arial" w:eastAsia="Arial" w:hAnsi="Arial" w:cs="Arial"/>
                <w:color w:val="000000"/>
                <w:sz w:val="22"/>
                <w:szCs w:val="22"/>
              </w:rPr>
              <w:t>COV</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16/394 (4.1%)</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2.00 (1.14 - 5.33)</w:t>
            </w:r>
          </w:p>
        </w:tc>
        <w:tc>
          <w:tcPr>
            <w:tcW w:w="104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0.005*</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10/394 (2.5%)</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1.43 (0.77 - 5.00)</w:t>
            </w:r>
          </w:p>
        </w:tc>
        <w:tc>
          <w:tcPr>
            <w:tcW w:w="96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0.126</w:t>
            </w:r>
          </w:p>
        </w:tc>
      </w:tr>
      <w:tr w:rsidR="0052075C">
        <w:trPr>
          <w:jc w:val="center"/>
        </w:trPr>
        <w:tc>
          <w:tcPr>
            <w:tcW w:w="2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600" w:right="100"/>
            </w:pPr>
            <w:r>
              <w:rPr>
                <w:rFonts w:ascii="Arial" w:eastAsia="Arial" w:hAnsi="Arial" w:cs="Arial"/>
                <w:color w:val="000000"/>
                <w:sz w:val="22"/>
                <w:szCs w:val="22"/>
              </w:rPr>
              <w:t>non-SARS</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3/77 (3.9%)</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3.00 (0.60 -  </w:t>
            </w:r>
            <w:proofErr w:type="spellStart"/>
            <w:r>
              <w:rPr>
                <w:rFonts w:ascii="Arial" w:eastAsia="Arial" w:hAnsi="Arial" w:cs="Arial"/>
                <w:color w:val="000000"/>
                <w:sz w:val="22"/>
                <w:szCs w:val="22"/>
              </w:rPr>
              <w:t>Inf</w:t>
            </w:r>
            <w:proofErr w:type="spellEnd"/>
            <w:r>
              <w:rPr>
                <w:rFonts w:ascii="Arial" w:eastAsia="Arial" w:hAnsi="Arial" w:cs="Arial"/>
                <w:color w:val="000000"/>
                <w:sz w:val="22"/>
                <w:szCs w:val="22"/>
              </w:rPr>
              <w:t>)</w:t>
            </w:r>
          </w:p>
        </w:tc>
        <w:tc>
          <w:tcPr>
            <w:tcW w:w="104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0.085</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1/77 (1.3%)</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1.00 (0.25 -  </w:t>
            </w:r>
            <w:proofErr w:type="spellStart"/>
            <w:r>
              <w:rPr>
                <w:rFonts w:ascii="Arial" w:eastAsia="Arial" w:hAnsi="Arial" w:cs="Arial"/>
                <w:color w:val="000000"/>
                <w:sz w:val="22"/>
                <w:szCs w:val="22"/>
              </w:rPr>
              <w:t>Inf</w:t>
            </w:r>
            <w:proofErr w:type="spellEnd"/>
            <w:r>
              <w:rPr>
                <w:rFonts w:ascii="Arial" w:eastAsia="Arial" w:hAnsi="Arial" w:cs="Arial"/>
                <w:color w:val="000000"/>
                <w:sz w:val="22"/>
                <w:szCs w:val="22"/>
              </w:rPr>
              <w:t>)</w:t>
            </w:r>
          </w:p>
        </w:tc>
        <w:tc>
          <w:tcPr>
            <w:tcW w:w="96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0.440</w:t>
            </w:r>
          </w:p>
        </w:tc>
      </w:tr>
      <w:tr w:rsidR="0052075C">
        <w:trPr>
          <w:jc w:val="center"/>
        </w:trPr>
        <w:tc>
          <w:tcPr>
            <w:tcW w:w="2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600" w:right="100"/>
            </w:pPr>
            <w:r>
              <w:rPr>
                <w:rFonts w:ascii="Arial" w:eastAsia="Arial" w:hAnsi="Arial" w:cs="Arial"/>
                <w:color w:val="000000"/>
                <w:sz w:val="22"/>
                <w:szCs w:val="22"/>
              </w:rPr>
              <w:t>SARS</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13/317 (4.1%)</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2.17 (1.08 - 6.50)</w:t>
            </w:r>
          </w:p>
        </w:tc>
        <w:tc>
          <w:tcPr>
            <w:tcW w:w="104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0.007*</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9/317 (2.8%)</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1.80 (0.82 - 9.00)</w:t>
            </w:r>
          </w:p>
        </w:tc>
        <w:tc>
          <w:tcPr>
            <w:tcW w:w="96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0.072</w:t>
            </w:r>
          </w:p>
        </w:tc>
      </w:tr>
      <w:tr w:rsidR="0052075C">
        <w:trPr>
          <w:jc w:val="center"/>
        </w:trPr>
        <w:tc>
          <w:tcPr>
            <w:tcW w:w="2848"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800" w:right="100"/>
            </w:pPr>
            <w:r>
              <w:rPr>
                <w:rFonts w:ascii="Arial" w:eastAsia="Arial" w:hAnsi="Arial" w:cs="Arial"/>
                <w:color w:val="000000"/>
                <w:sz w:val="22"/>
                <w:szCs w:val="22"/>
              </w:rPr>
              <w:t>under-selection</w:t>
            </w:r>
          </w:p>
        </w:tc>
        <w:tc>
          <w:tcPr>
            <w:tcW w:w="20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1/40 (2.5%)</w:t>
            </w:r>
          </w:p>
        </w:tc>
        <w:tc>
          <w:tcPr>
            <w:tcW w:w="2098"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 </w:t>
            </w:r>
            <w:proofErr w:type="spellStart"/>
            <w:r>
              <w:rPr>
                <w:rFonts w:ascii="Arial" w:eastAsia="Arial" w:hAnsi="Arial" w:cs="Arial"/>
                <w:color w:val="000000"/>
                <w:sz w:val="22"/>
                <w:szCs w:val="22"/>
              </w:rPr>
              <w:t>Inf</w:t>
            </w:r>
            <w:proofErr w:type="spellEnd"/>
            <w:r>
              <w:rPr>
                <w:rFonts w:ascii="Arial" w:eastAsia="Arial" w:hAnsi="Arial" w:cs="Arial"/>
                <w:color w:val="000000"/>
                <w:sz w:val="22"/>
                <w:szCs w:val="22"/>
              </w:rPr>
              <w:t xml:space="preserve"> (0.33 -  </w:t>
            </w:r>
            <w:proofErr w:type="spellStart"/>
            <w:r>
              <w:rPr>
                <w:rFonts w:ascii="Arial" w:eastAsia="Arial" w:hAnsi="Arial" w:cs="Arial"/>
                <w:color w:val="000000"/>
                <w:sz w:val="22"/>
                <w:szCs w:val="22"/>
              </w:rPr>
              <w:t>Inf</w:t>
            </w:r>
            <w:proofErr w:type="spellEnd"/>
            <w:r>
              <w:rPr>
                <w:rFonts w:ascii="Arial" w:eastAsia="Arial" w:hAnsi="Arial" w:cs="Arial"/>
                <w:color w:val="000000"/>
                <w:sz w:val="22"/>
                <w:szCs w:val="22"/>
              </w:rPr>
              <w:t>)</w:t>
            </w:r>
          </w:p>
        </w:tc>
        <w:tc>
          <w:tcPr>
            <w:tcW w:w="104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0.133</w:t>
            </w:r>
          </w:p>
        </w:tc>
        <w:tc>
          <w:tcPr>
            <w:tcW w:w="20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2/40 (5.0%)</w:t>
            </w:r>
          </w:p>
        </w:tc>
        <w:tc>
          <w:tcPr>
            <w:tcW w:w="2098"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2.00 (0.67 -  </w:t>
            </w:r>
            <w:proofErr w:type="spellStart"/>
            <w:r>
              <w:rPr>
                <w:rFonts w:ascii="Arial" w:eastAsia="Arial" w:hAnsi="Arial" w:cs="Arial"/>
                <w:color w:val="000000"/>
                <w:sz w:val="22"/>
                <w:szCs w:val="22"/>
              </w:rPr>
              <w:t>Inf</w:t>
            </w:r>
            <w:proofErr w:type="spellEnd"/>
            <w:r>
              <w:rPr>
                <w:rFonts w:ascii="Arial" w:eastAsia="Arial" w:hAnsi="Arial" w:cs="Arial"/>
                <w:color w:val="000000"/>
                <w:sz w:val="22"/>
                <w:szCs w:val="22"/>
              </w:rPr>
              <w:t>)</w:t>
            </w:r>
          </w:p>
        </w:tc>
        <w:tc>
          <w:tcPr>
            <w:tcW w:w="961"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0.056</w:t>
            </w:r>
          </w:p>
        </w:tc>
      </w:tr>
    </w:tbl>
    <w:p w:rsidR="0052075C" w:rsidRDefault="0052075C">
      <w:pPr>
        <w:sectPr w:rsidR="0052075C">
          <w:type w:val="oddPage"/>
          <w:pgSz w:w="16838" w:h="11906" w:orient="landscape"/>
          <w:pgMar w:top="1417" w:right="1417" w:bottom="1417" w:left="1417" w:header="708" w:footer="708" w:gutter="0"/>
          <w:cols w:space="720"/>
        </w:sectPr>
      </w:pPr>
    </w:p>
    <w:p w:rsidR="0052075C" w:rsidRDefault="00A53D1E">
      <w:pPr>
        <w:pStyle w:val="TableCaption"/>
        <w:keepNext/>
        <w:pBdr>
          <w:top w:val="none" w:sz="0" w:space="0" w:color="000000"/>
          <w:left w:val="none" w:sz="0" w:space="0" w:color="000000"/>
          <w:bottom w:val="none" w:sz="0" w:space="0" w:color="000000"/>
          <w:right w:val="none" w:sz="0" w:space="0" w:color="000000"/>
        </w:pBdr>
        <w:spacing w:before="60" w:after="60"/>
        <w:ind w:left="60" w:right="60"/>
      </w:pPr>
      <w:r>
        <w:rPr>
          <w:rFonts w:ascii="Arial" w:eastAsia="Arial" w:hAnsi="Arial" w:cs="Arial"/>
          <w:i w:val="0"/>
          <w:color w:val="000000"/>
          <w:sz w:val="22"/>
          <w:szCs w:val="22"/>
        </w:rPr>
        <w:lastRenderedPageBreak/>
        <w:t>Supplementary Table S1</w:t>
      </w:r>
      <w:r w:rsidR="00045470">
        <w:rPr>
          <w:rFonts w:ascii="Arial" w:eastAsia="Arial" w:hAnsi="Arial" w:cs="Arial"/>
          <w:i w:val="0"/>
          <w:color w:val="000000"/>
          <w:sz w:val="22"/>
          <w:szCs w:val="22"/>
        </w:rPr>
        <w:t>0</w:t>
      </w:r>
      <w:r>
        <w:rPr>
          <w:rFonts w:ascii="Arial" w:eastAsia="Arial" w:hAnsi="Arial" w:cs="Arial"/>
          <w:i w:val="0"/>
          <w:color w:val="000000"/>
          <w:sz w:val="22"/>
          <w:szCs w:val="22"/>
        </w:rPr>
        <w:t>b. Counts of overlaps (defined as being within 20Kbp of the Virus Interacting Protein (VIP) structural gene) between different classes of VIPs and saltiLASSi selected regions in the UKB and CKB participants.</w:t>
      </w:r>
      <w:r>
        <w:rPr>
          <w:rFonts w:ascii="Arial" w:eastAsia="Arial" w:hAnsi="Arial" w:cs="Arial"/>
          <w:b w:val="0"/>
          <w:i w:val="0"/>
          <w:color w:val="000000"/>
          <w:sz w:val="22"/>
          <w:szCs w:val="22"/>
        </w:rPr>
        <w:t xml:space="preserve"> Enrichment and P-values (one-tailed test) were determined for the frequency with which the genes encoding different classes of VIPs overlap with saltiLASSi-identified regions of selection, compared with 10,000 bootstrap iterations of randomly distributing regions of selection across the genome, controlling for local gene density. The HLA region (chr6:20-40Mb) and other excludable regions (see methods) and VIP genes lying within it were excluded from analysis. Asterisks next to P-values denote significance after multiple testing adjustment (P&lt;0.05</w:t>
      </w:r>
      <w:proofErr w:type="gramStart"/>
      <w:r>
        <w:rPr>
          <w:rFonts w:ascii="Arial" w:eastAsia="Arial" w:hAnsi="Arial" w:cs="Arial"/>
          <w:b w:val="0"/>
          <w:i w:val="0"/>
          <w:color w:val="000000"/>
          <w:sz w:val="22"/>
          <w:szCs w:val="22"/>
        </w:rPr>
        <w:t>/(</w:t>
      </w:r>
      <w:proofErr w:type="gramEnd"/>
      <w:r>
        <w:rPr>
          <w:rFonts w:ascii="Arial" w:eastAsia="Arial" w:hAnsi="Arial" w:cs="Arial"/>
          <w:b w:val="0"/>
          <w:i w:val="0"/>
          <w:color w:val="000000"/>
          <w:sz w:val="22"/>
          <w:szCs w:val="22"/>
        </w:rPr>
        <w:t>2*2.36).</w:t>
      </w:r>
    </w:p>
    <w:tbl>
      <w:tblPr>
        <w:tblW w:w="0" w:type="auto"/>
        <w:jc w:val="center"/>
        <w:tblLayout w:type="fixed"/>
        <w:tblLook w:val="0420" w:firstRow="1" w:lastRow="0" w:firstColumn="0" w:lastColumn="0" w:noHBand="0" w:noVBand="1"/>
      </w:tblPr>
      <w:tblGrid>
        <w:gridCol w:w="2848"/>
        <w:gridCol w:w="2037"/>
        <w:gridCol w:w="2098"/>
        <w:gridCol w:w="1047"/>
        <w:gridCol w:w="2037"/>
        <w:gridCol w:w="2098"/>
        <w:gridCol w:w="961"/>
      </w:tblGrid>
      <w:tr w:rsidR="0052075C">
        <w:trPr>
          <w:tblHeader/>
          <w:jc w:val="center"/>
        </w:trPr>
        <w:tc>
          <w:tcPr>
            <w:tcW w:w="13126" w:type="dxa"/>
            <w:gridSpan w:val="7"/>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jc w:val="center"/>
            </w:pPr>
            <w:r>
              <w:rPr>
                <w:rFonts w:ascii="Arial" w:eastAsia="Arial" w:hAnsi="Arial" w:cs="Arial"/>
                <w:color w:val="000000"/>
                <w:sz w:val="22"/>
                <w:szCs w:val="22"/>
              </w:rPr>
              <w:t>Selection Region Set (20Kbp)</w:t>
            </w:r>
          </w:p>
        </w:tc>
      </w:tr>
      <w:tr w:rsidR="0052075C">
        <w:trPr>
          <w:tblHeader/>
          <w:jc w:val="center"/>
        </w:trPr>
        <w:tc>
          <w:tcPr>
            <w:tcW w:w="2848"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 </w:t>
            </w:r>
          </w:p>
        </w:tc>
        <w:tc>
          <w:tcPr>
            <w:tcW w:w="20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CKB</w:t>
            </w:r>
          </w:p>
        </w:tc>
        <w:tc>
          <w:tcPr>
            <w:tcW w:w="2098"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 </w:t>
            </w:r>
          </w:p>
        </w:tc>
        <w:tc>
          <w:tcPr>
            <w:tcW w:w="104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 </w:t>
            </w:r>
          </w:p>
        </w:tc>
        <w:tc>
          <w:tcPr>
            <w:tcW w:w="20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UKB</w:t>
            </w:r>
          </w:p>
        </w:tc>
        <w:tc>
          <w:tcPr>
            <w:tcW w:w="2098"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 </w:t>
            </w:r>
          </w:p>
        </w:tc>
        <w:tc>
          <w:tcPr>
            <w:tcW w:w="961"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 </w:t>
            </w:r>
          </w:p>
        </w:tc>
      </w:tr>
      <w:tr w:rsidR="0052075C">
        <w:trPr>
          <w:tblHeader/>
          <w:jc w:val="center"/>
        </w:trPr>
        <w:tc>
          <w:tcPr>
            <w:tcW w:w="2848"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VIP</w:t>
            </w:r>
          </w:p>
        </w:tc>
        <w:tc>
          <w:tcPr>
            <w:tcW w:w="20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Overlap</w:t>
            </w:r>
          </w:p>
        </w:tc>
        <w:tc>
          <w:tcPr>
            <w:tcW w:w="2098"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Enrichment</w:t>
            </w:r>
          </w:p>
        </w:tc>
        <w:tc>
          <w:tcPr>
            <w:tcW w:w="104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P</w:t>
            </w:r>
          </w:p>
        </w:tc>
        <w:tc>
          <w:tcPr>
            <w:tcW w:w="20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Overlap</w:t>
            </w:r>
          </w:p>
        </w:tc>
        <w:tc>
          <w:tcPr>
            <w:tcW w:w="2098"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Enrichment</w:t>
            </w:r>
          </w:p>
        </w:tc>
        <w:tc>
          <w:tcPr>
            <w:tcW w:w="961"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P</w:t>
            </w:r>
          </w:p>
        </w:tc>
      </w:tr>
      <w:tr w:rsidR="0052075C">
        <w:trPr>
          <w:jc w:val="center"/>
        </w:trPr>
        <w:tc>
          <w:tcPr>
            <w:tcW w:w="2848"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All</w:t>
            </w:r>
          </w:p>
        </w:tc>
        <w:tc>
          <w:tcPr>
            <w:tcW w:w="20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118/4768 (2.5%)</w:t>
            </w:r>
          </w:p>
        </w:tc>
        <w:tc>
          <w:tcPr>
            <w:tcW w:w="2098"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1.03 (0.76 - 1.49)</w:t>
            </w:r>
          </w:p>
        </w:tc>
        <w:tc>
          <w:tcPr>
            <w:tcW w:w="104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0.434</w:t>
            </w:r>
          </w:p>
        </w:tc>
        <w:tc>
          <w:tcPr>
            <w:tcW w:w="20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113/4768 (2.4%)</w:t>
            </w:r>
          </w:p>
        </w:tc>
        <w:tc>
          <w:tcPr>
            <w:tcW w:w="2098"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1.04 (0.77 - 1.47)</w:t>
            </w:r>
          </w:p>
        </w:tc>
        <w:tc>
          <w:tcPr>
            <w:tcW w:w="961"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0.405</w:t>
            </w:r>
          </w:p>
        </w:tc>
      </w:tr>
      <w:tr w:rsidR="0052075C">
        <w:trPr>
          <w:jc w:val="center"/>
        </w:trPr>
        <w:tc>
          <w:tcPr>
            <w:tcW w:w="2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200" w:right="100"/>
            </w:pPr>
            <w:r>
              <w:rPr>
                <w:rFonts w:ascii="Arial" w:eastAsia="Arial" w:hAnsi="Arial" w:cs="Arial"/>
                <w:color w:val="000000"/>
                <w:sz w:val="22"/>
                <w:szCs w:val="22"/>
              </w:rPr>
              <w:t>DNA viruses</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21/1273 (1.6%)</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0.68 (0.45 - 1.17)</w:t>
            </w:r>
          </w:p>
        </w:tc>
        <w:tc>
          <w:tcPr>
            <w:tcW w:w="104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0.929</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26/1273 (2.0%)</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0.87 (0.59 - 1.44)</w:t>
            </w:r>
          </w:p>
        </w:tc>
        <w:tc>
          <w:tcPr>
            <w:tcW w:w="96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0.679</w:t>
            </w:r>
          </w:p>
        </w:tc>
      </w:tr>
      <w:tr w:rsidR="0052075C">
        <w:trPr>
          <w:jc w:val="center"/>
        </w:trPr>
        <w:tc>
          <w:tcPr>
            <w:tcW w:w="2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200" w:right="100"/>
            </w:pPr>
            <w:r>
              <w:rPr>
                <w:rFonts w:ascii="Arial" w:eastAsia="Arial" w:hAnsi="Arial" w:cs="Arial"/>
                <w:color w:val="000000"/>
                <w:sz w:val="22"/>
                <w:szCs w:val="22"/>
              </w:rPr>
              <w:t>RNA viruses</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97/3495 (2.8%)</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1.15 (0.84 - 1.70)</w:t>
            </w:r>
          </w:p>
        </w:tc>
        <w:tc>
          <w:tcPr>
            <w:tcW w:w="104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0.186</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87/3495 (2.5%)</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1.10 (0.80 - 1.61)</w:t>
            </w:r>
          </w:p>
        </w:tc>
        <w:tc>
          <w:tcPr>
            <w:tcW w:w="96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0.283</w:t>
            </w:r>
          </w:p>
        </w:tc>
      </w:tr>
      <w:tr w:rsidR="0052075C">
        <w:trPr>
          <w:jc w:val="center"/>
        </w:trPr>
        <w:tc>
          <w:tcPr>
            <w:tcW w:w="2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400" w:right="100"/>
            </w:pPr>
            <w:r>
              <w:rPr>
                <w:rFonts w:ascii="Arial" w:eastAsia="Arial" w:hAnsi="Arial" w:cs="Arial"/>
                <w:color w:val="000000"/>
                <w:sz w:val="22"/>
                <w:szCs w:val="22"/>
              </w:rPr>
              <w:t>non-COV</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80/3101 (2.6%)</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1.07 (0.77 - 1.60)</w:t>
            </w:r>
          </w:p>
        </w:tc>
        <w:tc>
          <w:tcPr>
            <w:tcW w:w="104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0.352</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77/3101 (2.5%)</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1.08 (0.78 - 1.60)</w:t>
            </w:r>
          </w:p>
        </w:tc>
        <w:tc>
          <w:tcPr>
            <w:tcW w:w="96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0.313</w:t>
            </w:r>
          </w:p>
        </w:tc>
      </w:tr>
      <w:tr w:rsidR="0052075C">
        <w:trPr>
          <w:jc w:val="center"/>
        </w:trPr>
        <w:tc>
          <w:tcPr>
            <w:tcW w:w="2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400" w:right="100"/>
            </w:pPr>
            <w:r>
              <w:rPr>
                <w:rFonts w:ascii="Arial" w:eastAsia="Arial" w:hAnsi="Arial" w:cs="Arial"/>
                <w:color w:val="000000"/>
                <w:sz w:val="22"/>
                <w:szCs w:val="22"/>
              </w:rPr>
              <w:t>COV</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17/394 (4.3%)</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2.12 (1.06 - 5.67)</w:t>
            </w:r>
          </w:p>
        </w:tc>
        <w:tc>
          <w:tcPr>
            <w:tcW w:w="104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0.007*</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10/394 (2.5%)</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1.25 (0.67 - 3.33)</w:t>
            </w:r>
          </w:p>
        </w:tc>
        <w:tc>
          <w:tcPr>
            <w:tcW w:w="96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0.217</w:t>
            </w:r>
          </w:p>
        </w:tc>
      </w:tr>
      <w:tr w:rsidR="0052075C">
        <w:trPr>
          <w:jc w:val="center"/>
        </w:trPr>
        <w:tc>
          <w:tcPr>
            <w:tcW w:w="2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600" w:right="100"/>
            </w:pPr>
            <w:r>
              <w:rPr>
                <w:rFonts w:ascii="Arial" w:eastAsia="Arial" w:hAnsi="Arial" w:cs="Arial"/>
                <w:color w:val="000000"/>
                <w:sz w:val="22"/>
                <w:szCs w:val="22"/>
              </w:rPr>
              <w:t>non-SARS</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4/77 (5.2%)</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2.00 (0.80 -  </w:t>
            </w:r>
            <w:proofErr w:type="spellStart"/>
            <w:r>
              <w:rPr>
                <w:rFonts w:ascii="Arial" w:eastAsia="Arial" w:hAnsi="Arial" w:cs="Arial"/>
                <w:color w:val="000000"/>
                <w:sz w:val="22"/>
                <w:szCs w:val="22"/>
              </w:rPr>
              <w:t>Inf</w:t>
            </w:r>
            <w:proofErr w:type="spellEnd"/>
            <w:r>
              <w:rPr>
                <w:rFonts w:ascii="Arial" w:eastAsia="Arial" w:hAnsi="Arial" w:cs="Arial"/>
                <w:color w:val="000000"/>
                <w:sz w:val="22"/>
                <w:szCs w:val="22"/>
              </w:rPr>
              <w:t>)</w:t>
            </w:r>
          </w:p>
        </w:tc>
        <w:tc>
          <w:tcPr>
            <w:tcW w:w="104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0.038</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1/77 (1.3%)</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0.50 (0.20 -  </w:t>
            </w:r>
            <w:proofErr w:type="spellStart"/>
            <w:r>
              <w:rPr>
                <w:rFonts w:ascii="Arial" w:eastAsia="Arial" w:hAnsi="Arial" w:cs="Arial"/>
                <w:color w:val="000000"/>
                <w:sz w:val="22"/>
                <w:szCs w:val="22"/>
              </w:rPr>
              <w:t>Inf</w:t>
            </w:r>
            <w:proofErr w:type="spellEnd"/>
            <w:r>
              <w:rPr>
                <w:rFonts w:ascii="Arial" w:eastAsia="Arial" w:hAnsi="Arial" w:cs="Arial"/>
                <w:color w:val="000000"/>
                <w:sz w:val="22"/>
                <w:szCs w:val="22"/>
              </w:rPr>
              <w:t>)</w:t>
            </w:r>
          </w:p>
        </w:tc>
        <w:tc>
          <w:tcPr>
            <w:tcW w:w="96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0.511</w:t>
            </w:r>
          </w:p>
        </w:tc>
      </w:tr>
      <w:tr w:rsidR="0052075C">
        <w:trPr>
          <w:jc w:val="center"/>
        </w:trPr>
        <w:tc>
          <w:tcPr>
            <w:tcW w:w="2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600" w:right="100"/>
            </w:pPr>
            <w:r>
              <w:rPr>
                <w:rFonts w:ascii="Arial" w:eastAsia="Arial" w:hAnsi="Arial" w:cs="Arial"/>
                <w:color w:val="000000"/>
                <w:sz w:val="22"/>
                <w:szCs w:val="22"/>
              </w:rPr>
              <w:t>SARS</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13/317 (4.1%)</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1.86 (1.00 - 6.50)</w:t>
            </w:r>
          </w:p>
        </w:tc>
        <w:tc>
          <w:tcPr>
            <w:tcW w:w="104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0.016*</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9/317 (2.8%)</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1.50 (0.75 - 4.50)</w:t>
            </w:r>
          </w:p>
        </w:tc>
        <w:tc>
          <w:tcPr>
            <w:tcW w:w="96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0.127</w:t>
            </w:r>
          </w:p>
        </w:tc>
      </w:tr>
      <w:tr w:rsidR="0052075C">
        <w:trPr>
          <w:jc w:val="center"/>
        </w:trPr>
        <w:tc>
          <w:tcPr>
            <w:tcW w:w="2848"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800" w:right="100"/>
            </w:pPr>
            <w:r>
              <w:rPr>
                <w:rFonts w:ascii="Arial" w:eastAsia="Arial" w:hAnsi="Arial" w:cs="Arial"/>
                <w:color w:val="000000"/>
                <w:sz w:val="22"/>
                <w:szCs w:val="22"/>
              </w:rPr>
              <w:t>under-selection</w:t>
            </w:r>
          </w:p>
        </w:tc>
        <w:tc>
          <w:tcPr>
            <w:tcW w:w="20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1/40 (2.5%)</w:t>
            </w:r>
          </w:p>
        </w:tc>
        <w:tc>
          <w:tcPr>
            <w:tcW w:w="2098"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 </w:t>
            </w:r>
            <w:proofErr w:type="spellStart"/>
            <w:r>
              <w:rPr>
                <w:rFonts w:ascii="Arial" w:eastAsia="Arial" w:hAnsi="Arial" w:cs="Arial"/>
                <w:color w:val="000000"/>
                <w:sz w:val="22"/>
                <w:szCs w:val="22"/>
              </w:rPr>
              <w:t>Inf</w:t>
            </w:r>
            <w:proofErr w:type="spellEnd"/>
            <w:r>
              <w:rPr>
                <w:rFonts w:ascii="Arial" w:eastAsia="Arial" w:hAnsi="Arial" w:cs="Arial"/>
                <w:color w:val="000000"/>
                <w:sz w:val="22"/>
                <w:szCs w:val="22"/>
              </w:rPr>
              <w:t xml:space="preserve"> (0.33 -  </w:t>
            </w:r>
            <w:proofErr w:type="spellStart"/>
            <w:r>
              <w:rPr>
                <w:rFonts w:ascii="Arial" w:eastAsia="Arial" w:hAnsi="Arial" w:cs="Arial"/>
                <w:color w:val="000000"/>
                <w:sz w:val="22"/>
                <w:szCs w:val="22"/>
              </w:rPr>
              <w:t>Inf</w:t>
            </w:r>
            <w:proofErr w:type="spellEnd"/>
            <w:r>
              <w:rPr>
                <w:rFonts w:ascii="Arial" w:eastAsia="Arial" w:hAnsi="Arial" w:cs="Arial"/>
                <w:color w:val="000000"/>
                <w:sz w:val="22"/>
                <w:szCs w:val="22"/>
              </w:rPr>
              <w:t>)</w:t>
            </w:r>
          </w:p>
        </w:tc>
        <w:tc>
          <w:tcPr>
            <w:tcW w:w="104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0.162</w:t>
            </w:r>
          </w:p>
        </w:tc>
        <w:tc>
          <w:tcPr>
            <w:tcW w:w="20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2/40 (5.0%)</w:t>
            </w:r>
          </w:p>
        </w:tc>
        <w:tc>
          <w:tcPr>
            <w:tcW w:w="2098"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2.00 (0.67 -  </w:t>
            </w:r>
            <w:proofErr w:type="spellStart"/>
            <w:r>
              <w:rPr>
                <w:rFonts w:ascii="Arial" w:eastAsia="Arial" w:hAnsi="Arial" w:cs="Arial"/>
                <w:color w:val="000000"/>
                <w:sz w:val="22"/>
                <w:szCs w:val="22"/>
              </w:rPr>
              <w:t>Inf</w:t>
            </w:r>
            <w:proofErr w:type="spellEnd"/>
            <w:r>
              <w:rPr>
                <w:rFonts w:ascii="Arial" w:eastAsia="Arial" w:hAnsi="Arial" w:cs="Arial"/>
                <w:color w:val="000000"/>
                <w:sz w:val="22"/>
                <w:szCs w:val="22"/>
              </w:rPr>
              <w:t>)</w:t>
            </w:r>
          </w:p>
        </w:tc>
        <w:tc>
          <w:tcPr>
            <w:tcW w:w="961"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0.074</w:t>
            </w:r>
          </w:p>
        </w:tc>
      </w:tr>
    </w:tbl>
    <w:p w:rsidR="0052075C" w:rsidRDefault="0052075C">
      <w:pPr>
        <w:sectPr w:rsidR="0052075C">
          <w:type w:val="oddPage"/>
          <w:pgSz w:w="16838" w:h="11906" w:orient="landscape"/>
          <w:pgMar w:top="1417" w:right="1417" w:bottom="1417" w:left="1417" w:header="708" w:footer="708" w:gutter="0"/>
          <w:cols w:space="720"/>
        </w:sectPr>
      </w:pPr>
    </w:p>
    <w:p w:rsidR="0052075C" w:rsidRDefault="00A53D1E">
      <w:pPr>
        <w:pStyle w:val="TableCaption"/>
        <w:keepNext/>
        <w:pBdr>
          <w:top w:val="none" w:sz="0" w:space="0" w:color="000000"/>
          <w:left w:val="none" w:sz="0" w:space="0" w:color="000000"/>
          <w:bottom w:val="none" w:sz="0" w:space="0" w:color="000000"/>
          <w:right w:val="none" w:sz="0" w:space="0" w:color="000000"/>
        </w:pBdr>
        <w:spacing w:before="60" w:after="60"/>
        <w:ind w:left="60" w:right="60"/>
      </w:pPr>
      <w:r>
        <w:rPr>
          <w:rFonts w:ascii="Arial" w:eastAsia="Arial" w:hAnsi="Arial" w:cs="Arial"/>
          <w:i w:val="0"/>
          <w:color w:val="000000"/>
          <w:sz w:val="22"/>
          <w:szCs w:val="22"/>
        </w:rPr>
        <w:lastRenderedPageBreak/>
        <w:t>Supplementary Table S1</w:t>
      </w:r>
      <w:r w:rsidR="00045470">
        <w:rPr>
          <w:rFonts w:ascii="Arial" w:eastAsia="Arial" w:hAnsi="Arial" w:cs="Arial"/>
          <w:i w:val="0"/>
          <w:color w:val="000000"/>
          <w:sz w:val="22"/>
          <w:szCs w:val="22"/>
        </w:rPr>
        <w:t>0</w:t>
      </w:r>
      <w:r>
        <w:rPr>
          <w:rFonts w:ascii="Arial" w:eastAsia="Arial" w:hAnsi="Arial" w:cs="Arial"/>
          <w:i w:val="0"/>
          <w:color w:val="000000"/>
          <w:sz w:val="22"/>
          <w:szCs w:val="22"/>
        </w:rPr>
        <w:t>c. Counts of overlaps (defined as being within 50Kbp of the Virus Interacting Protein (VIP) structural gene) between different classes of VIPs and saltiLASSi selected regions in the UKB and CKB participants.</w:t>
      </w:r>
      <w:r>
        <w:rPr>
          <w:rFonts w:ascii="Arial" w:eastAsia="Arial" w:hAnsi="Arial" w:cs="Arial"/>
          <w:b w:val="0"/>
          <w:i w:val="0"/>
          <w:color w:val="000000"/>
          <w:sz w:val="22"/>
          <w:szCs w:val="22"/>
        </w:rPr>
        <w:t xml:space="preserve"> Enrichment and P-values (one-tailed test) were determined for the frequency with which the genes encoding different classes of VIPs overlap with saltiLASSi-identified regions of selection, compared with 10,000 bootstrap iterations of randomly distributing regions of selection across the genome, controlling for local gene density. The HLA region (chr6:20-40Mb) and other excludable regions (see methods) and VIP genes lying within it were excluded from analysis. Asterisks next to P-values denote significance after multiple testing adjustment (P&lt;0.05</w:t>
      </w:r>
      <w:proofErr w:type="gramStart"/>
      <w:r>
        <w:rPr>
          <w:rFonts w:ascii="Arial" w:eastAsia="Arial" w:hAnsi="Arial" w:cs="Arial"/>
          <w:b w:val="0"/>
          <w:i w:val="0"/>
          <w:color w:val="000000"/>
          <w:sz w:val="22"/>
          <w:szCs w:val="22"/>
        </w:rPr>
        <w:t>/(</w:t>
      </w:r>
      <w:proofErr w:type="gramEnd"/>
      <w:r>
        <w:rPr>
          <w:rFonts w:ascii="Arial" w:eastAsia="Arial" w:hAnsi="Arial" w:cs="Arial"/>
          <w:b w:val="0"/>
          <w:i w:val="0"/>
          <w:color w:val="000000"/>
          <w:sz w:val="22"/>
          <w:szCs w:val="22"/>
        </w:rPr>
        <w:t>2*2.36).</w:t>
      </w:r>
    </w:p>
    <w:tbl>
      <w:tblPr>
        <w:tblW w:w="0" w:type="auto"/>
        <w:jc w:val="center"/>
        <w:tblLayout w:type="fixed"/>
        <w:tblLook w:val="0420" w:firstRow="1" w:lastRow="0" w:firstColumn="0" w:lastColumn="0" w:noHBand="0" w:noVBand="1"/>
      </w:tblPr>
      <w:tblGrid>
        <w:gridCol w:w="2848"/>
        <w:gridCol w:w="2037"/>
        <w:gridCol w:w="2098"/>
        <w:gridCol w:w="1047"/>
        <w:gridCol w:w="2037"/>
        <w:gridCol w:w="2098"/>
        <w:gridCol w:w="961"/>
      </w:tblGrid>
      <w:tr w:rsidR="0052075C">
        <w:trPr>
          <w:tblHeader/>
          <w:jc w:val="center"/>
        </w:trPr>
        <w:tc>
          <w:tcPr>
            <w:tcW w:w="13126" w:type="dxa"/>
            <w:gridSpan w:val="7"/>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jc w:val="center"/>
            </w:pPr>
            <w:r>
              <w:rPr>
                <w:rFonts w:ascii="Arial" w:eastAsia="Arial" w:hAnsi="Arial" w:cs="Arial"/>
                <w:color w:val="000000"/>
                <w:sz w:val="22"/>
                <w:szCs w:val="22"/>
              </w:rPr>
              <w:t>Selection Region Set (50Kbp)</w:t>
            </w:r>
          </w:p>
        </w:tc>
      </w:tr>
      <w:tr w:rsidR="0052075C">
        <w:trPr>
          <w:tblHeader/>
          <w:jc w:val="center"/>
        </w:trPr>
        <w:tc>
          <w:tcPr>
            <w:tcW w:w="2848"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 </w:t>
            </w:r>
          </w:p>
        </w:tc>
        <w:tc>
          <w:tcPr>
            <w:tcW w:w="20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CKB</w:t>
            </w:r>
          </w:p>
        </w:tc>
        <w:tc>
          <w:tcPr>
            <w:tcW w:w="2098"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 </w:t>
            </w:r>
          </w:p>
        </w:tc>
        <w:tc>
          <w:tcPr>
            <w:tcW w:w="104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 </w:t>
            </w:r>
          </w:p>
        </w:tc>
        <w:tc>
          <w:tcPr>
            <w:tcW w:w="20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UKB</w:t>
            </w:r>
          </w:p>
        </w:tc>
        <w:tc>
          <w:tcPr>
            <w:tcW w:w="2098"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 </w:t>
            </w:r>
          </w:p>
        </w:tc>
        <w:tc>
          <w:tcPr>
            <w:tcW w:w="961"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 </w:t>
            </w:r>
          </w:p>
        </w:tc>
      </w:tr>
      <w:tr w:rsidR="0052075C">
        <w:trPr>
          <w:tblHeader/>
          <w:jc w:val="center"/>
        </w:trPr>
        <w:tc>
          <w:tcPr>
            <w:tcW w:w="2848"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VIP</w:t>
            </w:r>
          </w:p>
        </w:tc>
        <w:tc>
          <w:tcPr>
            <w:tcW w:w="20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Overlap</w:t>
            </w:r>
          </w:p>
        </w:tc>
        <w:tc>
          <w:tcPr>
            <w:tcW w:w="2098"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Enrichment</w:t>
            </w:r>
          </w:p>
        </w:tc>
        <w:tc>
          <w:tcPr>
            <w:tcW w:w="104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P</w:t>
            </w:r>
          </w:p>
        </w:tc>
        <w:tc>
          <w:tcPr>
            <w:tcW w:w="203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Overlap</w:t>
            </w:r>
          </w:p>
        </w:tc>
        <w:tc>
          <w:tcPr>
            <w:tcW w:w="2098"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Enrichment</w:t>
            </w:r>
          </w:p>
        </w:tc>
        <w:tc>
          <w:tcPr>
            <w:tcW w:w="961"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P</w:t>
            </w:r>
          </w:p>
        </w:tc>
      </w:tr>
      <w:tr w:rsidR="0052075C">
        <w:trPr>
          <w:jc w:val="center"/>
        </w:trPr>
        <w:tc>
          <w:tcPr>
            <w:tcW w:w="2848"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All</w:t>
            </w:r>
          </w:p>
        </w:tc>
        <w:tc>
          <w:tcPr>
            <w:tcW w:w="20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140/4768 (2.9%)</w:t>
            </w:r>
          </w:p>
        </w:tc>
        <w:tc>
          <w:tcPr>
            <w:tcW w:w="2098"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1.01 (0.76 - 1.44)</w:t>
            </w:r>
          </w:p>
        </w:tc>
        <w:tc>
          <w:tcPr>
            <w:tcW w:w="104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0.451</w:t>
            </w:r>
          </w:p>
        </w:tc>
        <w:tc>
          <w:tcPr>
            <w:tcW w:w="203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140/4768 (2.9%)</w:t>
            </w:r>
          </w:p>
        </w:tc>
        <w:tc>
          <w:tcPr>
            <w:tcW w:w="2098"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1.03 (0.77 - 1.43)</w:t>
            </w:r>
          </w:p>
        </w:tc>
        <w:tc>
          <w:tcPr>
            <w:tcW w:w="961"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0.412</w:t>
            </w:r>
          </w:p>
        </w:tc>
      </w:tr>
      <w:tr w:rsidR="0052075C">
        <w:trPr>
          <w:jc w:val="center"/>
        </w:trPr>
        <w:tc>
          <w:tcPr>
            <w:tcW w:w="2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200" w:right="100"/>
            </w:pPr>
            <w:r>
              <w:rPr>
                <w:rFonts w:ascii="Arial" w:eastAsia="Arial" w:hAnsi="Arial" w:cs="Arial"/>
                <w:color w:val="000000"/>
                <w:sz w:val="22"/>
                <w:szCs w:val="22"/>
              </w:rPr>
              <w:t>DNA viruses</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27/1273 (2.1%)</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0.73 (0.49 - 1.23)</w:t>
            </w:r>
          </w:p>
        </w:tc>
        <w:tc>
          <w:tcPr>
            <w:tcW w:w="104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0.901</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33/1273 (2.6%)</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0.89 (0.61 - 1.43)</w:t>
            </w:r>
          </w:p>
        </w:tc>
        <w:tc>
          <w:tcPr>
            <w:tcW w:w="96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0.667</w:t>
            </w:r>
          </w:p>
        </w:tc>
      </w:tr>
      <w:tr w:rsidR="0052075C">
        <w:trPr>
          <w:jc w:val="center"/>
        </w:trPr>
        <w:tc>
          <w:tcPr>
            <w:tcW w:w="2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200" w:right="100"/>
            </w:pPr>
            <w:r>
              <w:rPr>
                <w:rFonts w:ascii="Arial" w:eastAsia="Arial" w:hAnsi="Arial" w:cs="Arial"/>
                <w:color w:val="000000"/>
                <w:sz w:val="22"/>
                <w:szCs w:val="22"/>
              </w:rPr>
              <w:t>RNA viruses</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113/3495 (3.2%)</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1.12 (0.83 - 1.64)</w:t>
            </w:r>
          </w:p>
        </w:tc>
        <w:tc>
          <w:tcPr>
            <w:tcW w:w="104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0.220</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107/3495 (3.1%)</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1.08 (0.80 - 1.55)</w:t>
            </w:r>
          </w:p>
        </w:tc>
        <w:tc>
          <w:tcPr>
            <w:tcW w:w="96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0.302</w:t>
            </w:r>
          </w:p>
        </w:tc>
      </w:tr>
      <w:tr w:rsidR="0052075C">
        <w:trPr>
          <w:jc w:val="center"/>
        </w:trPr>
        <w:tc>
          <w:tcPr>
            <w:tcW w:w="2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400" w:right="100"/>
            </w:pPr>
            <w:r>
              <w:rPr>
                <w:rFonts w:ascii="Arial" w:eastAsia="Arial" w:hAnsi="Arial" w:cs="Arial"/>
                <w:color w:val="000000"/>
                <w:sz w:val="22"/>
                <w:szCs w:val="22"/>
              </w:rPr>
              <w:t>non-COV</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95/3101 (3.1%)</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1.06 (0.77 - 1.53)</w:t>
            </w:r>
          </w:p>
        </w:tc>
        <w:tc>
          <w:tcPr>
            <w:tcW w:w="104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0.363</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95/3101 (3.1%)</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1.07 (0.79 - 1.53)</w:t>
            </w:r>
          </w:p>
        </w:tc>
        <w:tc>
          <w:tcPr>
            <w:tcW w:w="96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0.321</w:t>
            </w:r>
          </w:p>
        </w:tc>
      </w:tr>
      <w:tr w:rsidR="0052075C">
        <w:trPr>
          <w:jc w:val="center"/>
        </w:trPr>
        <w:tc>
          <w:tcPr>
            <w:tcW w:w="2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400" w:right="100"/>
            </w:pPr>
            <w:r>
              <w:rPr>
                <w:rFonts w:ascii="Arial" w:eastAsia="Arial" w:hAnsi="Arial" w:cs="Arial"/>
                <w:color w:val="000000"/>
                <w:sz w:val="22"/>
                <w:szCs w:val="22"/>
              </w:rPr>
              <w:t>COV</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18/394 (4.6%)</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1.80 (1.00 - 4.50)</w:t>
            </w:r>
          </w:p>
        </w:tc>
        <w:tc>
          <w:tcPr>
            <w:tcW w:w="104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0.017*</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12/394 (3.0%)</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1.20 (0.71 - 3.00)</w:t>
            </w:r>
          </w:p>
        </w:tc>
        <w:tc>
          <w:tcPr>
            <w:tcW w:w="96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0.239</w:t>
            </w:r>
          </w:p>
        </w:tc>
      </w:tr>
      <w:tr w:rsidR="0052075C">
        <w:trPr>
          <w:jc w:val="center"/>
        </w:trPr>
        <w:tc>
          <w:tcPr>
            <w:tcW w:w="2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600" w:right="100"/>
            </w:pPr>
            <w:r>
              <w:rPr>
                <w:rFonts w:ascii="Arial" w:eastAsia="Arial" w:hAnsi="Arial" w:cs="Arial"/>
                <w:color w:val="000000"/>
                <w:sz w:val="22"/>
                <w:szCs w:val="22"/>
              </w:rPr>
              <w:t>non-SARS</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4/77 (5.2%)</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2.00 (0.67 -  </w:t>
            </w:r>
            <w:proofErr w:type="spellStart"/>
            <w:r>
              <w:rPr>
                <w:rFonts w:ascii="Arial" w:eastAsia="Arial" w:hAnsi="Arial" w:cs="Arial"/>
                <w:color w:val="000000"/>
                <w:sz w:val="22"/>
                <w:szCs w:val="22"/>
              </w:rPr>
              <w:t>Inf</w:t>
            </w:r>
            <w:proofErr w:type="spellEnd"/>
            <w:r>
              <w:rPr>
                <w:rFonts w:ascii="Arial" w:eastAsia="Arial" w:hAnsi="Arial" w:cs="Arial"/>
                <w:color w:val="000000"/>
                <w:sz w:val="22"/>
                <w:szCs w:val="22"/>
              </w:rPr>
              <w:t>)</w:t>
            </w:r>
          </w:p>
        </w:tc>
        <w:tc>
          <w:tcPr>
            <w:tcW w:w="104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0.074</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2/77 (2.6%)</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1.00 (0.33 -  </w:t>
            </w:r>
            <w:proofErr w:type="spellStart"/>
            <w:r>
              <w:rPr>
                <w:rFonts w:ascii="Arial" w:eastAsia="Arial" w:hAnsi="Arial" w:cs="Arial"/>
                <w:color w:val="000000"/>
                <w:sz w:val="22"/>
                <w:szCs w:val="22"/>
              </w:rPr>
              <w:t>Inf</w:t>
            </w:r>
            <w:proofErr w:type="spellEnd"/>
            <w:r>
              <w:rPr>
                <w:rFonts w:ascii="Arial" w:eastAsia="Arial" w:hAnsi="Arial" w:cs="Arial"/>
                <w:color w:val="000000"/>
                <w:sz w:val="22"/>
                <w:szCs w:val="22"/>
              </w:rPr>
              <w:t>)</w:t>
            </w:r>
          </w:p>
        </w:tc>
        <w:tc>
          <w:tcPr>
            <w:tcW w:w="96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0.363</w:t>
            </w:r>
          </w:p>
        </w:tc>
      </w:tr>
      <w:tr w:rsidR="0052075C">
        <w:trPr>
          <w:jc w:val="center"/>
        </w:trPr>
        <w:tc>
          <w:tcPr>
            <w:tcW w:w="2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600" w:right="100"/>
            </w:pPr>
            <w:r>
              <w:rPr>
                <w:rFonts w:ascii="Arial" w:eastAsia="Arial" w:hAnsi="Arial" w:cs="Arial"/>
                <w:color w:val="000000"/>
                <w:sz w:val="22"/>
                <w:szCs w:val="22"/>
              </w:rPr>
              <w:t>SARS</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14/317 (4.4%)</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1.75 (0.93 - 4.67)</w:t>
            </w:r>
          </w:p>
        </w:tc>
        <w:tc>
          <w:tcPr>
            <w:tcW w:w="104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0.026</w:t>
            </w:r>
          </w:p>
        </w:tc>
        <w:tc>
          <w:tcPr>
            <w:tcW w:w="203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10/317 (3.2%)</w:t>
            </w:r>
          </w:p>
        </w:tc>
        <w:tc>
          <w:tcPr>
            <w:tcW w:w="209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1.25 (0.71 - 3.33)</w:t>
            </w:r>
          </w:p>
        </w:tc>
        <w:tc>
          <w:tcPr>
            <w:tcW w:w="96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0.195</w:t>
            </w:r>
          </w:p>
        </w:tc>
      </w:tr>
      <w:tr w:rsidR="0052075C">
        <w:trPr>
          <w:jc w:val="center"/>
        </w:trPr>
        <w:tc>
          <w:tcPr>
            <w:tcW w:w="2848"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800" w:right="100"/>
            </w:pPr>
            <w:r>
              <w:rPr>
                <w:rFonts w:ascii="Arial" w:eastAsia="Arial" w:hAnsi="Arial" w:cs="Arial"/>
                <w:color w:val="000000"/>
                <w:sz w:val="22"/>
                <w:szCs w:val="22"/>
              </w:rPr>
              <w:t>under-selection</w:t>
            </w:r>
          </w:p>
        </w:tc>
        <w:tc>
          <w:tcPr>
            <w:tcW w:w="20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1/40 (2.5%)</w:t>
            </w:r>
          </w:p>
        </w:tc>
        <w:tc>
          <w:tcPr>
            <w:tcW w:w="2098"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1.00 (0.33 -  </w:t>
            </w:r>
            <w:proofErr w:type="spellStart"/>
            <w:r>
              <w:rPr>
                <w:rFonts w:ascii="Arial" w:eastAsia="Arial" w:hAnsi="Arial" w:cs="Arial"/>
                <w:color w:val="000000"/>
                <w:sz w:val="22"/>
                <w:szCs w:val="22"/>
              </w:rPr>
              <w:t>Inf</w:t>
            </w:r>
            <w:proofErr w:type="spellEnd"/>
            <w:r>
              <w:rPr>
                <w:rFonts w:ascii="Arial" w:eastAsia="Arial" w:hAnsi="Arial" w:cs="Arial"/>
                <w:color w:val="000000"/>
                <w:sz w:val="22"/>
                <w:szCs w:val="22"/>
              </w:rPr>
              <w:t>)</w:t>
            </w:r>
          </w:p>
        </w:tc>
        <w:tc>
          <w:tcPr>
            <w:tcW w:w="104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0.212</w:t>
            </w:r>
          </w:p>
        </w:tc>
        <w:tc>
          <w:tcPr>
            <w:tcW w:w="203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3/40 (7.5%)</w:t>
            </w:r>
          </w:p>
        </w:tc>
        <w:tc>
          <w:tcPr>
            <w:tcW w:w="2098"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3.00 (0.75 -  </w:t>
            </w:r>
            <w:proofErr w:type="spellStart"/>
            <w:r>
              <w:rPr>
                <w:rFonts w:ascii="Arial" w:eastAsia="Arial" w:hAnsi="Arial" w:cs="Arial"/>
                <w:color w:val="000000"/>
                <w:sz w:val="22"/>
                <w:szCs w:val="22"/>
              </w:rPr>
              <w:t>Inf</w:t>
            </w:r>
            <w:proofErr w:type="spellEnd"/>
            <w:r>
              <w:rPr>
                <w:rFonts w:ascii="Arial" w:eastAsia="Arial" w:hAnsi="Arial" w:cs="Arial"/>
                <w:color w:val="000000"/>
                <w:sz w:val="22"/>
                <w:szCs w:val="22"/>
              </w:rPr>
              <w:t>)</w:t>
            </w:r>
          </w:p>
        </w:tc>
        <w:tc>
          <w:tcPr>
            <w:tcW w:w="961"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0.035</w:t>
            </w:r>
          </w:p>
        </w:tc>
      </w:tr>
    </w:tbl>
    <w:p w:rsidR="0052075C" w:rsidRDefault="0052075C">
      <w:pPr>
        <w:sectPr w:rsidR="0052075C">
          <w:type w:val="oddPage"/>
          <w:pgSz w:w="16838" w:h="11906" w:orient="landscape"/>
          <w:pgMar w:top="1417" w:right="1417" w:bottom="1417" w:left="1417" w:header="708" w:footer="708" w:gutter="0"/>
          <w:cols w:space="720"/>
        </w:sectPr>
      </w:pPr>
    </w:p>
    <w:p w:rsidR="0052075C" w:rsidRDefault="00A53D1E">
      <w:pPr>
        <w:pStyle w:val="TableCaption"/>
        <w:keepNext/>
        <w:pBdr>
          <w:top w:val="none" w:sz="0" w:space="0" w:color="000000"/>
          <w:left w:val="none" w:sz="0" w:space="0" w:color="000000"/>
          <w:bottom w:val="none" w:sz="0" w:space="0" w:color="000000"/>
          <w:right w:val="none" w:sz="0" w:space="0" w:color="000000"/>
        </w:pBdr>
        <w:spacing w:before="60" w:after="60"/>
        <w:ind w:left="60" w:right="60"/>
      </w:pPr>
      <w:r>
        <w:rPr>
          <w:rFonts w:ascii="Arial" w:eastAsia="Arial" w:hAnsi="Arial" w:cs="Arial"/>
          <w:i w:val="0"/>
          <w:color w:val="000000"/>
          <w:sz w:val="22"/>
          <w:szCs w:val="22"/>
        </w:rPr>
        <w:lastRenderedPageBreak/>
        <w:t>Supplementary Table S</w:t>
      </w:r>
      <w:r w:rsidR="00045470">
        <w:rPr>
          <w:rFonts w:ascii="Arial" w:eastAsia="Arial" w:hAnsi="Arial" w:cs="Arial"/>
          <w:i w:val="0"/>
          <w:color w:val="000000"/>
          <w:sz w:val="22"/>
          <w:szCs w:val="22"/>
        </w:rPr>
        <w:t>1</w:t>
      </w:r>
      <w:bookmarkStart w:id="0" w:name="_GoBack"/>
      <w:bookmarkEnd w:id="0"/>
      <w:r>
        <w:rPr>
          <w:rFonts w:ascii="Arial" w:eastAsia="Arial" w:hAnsi="Arial" w:cs="Arial"/>
          <w:i w:val="0"/>
          <w:color w:val="000000"/>
          <w:sz w:val="22"/>
          <w:szCs w:val="22"/>
        </w:rPr>
        <w:t>2. Overlaps between regions of selection and 51 GWAS hits.</w:t>
      </w:r>
      <w:r>
        <w:rPr>
          <w:rFonts w:ascii="Arial" w:eastAsia="Arial" w:hAnsi="Arial" w:cs="Arial"/>
          <w:b w:val="0"/>
          <w:i w:val="0"/>
          <w:color w:val="000000"/>
          <w:sz w:val="22"/>
          <w:szCs w:val="22"/>
        </w:rPr>
        <w:t xml:space="preserve"> Enrichment and P-values (permutation test) were determined for the frequency with which the GWAS hits for COVID lie within different distances (Window) of regions of </w:t>
      </w:r>
      <w:proofErr w:type="spellStart"/>
      <w:r>
        <w:rPr>
          <w:rFonts w:ascii="Arial" w:eastAsia="Arial" w:hAnsi="Arial" w:cs="Arial"/>
          <w:b w:val="0"/>
          <w:i w:val="0"/>
          <w:color w:val="000000"/>
          <w:sz w:val="22"/>
          <w:szCs w:val="22"/>
        </w:rPr>
        <w:t>LASSi</w:t>
      </w:r>
      <w:proofErr w:type="spellEnd"/>
      <w:r>
        <w:rPr>
          <w:rFonts w:ascii="Arial" w:eastAsia="Arial" w:hAnsi="Arial" w:cs="Arial"/>
          <w:b w:val="0"/>
          <w:i w:val="0"/>
          <w:color w:val="000000"/>
          <w:sz w:val="22"/>
          <w:szCs w:val="22"/>
        </w:rPr>
        <w:t>-identified regions of selection, compared with 10,000 bootstrap iterations of randomly distributing regions of selection across the genome, controlling for local gene density. Enrichment and 95% CIs are derived from the median and 2.5% / 97.5% centiles of the null distribution.</w:t>
      </w:r>
    </w:p>
    <w:tbl>
      <w:tblPr>
        <w:tblW w:w="0" w:type="auto"/>
        <w:jc w:val="center"/>
        <w:tblLayout w:type="fixed"/>
        <w:tblLook w:val="0420" w:firstRow="1" w:lastRow="0" w:firstColumn="0" w:lastColumn="0" w:noHBand="0" w:noVBand="1"/>
      </w:tblPr>
      <w:tblGrid>
        <w:gridCol w:w="1450"/>
        <w:gridCol w:w="1193"/>
        <w:gridCol w:w="1487"/>
        <w:gridCol w:w="2282"/>
        <w:gridCol w:w="961"/>
      </w:tblGrid>
      <w:tr w:rsidR="0052075C">
        <w:trPr>
          <w:tblHeader/>
          <w:jc w:val="center"/>
        </w:trPr>
        <w:tc>
          <w:tcPr>
            <w:tcW w:w="1450"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Population</w:t>
            </w:r>
          </w:p>
        </w:tc>
        <w:tc>
          <w:tcPr>
            <w:tcW w:w="1193"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Window</w:t>
            </w:r>
          </w:p>
        </w:tc>
        <w:tc>
          <w:tcPr>
            <w:tcW w:w="1487"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Overlap</w:t>
            </w:r>
          </w:p>
        </w:tc>
        <w:tc>
          <w:tcPr>
            <w:tcW w:w="2282"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Median enrichment</w:t>
            </w:r>
          </w:p>
        </w:tc>
        <w:tc>
          <w:tcPr>
            <w:tcW w:w="961" w:type="dxa"/>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P</w:t>
            </w:r>
          </w:p>
        </w:tc>
      </w:tr>
      <w:tr w:rsidR="0052075C">
        <w:trPr>
          <w:jc w:val="center"/>
        </w:trPr>
        <w:tc>
          <w:tcPr>
            <w:tcW w:w="1450"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CKB</w:t>
            </w:r>
          </w:p>
        </w:tc>
        <w:tc>
          <w:tcPr>
            <w:tcW w:w="1193"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50Kb</w:t>
            </w:r>
          </w:p>
        </w:tc>
        <w:tc>
          <w:tcPr>
            <w:tcW w:w="1487"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6 (11.8%)</w:t>
            </w:r>
          </w:p>
        </w:tc>
        <w:tc>
          <w:tcPr>
            <w:tcW w:w="2282"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2.00 (0.86- </w:t>
            </w:r>
            <w:proofErr w:type="spellStart"/>
            <w:r>
              <w:rPr>
                <w:rFonts w:ascii="Arial" w:eastAsia="Arial" w:hAnsi="Arial" w:cs="Arial"/>
                <w:color w:val="000000"/>
                <w:sz w:val="22"/>
                <w:szCs w:val="22"/>
              </w:rPr>
              <w:t>Inf</w:t>
            </w:r>
            <w:proofErr w:type="spellEnd"/>
            <w:r>
              <w:rPr>
                <w:rFonts w:ascii="Arial" w:eastAsia="Arial" w:hAnsi="Arial" w:cs="Arial"/>
                <w:color w:val="000000"/>
                <w:sz w:val="22"/>
                <w:szCs w:val="22"/>
              </w:rPr>
              <w:t>)</w:t>
            </w:r>
          </w:p>
        </w:tc>
        <w:tc>
          <w:tcPr>
            <w:tcW w:w="961" w:type="dxa"/>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0.044</w:t>
            </w:r>
          </w:p>
        </w:tc>
      </w:tr>
      <w:tr w:rsidR="0052075C">
        <w:trPr>
          <w:jc w:val="center"/>
        </w:trPr>
        <w:tc>
          <w:tcPr>
            <w:tcW w:w="145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CKB</w:t>
            </w:r>
          </w:p>
        </w:tc>
        <w:tc>
          <w:tcPr>
            <w:tcW w:w="1193"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100Kb</w:t>
            </w:r>
          </w:p>
        </w:tc>
        <w:tc>
          <w:tcPr>
            <w:tcW w:w="148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6 (11.8%)</w:t>
            </w:r>
          </w:p>
        </w:tc>
        <w:tc>
          <w:tcPr>
            <w:tcW w:w="228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2.00 (0.75- </w:t>
            </w:r>
            <w:proofErr w:type="spellStart"/>
            <w:r>
              <w:rPr>
                <w:rFonts w:ascii="Arial" w:eastAsia="Arial" w:hAnsi="Arial" w:cs="Arial"/>
                <w:color w:val="000000"/>
                <w:sz w:val="22"/>
                <w:szCs w:val="22"/>
              </w:rPr>
              <w:t>Inf</w:t>
            </w:r>
            <w:proofErr w:type="spellEnd"/>
            <w:r>
              <w:rPr>
                <w:rFonts w:ascii="Arial" w:eastAsia="Arial" w:hAnsi="Arial" w:cs="Arial"/>
                <w:color w:val="000000"/>
                <w:sz w:val="22"/>
                <w:szCs w:val="22"/>
              </w:rPr>
              <w:t>)</w:t>
            </w:r>
          </w:p>
        </w:tc>
        <w:tc>
          <w:tcPr>
            <w:tcW w:w="96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0.077</w:t>
            </w:r>
          </w:p>
        </w:tc>
      </w:tr>
      <w:tr w:rsidR="0052075C">
        <w:trPr>
          <w:jc w:val="center"/>
        </w:trPr>
        <w:tc>
          <w:tcPr>
            <w:tcW w:w="145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CKB</w:t>
            </w:r>
          </w:p>
        </w:tc>
        <w:tc>
          <w:tcPr>
            <w:tcW w:w="1193"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200Kb</w:t>
            </w:r>
          </w:p>
        </w:tc>
        <w:tc>
          <w:tcPr>
            <w:tcW w:w="148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7 (13.7%)</w:t>
            </w:r>
          </w:p>
        </w:tc>
        <w:tc>
          <w:tcPr>
            <w:tcW w:w="228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1.75 (0.78-7.00)</w:t>
            </w:r>
          </w:p>
        </w:tc>
        <w:tc>
          <w:tcPr>
            <w:tcW w:w="96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0.091</w:t>
            </w:r>
          </w:p>
        </w:tc>
      </w:tr>
      <w:tr w:rsidR="0052075C">
        <w:trPr>
          <w:jc w:val="center"/>
        </w:trPr>
        <w:tc>
          <w:tcPr>
            <w:tcW w:w="145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CKB</w:t>
            </w:r>
          </w:p>
        </w:tc>
        <w:tc>
          <w:tcPr>
            <w:tcW w:w="1193"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500Kb</w:t>
            </w:r>
          </w:p>
        </w:tc>
        <w:tc>
          <w:tcPr>
            <w:tcW w:w="148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10 (19.6%)</w:t>
            </w:r>
          </w:p>
        </w:tc>
        <w:tc>
          <w:tcPr>
            <w:tcW w:w="228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1.43 (0.77-5.00)</w:t>
            </w:r>
          </w:p>
        </w:tc>
        <w:tc>
          <w:tcPr>
            <w:tcW w:w="96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0.131</w:t>
            </w:r>
          </w:p>
        </w:tc>
      </w:tr>
      <w:tr w:rsidR="0052075C">
        <w:trPr>
          <w:jc w:val="center"/>
        </w:trPr>
        <w:tc>
          <w:tcPr>
            <w:tcW w:w="145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UKB</w:t>
            </w:r>
          </w:p>
        </w:tc>
        <w:tc>
          <w:tcPr>
            <w:tcW w:w="1193"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50Kb</w:t>
            </w:r>
          </w:p>
        </w:tc>
        <w:tc>
          <w:tcPr>
            <w:tcW w:w="148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B36B07">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5 (</w:t>
            </w:r>
            <w:r w:rsidR="00A53D1E">
              <w:rPr>
                <w:rFonts w:ascii="Arial" w:eastAsia="Arial" w:hAnsi="Arial" w:cs="Arial"/>
                <w:color w:val="000000"/>
                <w:sz w:val="22"/>
                <w:szCs w:val="22"/>
              </w:rPr>
              <w:t>9.8%)</w:t>
            </w:r>
          </w:p>
        </w:tc>
        <w:tc>
          <w:tcPr>
            <w:tcW w:w="228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1.67 (0.71- </w:t>
            </w:r>
            <w:proofErr w:type="spellStart"/>
            <w:r>
              <w:rPr>
                <w:rFonts w:ascii="Arial" w:eastAsia="Arial" w:hAnsi="Arial" w:cs="Arial"/>
                <w:color w:val="000000"/>
                <w:sz w:val="22"/>
                <w:szCs w:val="22"/>
              </w:rPr>
              <w:t>Inf</w:t>
            </w:r>
            <w:proofErr w:type="spellEnd"/>
            <w:r>
              <w:rPr>
                <w:rFonts w:ascii="Arial" w:eastAsia="Arial" w:hAnsi="Arial" w:cs="Arial"/>
                <w:color w:val="000000"/>
                <w:sz w:val="22"/>
                <w:szCs w:val="22"/>
              </w:rPr>
              <w:t>)</w:t>
            </w:r>
          </w:p>
        </w:tc>
        <w:tc>
          <w:tcPr>
            <w:tcW w:w="96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0.093</w:t>
            </w:r>
          </w:p>
        </w:tc>
      </w:tr>
      <w:tr w:rsidR="0052075C">
        <w:trPr>
          <w:jc w:val="center"/>
        </w:trPr>
        <w:tc>
          <w:tcPr>
            <w:tcW w:w="145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UKB</w:t>
            </w:r>
          </w:p>
        </w:tc>
        <w:tc>
          <w:tcPr>
            <w:tcW w:w="1193"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100Kb</w:t>
            </w:r>
          </w:p>
        </w:tc>
        <w:tc>
          <w:tcPr>
            <w:tcW w:w="148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B36B07">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5 (</w:t>
            </w:r>
            <w:r w:rsidR="00A53D1E">
              <w:rPr>
                <w:rFonts w:ascii="Arial" w:eastAsia="Arial" w:hAnsi="Arial" w:cs="Arial"/>
                <w:color w:val="000000"/>
                <w:sz w:val="22"/>
                <w:szCs w:val="22"/>
              </w:rPr>
              <w:t>9.8%)</w:t>
            </w:r>
          </w:p>
        </w:tc>
        <w:tc>
          <w:tcPr>
            <w:tcW w:w="228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1.67 (0.62- </w:t>
            </w:r>
            <w:proofErr w:type="spellStart"/>
            <w:r>
              <w:rPr>
                <w:rFonts w:ascii="Arial" w:eastAsia="Arial" w:hAnsi="Arial" w:cs="Arial"/>
                <w:color w:val="000000"/>
                <w:sz w:val="22"/>
                <w:szCs w:val="22"/>
              </w:rPr>
              <w:t>Inf</w:t>
            </w:r>
            <w:proofErr w:type="spellEnd"/>
            <w:r>
              <w:rPr>
                <w:rFonts w:ascii="Arial" w:eastAsia="Arial" w:hAnsi="Arial" w:cs="Arial"/>
                <w:color w:val="000000"/>
                <w:sz w:val="22"/>
                <w:szCs w:val="22"/>
              </w:rPr>
              <w:t>)</w:t>
            </w:r>
          </w:p>
        </w:tc>
        <w:tc>
          <w:tcPr>
            <w:tcW w:w="96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0.143</w:t>
            </w:r>
          </w:p>
        </w:tc>
      </w:tr>
      <w:tr w:rsidR="0052075C">
        <w:trPr>
          <w:jc w:val="center"/>
        </w:trPr>
        <w:tc>
          <w:tcPr>
            <w:tcW w:w="1450"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UKB</w:t>
            </w:r>
          </w:p>
        </w:tc>
        <w:tc>
          <w:tcPr>
            <w:tcW w:w="1193"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200Kb</w:t>
            </w:r>
          </w:p>
        </w:tc>
        <w:tc>
          <w:tcPr>
            <w:tcW w:w="148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B36B07">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5 (</w:t>
            </w:r>
            <w:r w:rsidR="00A53D1E">
              <w:rPr>
                <w:rFonts w:ascii="Arial" w:eastAsia="Arial" w:hAnsi="Arial" w:cs="Arial"/>
                <w:color w:val="000000"/>
                <w:sz w:val="22"/>
                <w:szCs w:val="22"/>
              </w:rPr>
              <w:t>9.8%)</w:t>
            </w:r>
          </w:p>
        </w:tc>
        <w:tc>
          <w:tcPr>
            <w:tcW w:w="228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1.25 (0.56-5.00)</w:t>
            </w:r>
          </w:p>
        </w:tc>
        <w:tc>
          <w:tcPr>
            <w:tcW w:w="96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0.277</w:t>
            </w:r>
          </w:p>
        </w:tc>
      </w:tr>
      <w:tr w:rsidR="0052075C">
        <w:trPr>
          <w:jc w:val="center"/>
        </w:trPr>
        <w:tc>
          <w:tcPr>
            <w:tcW w:w="1450"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UKB</w:t>
            </w:r>
          </w:p>
        </w:tc>
        <w:tc>
          <w:tcPr>
            <w:tcW w:w="1193"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500Kb</w:t>
            </w:r>
          </w:p>
        </w:tc>
        <w:tc>
          <w:tcPr>
            <w:tcW w:w="1487"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9 (17.6%)</w:t>
            </w:r>
          </w:p>
        </w:tc>
        <w:tc>
          <w:tcPr>
            <w:tcW w:w="2282"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1.29 (0.64-4.50)</w:t>
            </w:r>
          </w:p>
        </w:tc>
        <w:tc>
          <w:tcPr>
            <w:tcW w:w="961" w:type="dxa"/>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rsidR="0052075C" w:rsidRDefault="00A53D1E">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0.206</w:t>
            </w:r>
          </w:p>
        </w:tc>
      </w:tr>
    </w:tbl>
    <w:p w:rsidR="0052075C" w:rsidRDefault="0052075C">
      <w:pPr>
        <w:sectPr w:rsidR="0052075C">
          <w:type w:val="oddPage"/>
          <w:pgSz w:w="16838" w:h="11906" w:orient="landscape"/>
          <w:pgMar w:top="1417" w:right="1417" w:bottom="1417" w:left="1417" w:header="708" w:footer="708" w:gutter="0"/>
          <w:cols w:space="720"/>
        </w:sectPr>
      </w:pPr>
    </w:p>
    <w:p w:rsidR="00A53D1E" w:rsidRDefault="00A53D1E"/>
    <w:sectPr w:rsidR="00A53D1E" w:rsidSect="00747CCE">
      <w:type w:val="continuous"/>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Times New Roman"/>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925FD"/>
    <w:multiLevelType w:val="multilevel"/>
    <w:tmpl w:val="88F45F08"/>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B882B35"/>
    <w:multiLevelType w:val="multilevel"/>
    <w:tmpl w:val="6F30E7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EFC3234"/>
    <w:multiLevelType w:val="multilevel"/>
    <w:tmpl w:val="0A8631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75C"/>
    <w:rsid w:val="00045470"/>
    <w:rsid w:val="0052075C"/>
    <w:rsid w:val="00A53D1E"/>
    <w:rsid w:val="00B36B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3C8A3"/>
  <w15:docId w15:val="{96F42849-FCD0-41BF-86E3-CD29616AB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62E65"/>
    <w:pPr>
      <w:keepNext/>
      <w:keepLines/>
      <w:numPr>
        <w:numId w:val="3"/>
      </w:numPr>
      <w:pBdr>
        <w:bottom w:val="single" w:sz="4" w:space="1" w:color="auto"/>
      </w:pBdr>
      <w:spacing w:before="480"/>
      <w:outlineLvl w:val="0"/>
    </w:pPr>
    <w:rPr>
      <w:rFonts w:asciiTheme="majorHAnsi" w:eastAsiaTheme="majorEastAsia" w:hAnsiTheme="majorHAnsi" w:cstheme="majorBidi"/>
      <w:b/>
      <w:bCs/>
      <w:sz w:val="32"/>
      <w:szCs w:val="32"/>
    </w:rPr>
  </w:style>
  <w:style w:type="paragraph" w:styleId="Heading2">
    <w:name w:val="heading 2"/>
    <w:basedOn w:val="Normal"/>
    <w:next w:val="Normal"/>
    <w:link w:val="Heading2Char"/>
    <w:uiPriority w:val="9"/>
    <w:semiHidden/>
    <w:unhideWhenUsed/>
    <w:qFormat/>
    <w:rsid w:val="00362E65"/>
    <w:pPr>
      <w:keepNext/>
      <w:keepLines/>
      <w:numPr>
        <w:ilvl w:val="1"/>
        <w:numId w:val="3"/>
      </w:num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362E65"/>
    <w:pPr>
      <w:keepNext/>
      <w:keepLines/>
      <w:numPr>
        <w:ilvl w:val="2"/>
        <w:numId w:val="3"/>
      </w:numPr>
      <w:spacing w:before="200"/>
      <w:outlineLvl w:val="2"/>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1">
    <w:name w:val="Strong1"/>
    <w:basedOn w:val="DefaultParagraphFont"/>
    <w:uiPriority w:val="1"/>
    <w:qFormat/>
    <w:rsid w:val="007B3E96"/>
    <w:rPr>
      <w:b/>
    </w:rPr>
  </w:style>
  <w:style w:type="paragraph" w:customStyle="1" w:styleId="centered">
    <w:name w:val="centered"/>
    <w:basedOn w:val="Normal"/>
    <w:qFormat/>
    <w:rsid w:val="001D75AB"/>
    <w:pPr>
      <w:jc w:val="center"/>
    </w:pPr>
  </w:style>
  <w:style w:type="table" w:customStyle="1" w:styleId="tabletemplate">
    <w:name w:val="table_template"/>
    <w:basedOn w:val="TableNormal"/>
    <w:uiPriority w:val="59"/>
    <w:rsid w:val="00F12158"/>
    <w:pPr>
      <w:jc w:val="right"/>
    </w:pPr>
    <w:tblPr>
      <w:jc w:val="center"/>
      <w:tblBorders>
        <w:top w:val="single" w:sz="8" w:space="0" w:color="auto"/>
        <w:bottom w:val="single" w:sz="8" w:space="0" w:color="auto"/>
        <w:insideH w:val="single" w:sz="8" w:space="0" w:color="auto"/>
      </w:tblBorders>
    </w:tblPr>
    <w:trPr>
      <w:jc w:val="center"/>
    </w:trPr>
    <w:tblStylePr w:type="firstRow">
      <w:rPr>
        <w:b/>
      </w:rPr>
      <w:tblPr/>
      <w:tcPr>
        <w:tcBorders>
          <w:top w:val="nil"/>
          <w:left w:val="nil"/>
          <w:bottom w:val="single" w:sz="18" w:space="0" w:color="auto"/>
          <w:right w:val="nil"/>
          <w:insideH w:val="nil"/>
          <w:insideV w:val="nil"/>
          <w:tl2br w:val="nil"/>
          <w:tr2bl w:val="nil"/>
        </w:tcBorders>
      </w:tcPr>
    </w:tblStylePr>
  </w:style>
  <w:style w:type="table" w:styleId="LightList-Accent2">
    <w:name w:val="Light List Accent 2"/>
    <w:basedOn w:val="TableNormal"/>
    <w:uiPriority w:val="61"/>
    <w:rsid w:val="00FC557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Heading1Char">
    <w:name w:val="Heading 1 Char"/>
    <w:basedOn w:val="DefaultParagraphFont"/>
    <w:link w:val="Heading1"/>
    <w:uiPriority w:val="9"/>
    <w:rsid w:val="00362E65"/>
    <w:rPr>
      <w:rFonts w:asciiTheme="majorHAnsi" w:eastAsiaTheme="majorEastAsia" w:hAnsiTheme="majorHAnsi" w:cstheme="majorBidi"/>
      <w:b/>
      <w:bCs/>
      <w:sz w:val="32"/>
      <w:szCs w:val="32"/>
    </w:rPr>
  </w:style>
  <w:style w:type="character" w:customStyle="1" w:styleId="Heading2Char">
    <w:name w:val="Heading 2 Char"/>
    <w:basedOn w:val="DefaultParagraphFont"/>
    <w:link w:val="Heading2"/>
    <w:uiPriority w:val="9"/>
    <w:semiHidden/>
    <w:rsid w:val="00362E65"/>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semiHidden/>
    <w:rsid w:val="00362E65"/>
    <w:rPr>
      <w:rFonts w:asciiTheme="majorHAnsi" w:eastAsiaTheme="majorEastAsia" w:hAnsiTheme="majorHAnsi" w:cstheme="majorBidi"/>
      <w:b/>
      <w:bCs/>
    </w:rPr>
  </w:style>
  <w:style w:type="paragraph" w:customStyle="1" w:styleId="ImageCaption">
    <w:name w:val="Image Caption"/>
    <w:basedOn w:val="Normal"/>
    <w:qFormat/>
    <w:rsid w:val="00AE18EF"/>
    <w:pPr>
      <w:jc w:val="center"/>
    </w:pPr>
    <w:rPr>
      <w:b/>
      <w:i/>
    </w:rPr>
  </w:style>
  <w:style w:type="paragraph" w:customStyle="1" w:styleId="TableCaption">
    <w:name w:val="Table Caption"/>
    <w:basedOn w:val="ImageCaption"/>
    <w:qFormat/>
    <w:rsid w:val="00AE18EF"/>
  </w:style>
  <w:style w:type="table" w:styleId="TableProfessional">
    <w:name w:val="Table Professional"/>
    <w:basedOn w:val="TableNormal"/>
    <w:uiPriority w:val="99"/>
    <w:semiHidden/>
    <w:unhideWhenUsed/>
    <w:rsid w:val="00C31EE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TOC1">
    <w:name w:val="toc 1"/>
    <w:basedOn w:val="Normal"/>
    <w:next w:val="Normal"/>
    <w:autoRedefine/>
    <w:uiPriority w:val="39"/>
    <w:unhideWhenUsed/>
    <w:rsid w:val="00FB63E7"/>
    <w:pPr>
      <w:spacing w:after="100"/>
    </w:pPr>
  </w:style>
  <w:style w:type="paragraph" w:styleId="TOC2">
    <w:name w:val="toc 2"/>
    <w:basedOn w:val="Normal"/>
    <w:next w:val="Normal"/>
    <w:autoRedefine/>
    <w:uiPriority w:val="39"/>
    <w:unhideWhenUsed/>
    <w:rsid w:val="00FB63E7"/>
    <w:pPr>
      <w:spacing w:after="100"/>
      <w:ind w:left="240"/>
    </w:pPr>
  </w:style>
  <w:style w:type="paragraph" w:styleId="BalloonText">
    <w:name w:val="Balloon Text"/>
    <w:basedOn w:val="Normal"/>
    <w:link w:val="BalloonTextChar"/>
    <w:uiPriority w:val="99"/>
    <w:semiHidden/>
    <w:unhideWhenUsed/>
    <w:rsid w:val="00FB63E7"/>
    <w:rPr>
      <w:rFonts w:ascii="Lucida Grande" w:hAnsi="Lucida Grande"/>
      <w:sz w:val="18"/>
      <w:szCs w:val="18"/>
    </w:rPr>
  </w:style>
  <w:style w:type="character" w:customStyle="1" w:styleId="BalloonTextChar">
    <w:name w:val="Balloon Text Char"/>
    <w:basedOn w:val="DefaultParagraphFont"/>
    <w:link w:val="BalloonText"/>
    <w:uiPriority w:val="99"/>
    <w:semiHidden/>
    <w:rsid w:val="00FB63E7"/>
    <w:rPr>
      <w:rFonts w:ascii="Lucida Grande" w:hAnsi="Lucida Grande"/>
      <w:sz w:val="18"/>
      <w:szCs w:val="18"/>
    </w:rPr>
  </w:style>
  <w:style w:type="character" w:customStyle="1" w:styleId="referenceid">
    <w:name w:val="reference_id"/>
    <w:basedOn w:val="DefaultParagraphFont"/>
    <w:uiPriority w:val="1"/>
    <w:rsid w:val="00457CF1"/>
    <w:rPr>
      <w:vertAlign w:val="superscript"/>
    </w:rPr>
  </w:style>
  <w:style w:type="paragraph" w:customStyle="1" w:styleId="graphictitle">
    <w:name w:val="graphic title"/>
    <w:basedOn w:val="ImageCaption"/>
    <w:next w:val="Normal"/>
    <w:rsid w:val="0035500D"/>
  </w:style>
  <w:style w:type="paragraph" w:customStyle="1" w:styleId="tabletitle">
    <w:name w:val="table title"/>
    <w:basedOn w:val="TableCaption"/>
    <w:next w:val="Normal"/>
    <w:rsid w:val="00901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853</Words>
  <Characters>4864</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5706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 Morris</cp:lastModifiedBy>
  <cp:revision>11</cp:revision>
  <dcterms:created xsi:type="dcterms:W3CDTF">2017-02-28T11:18:00Z</dcterms:created>
  <dcterms:modified xsi:type="dcterms:W3CDTF">2024-01-19T12:01:00Z</dcterms:modified>
  <cp:category/>
</cp:coreProperties>
</file>