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852EAC" w14:textId="77777777" w:rsidR="003718A8" w:rsidRPr="009E51BE" w:rsidRDefault="003718A8" w:rsidP="003718A8">
      <w:pPr>
        <w:pStyle w:val="Heading2"/>
        <w:spacing w:line="480" w:lineRule="auto"/>
      </w:pPr>
      <w:r w:rsidRPr="009E51BE">
        <w:t>Glossary</w:t>
      </w:r>
    </w:p>
    <w:p w14:paraId="7FB9AC56" w14:textId="2DF3DD9B" w:rsidR="00B51774" w:rsidRDefault="00B51774" w:rsidP="003718A8">
      <w:pPr>
        <w:spacing w:line="48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Alpha diversity:</w:t>
      </w:r>
      <w:r w:rsidR="008D7CC7">
        <w:rPr>
          <w:b/>
          <w:bCs/>
          <w:sz w:val="24"/>
          <w:szCs w:val="24"/>
        </w:rPr>
        <w:t xml:space="preserve"> </w:t>
      </w:r>
      <w:r w:rsidR="008D7CC7" w:rsidRPr="005F5F47">
        <w:rPr>
          <w:sz w:val="24"/>
          <w:szCs w:val="24"/>
        </w:rPr>
        <w:t xml:space="preserve">commonly used to describe the species richness within a </w:t>
      </w:r>
      <w:r w:rsidR="008D7CC7">
        <w:rPr>
          <w:sz w:val="24"/>
          <w:szCs w:val="24"/>
        </w:rPr>
        <w:t xml:space="preserve">microbiome </w:t>
      </w:r>
      <w:r w:rsidR="008D7CC7" w:rsidRPr="005F5F47">
        <w:rPr>
          <w:sz w:val="24"/>
          <w:szCs w:val="24"/>
        </w:rPr>
        <w:t>sample</w:t>
      </w:r>
    </w:p>
    <w:p w14:paraId="3A5C50DB" w14:textId="56EDE6BC" w:rsidR="003718A8" w:rsidRPr="009E51BE" w:rsidRDefault="003718A8" w:rsidP="003718A8">
      <w:pPr>
        <w:spacing w:line="480" w:lineRule="auto"/>
        <w:rPr>
          <w:sz w:val="24"/>
          <w:szCs w:val="24"/>
        </w:rPr>
      </w:pPr>
      <w:r w:rsidRPr="009E51BE">
        <w:rPr>
          <w:b/>
          <w:bCs/>
          <w:sz w:val="24"/>
          <w:szCs w:val="24"/>
        </w:rPr>
        <w:t xml:space="preserve">Aryl hydrocarbon receptor (AHR): </w:t>
      </w:r>
      <w:r w:rsidRPr="009E51BE">
        <w:rPr>
          <w:sz w:val="24"/>
          <w:szCs w:val="24"/>
        </w:rPr>
        <w:t xml:space="preserve">a transcription factor regulating gene expression upon activation by binding one of its ligands </w:t>
      </w:r>
    </w:p>
    <w:p w14:paraId="68E86905" w14:textId="3CE210FB" w:rsidR="003718A8" w:rsidRDefault="008D7CC7" w:rsidP="003718A8">
      <w:pPr>
        <w:spacing w:line="48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Bile acid (</w:t>
      </w:r>
      <w:r w:rsidR="003718A8" w:rsidRPr="009E51BE">
        <w:rPr>
          <w:b/>
          <w:bCs/>
          <w:sz w:val="24"/>
          <w:szCs w:val="24"/>
        </w:rPr>
        <w:t>BA</w:t>
      </w:r>
      <w:r>
        <w:rPr>
          <w:b/>
          <w:bCs/>
          <w:sz w:val="24"/>
          <w:szCs w:val="24"/>
        </w:rPr>
        <w:t>)</w:t>
      </w:r>
      <w:r w:rsidR="003718A8" w:rsidRPr="009E51BE">
        <w:rPr>
          <w:b/>
          <w:bCs/>
          <w:sz w:val="24"/>
          <w:szCs w:val="24"/>
        </w:rPr>
        <w:t>:</w:t>
      </w:r>
      <w:r w:rsidR="003718A8" w:rsidRPr="009E51BE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r w:rsidR="003718A8" w:rsidRPr="009E51BE">
        <w:rPr>
          <w:sz w:val="24"/>
          <w:szCs w:val="24"/>
        </w:rPr>
        <w:t>A steroid acid generated in the liver that assists digestion by emulsifying fats.</w:t>
      </w:r>
    </w:p>
    <w:p w14:paraId="1CEE47C5" w14:textId="77777777" w:rsidR="008B3409" w:rsidRPr="009E51BE" w:rsidRDefault="008B3409" w:rsidP="008B3409">
      <w:pPr>
        <w:spacing w:line="480" w:lineRule="auto"/>
        <w:rPr>
          <w:sz w:val="24"/>
          <w:szCs w:val="24"/>
        </w:rPr>
      </w:pPr>
      <w:r w:rsidRPr="006A60EA">
        <w:rPr>
          <w:b/>
          <w:bCs/>
          <w:sz w:val="24"/>
          <w:szCs w:val="24"/>
        </w:rPr>
        <w:t>Dectin-1</w:t>
      </w:r>
      <w:r>
        <w:rPr>
          <w:sz w:val="24"/>
          <w:szCs w:val="24"/>
        </w:rPr>
        <w:t>: pathogen recognition receptor involved in antifungal innate immunity</w:t>
      </w:r>
    </w:p>
    <w:p w14:paraId="083BB0C7" w14:textId="3EF1AC5A" w:rsidR="003718A8" w:rsidRDefault="003718A8" w:rsidP="003718A8">
      <w:pPr>
        <w:spacing w:line="480" w:lineRule="auto"/>
        <w:rPr>
          <w:sz w:val="24"/>
          <w:szCs w:val="24"/>
        </w:rPr>
      </w:pPr>
      <w:r w:rsidRPr="009E51BE">
        <w:rPr>
          <w:b/>
          <w:bCs/>
          <w:sz w:val="24"/>
          <w:szCs w:val="24"/>
        </w:rPr>
        <w:t>Germ-free</w:t>
      </w:r>
      <w:r w:rsidR="008B3409">
        <w:rPr>
          <w:b/>
          <w:bCs/>
          <w:sz w:val="24"/>
          <w:szCs w:val="24"/>
        </w:rPr>
        <w:t xml:space="preserve"> (GF)</w:t>
      </w:r>
      <w:r w:rsidRPr="009E51BE">
        <w:rPr>
          <w:b/>
          <w:bCs/>
          <w:sz w:val="24"/>
          <w:szCs w:val="24"/>
        </w:rPr>
        <w:t xml:space="preserve">: </w:t>
      </w:r>
      <w:r w:rsidRPr="009E51BE">
        <w:rPr>
          <w:sz w:val="24"/>
          <w:szCs w:val="24"/>
        </w:rPr>
        <w:t>environment or animal that is free of microorganisms</w:t>
      </w:r>
    </w:p>
    <w:p w14:paraId="1D651EE5" w14:textId="4C1E1CFA" w:rsidR="00B10E49" w:rsidRPr="004910FC" w:rsidRDefault="00B10E49" w:rsidP="003718A8">
      <w:pPr>
        <w:spacing w:line="480" w:lineRule="auto"/>
        <w:rPr>
          <w:sz w:val="24"/>
          <w:szCs w:val="24"/>
        </w:rPr>
      </w:pPr>
      <w:r w:rsidRPr="00B10E49">
        <w:rPr>
          <w:b/>
          <w:bCs/>
          <w:sz w:val="24"/>
          <w:szCs w:val="24"/>
        </w:rPr>
        <w:t>Gnotobiotic mice:</w:t>
      </w:r>
      <w:r w:rsidR="008846D9">
        <w:rPr>
          <w:b/>
          <w:bCs/>
          <w:sz w:val="24"/>
          <w:szCs w:val="24"/>
        </w:rPr>
        <w:t xml:space="preserve"> </w:t>
      </w:r>
      <w:r w:rsidR="008846D9">
        <w:rPr>
          <w:sz w:val="24"/>
          <w:szCs w:val="24"/>
        </w:rPr>
        <w:t>mice harboring a defined microbiota</w:t>
      </w:r>
    </w:p>
    <w:p w14:paraId="1D15A1E2" w14:textId="2F43E9F7" w:rsidR="00B10E49" w:rsidRDefault="00B10E49" w:rsidP="003718A8">
      <w:pPr>
        <w:spacing w:line="480" w:lineRule="auto"/>
        <w:rPr>
          <w:sz w:val="24"/>
          <w:szCs w:val="24"/>
        </w:rPr>
      </w:pPr>
      <w:r w:rsidRPr="00B10E49">
        <w:rPr>
          <w:b/>
          <w:bCs/>
          <w:sz w:val="24"/>
          <w:szCs w:val="24"/>
        </w:rPr>
        <w:t>Hierarchical clustering:</w:t>
      </w:r>
      <w:r w:rsidR="008846D9">
        <w:rPr>
          <w:b/>
          <w:bCs/>
          <w:sz w:val="24"/>
          <w:szCs w:val="24"/>
        </w:rPr>
        <w:t xml:space="preserve"> </w:t>
      </w:r>
      <w:r w:rsidR="00743236" w:rsidRPr="00743236">
        <w:rPr>
          <w:sz w:val="24"/>
          <w:szCs w:val="24"/>
        </w:rPr>
        <w:t xml:space="preserve">used to visually present data based on similarity of data clusters </w:t>
      </w:r>
    </w:p>
    <w:p w14:paraId="79D507AA" w14:textId="77777777" w:rsidR="008B5FB8" w:rsidRPr="009E51BE" w:rsidRDefault="008B5FB8" w:rsidP="008B5FB8">
      <w:pPr>
        <w:spacing w:line="480" w:lineRule="auto"/>
        <w:rPr>
          <w:sz w:val="24"/>
          <w:szCs w:val="24"/>
        </w:rPr>
      </w:pPr>
      <w:r w:rsidRPr="009E51BE">
        <w:rPr>
          <w:b/>
          <w:bCs/>
          <w:sz w:val="24"/>
          <w:szCs w:val="24"/>
        </w:rPr>
        <w:t xml:space="preserve">Histone: </w:t>
      </w:r>
      <w:r w:rsidRPr="009E51BE">
        <w:rPr>
          <w:sz w:val="24"/>
          <w:szCs w:val="24"/>
        </w:rPr>
        <w:t>DNA-binding protein, help to condense the DNA in a smaller volume</w:t>
      </w:r>
    </w:p>
    <w:p w14:paraId="242A3595" w14:textId="35E11CC9" w:rsidR="003718A8" w:rsidRDefault="003718A8" w:rsidP="003718A8">
      <w:pPr>
        <w:spacing w:line="480" w:lineRule="auto"/>
        <w:rPr>
          <w:sz w:val="24"/>
          <w:szCs w:val="24"/>
        </w:rPr>
      </w:pPr>
      <w:r w:rsidRPr="009E51BE">
        <w:rPr>
          <w:b/>
          <w:bCs/>
          <w:sz w:val="24"/>
          <w:szCs w:val="24"/>
        </w:rPr>
        <w:t xml:space="preserve">Immunomodulator: </w:t>
      </w:r>
      <w:r w:rsidRPr="009E51BE">
        <w:rPr>
          <w:sz w:val="24"/>
          <w:szCs w:val="24"/>
        </w:rPr>
        <w:t>a substance that affects the function of the immune system/immune cells</w:t>
      </w:r>
    </w:p>
    <w:p w14:paraId="181A284F" w14:textId="24E798D3" w:rsidR="004E073C" w:rsidRPr="004910FC" w:rsidRDefault="005A258E" w:rsidP="003718A8">
      <w:pPr>
        <w:spacing w:line="480" w:lineRule="auto"/>
        <w:rPr>
          <w:b/>
          <w:bCs/>
          <w:sz w:val="24"/>
          <w:szCs w:val="24"/>
        </w:rPr>
      </w:pPr>
      <w:r w:rsidRPr="005A258E">
        <w:rPr>
          <w:b/>
          <w:bCs/>
          <w:sz w:val="24"/>
          <w:szCs w:val="24"/>
        </w:rPr>
        <w:t>Liquid chromatography–mass spectrometry</w:t>
      </w: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r>
        <w:rPr>
          <w:b/>
          <w:bCs/>
          <w:sz w:val="24"/>
          <w:szCs w:val="24"/>
        </w:rPr>
        <w:t>(</w:t>
      </w:r>
      <w:r w:rsidR="004E073C" w:rsidRPr="004910FC">
        <w:rPr>
          <w:b/>
          <w:bCs/>
          <w:sz w:val="24"/>
          <w:szCs w:val="24"/>
        </w:rPr>
        <w:t>LC/MS</w:t>
      </w:r>
      <w:r>
        <w:rPr>
          <w:b/>
          <w:bCs/>
          <w:sz w:val="24"/>
          <w:szCs w:val="24"/>
        </w:rPr>
        <w:t>)</w:t>
      </w:r>
      <w:r w:rsidR="004E073C" w:rsidRPr="004910FC">
        <w:rPr>
          <w:b/>
          <w:bCs/>
          <w:sz w:val="24"/>
          <w:szCs w:val="24"/>
        </w:rPr>
        <w:t xml:space="preserve">: </w:t>
      </w:r>
      <w:r w:rsidRPr="005A258E">
        <w:rPr>
          <w:sz w:val="24"/>
          <w:szCs w:val="24"/>
        </w:rPr>
        <w:t>identification of molecules based on their mass and chemical separation properties</w:t>
      </w:r>
    </w:p>
    <w:p w14:paraId="27B70C37" w14:textId="48B03129" w:rsidR="00B10E49" w:rsidRPr="00743236" w:rsidRDefault="00B10E49" w:rsidP="003718A8">
      <w:pPr>
        <w:spacing w:line="480" w:lineRule="auto"/>
        <w:rPr>
          <w:sz w:val="24"/>
          <w:szCs w:val="24"/>
        </w:rPr>
      </w:pPr>
      <w:r w:rsidRPr="00B10E49">
        <w:rPr>
          <w:b/>
          <w:bCs/>
          <w:sz w:val="24"/>
          <w:szCs w:val="24"/>
        </w:rPr>
        <w:t>Lyve1:</w:t>
      </w:r>
      <w:r w:rsidR="00743236">
        <w:rPr>
          <w:b/>
          <w:bCs/>
          <w:sz w:val="24"/>
          <w:szCs w:val="24"/>
        </w:rPr>
        <w:t xml:space="preserve"> </w:t>
      </w:r>
      <w:r w:rsidR="00743236" w:rsidRPr="00743236">
        <w:rPr>
          <w:sz w:val="24"/>
          <w:szCs w:val="24"/>
        </w:rPr>
        <w:t>cell surface receptor commonly used as a lymphatic endothelial marker</w:t>
      </w:r>
    </w:p>
    <w:p w14:paraId="127892BA" w14:textId="431657A9" w:rsidR="00C363E4" w:rsidRPr="00B10E49" w:rsidRDefault="00743236" w:rsidP="003718A8">
      <w:pPr>
        <w:spacing w:line="480" w:lineRule="auto"/>
        <w:rPr>
          <w:b/>
          <w:bCs/>
          <w:sz w:val="24"/>
          <w:szCs w:val="24"/>
        </w:rPr>
      </w:pPr>
      <w:r w:rsidRPr="00743236">
        <w:rPr>
          <w:b/>
          <w:bCs/>
          <w:sz w:val="24"/>
          <w:szCs w:val="24"/>
        </w:rPr>
        <w:t>MALDI mass spectrometry imaging</w:t>
      </w:r>
      <w:r>
        <w:rPr>
          <w:rFonts w:ascii="Arial" w:hAnsi="Arial" w:cs="Arial"/>
          <w:color w:val="202124"/>
          <w:shd w:val="clear" w:color="auto" w:fill="FFFFFF"/>
        </w:rPr>
        <w:t xml:space="preserve"> (</w:t>
      </w:r>
      <w:r w:rsidR="00C363E4">
        <w:rPr>
          <w:b/>
          <w:bCs/>
          <w:sz w:val="24"/>
          <w:szCs w:val="24"/>
        </w:rPr>
        <w:t>MALDI-MSI</w:t>
      </w:r>
      <w:r>
        <w:rPr>
          <w:b/>
          <w:bCs/>
          <w:sz w:val="24"/>
          <w:szCs w:val="24"/>
        </w:rPr>
        <w:t>)</w:t>
      </w:r>
      <w:r w:rsidR="00C363E4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</w:t>
      </w:r>
      <w:r w:rsidRPr="00743236">
        <w:rPr>
          <w:sz w:val="24"/>
          <w:szCs w:val="24"/>
        </w:rPr>
        <w:t>technique based on mass spectrometry coupled with imaging, widely used to spatially map molecules</w:t>
      </w:r>
    </w:p>
    <w:p w14:paraId="195E962E" w14:textId="2E3FE079" w:rsidR="00B10E49" w:rsidRPr="00A2637A" w:rsidRDefault="00B10E49" w:rsidP="003718A8">
      <w:pPr>
        <w:spacing w:line="480" w:lineRule="auto"/>
        <w:rPr>
          <w:sz w:val="24"/>
          <w:szCs w:val="24"/>
        </w:rPr>
      </w:pPr>
      <w:r w:rsidRPr="00B10E49">
        <w:rPr>
          <w:b/>
          <w:bCs/>
          <w:sz w:val="24"/>
          <w:szCs w:val="24"/>
        </w:rPr>
        <w:t>“Monocyte waterfall”:</w:t>
      </w:r>
      <w:r w:rsidR="00A2637A">
        <w:rPr>
          <w:b/>
          <w:bCs/>
          <w:sz w:val="24"/>
          <w:szCs w:val="24"/>
        </w:rPr>
        <w:t xml:space="preserve"> </w:t>
      </w:r>
      <w:r w:rsidR="00A2637A">
        <w:rPr>
          <w:sz w:val="24"/>
          <w:szCs w:val="24"/>
        </w:rPr>
        <w:t>term for the differentiation of monocytes into macrophages</w:t>
      </w:r>
    </w:p>
    <w:p w14:paraId="62CCD5DA" w14:textId="16A69F57" w:rsidR="00B10E49" w:rsidRPr="00B10E49" w:rsidRDefault="00B10E49" w:rsidP="003718A8">
      <w:pPr>
        <w:spacing w:line="480" w:lineRule="auto"/>
        <w:rPr>
          <w:b/>
          <w:bCs/>
          <w:sz w:val="24"/>
          <w:szCs w:val="24"/>
        </w:rPr>
      </w:pPr>
      <w:r w:rsidRPr="00B10E49">
        <w:rPr>
          <w:b/>
          <w:bCs/>
          <w:sz w:val="24"/>
          <w:szCs w:val="24"/>
        </w:rPr>
        <w:lastRenderedPageBreak/>
        <w:t>Monocyte-to-macrophage differentiation:</w:t>
      </w:r>
      <w:r w:rsidR="00A2637A">
        <w:rPr>
          <w:b/>
          <w:bCs/>
          <w:sz w:val="24"/>
          <w:szCs w:val="24"/>
        </w:rPr>
        <w:t xml:space="preserve"> </w:t>
      </w:r>
      <w:r w:rsidR="00A2637A" w:rsidRPr="00A2637A">
        <w:rPr>
          <w:sz w:val="24"/>
          <w:szCs w:val="24"/>
        </w:rPr>
        <w:t>Macrophage differentiation originates from monocytes in the tissue instructed by local environmental signals</w:t>
      </w:r>
    </w:p>
    <w:p w14:paraId="44572688" w14:textId="77777777" w:rsidR="003718A8" w:rsidRPr="009E51BE" w:rsidRDefault="003718A8" w:rsidP="003718A8">
      <w:pPr>
        <w:spacing w:line="480" w:lineRule="auto"/>
        <w:rPr>
          <w:sz w:val="24"/>
          <w:szCs w:val="24"/>
        </w:rPr>
      </w:pPr>
      <w:r w:rsidRPr="009E51BE">
        <w:rPr>
          <w:b/>
          <w:bCs/>
          <w:sz w:val="24"/>
          <w:szCs w:val="24"/>
        </w:rPr>
        <w:t xml:space="preserve">Microbiota: </w:t>
      </w:r>
      <w:r w:rsidRPr="009E51BE">
        <w:rPr>
          <w:sz w:val="24"/>
          <w:szCs w:val="24"/>
        </w:rPr>
        <w:t>the assembly of microorganisms living in a certain habitat (here: the intestine)</w:t>
      </w:r>
    </w:p>
    <w:p w14:paraId="5E6E0234" w14:textId="05F676BA" w:rsidR="003718A8" w:rsidRDefault="003718A8" w:rsidP="003718A8">
      <w:pPr>
        <w:spacing w:line="480" w:lineRule="auto"/>
        <w:rPr>
          <w:sz w:val="24"/>
          <w:szCs w:val="24"/>
        </w:rPr>
      </w:pPr>
      <w:r w:rsidRPr="009E51BE">
        <w:rPr>
          <w:b/>
          <w:bCs/>
          <w:sz w:val="24"/>
          <w:szCs w:val="24"/>
        </w:rPr>
        <w:t xml:space="preserve">MyD88: </w:t>
      </w:r>
      <w:r w:rsidRPr="009E51BE">
        <w:rPr>
          <w:sz w:val="24"/>
          <w:szCs w:val="24"/>
        </w:rPr>
        <w:t>Adaptor protein for many innate immune receptors</w:t>
      </w:r>
    </w:p>
    <w:p w14:paraId="5B357E75" w14:textId="601D3FA1" w:rsidR="008D7CC7" w:rsidRPr="004910FC" w:rsidRDefault="008D7CC7" w:rsidP="003718A8">
      <w:pPr>
        <w:spacing w:line="480" w:lineRule="auto"/>
        <w:rPr>
          <w:b/>
          <w:bCs/>
          <w:sz w:val="24"/>
          <w:szCs w:val="24"/>
        </w:rPr>
      </w:pPr>
      <w:r w:rsidRPr="004910FC">
        <w:rPr>
          <w:b/>
          <w:bCs/>
          <w:sz w:val="24"/>
          <w:szCs w:val="24"/>
        </w:rPr>
        <w:t>Parabiotic mice:</w:t>
      </w:r>
      <w:r w:rsidR="008846D9">
        <w:rPr>
          <w:b/>
          <w:bCs/>
          <w:sz w:val="24"/>
          <w:szCs w:val="24"/>
        </w:rPr>
        <w:t xml:space="preserve"> </w:t>
      </w:r>
      <w:r w:rsidR="008846D9" w:rsidRPr="004910FC">
        <w:rPr>
          <w:sz w:val="24"/>
          <w:szCs w:val="24"/>
        </w:rPr>
        <w:t>anatomically joined mice, allowing the exchange of whole blood between two animals</w:t>
      </w:r>
    </w:p>
    <w:p w14:paraId="3D576AB8" w14:textId="77777777" w:rsidR="003718A8" w:rsidRPr="009E51BE" w:rsidRDefault="003718A8" w:rsidP="003718A8">
      <w:pPr>
        <w:spacing w:line="480" w:lineRule="auto"/>
        <w:rPr>
          <w:color w:val="000000" w:themeColor="text1"/>
          <w:sz w:val="24"/>
          <w:szCs w:val="24"/>
        </w:rPr>
      </w:pPr>
      <w:r w:rsidRPr="009E51BE">
        <w:rPr>
          <w:b/>
          <w:bCs/>
          <w:color w:val="000000" w:themeColor="text1"/>
          <w:sz w:val="24"/>
          <w:szCs w:val="24"/>
        </w:rPr>
        <w:t xml:space="preserve">Pathogen recognition receptors: </w:t>
      </w:r>
      <w:r w:rsidRPr="009E51BE">
        <w:rPr>
          <w:color w:val="000000" w:themeColor="text1"/>
          <w:sz w:val="24"/>
          <w:szCs w:val="24"/>
        </w:rPr>
        <w:t>innate immune</w:t>
      </w:r>
      <w:r w:rsidRPr="009E51BE">
        <w:rPr>
          <w:b/>
          <w:bCs/>
          <w:color w:val="000000" w:themeColor="text1"/>
          <w:sz w:val="24"/>
          <w:szCs w:val="24"/>
        </w:rPr>
        <w:t xml:space="preserve"> </w:t>
      </w:r>
      <w:r w:rsidRPr="009E51BE">
        <w:rPr>
          <w:color w:val="000000" w:themeColor="text1"/>
          <w:sz w:val="24"/>
          <w:szCs w:val="24"/>
        </w:rPr>
        <w:t>receptors recognizing conserved molecular structures</w:t>
      </w:r>
    </w:p>
    <w:p w14:paraId="5DA5E8E9" w14:textId="064E1268" w:rsidR="003718A8" w:rsidRDefault="003718A8" w:rsidP="003718A8">
      <w:pPr>
        <w:spacing w:line="480" w:lineRule="auto"/>
        <w:rPr>
          <w:color w:val="000000" w:themeColor="text1"/>
          <w:sz w:val="24"/>
          <w:szCs w:val="24"/>
        </w:rPr>
      </w:pPr>
      <w:r w:rsidRPr="009E51BE">
        <w:rPr>
          <w:b/>
          <w:bCs/>
          <w:color w:val="000000" w:themeColor="text1"/>
          <w:sz w:val="24"/>
          <w:szCs w:val="24"/>
        </w:rPr>
        <w:t>Peyer’s patches</w:t>
      </w:r>
      <w:r w:rsidR="008B3409">
        <w:rPr>
          <w:b/>
          <w:bCs/>
          <w:color w:val="000000" w:themeColor="text1"/>
          <w:sz w:val="24"/>
          <w:szCs w:val="24"/>
        </w:rPr>
        <w:t xml:space="preserve"> (PP)</w:t>
      </w:r>
      <w:r w:rsidRPr="009E51BE">
        <w:rPr>
          <w:b/>
          <w:bCs/>
          <w:color w:val="000000" w:themeColor="text1"/>
          <w:sz w:val="24"/>
          <w:szCs w:val="24"/>
        </w:rPr>
        <w:t xml:space="preserve">: </w:t>
      </w:r>
      <w:r w:rsidRPr="009E51BE">
        <w:rPr>
          <w:color w:val="000000" w:themeColor="text1"/>
          <w:sz w:val="24"/>
          <w:szCs w:val="24"/>
        </w:rPr>
        <w:t>small group of lymphoid structures in the small intestine</w:t>
      </w:r>
    </w:p>
    <w:p w14:paraId="161D63B2" w14:textId="6C53054F" w:rsidR="009B1557" w:rsidRPr="00F84F21" w:rsidRDefault="009B1557" w:rsidP="003718A8">
      <w:pPr>
        <w:spacing w:line="480" w:lineRule="auto"/>
        <w:rPr>
          <w:color w:val="000000" w:themeColor="text1"/>
          <w:sz w:val="24"/>
          <w:szCs w:val="24"/>
        </w:rPr>
      </w:pPr>
      <w:r w:rsidRPr="00743236">
        <w:rPr>
          <w:b/>
          <w:bCs/>
          <w:color w:val="000000" w:themeColor="text1"/>
          <w:sz w:val="24"/>
          <w:szCs w:val="24"/>
        </w:rPr>
        <w:t>Pseudo</w:t>
      </w:r>
      <w:r w:rsidR="00F84F21">
        <w:rPr>
          <w:b/>
          <w:bCs/>
          <w:color w:val="000000" w:themeColor="text1"/>
          <w:sz w:val="24"/>
          <w:szCs w:val="24"/>
        </w:rPr>
        <w:t xml:space="preserve"> </w:t>
      </w:r>
      <w:r w:rsidRPr="00743236">
        <w:rPr>
          <w:b/>
          <w:bCs/>
          <w:color w:val="000000" w:themeColor="text1"/>
          <w:sz w:val="24"/>
          <w:szCs w:val="24"/>
        </w:rPr>
        <w:t>space:</w:t>
      </w:r>
      <w:r w:rsidR="00F84F21">
        <w:rPr>
          <w:b/>
          <w:bCs/>
          <w:color w:val="000000" w:themeColor="text1"/>
          <w:sz w:val="24"/>
          <w:szCs w:val="24"/>
        </w:rPr>
        <w:t xml:space="preserve"> </w:t>
      </w:r>
      <w:r w:rsidR="00F84F21">
        <w:rPr>
          <w:color w:val="000000" w:themeColor="text1"/>
          <w:sz w:val="24"/>
          <w:szCs w:val="24"/>
        </w:rPr>
        <w:t>a bioinformatic tool to map scRNA-data to potential locations</w:t>
      </w:r>
    </w:p>
    <w:p w14:paraId="5DF61A88" w14:textId="2C7FB108" w:rsidR="00B10E49" w:rsidRDefault="00B10E49" w:rsidP="003718A8">
      <w:pPr>
        <w:spacing w:line="480" w:lineRule="auto"/>
        <w:rPr>
          <w:color w:val="000000" w:themeColor="text1"/>
          <w:sz w:val="24"/>
          <w:szCs w:val="24"/>
        </w:rPr>
      </w:pPr>
      <w:r w:rsidRPr="00B10E49">
        <w:rPr>
          <w:b/>
          <w:bCs/>
          <w:color w:val="000000" w:themeColor="text1"/>
          <w:sz w:val="24"/>
          <w:szCs w:val="24"/>
        </w:rPr>
        <w:t>Regulatory T cells</w:t>
      </w:r>
      <w:r w:rsidR="008B3409">
        <w:rPr>
          <w:b/>
          <w:bCs/>
          <w:color w:val="000000" w:themeColor="text1"/>
          <w:sz w:val="24"/>
          <w:szCs w:val="24"/>
        </w:rPr>
        <w:t xml:space="preserve"> (Tregs)</w:t>
      </w:r>
      <w:r w:rsidRPr="00B10E49">
        <w:rPr>
          <w:b/>
          <w:bCs/>
          <w:color w:val="000000" w:themeColor="text1"/>
          <w:sz w:val="24"/>
          <w:szCs w:val="24"/>
        </w:rPr>
        <w:t>:</w:t>
      </w:r>
      <w:r w:rsidR="00F84F21">
        <w:rPr>
          <w:b/>
          <w:bCs/>
          <w:color w:val="000000" w:themeColor="text1"/>
          <w:sz w:val="24"/>
          <w:szCs w:val="24"/>
        </w:rPr>
        <w:t xml:space="preserve"> </w:t>
      </w:r>
      <w:r w:rsidR="00AB0AE2" w:rsidRPr="00AB0AE2">
        <w:rPr>
          <w:color w:val="000000" w:themeColor="text1"/>
          <w:sz w:val="24"/>
          <w:szCs w:val="24"/>
        </w:rPr>
        <w:t>T cell subset involved in regulating or suppressing other immune cells</w:t>
      </w:r>
    </w:p>
    <w:p w14:paraId="4B8725BE" w14:textId="18476860" w:rsidR="008B3409" w:rsidRPr="001B4BEB" w:rsidRDefault="008B3409" w:rsidP="008B3409">
      <w:pPr>
        <w:spacing w:line="480" w:lineRule="auto"/>
        <w:rPr>
          <w:b/>
          <w:bCs/>
          <w:color w:val="000000" w:themeColor="text1"/>
          <w:sz w:val="24"/>
          <w:szCs w:val="24"/>
        </w:rPr>
      </w:pPr>
      <w:r w:rsidRPr="001B4BEB">
        <w:rPr>
          <w:b/>
          <w:bCs/>
          <w:color w:val="000000" w:themeColor="text1"/>
          <w:sz w:val="24"/>
          <w:szCs w:val="24"/>
        </w:rPr>
        <w:t xml:space="preserve">Retinoic acid: </w:t>
      </w:r>
      <w:r w:rsidRPr="001B4BEB">
        <w:rPr>
          <w:color w:val="000000" w:themeColor="text1"/>
          <w:sz w:val="24"/>
          <w:szCs w:val="24"/>
        </w:rPr>
        <w:t>metabolic product of vitamin A</w:t>
      </w:r>
    </w:p>
    <w:p w14:paraId="1597C063" w14:textId="103FA160" w:rsidR="004E073C" w:rsidRPr="00AB0AE2" w:rsidRDefault="004E073C" w:rsidP="003718A8">
      <w:pPr>
        <w:spacing w:line="480" w:lineRule="auto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16S rRNA sequencing:</w:t>
      </w:r>
      <w:r w:rsidR="00AB0AE2">
        <w:rPr>
          <w:b/>
          <w:bCs/>
          <w:color w:val="000000" w:themeColor="text1"/>
          <w:sz w:val="24"/>
          <w:szCs w:val="24"/>
        </w:rPr>
        <w:t xml:space="preserve"> </w:t>
      </w:r>
      <w:r w:rsidR="00AB0AE2">
        <w:rPr>
          <w:color w:val="000000" w:themeColor="text1"/>
          <w:sz w:val="24"/>
          <w:szCs w:val="24"/>
        </w:rPr>
        <w:t>sequencing for microbial community composition based on the highly conserved 16S ribosomal subunit</w:t>
      </w:r>
    </w:p>
    <w:p w14:paraId="40E52B34" w14:textId="6E4C7974" w:rsidR="003718A8" w:rsidRPr="009E51BE" w:rsidRDefault="003718A8" w:rsidP="003718A8">
      <w:pPr>
        <w:spacing w:line="480" w:lineRule="auto"/>
        <w:rPr>
          <w:sz w:val="24"/>
          <w:szCs w:val="24"/>
        </w:rPr>
      </w:pPr>
      <w:r w:rsidRPr="009E51BE">
        <w:rPr>
          <w:b/>
          <w:bCs/>
          <w:sz w:val="24"/>
          <w:szCs w:val="24"/>
        </w:rPr>
        <w:t>Short-chain fatty acids</w:t>
      </w:r>
      <w:r w:rsidR="008B3409">
        <w:rPr>
          <w:b/>
          <w:bCs/>
          <w:sz w:val="24"/>
          <w:szCs w:val="24"/>
        </w:rPr>
        <w:t xml:space="preserve"> (SCFAs)</w:t>
      </w:r>
      <w:r w:rsidRPr="009E51BE">
        <w:rPr>
          <w:b/>
          <w:bCs/>
          <w:sz w:val="24"/>
          <w:szCs w:val="24"/>
        </w:rPr>
        <w:t xml:space="preserve">: </w:t>
      </w:r>
      <w:r w:rsidRPr="009E51BE">
        <w:rPr>
          <w:sz w:val="24"/>
          <w:szCs w:val="24"/>
        </w:rPr>
        <w:t>fatty acids with fewer than six carbon atoms are the</w:t>
      </w:r>
      <w:r w:rsidRPr="009E51BE">
        <w:rPr>
          <w:b/>
          <w:bCs/>
          <w:sz w:val="24"/>
          <w:szCs w:val="24"/>
        </w:rPr>
        <w:t xml:space="preserve"> </w:t>
      </w:r>
      <w:r w:rsidRPr="009E51BE">
        <w:rPr>
          <w:sz w:val="24"/>
          <w:szCs w:val="24"/>
        </w:rPr>
        <w:t>main metabolites produced by the microbiota</w:t>
      </w:r>
    </w:p>
    <w:p w14:paraId="32B74DB2" w14:textId="14C7320B" w:rsidR="003718A8" w:rsidRPr="009E51BE" w:rsidRDefault="003718A8" w:rsidP="003718A8">
      <w:pPr>
        <w:spacing w:line="480" w:lineRule="auto"/>
        <w:rPr>
          <w:sz w:val="24"/>
          <w:szCs w:val="24"/>
        </w:rPr>
      </w:pPr>
      <w:r w:rsidRPr="009E51BE">
        <w:rPr>
          <w:b/>
          <w:bCs/>
          <w:sz w:val="24"/>
          <w:szCs w:val="24"/>
        </w:rPr>
        <w:t>Single-cell RNA</w:t>
      </w:r>
      <w:r w:rsidR="00180C1E">
        <w:rPr>
          <w:b/>
          <w:bCs/>
          <w:sz w:val="24"/>
          <w:szCs w:val="24"/>
        </w:rPr>
        <w:t xml:space="preserve"> </w:t>
      </w:r>
      <w:r w:rsidRPr="009E51BE">
        <w:rPr>
          <w:b/>
          <w:bCs/>
          <w:sz w:val="24"/>
          <w:szCs w:val="24"/>
        </w:rPr>
        <w:t>seq</w:t>
      </w:r>
      <w:r w:rsidR="00180C1E">
        <w:rPr>
          <w:b/>
          <w:bCs/>
          <w:sz w:val="24"/>
          <w:szCs w:val="24"/>
        </w:rPr>
        <w:t>uencing</w:t>
      </w:r>
      <w:r w:rsidR="00F84F21">
        <w:rPr>
          <w:b/>
          <w:bCs/>
          <w:sz w:val="24"/>
          <w:szCs w:val="24"/>
        </w:rPr>
        <w:t xml:space="preserve"> (scRNA-seq)</w:t>
      </w:r>
      <w:r w:rsidRPr="009E51BE">
        <w:rPr>
          <w:b/>
          <w:bCs/>
          <w:sz w:val="24"/>
          <w:szCs w:val="24"/>
        </w:rPr>
        <w:t xml:space="preserve">: </w:t>
      </w:r>
      <w:r w:rsidRPr="009E51BE">
        <w:rPr>
          <w:sz w:val="24"/>
          <w:szCs w:val="24"/>
        </w:rPr>
        <w:t xml:space="preserve">analysis of the sequence information of individual cells using </w:t>
      </w:r>
      <w:r w:rsidR="00F84F21">
        <w:rPr>
          <w:sz w:val="24"/>
          <w:szCs w:val="24"/>
        </w:rPr>
        <w:t>next generation sequencing</w:t>
      </w:r>
    </w:p>
    <w:p w14:paraId="3D2C7D68" w14:textId="5F180C82" w:rsidR="003718A8" w:rsidRDefault="003718A8" w:rsidP="003718A8">
      <w:pPr>
        <w:spacing w:line="480" w:lineRule="auto"/>
        <w:rPr>
          <w:sz w:val="24"/>
          <w:szCs w:val="24"/>
        </w:rPr>
      </w:pPr>
      <w:r w:rsidRPr="009E51BE">
        <w:rPr>
          <w:b/>
          <w:bCs/>
          <w:sz w:val="24"/>
          <w:szCs w:val="24"/>
        </w:rPr>
        <w:t>Specific pathogen-free</w:t>
      </w:r>
      <w:r w:rsidR="008B3409">
        <w:rPr>
          <w:b/>
          <w:bCs/>
          <w:sz w:val="24"/>
          <w:szCs w:val="24"/>
        </w:rPr>
        <w:t xml:space="preserve"> (SPF)</w:t>
      </w:r>
      <w:r w:rsidRPr="009E51BE">
        <w:rPr>
          <w:b/>
          <w:bCs/>
          <w:sz w:val="24"/>
          <w:szCs w:val="24"/>
        </w:rPr>
        <w:t xml:space="preserve">: </w:t>
      </w:r>
      <w:r w:rsidRPr="009E51BE">
        <w:rPr>
          <w:sz w:val="24"/>
          <w:szCs w:val="24"/>
        </w:rPr>
        <w:t>animals that are guaranteed to be free of a certain list of specified pathogens</w:t>
      </w:r>
    </w:p>
    <w:p w14:paraId="78F5108C" w14:textId="14E8E458" w:rsidR="00FA7B74" w:rsidRDefault="00FA7B74" w:rsidP="003718A8">
      <w:pPr>
        <w:spacing w:line="480" w:lineRule="auto"/>
        <w:rPr>
          <w:b/>
          <w:bCs/>
          <w:sz w:val="24"/>
          <w:szCs w:val="24"/>
        </w:rPr>
      </w:pPr>
      <w:r w:rsidRPr="004910FC">
        <w:rPr>
          <w:b/>
          <w:bCs/>
          <w:sz w:val="24"/>
          <w:szCs w:val="24"/>
        </w:rPr>
        <w:lastRenderedPageBreak/>
        <w:t>Tissue-resident macrophages (TRMs):</w:t>
      </w:r>
      <w:r w:rsidR="009D71ED">
        <w:rPr>
          <w:b/>
          <w:bCs/>
          <w:sz w:val="24"/>
          <w:szCs w:val="24"/>
        </w:rPr>
        <w:t xml:space="preserve"> </w:t>
      </w:r>
      <w:r w:rsidR="009D71ED" w:rsidRPr="009D71ED">
        <w:rPr>
          <w:sz w:val="24"/>
          <w:szCs w:val="24"/>
        </w:rPr>
        <w:t>heterogenous population of macrophages that fulfill tissue-specific and niche-specific function to maintain tissue homeostasis</w:t>
      </w:r>
    </w:p>
    <w:p w14:paraId="2D85DC2C" w14:textId="0CCD533D" w:rsidR="00EE1114" w:rsidRPr="00B10E49" w:rsidRDefault="00180C1E" w:rsidP="003718A8">
      <w:pPr>
        <w:rPr>
          <w:b/>
          <w:bCs/>
        </w:rPr>
      </w:pPr>
    </w:p>
    <w:sectPr w:rsidR="00EE1114" w:rsidRPr="00B10E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8A8"/>
    <w:rsid w:val="00180C1E"/>
    <w:rsid w:val="003718A8"/>
    <w:rsid w:val="004910FC"/>
    <w:rsid w:val="004E073C"/>
    <w:rsid w:val="005A258E"/>
    <w:rsid w:val="005D551A"/>
    <w:rsid w:val="00743236"/>
    <w:rsid w:val="007A7A07"/>
    <w:rsid w:val="00882962"/>
    <w:rsid w:val="008846D9"/>
    <w:rsid w:val="008B3409"/>
    <w:rsid w:val="008B5FB8"/>
    <w:rsid w:val="008D7CC7"/>
    <w:rsid w:val="009B1557"/>
    <w:rsid w:val="009D71ED"/>
    <w:rsid w:val="00A2637A"/>
    <w:rsid w:val="00A378C1"/>
    <w:rsid w:val="00AB0AE2"/>
    <w:rsid w:val="00B10E49"/>
    <w:rsid w:val="00B51774"/>
    <w:rsid w:val="00C363E4"/>
    <w:rsid w:val="00E20388"/>
    <w:rsid w:val="00F84F21"/>
    <w:rsid w:val="00FA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2331F"/>
  <w15:chartTrackingRefBased/>
  <w15:docId w15:val="{4B1EB46D-4B8B-471B-A301-5F224F870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8A8"/>
    <w:rPr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18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718A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Dorothée Berthold</dc:creator>
  <cp:keywords/>
  <dc:description/>
  <cp:lastModifiedBy>Dorothée Berthold</cp:lastModifiedBy>
  <cp:revision>20</cp:revision>
  <dcterms:created xsi:type="dcterms:W3CDTF">2021-05-25T09:28:00Z</dcterms:created>
  <dcterms:modified xsi:type="dcterms:W3CDTF">2021-07-12T10:37:00Z</dcterms:modified>
</cp:coreProperties>
</file>