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A7B80" w14:textId="6E7D15F8" w:rsidR="00E062C2" w:rsidRDefault="007471AC" w:rsidP="00E062C2">
      <w:pPr>
        <w:jc w:val="right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Published in </w:t>
      </w:r>
      <w:r w:rsidRPr="007471AC">
        <w:rPr>
          <w:rFonts w:asciiTheme="majorHAnsi" w:hAnsiTheme="majorHAnsi" w:cs="Times New Roman"/>
          <w:sz w:val="22"/>
          <w:szCs w:val="22"/>
        </w:rPr>
        <w:t xml:space="preserve">(2014) 27 </w:t>
      </w:r>
      <w:r w:rsidRPr="007471AC">
        <w:rPr>
          <w:rFonts w:asciiTheme="majorHAnsi" w:hAnsiTheme="majorHAnsi" w:cs="Times New Roman"/>
          <w:i/>
          <w:sz w:val="22"/>
          <w:szCs w:val="22"/>
        </w:rPr>
        <w:t xml:space="preserve">Canadian Journal of Law and Jurisprudence </w:t>
      </w:r>
      <w:r w:rsidRPr="007471AC">
        <w:rPr>
          <w:rFonts w:asciiTheme="majorHAnsi" w:hAnsiTheme="majorHAnsi" w:cs="Times New Roman"/>
          <w:sz w:val="22"/>
          <w:szCs w:val="22"/>
        </w:rPr>
        <w:t>1-23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A6C6651" w14:textId="642F7819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0DD82233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0DD82233" w14:textId="77777777" w:rsidR="00E062C2" w:rsidRDefault="007471AC" w:rsidP="007471AC">
      <w:pPr>
        <w:rPr>
          <w:rFonts w:asciiTheme="majorHAnsi" w:hAnsiTheme="majorHAnsi" w:cs="Times New Roman"/>
          <w:b/>
          <w:sz w:val="22"/>
          <w:szCs w:val="22"/>
        </w:rPr>
      </w:pPr>
      <w:proofErr w:type="spellStart"/>
      <w:r w:rsidRPr="007471AC">
        <w:rPr>
          <w:rFonts w:asciiTheme="majorHAnsi" w:hAnsiTheme="majorHAnsi" w:cs="Times New Roman"/>
          <w:b/>
          <w:sz w:val="22"/>
          <w:szCs w:val="22"/>
        </w:rPr>
        <w:t>Arbitrariness</w:t>
      </w:r>
      <w:proofErr w:type="spellEnd"/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3DE9114A" w14:textId="6B537E48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3DE9114A" w14:textId="6B537E48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b/>
          <w:sz w:val="22"/>
          <w:szCs w:val="22"/>
        </w:rPr>
        <w:t>Timothy Endicott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* </w:t>
      </w:r>
    </w:p>
    <w:p w14:paraId="5B082F1A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5B082F1A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9E8C9E6" w14:textId="163DC701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Arbitrariness is a lack of reason. Whenever any government agency does anything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wrong, it goes against reason. But that is not enough to make for arbitrary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government. Arbitrary government is a distinctive form of unreasonable government;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 is a departure from the rule of law, in favour of rule by the mere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rulers.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3B470DC" w14:textId="6403EC0F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To clarify arbitrariness (and, therefore, the rule of law) I will discuss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Supreme Court of India decision and a Supreme Court of Canada decision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which judges held that other public authorities had acted arbitrarily. And I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discuss Jeremy Bentham’s claim that the interpretive power of those judges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itself an arbitrary power. The claim is best articulated in Bentham’s little-known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account of the requirements of the rule of law. If you agree with Bentham,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should conclude that the interpretive power of judges in India and in Canada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hostile to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14D81CF" w14:textId="0583DFB5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Bentham’s exaggerations were sometimes extravagant; on this point, I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argue that he exaggerated only somewhat. The interpretive role of judges is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necessarily hostile to the rule of law. But there is a standing tension between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interpretive role, and the rule of law. In Canada and India, the judges’ interpretive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role gives them substantial power to determine the content of the law, and they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power to determine the limits of their own power. These powers can be used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to reallocate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decision making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power to judges. Doing so will promote the rule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law, if it provides a technique for preventing governmental decision making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arbitrary in the sense that is relevant to the rule of law. But I will argue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two decisions under discussion reallocate power to judges, without any resulting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enhancement in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B5CE0BD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0B5CE0BD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b/>
          <w:sz w:val="22"/>
          <w:szCs w:val="22"/>
        </w:rPr>
        <w:t>Arbitrary decision making in India: the 2G Spectrum case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4CD88E62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CD88E62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Indian Constitution guarantees that ‘the State shall not deny to any person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equality before the law…’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courts have decided that this provision implies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natural resources cannot be handed out ‘according to the sweet will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whims of the political entities and/or officers of the State.’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</w:t>
      </w:r>
      <w:r w:rsidRPr="007471AC">
        <w:rPr>
          <w:rFonts w:asciiTheme="majorHAnsi" w:hAnsiTheme="majorHAnsi" w:cs="Times New Roman"/>
          <w:sz w:val="22"/>
          <w:szCs w:val="22"/>
        </w:rPr>
        <w:t xml:space="preserve"> Public authorities,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is, cannot give public goods away to private persons arbitrarily; natural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resources must be allocated in a way that is non-arbitrary.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15431B7" w14:textId="2F29D794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Mobile phone spectrum is a natural resource. In 2008, the Indian govern</w:t>
      </w:r>
      <w:r w:rsidRPr="007471AC">
        <w:rPr>
          <w:rFonts w:asciiTheme="majorHAnsi" w:hAnsiTheme="majorHAnsi" w:cs="¿@˚ø◊ƒ‚"/>
          <w:sz w:val="22"/>
          <w:szCs w:val="22"/>
        </w:rPr>
        <w:t>ment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decided to hand out second generation spectrum ‘first come, first served’,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at cheap 2001 prices, to make it easy for multi-national corporations to invest in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bringing mobile phone coverage to rural India. The purpose was to extend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access of the rural poor to telephone services.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FD83DBC" w14:textId="734024C6" w:rsidR="00E062C2" w:rsidRDefault="007471AC" w:rsidP="00E062C2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In a public interest lawsuit in the Supreme Court of India, a two-judge bench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held that the ‘first come, first served’ policy was arbitrary, and therefore contrary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constitutional guarantee of equality.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</w:t>
      </w:r>
      <w:r w:rsidRPr="007471AC">
        <w:rPr>
          <w:rFonts w:asciiTheme="majorHAnsi" w:hAnsiTheme="majorHAnsi" w:cs="Times New Roman"/>
          <w:sz w:val="22"/>
          <w:szCs w:val="22"/>
        </w:rPr>
        <w:t xml:space="preserve"> The government could have held an auction,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the judges concluded that an auction would have been a better technique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allocation; it would have compensated the Indian people for the public resource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was being allocated to private parties. And an auction might have made cor</w:t>
      </w:r>
      <w:r w:rsidRPr="007471AC">
        <w:rPr>
          <w:rFonts w:asciiTheme="majorHAnsi" w:hAnsiTheme="majorHAnsi" w:cs="¿@˚ø◊ƒ‚"/>
          <w:sz w:val="22"/>
          <w:szCs w:val="22"/>
        </w:rPr>
        <w:t>ruption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more difficult. Having interpreted the guarantee of equality to mean that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government must not act arbitrarily in the distribution of natural resources,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they decided that the government had acted arbitrarily (and therefore, against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doctrine of equality) by distributing mobile phone </w:t>
      </w:r>
      <w:r w:rsidRPr="007471AC">
        <w:rPr>
          <w:rFonts w:asciiTheme="majorHAnsi" w:hAnsiTheme="majorHAnsi" w:cs="¿@˚ø◊ƒ‚"/>
          <w:sz w:val="22"/>
          <w:szCs w:val="22"/>
        </w:rPr>
        <w:lastRenderedPageBreak/>
        <w:t>spectrum on a ‘first come, first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served’ basis. The judges presented the proposition that an auction would have bet</w:t>
      </w:r>
      <w:r w:rsidRPr="007471AC">
        <w:rPr>
          <w:rFonts w:asciiTheme="majorHAnsi" w:hAnsiTheme="majorHAnsi" w:cs="¿@˚ø◊ƒ‚"/>
          <w:sz w:val="22"/>
          <w:szCs w:val="22"/>
        </w:rPr>
        <w:t>ter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promoted the public interest as sufficient justification for their decision that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government had acted arbitrarily by deciding not to hold an auction.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7BFE2D0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77BFE2D0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b/>
          <w:sz w:val="22"/>
          <w:szCs w:val="22"/>
        </w:rPr>
        <w:t xml:space="preserve">Arbitrary decision making in Canada: the </w:t>
      </w:r>
      <w:proofErr w:type="spellStart"/>
      <w:r w:rsidRPr="007471AC">
        <w:rPr>
          <w:rFonts w:asciiTheme="majorHAnsi" w:hAnsiTheme="majorHAnsi" w:cs="Times New Roman"/>
          <w:b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b/>
          <w:sz w:val="22"/>
          <w:szCs w:val="22"/>
        </w:rPr>
        <w:t xml:space="preserve"> Case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3704A8D9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3704A8D9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According to the Canadian Charter of Rights and Freedoms, ‘Everyone has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right to life, liberty and security of the person and the right not to be deprived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thereof except in accordance with the principles of fundamental justice.’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4</w:t>
      </w:r>
      <w:r w:rsidRPr="007471AC">
        <w:rPr>
          <w:rFonts w:asciiTheme="majorHAnsi" w:hAnsiTheme="majorHAnsi" w:cs="Times New Roman"/>
          <w:sz w:val="22"/>
          <w:szCs w:val="22"/>
        </w:rPr>
        <w:t xml:space="preserve"> In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case, the Supreme Court of Canada gave effect to a well-established doctrine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the fundamental principles of justice require that people not be deprived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those things arbitrarily.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5</w:t>
      </w:r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is a clinic in Vancouver, where people can use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prohibited narcotics in controlled conditions, with medical and other support.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It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set up as a response to the effects of addiction, designed to alleviate some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wreckage that results from drug use by destitute people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had been set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up through municipal, provincial, and federal cooperation; it was only possible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because the federal government had used a statutory power to give an exemption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from the prohibition on narcotics in the criminal law. When the federal government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decided not to continue that exemption, the clinic sought a declaration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decision was contrary to section 7 of the Charter, on the ground that it deprived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clinic users of life, liberty, and security of the person, in a way that was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not in accordance with the principles of fundamental justice.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CFE9BB4" w14:textId="77777777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Supreme Court of Canada held that the objective of the statutory power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decide whether to extend an exemption from the ban (the objective that had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presumably been pursued in the granting of the exemption) was ‘health and public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safety’. The Court noted its previous holding, that a blanket ban on a narcotic,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while it affects life, liberty and security of the person, is not necessarily 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arbitrary way of affecting those interests.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6</w:t>
      </w:r>
      <w:r w:rsidRPr="007471AC">
        <w:rPr>
          <w:rFonts w:asciiTheme="majorHAnsi" w:hAnsiTheme="majorHAnsi" w:cs="Times New Roman"/>
          <w:sz w:val="22"/>
          <w:szCs w:val="22"/>
        </w:rPr>
        <w:t xml:space="preserve"> But the Justices held unanimously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 that withdrawing the exemption did not promote health and public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safety. Quite the reverse, in fact: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McLachlin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CJ wrote for the Court that the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trial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judge</w:t>
      </w:r>
      <w:proofErr w:type="gramEnd"/>
      <w:r w:rsidRPr="007471AC">
        <w:rPr>
          <w:rFonts w:asciiTheme="majorHAnsi" w:hAnsiTheme="majorHAnsi" w:cs="¿@˚ø◊ƒ‚"/>
          <w:sz w:val="22"/>
          <w:szCs w:val="22"/>
        </w:rPr>
        <w:t>’s findings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</w:p>
    <w:p w14:paraId="03024570" w14:textId="77777777" w:rsidR="00E062C2" w:rsidRDefault="00E062C2" w:rsidP="00E062C2">
      <w:pPr>
        <w:ind w:left="720"/>
        <w:rPr>
          <w:rFonts w:asciiTheme="majorHAnsi" w:hAnsiTheme="majorHAnsi" w:cs="Times New Roman"/>
          <w:sz w:val="22"/>
          <w:szCs w:val="22"/>
        </w:rPr>
      </w:pPr>
    </w:p>
    <w:p w14:paraId="2E6E8CD6" w14:textId="2EA820E2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proofErr w:type="gramStart"/>
      <w:r w:rsidRPr="007471AC">
        <w:rPr>
          <w:rFonts w:asciiTheme="majorHAnsi" w:hAnsiTheme="majorHAnsi" w:cs="Times New Roman"/>
          <w:sz w:val="22"/>
          <w:szCs w:val="22"/>
        </w:rPr>
        <w:t>suggest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not only that exempting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from the application of the possession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prohibition does not undermine the objectives of public health and safety, but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furthers them.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7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BAA6E23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0BAA6E23" w14:textId="77777777" w:rsidR="00E062C2" w:rsidRDefault="007471AC" w:rsidP="007471AC">
      <w:pPr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As they summed it up, ‘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saves lives’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8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court concluded that because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exemption that allowed the clinic to operate furthers public health and safety,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government had acted arbitrarily in deciding not to renew the exemption.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because the decision was arbitrary, they held, it deprived persons of life, liberty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security of the person in a way that was not in accordance with the principles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fundamental justice. The judges presented the proposition that an exemption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would further health and public safety as sufficient to justify its decision that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government had acted arbitrarily by deciding not to continue the exemption.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51720B7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451720B7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b/>
          <w:sz w:val="22"/>
          <w:szCs w:val="22"/>
        </w:rPr>
        <w:t>Arbitrary action as action contrary to reason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1068BA04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1068BA04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Indian Supreme Court and the Supreme Court of Canada took a similar,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striking step in their reasoning in these cases. From the premise that a decision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went against the relevant public purposes, the judges concluded that the decision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arbitrary. You can see the attraction of it. A use of governmental power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arbitrary if it lacks reason. If a public decision goes against the relevant public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purposes, then it goes against the reasons on which a public decision ought to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made. Acting against reason—you might well say—is arbitrary.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2956674" w14:textId="092E8A2B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According to the Indian judges, choosing to distribute mobile phone spectrum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‘first come, first served’, rather than by auction, went against the public purposes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at stake, and was therefore arbitrary. According to the Canadian judges, the federal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government’s aim of closing down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clinic went against the public purposes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at stake, and was therefore arbitrary. If legitimate public purposes could have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been better promoted, it was arbitrary for the public authority to take the decision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it took. On this approach, any decision is arbitrary (other things being equal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9</w:t>
      </w:r>
      <w:r w:rsidRPr="007471AC">
        <w:rPr>
          <w:rFonts w:asciiTheme="majorHAnsi" w:hAnsiTheme="majorHAnsi" w:cs="Times New Roman"/>
          <w:sz w:val="22"/>
          <w:szCs w:val="22"/>
        </w:rPr>
        <w:t>),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if a different decision would have promoted the relevant objective better.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55ECA69" w14:textId="59775B1B" w:rsidR="00E062C2" w:rsidRDefault="007471AC" w:rsidP="00E062C2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By approaching governmental arbitrariness in this way, the Canadian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Indian supreme courts have taken upon themselves far-reaching powers to regulate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health policy in Canada, and to regulate telecommunications policy in India.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Jeremy Bentham would undoubtedly have said that it was the judges who were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acting arbitrarily.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E3644CE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1E3644CE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b/>
          <w:sz w:val="22"/>
          <w:szCs w:val="22"/>
        </w:rPr>
        <w:t>Jeremy Bentham: the rule of law and the rule of wax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2D18D89B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2D18D89B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Jeremy Bentham’s work on the nature and the potential usefulness of law was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original, brilliant and extraordinarily wide-ranging. He did not use the phrase ‘the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rule of law’—so far as I know—anywhere in his sprawling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10</w:t>
      </w:r>
      <w:r w:rsidRPr="007471AC">
        <w:rPr>
          <w:rFonts w:asciiTheme="majorHAnsi" w:hAnsiTheme="majorHAnsi" w:cs="Times New Roman"/>
          <w:sz w:val="22"/>
          <w:szCs w:val="22"/>
        </w:rPr>
        <w:t xml:space="preserve"> body of work—but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rule of law, as the state of affairs in which law regulates the life of a community,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was at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centre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of much of Bentham’s thinking. In his bitter, eloquent,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tendentious arguments against Blackstone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,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11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there is a long, complex accusation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Blackstone’s admiration for the rule of law was a sham, because the common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 runs contrary to the rule of law. Bentham thought that English law was ‘a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piece of cobweb work, spun out of fantastic conceits and verbal analogies, rather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than a mass of substantial justice cast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mould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of reason’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12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His complaints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against the English common law were that it lacks the virtues of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D99BC12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D99BC12" w14:textId="77777777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‘“Miserable,” says that great Lord Coke, “miserable is the slavery of that people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among whom the law is either unsettled or unknown.” Which, then, do you think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is the sort of law, which the whole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host of lawyers, from Coke himself down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Blackstone, have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been trumpeting in preference? That very sort of bastard law I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been describing to you, which they themselves call the unwritten law, which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no more made than it is written—which has not so much as a shape to appear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… and which, so long as it is what it is, can never, by any possibility, be either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known or settled. … It carries in its hand a rule of wax, which they twist about 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they please—a hook to lead the people by the nose, and a pair of sheers to fleece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them with.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13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38185DD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538185DD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From this invective against the common law, we can distil some requirements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rule of law: the law must be known and settled; it must have ‘a shape to appear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in’. And if you rummage for ideas through the papers of this creative, angry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and prolix thinker, you could find much material for a further articulation of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requirements of the rule of law. But you can jump straight to a comprehensive,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numbered list, if you turn to the Principles of the Civil Code and go to chapter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17, with the terrific title, ‘The Power of Laws over Expectation’</w:t>
      </w:r>
      <w:proofErr w:type="gramStart"/>
      <w:r w:rsidRPr="007471AC">
        <w:rPr>
          <w:rFonts w:asciiTheme="majorHAnsi" w:hAnsiTheme="majorHAnsi" w:cs="¿@˚ø◊ƒ‚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14</w:t>
      </w:r>
      <w:proofErr w:type="gramEnd"/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33CA4E3" w14:textId="52EEF037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Expectation was crucial to Bentham’s theory of law. The point of law,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his view, was to shape people’s conduct, by offering them pain or pleasure 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motives for action; good laws motivate in ways that promote the general utility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(that is, they have the effect of increasing the sum that you get when you add up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all the pleasure and subtract all the pain). The potential for law to promote utility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lies in its potential to create expectations. Law will fail, if it is at war with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expectations of the people subject to it (as it may be, if expectations that they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formed apart from the law lead them to resist it, or if they do not know what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expect from the law, or if the law is inept at generating new expectations).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839B270" w14:textId="33826199" w:rsidR="00E062C2" w:rsidRDefault="007471AC" w:rsidP="00E062C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power of law over expectations is, in Bentham’s approach,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Bentham’s account of the conditions for law’s success in managing expectations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is his account of the requirements of the rule of law. Here you will find Bentham’s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list of those requirements—a century and a half before the famous lists compiled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by Lon Fuller and John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Finnis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and Joseph Raz.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15</w:t>
      </w:r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The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laws must be: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anterior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to the formation of the expectation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known</w:t>
      </w:r>
      <w:proofErr w:type="gramEnd"/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consistent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with themselves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compatible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with the principle of utility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5.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simple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in style and arrangement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6. ‘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present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to the mind as about to be executed’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4BF20" w14:textId="19E2E0E4" w:rsidR="00E062C2" w:rsidRDefault="007471AC" w:rsidP="00E062C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7.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literally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understood.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16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4451455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64451455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In order to generate expectations, laws must be prospective—that is, anterior. If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you come along after the event and reward or punish my behaviour, you will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be creating expectations that could have motivated my behaviour.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Prospectivity</w:t>
      </w:r>
      <w:proofErr w:type="spellEnd"/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is the first requirement of the rule of law. Laws must be known, if they are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generate expectations. They must be consistent with themselves, or we will have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 idea what to expect. They must conform to the principle of utility, he says,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because only then will they be sufficiently consistent with what people expect,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be obeyed. He admits that ‘a law conformed to utility may be found opposed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public opinion’, but he insists that such a situation will be transient; laws which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favour ‘the greatest number of interests’ will secure compliance. Laws must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simple if you and I are going to understand them well enough to form expectations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the basis of the law. And we must have some expectation that the law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going to be enforced (or ‘executed’) according to its terms, or we will not bother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plan our lives on it.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72CB575" w14:textId="5F2639F5" w:rsidR="00E062C2" w:rsidRDefault="007471AC" w:rsidP="00E5592E">
      <w:pPr>
        <w:ind w:firstLine="72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All of these items are on the standard lists of the requirements of the rule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law. Bentham also mentions stability, an item that turns up in all the standard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lists, which he does not enumerate separately: ‘Innovations in the laws should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made with great caution’. If the laws are always changing, we cannot ground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expectations on them.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E644E70" w14:textId="588A4C96" w:rsidR="00E062C2" w:rsidRDefault="007471AC" w:rsidP="00E5592E">
      <w:pPr>
        <w:ind w:firstLine="72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And finally, consider the 7th condition. This is the important one for present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purposes: ‘The laws should be literally understood’. The first six conditions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concern the laws themselves, or their enforcement; Bentham says that the 7th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depends ‘partly on the laws themselves, and partly on the judges’. And the 7th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condition becomes the starting point for Bentham’s diatribe against the interpretive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role of judges: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B83AC58" w14:textId="77777777" w:rsidR="00E062C2" w:rsidRDefault="00E062C2" w:rsidP="007471AC">
      <w:pPr>
        <w:rPr>
          <w:rFonts w:asciiTheme="majorHAnsi" w:hAnsiTheme="majorHAnsi" w:cs="¿@˚ø◊ƒ‚"/>
          <w:sz w:val="22"/>
          <w:szCs w:val="22"/>
        </w:rPr>
      </w:pPr>
    </w:p>
    <w:p w14:paraId="7B83AC58" w14:textId="77777777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To interpret has signified entirely different things in the mouth of a lawyer, and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the mouth of another person: to interpret a passage of an author, is to show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meaning which he had in his mind; to interpret a law… is to neglect the clearly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expressed intention, in order to substitute some other, by presuming that this new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sense was the actual intention of the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legislator.…when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judge dares to arrogate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himself the power of interpreting the laws, that is to say, of substituting his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that of the legislator, every thing is arbitrary—no one can foresee the course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which his caprice may take.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17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72CE680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172CE680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To interpret a passage of an author is to show the meaning that he had in his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mind, according to Bentham. But lawyers and judges do something else instead;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they neglect the clearly expressed intention, in order to give some other sense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passage by presuming that this new sense reflects the actual intention of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legislator. When the judge dares to arrogate to himself the power of interpretation,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‘every thing is arbitrary’.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77F593B" w14:textId="4CA8F580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In Bentham’s usage, too, we should understand ‘arbitrary’ to mean ‘lacking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reason’. The judges depart from the reason of the law when they interpret,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then you and I are ruled by caprice—by the sweet will and whims of the judges—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rather than by law. That is a central element in Jeremy Bentham’s account 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rule of law, which John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Finnis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called ‘the specific virtue of legal systems’</w:t>
      </w:r>
      <w:proofErr w:type="gramStart"/>
      <w:r w:rsidRPr="007471AC">
        <w:rPr>
          <w:rFonts w:asciiTheme="majorHAnsi" w:hAnsiTheme="majorHAnsi" w:cs="¿@˚ø◊ƒ‚"/>
          <w:sz w:val="22"/>
          <w:szCs w:val="22"/>
        </w:rPr>
        <w:t>,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18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which Bentham himself calls ‘the excellence of the laws’.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D15CE32" w14:textId="08DF15A2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Do the 2G Spectrum decision and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decision represent departures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from the rule of law? By giving the power of interpretation to judges, did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framers of the Indian and Canadian constitutions depart from the rule of law, so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that ‘everything is arbitrary’? This is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of arbitrariness: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given the freedom that an interpreter has, to substitute his or her will for that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lawmaker, how can we be ruled by law?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97884A6" w14:textId="714D8B11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From Bentham’s approach to the rule of law, we can draw three putative ways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to solve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problem, by showing that judges could apply the law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without substituting their will for that of the lawmaker. I will argue that none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them suffice to solve the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problem. There is, in fact, no solution.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</w:p>
    <w:p w14:paraId="2FBE5FE2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2FBE5FE2" w14:textId="77777777" w:rsidR="00E062C2" w:rsidRDefault="007471AC" w:rsidP="007471AC">
      <w:pPr>
        <w:rPr>
          <w:rFonts w:asciiTheme="majorHAnsi" w:hAnsiTheme="majorHAnsi" w:cs="¿@˚ø◊ƒ‚"/>
          <w:sz w:val="22"/>
          <w:szCs w:val="22"/>
        </w:rPr>
      </w:pPr>
      <w:r w:rsidRPr="009F76B6">
        <w:rPr>
          <w:rFonts w:asciiTheme="majorHAnsi" w:hAnsiTheme="majorHAnsi" w:cs="Times New Roman"/>
          <w:b/>
          <w:sz w:val="22"/>
          <w:szCs w:val="22"/>
        </w:rPr>
        <w:t>Putative solution 1: applying the literal meaning of the law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4A7FBECF" w14:textId="77777777" w:rsidR="00E062C2" w:rsidRDefault="00E062C2" w:rsidP="007471AC">
      <w:pPr>
        <w:rPr>
          <w:rFonts w:asciiTheme="majorHAnsi" w:hAnsiTheme="majorHAnsi" w:cs="¿@˚ø◊ƒ‚"/>
          <w:sz w:val="22"/>
          <w:szCs w:val="22"/>
        </w:rPr>
      </w:pPr>
    </w:p>
    <w:p w14:paraId="4A7FBECF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 xml:space="preserve">The first solution is to say that </w:t>
      </w:r>
      <w:proofErr w:type="gramStart"/>
      <w:r w:rsidRPr="007471AC">
        <w:rPr>
          <w:rFonts w:asciiTheme="majorHAnsi" w:hAnsiTheme="majorHAnsi" w:cs="¿@˚ø◊ƒ‚"/>
          <w:sz w:val="22"/>
          <w:szCs w:val="22"/>
        </w:rPr>
        <w:t xml:space="preserve">we </w:t>
      </w:r>
      <w:r w:rsidRPr="007471AC">
        <w:rPr>
          <w:rFonts w:asciiTheme="majorHAnsi" w:hAnsiTheme="majorHAnsi" w:cs="Times New Roman"/>
          <w:sz w:val="22"/>
          <w:szCs w:val="22"/>
        </w:rPr>
        <w:t>could be ruled by law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, if only the interpreter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gave effect to the literal meaning of the law. If a community met Bentham’s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7th condition—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that laws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must be literally understood—you might say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would not be acting arbitrarily.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E902B46" w14:textId="46DCF340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When Bentham said that the law should be understood ‘literally’, he can</w:t>
      </w:r>
      <w:r w:rsidRPr="007471AC">
        <w:rPr>
          <w:rFonts w:asciiTheme="majorHAnsi" w:hAnsiTheme="majorHAnsi" w:cs="¿@˚ø◊ƒ‚"/>
          <w:sz w:val="22"/>
          <w:szCs w:val="22"/>
        </w:rPr>
        <w:t>not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have meant it literally. Literal understanding, in its opposition to figurative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understanding, is not in issue. Bentham was, presumably, trying to say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should give effect to the law that the lawmaker made, instead of departing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from it by making something else up. And there is, potentially, a sound maxim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lurking in the 7th condition, for those judges who are too ready to depart from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what the lawmaker said.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19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5FEA29D" w14:textId="256CC3A1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But this does not solve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problem. It would be pointless to say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Indian Supreme Court judges and Canadian Supreme Court judges, ‘do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not rule by your caprice, rule by the literal meaning of the Constitution instead’.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reason is not that there is no such thing as literal meaning, but that the literal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meaning of phrases like ‘equality before the law’ or ‘principles of fundamental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justice’ does not impose the constraint on judges that Bentham’s 7th condition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must have aimed to impose.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with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 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2G Spectrum case is not that the judges ignored the literal meaning 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phrases; the problem is the freedom that the lawmakers’ phrases gave to those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0860D27" w14:textId="5899C81C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When Bentham said that the 7th condition depends partly upon the laws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partly upon the judges, he evidently meant not only that judges should not depart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from what the lawmaker said, but also that lawmakers should use language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will give their provisions an obvious and uncontroversial application. The implication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is that B. R.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Ambedkar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and the Indian Constituent Assembly, and Pierre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Trudeau and the federal and provincial politicians who agreed to the Canadian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Charter, all made big mistakes. They should not have used such open-ended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phrases as ‘equality before the law’ or ‘the principles of fundamental justice’.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using that language, they were allowing their countries to be ruled by the sweet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will and whim of the judges.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8223671" w14:textId="1E9EC519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Doubtless, Bentham would indeed have considered the two constitutions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be deficient in precisely this respect. But he evidently exaggerated when he sug</w:t>
      </w:r>
      <w:r w:rsidRPr="007471AC">
        <w:rPr>
          <w:rFonts w:asciiTheme="majorHAnsi" w:hAnsiTheme="majorHAnsi" w:cs="Times New Roman"/>
          <w:sz w:val="22"/>
          <w:szCs w:val="22"/>
        </w:rPr>
        <w:t>gested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that any </w:t>
      </w:r>
      <w:r w:rsidRPr="007471AC">
        <w:rPr>
          <w:rFonts w:asciiTheme="majorHAnsi" w:hAnsiTheme="majorHAnsi" w:cs="¿@˚ø◊ƒ‚"/>
          <w:sz w:val="22"/>
          <w:szCs w:val="22"/>
        </w:rPr>
        <w:t>use of open-ended language by a lawmaker reflects a deficiency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the rule of law. Even Bentham ought to agree that lawmakers should often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use language that can be construed in a creative fashion. You cannot decide—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 a general principle of the legislative craft—to use language that cannot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creatively construed. The public purposes to be pursued by a legislature must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sometimes be pursued through extravagantly vague law making. A precise rule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against entering an intersection on a red light can be very useful in a scheme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of traffic regulation, but the scheme may also need rules imposing liability for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harms caused by careless driving, and rules prohibiting dangerous driving.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20</w:t>
      </w:r>
      <w:r w:rsidRPr="007471AC">
        <w:rPr>
          <w:rFonts w:asciiTheme="majorHAnsi" w:hAnsiTheme="majorHAnsi" w:cs="Times New Roman"/>
          <w:sz w:val="22"/>
          <w:szCs w:val="22"/>
        </w:rPr>
        <w:t xml:space="preserve">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scheme of tort liability may have precise rules imposing liability to compensate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for the consequences of offering a fraudulent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cheque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; it may also need to impose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general liability for negligence. A code of public law ought to include many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precise rules, but it may also need extravagantly vague rules requiring fair procedures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giving relief against oppressive decisions. Vagueness in the rules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traffic regulation and negligence law and administrative law will give discretion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judges, and any discretion can be used capriciously. Yet those discretionary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powers are not themselves arbitrary, where there is good reason (in the interests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justice and of the rule of law) for judges to exercise them.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B120BC0" w14:textId="4BFC0B46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Take one example of extravagant vagueness, from the United Kingdom’s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Unfair Contract Terms Act 1977, providing that exclusions of liability in con</w:t>
      </w:r>
      <w:r w:rsidRPr="007471AC">
        <w:rPr>
          <w:rFonts w:asciiTheme="majorHAnsi" w:hAnsiTheme="majorHAnsi" w:cs="¿@˚ø◊ƒ‚"/>
          <w:sz w:val="22"/>
          <w:szCs w:val="22"/>
        </w:rPr>
        <w:t>sumer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contracts must be reasonable in order to be enforceable, and defining rea</w:t>
      </w:r>
      <w:r w:rsidRPr="007471AC">
        <w:rPr>
          <w:rFonts w:asciiTheme="majorHAnsi" w:hAnsiTheme="majorHAnsi" w:cs="Times New Roman"/>
          <w:sz w:val="22"/>
          <w:szCs w:val="22"/>
        </w:rPr>
        <w:t>sonableness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 follows: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57E78C0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157E78C0" w14:textId="77777777" w:rsidR="00E062C2" w:rsidRDefault="007471AC" w:rsidP="00E5592E">
      <w:pPr>
        <w:ind w:left="720"/>
        <w:rPr>
          <w:rFonts w:asciiTheme="majorHAnsi" w:hAnsiTheme="majorHAnsi" w:cs="¿@˚ø◊ƒ‚"/>
          <w:sz w:val="22"/>
          <w:szCs w:val="22"/>
        </w:rPr>
      </w:pPr>
      <w:proofErr w:type="gramStart"/>
      <w:r w:rsidRPr="007471AC">
        <w:rPr>
          <w:rFonts w:asciiTheme="majorHAnsi" w:hAnsiTheme="majorHAnsi" w:cs="Times New Roman"/>
          <w:sz w:val="22"/>
          <w:szCs w:val="22"/>
        </w:rPr>
        <w:t>the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requirement of reasonableness …is that the term shall have been a fair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reasonable one to be included having regard to the circumstances which were, 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ought reasonably to have been, known to or in the contemplation of the parties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when the contract was made. (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sec11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(1))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5D58601" w14:textId="77777777" w:rsidR="00E062C2" w:rsidRDefault="00E062C2" w:rsidP="007471AC">
      <w:pPr>
        <w:rPr>
          <w:rFonts w:asciiTheme="majorHAnsi" w:hAnsiTheme="majorHAnsi" w:cs="¿@˚ø◊ƒ‚"/>
          <w:sz w:val="22"/>
          <w:szCs w:val="22"/>
        </w:rPr>
      </w:pPr>
    </w:p>
    <w:p w14:paraId="65D58601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Bentham might be horrified. But in fact, this was good law making. It amounted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saying to the judges, ‘start giving relief from unacceptable exemption clauses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consumer contracts, and you decide which ones are unacceptable’. Bentham’s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argument quite rightly implies that vague legislative language allocates power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judges. But it was wise for the Parliament of the United Kingdom to allocate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judges this particular power—to decide which exemption clauses are reasonable.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Lawmakers should certainly avoid language of that sort, when it would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allocate a power to judges that they should not be exercising. But Bentham exaggerated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when he suggested that judges should exercise no such power.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94685A1" w14:textId="1F49694E" w:rsidR="00E062C2" w:rsidRDefault="007471AC" w:rsidP="00E5592E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If I am right that Bentham really meant, in saying that laws must be literally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construed, that lawmakers should never use extravagantly vague language, then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 is a doomed proposal. So it is not a practical proposition, to say that we could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solve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if only judges would never depart from what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lawmakers say and lawmakers would use language that does not allow for creative,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contested interpretations.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B55D664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6B55D664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E1397B">
        <w:rPr>
          <w:rFonts w:asciiTheme="majorHAnsi" w:hAnsiTheme="majorHAnsi" w:cs="Times New Roman"/>
          <w:b/>
          <w:sz w:val="22"/>
          <w:szCs w:val="22"/>
        </w:rPr>
        <w:t>Putative solution 2: reference to the lawmaker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07A22769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07A22769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If we do not want to be ruled by the sweet will and whims of the interpreter, why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not have those who apply the law refer questions of its interpretation to the very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maker of that law? This putative solution to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has a certain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sort of attraction; it had an attraction for Bentham.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CB0E82" w14:textId="5E5985E3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will evidently not serve as a practical general strategy, because it depends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continuity in the operation of the lawmaker. And legal systems cannot restrict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lawmaking authority to continuously operative lawmakers. The interpretation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wills is one obvious illustration of the need for a community to give legal effect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lawmaking decisions (even those using open-ended language) of lawmakers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whom disputes as to the meaning of their communications cannot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referred, such as testators. The interpretation of contracts is another illustration: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cannot go back to the framers of the contract to ask what they intended,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because you and I were the framers, and we disagree, and I will want the issue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resolved in the way that accords with my sweet will and whims and you with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yours, and a reference to the lawmakers is not going to resolve the matter.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C95B5F5" w14:textId="2B724A48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Indian and Canadian Constitutions provide illustrations, too: in trying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to decide whether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clinic can lawfully be deprived of its exemption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Canadian government, we cannot go back to the framers of the Charter,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ask them how they would wish it to apply in the case. The Indian and Canadian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legal systems are not deficient in lacking a continuously operative constituent as</w:t>
      </w:r>
      <w:r w:rsidRPr="007471AC">
        <w:rPr>
          <w:rFonts w:asciiTheme="majorHAnsi" w:hAnsiTheme="majorHAnsi" w:cs="Times New Roman"/>
          <w:sz w:val="22"/>
          <w:szCs w:val="22"/>
        </w:rPr>
        <w:t>sembly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could resolve disputes as to the application of their constitutional instruments.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Giving questions of application to an ongoing assembly would make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constitutional issues into matters of day-to-day politics. A body like the Indian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Constituent Assembly would become an entirely different institution, if it were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established to go on from year to year, considering questions of interpretation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Constitution. A constituent assembly ought to design a constitution that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endure and that will be interpreted by other bodies. The separation of constitution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making from dispute resolution is a central aspect of the craft of constitution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building.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CBD052B" w14:textId="5A986673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So there is no good way to adopt reference to the lawmaker as a general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mechanism for resolution of disputes over interpretation. Bentham had toyed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with the idea. He thought that lawmaking authority should lie with the legis</w:t>
      </w:r>
      <w:r w:rsidRPr="007471AC">
        <w:rPr>
          <w:rFonts w:asciiTheme="majorHAnsi" w:hAnsiTheme="majorHAnsi" w:cs="Times New Roman"/>
          <w:sz w:val="22"/>
          <w:szCs w:val="22"/>
        </w:rPr>
        <w:t>lature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that the judges should just give effect to the code laid down by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legislature. He knew that there would be cases in which the import of the code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might be controversial and that experience in its application might show that it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could be improved in some respect. He wanted the judges to be able to propose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 amendment to the legislature.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21</w:t>
      </w:r>
      <w:r w:rsidRPr="007471AC">
        <w:rPr>
          <w:rFonts w:asciiTheme="majorHAnsi" w:hAnsiTheme="majorHAnsi" w:cs="Times New Roman"/>
          <w:sz w:val="22"/>
          <w:szCs w:val="22"/>
        </w:rPr>
        <w:t xml:space="preserve"> When the parties contested the interpretation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code, he wanted judges to make a ‘contested interpretation report’ to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legislature, so that the code’s ‘clearness, correctness, and comprehensiveness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expression’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22</w:t>
      </w:r>
      <w:r w:rsidRPr="007471AC">
        <w:rPr>
          <w:rFonts w:asciiTheme="majorHAnsi" w:hAnsiTheme="majorHAnsi" w:cs="Times New Roman"/>
          <w:sz w:val="22"/>
          <w:szCs w:val="22"/>
        </w:rPr>
        <w:t xml:space="preserve"> might be improved. A resulting change by the legislature would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ordinarily have retrospective effect in the case before the court. But if application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law would be ‘productive of injustice, and thence of contravention to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intentions of the legislature’, then the judge was to have a ‘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suspensive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’ power,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the effect of the law was to be stayed ‘until the will of the legislature shall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been made known’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23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Apart from that special provision, Bentham wanted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judges to decide the case on the basis of the code as it was at the time 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court’s decision, with no doctrine of precedent. If the judges thought that they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had found a defect in the civil code, they would ask the legislature to make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change for the future.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BEB36C3" w14:textId="239F2FC2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Bentham did actually think that these proposals were the solution to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of judicial arbitrariness: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F0EF6B7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3F0EF6B7" w14:textId="77777777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By these means will, and by no other means can, the practice of strained construction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judicature, with its all-pervading and boundless evils, be eradicated.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24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D443E38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2D443E38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the problems with wills and contracts and constitutions show that there can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 advantage, in opposing arbitrary power, in dispute resolution by an interpreter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is independent of the lawmaker. Even in the case of ordinary legislation (or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the case of a code of the kind that Bentham had in mind), I think that Bentham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being unrealistic. Bentham’s proposal would give the legislature an arbitrary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power to decide the effect of legislation. In his own terms, a reference would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solve the problem of the law’s power over expectations; this is because we would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subject to a new decision by the legislature. You might think (perhaps Bentham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thought) that references would secure interpretations that give effect to the intention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with which the legislature was passed. But even supposing that the legislature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had, at the time of the enactment, an intention that resolves the question, the legislature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itself cannot be expected to serve as a faithful guide to that prior intention.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One reason is that in order for legislation to endure in time (which is essential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rule of law), the references may need to go to a legislature whose membership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differs from that of the body that passed the legislation. Another, deeper reason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even if the same persons were still in the legislature to consider the reference,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they would be making a new decision, and their institutional arrangement would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calculated to motivate them (as Bentham would put it) to decide on the basis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present political considerations.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D786A90" w14:textId="2CF7E11F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If we could get the lawmaker to resolve disputes, erasing the separation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power between legislator and adjudicator, we would lose something essential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for the rule of law. The community can benefit by having a constitution or a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statute or a town by-law interpreted by an institution other than the lawmaker.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 court may be more cautious in the effect it ascribes to an enactment, precisely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because it is evident to the judges and to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others, that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enactment was made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another institution, to which the enactment owes whatever authority it has. If we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could arrange references for interpretation to the lawmaker, we would generate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new possibilities for arbitrariness in that body’s tendency to do what suits its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own sweet will and whims, case by case. And such a tendency would lead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instability in the policy of the law when lawmakers are invited to revisit their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purposes ad hoc.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062AA53" w14:textId="3C842C37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is a very positive aspect of the rule of law that legislators know that they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need to frame enactments so as to secure their future application by another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body in a way that they cannot control; to give that control to the lawmaker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would war against the publicity of the law (which Bentham himself, of course,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knew to be a requirement of the rule of law) and would give an occult quality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law. Through the need to communicate in a way that will constrain 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independent adjudicator, the legislature is motivated to communicate in a way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will be transparent to members of the community (or at least, to those who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good legal advice). To put it in Bentham’s terms, it would not enhance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law’s power over expectation, if the lawmaker could decide the application of its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laws according to its caprice or changing political needs. The separation between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lawmaker and adjudicator is an important part of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84A2BF2" w14:textId="35A11E89" w:rsidR="00E062C2" w:rsidRDefault="007471AC" w:rsidP="00E5592E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So references from the adjudicator to the lawmaker cannot be a general solution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to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about the extent of freedom accorded to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interpreter. In constitutional interpretation in particular, sending the law back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very body that enacted it would often be impossible; sending it to a separate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assembly tasked with constitutional interpretation on a reference would give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body a power that would be no less arbitrary than the power of judges.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8B8A9A5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28B8A9A5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E1397B">
        <w:rPr>
          <w:rFonts w:asciiTheme="majorHAnsi" w:hAnsiTheme="majorHAnsi" w:cs="Times New Roman"/>
          <w:b/>
          <w:sz w:val="22"/>
          <w:szCs w:val="22"/>
        </w:rPr>
        <w:t>Putative Solution 3: give effect to the intention of the lawmaker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60458A03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60458A03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This is, you might say, the most promising solution. You may say that we can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still have the rule of law, and not the arbitrary rule of the judge, if the judge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gives effect to the intention of the lawmaker. It is the popular solution in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ideology of legal systems and the way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judges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talk. I think that it is a deep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interesting mistake.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0789138" w14:textId="011D3E79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Suppose your mom says ‘you can have half the dessert in the fridge’ and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open the fridge and find a piece of chocolate cheesecake and a pot of yogurt.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The chocolate cheesecake is dessert. It is a paradigm of dessert.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Suppose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find yourself thinking, ‘If the yogurt is dessert, then I can eat all of the choco</w:t>
      </w:r>
      <w:r w:rsidRPr="007471AC">
        <w:rPr>
          <w:rFonts w:asciiTheme="majorHAnsi" w:hAnsiTheme="majorHAnsi" w:cs="Times New Roman"/>
          <w:sz w:val="22"/>
          <w:szCs w:val="22"/>
        </w:rPr>
        <w:t>late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cheesecake, because I will be eating half the dessert.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If the yogurt is not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dessert, then I can only eat half the chocolate cheesecake’.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Your own sweet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whims may favour an interpretation of what your mom said, which counts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yogurt as a dessert. But you find yourself thinking that it may not really be a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dessert, but something for breakfast. You are a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good natured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child and you know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your mom’s word is law. The obvious thing to do is to ask her: ‘does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yogurt count as dessert?’ At this point, if your mom is in the kitchen, there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some appeal in Bentham’s idea of reference to the lawmaker.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25</w:t>
      </w:r>
      <w:r w:rsidRPr="007471AC">
        <w:rPr>
          <w:rFonts w:asciiTheme="majorHAnsi" w:hAnsiTheme="majorHAnsi" w:cs="Times New Roman"/>
          <w:sz w:val="22"/>
          <w:szCs w:val="22"/>
        </w:rPr>
        <w:t xml:space="preserve"> But suppose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she is not home. She wrote ‘you can eat half the dessert’ on a sticky note on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fridge and went out to visit your aunt. You have to decide for yourself, whether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yogurt counts as dessert.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0234611" w14:textId="59F24D1F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The third putative solution to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of arbitrariness is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you will be acting non-arbitrarily if you give the sticky note the effect that she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intended it to have. Then you will not be deciding what to eat on your own sweet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will and whims. But I propose that it is not a good general principle that the right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way to respond to the sticky note is to treat it as requiring what she meant it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require. I think that if you come to a reasonable view as to what counts as dessert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the circumstances, and she wrote that you could eat half of it and you do eat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half of it, you have done all that could be asked of you in this respect of your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response to her note.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FB44276" w14:textId="3F857BB3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When judges say that they are giving effect to the intention of Parliament, 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parties to a contract, or of a testator, I think they are usually just thinking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about what would be a reasonable way of dealing with the application of this text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the circumstances, adding the premise that the institution that promulgated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text was reasonable, and concluding that the lawmaker intended the conclusion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they favour.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01A951B" w14:textId="7EE7545F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Suppose you reason with yourself as follows,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AE8F3E" w14:textId="51A553D2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27AE8F3E" w14:textId="51A553D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1. I am to do what my mom intends me to do.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AE8F3E" w14:textId="51A553D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2. The most reasonable understanding of dessert counts yogurt as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dessert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AE8F3E" w14:textId="51A553D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3. My mom is reasonable.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AE8F3E" w14:textId="51A553D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4. Therefore, my mom intended to include yogurt when she referred to ‘dessert’.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AE8F3E" w14:textId="51A553D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5. Therefore, I may eat all of the chocolate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cheese cake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682174A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1682174A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By putting into this syllogism the premise that your mom is reasonable,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have given the note the same effect as if her intention were irrelevant. You have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given yourself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licence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to act on the understanding of dessert that you deem to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reasonable—under the guise of doing as she intended. If it is legitimate to take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power on yourself, it is also legitimate (and it has the same effect) to reason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 follows: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7CC007" w14:textId="371C9792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1C7CC007" w14:textId="371C979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1. I am to do what my mom said to do.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7CC007" w14:textId="371C979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2. She said that I could eat half the dessert.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7CC007" w14:textId="371C979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3. There is reason to count yogurt as a dessert.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7CC007" w14:textId="371C9792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4. Therefore, there are two desserts in the fridge, and I may eat all 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chocolate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cheese cake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.</w:t>
      </w:r>
    </w:p>
    <w:p w14:paraId="4977D485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977D485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Your mom will have no ground for complaint, concerning your conduct or your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reasoning. And the reasons for and against counting yogurt as dessert (in these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circumstances) are not facts about your mom’s intention (although the reasons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may, of course, include facts about what your mom and others have done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counting yogurt as a dessert, or not).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392FFB4" w14:textId="5EEF7A61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Most reasoning framed as giving effect to the intention of the framer (of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 or legislation or a will) in matters of interpretation is what you might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call ‘inferential’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intentionalism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. It is trivial, because it includes the silent or explicit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premise that the framer is reasonable.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0A4F041" w14:textId="2436B9E0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Suppose that you eat all of the chocolate cheesecake, and your mom comes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home and hits the roof, because she did not count the yogurt as dessert. If it was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reasonable to count yogurt as dessert, she has no complaint. This conclusion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reflects no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scepticism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about the authority of a mom; if she only allows you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eat half a piece of cheesecake, you have conclusive reason not to eat more than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half of it. The authority of parents is august (within their jurisdiction): they can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scrawl something on a sticky note on the fridge that changes the right and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wrong. Their capacity to do that gives them the opportunity to order things 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they intend. But your task as an interpreter is to work out what they did, and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what they intended.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91D3E35" w14:textId="628589A9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Yet there can be a non-trivial way of using intention as a guide to interpretation.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approach that I have proposed reaches a crunch point, when you have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collateral reason for understanding the authority to have had one result in mind,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rather than another. Suppose that your sister comes into the kitchen, just as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are puzzling about what to do, and says, ‘mom told me that the yogurt is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breakfast, it is not dessert’. And suppose that your sister is reliable. Now you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know something about your mom’s intention. Does that matter? You may say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it obviously matters, and that it gives you conclusive reason not to eat all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chocolate cheesecake; it shows that an interpretation that conforms to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intention of the authority is the only correct interpretation.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2F4BF5" w14:textId="37FEF695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 think that such a collateral reason for understanding an authoritative communication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one way rather than another could indeed matter deeply, but I do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think it necessarily does. If you know something about the intention of somebody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who said something, it is not a general truth that this information makes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difference to the interpretation that you should adopt. This is the controversial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point in the view of the relation between intention and interpretation that I am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proposing. I am not sure that the collateral information as to intention necessarily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makes a difference even in the case of your mom. And if there is general force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collateral information about what she counts as dessert, I think that implies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you ought generally to do what your mom wishes. The information acquires no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general import from the fact that you ought to do what she says.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5C74A8C" w14:textId="4B4671F8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Even if you disagree, and conclude that collateral information as to your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mom’s intention is a ground for interpretation of what she says, you may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prepared to agree that there is an important difference in this respect between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authority of parents and of lawmakers in a political community. Collateral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information about the intention of a lawmaker has no general relevance to legal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interpretation. Suppose that we knew from B. R.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Ambedkar’s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diaries, that 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intended the guarantee of ‘equality before the law’ in Article 14 of the Indian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 to entrench a rule that demands that natural resources should be allocated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by auction. Suppose his diaries reliably report that the whole Constituent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Assembly understood itself to be enacting such a rule, when it agreed on the text.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We do not yet have reason to treat Article 14 as having that effect.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F7792D0" w14:textId="688F07A4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may seem that I am suggesting that what the Constituent Assembly meant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does not matter. On the contrary: it matters that they said (and meant)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State should not deny to any person equality before the law. It is a matter of obligation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the Supreme Court of India to adhere to that. But if the Constituent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Assembly had an intention as to what effect their communication would be given,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which they did not communicate in the exercise of their authority, I see no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general reason why that effect must be given to their act of constitution making.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0B828CE" w14:textId="52250288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Indians have reason to treat the Constituent Assembly as having made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 that it made. But there is no general reason to treat that Constitution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 having the effects that the members of the Assembly thought it would have.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Can an authority say, ‘you know what I wanted, so you should have done it?’ I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am not even sure that your mom can justly say this as a general proposition, but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perhaps she can. The framers of your country’s constitution cannot.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1132175" w14:textId="70DF0115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If you disagree with this approach (as many do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26</w:t>
      </w:r>
      <w:r w:rsidRPr="007471AC">
        <w:rPr>
          <w:rFonts w:asciiTheme="majorHAnsi" w:hAnsiTheme="majorHAnsi" w:cs="Times New Roman"/>
          <w:sz w:val="22"/>
          <w:szCs w:val="22"/>
        </w:rPr>
        <w:t>), keep in mind that if your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mom has gone to visit your aunt, you are quite likely to face the predicament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not knowing what your mom intended, and then you have to go ahead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interpret what she said without knowing her intention—if she had any—as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how this matter ought to be determined. A court very often has no collateral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information about what—if anything—the lawmaker intended concerning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issue at hand. The court must still make something of what the lawmaker did.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So it is an illusion to think that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of the arbitrary freedom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an interpreter will be solved, if the interpreter gives effect to the intention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lawmaker.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FAD35EB" w14:textId="36396F20" w:rsidR="00E062C2" w:rsidRDefault="007471AC" w:rsidP="00E5592E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There is no solution to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problem. Interpreters have freedom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run your life and my life, in giving effect to law made by other institutions.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if this is a problem, I do not think that Bentham faced up to its depth, when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 vainly insisted that the common law’s ‘rule of wax’ could be remedied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codification.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</w:p>
    <w:p w14:paraId="606DAADE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606DAADE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D974BB">
        <w:rPr>
          <w:rFonts w:asciiTheme="majorHAnsi" w:hAnsiTheme="majorHAnsi" w:cs="Times New Roman"/>
          <w:b/>
          <w:sz w:val="22"/>
          <w:szCs w:val="22"/>
        </w:rPr>
        <w:t xml:space="preserve">Resolving the </w:t>
      </w:r>
      <w:proofErr w:type="spellStart"/>
      <w:r w:rsidRPr="00D974BB">
        <w:rPr>
          <w:rFonts w:asciiTheme="majorHAnsi" w:hAnsiTheme="majorHAnsi" w:cs="Times New Roman"/>
          <w:b/>
          <w:sz w:val="22"/>
          <w:szCs w:val="22"/>
        </w:rPr>
        <w:t>Benthamite</w:t>
      </w:r>
      <w:proofErr w:type="spellEnd"/>
      <w:r w:rsidRPr="00D974BB">
        <w:rPr>
          <w:rFonts w:asciiTheme="majorHAnsi" w:hAnsiTheme="majorHAnsi" w:cs="Times New Roman"/>
          <w:b/>
          <w:sz w:val="22"/>
          <w:szCs w:val="22"/>
        </w:rPr>
        <w:t xml:space="preserve"> problem of arbitrariness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397C9599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397C9599" w14:textId="77777777" w:rsidR="00E062C2" w:rsidRDefault="007471AC" w:rsidP="007471AC">
      <w:pPr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I think we can resolve the problem. By a resolution instead of a solution, I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mean a way of showing that the problem is not a problem, or at least not the prob</w:t>
      </w:r>
      <w:r w:rsidRPr="007471AC">
        <w:rPr>
          <w:rFonts w:asciiTheme="majorHAnsi" w:hAnsiTheme="majorHAnsi" w:cs="¿@˚ø◊ƒ‚"/>
          <w:sz w:val="22"/>
          <w:szCs w:val="22"/>
        </w:rPr>
        <w:t>lem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that it seemed to be. We do not need to show that judges have no significant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freedom in deciding what to make of a legal instrument, before we can understand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their role as potentially compatible with the ideal of the rule of law. Jeremy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Bentham, in his characteristic fashion, got angry and went overboard. There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 general objection to the idea of the rule of law, simply in the fact that an interpreter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has extensive freedom in deciding what effect to give to a legal instrument.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D3AFC80" w14:textId="5468F910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We have seen the first reason for thinking that there is not actually a problem: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there is no alternative that would abolish arbitrariness. If we tried to abolish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distance between the interpreter and the lawmaker, and have the lawmaker interpret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law, we would be equipping the lawmaker to decide what is going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happen to us on his or her own sweet will and whims as we go along.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D4C48B" w14:textId="5A27BDDE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The second basis for resolving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is that judicial law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making is not necessarily more arbitrary than legislative law making. Here is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where I think Bentham exaggerated in his fierce disapproval of the common law.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Law making is not a substantive category of activity. There are different kinds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law, some of which can be better made by judges and some of which can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better made by legislatures (and yet others can best be made by town councils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or testators or contracting parties or constitutional conventions or international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organisations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or…) and there is no general reason to think that a judicial power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make law is an arbitrary power.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A8D6A69" w14:textId="41ABCC6F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This claim implies by the way, something that may seem surprising: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very important principle of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prospectivity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, which heads Bentham’s list of requirements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the rule of law, is not as wide-ranging a principle as some people might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think. It is not generally unjust, and it is not generally contrary to the rule of law,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a court to resolve a dispute today over a transaction that happened last year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to do so using a ground of decision that was not part of the law last year.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27</w:t>
      </w:r>
      <w:r w:rsidRPr="007471AC">
        <w:rPr>
          <w:rFonts w:asciiTheme="majorHAnsi" w:hAnsiTheme="majorHAnsi" w:cs="Times New Roman"/>
          <w:sz w:val="22"/>
          <w:szCs w:val="22"/>
        </w:rPr>
        <w:t xml:space="preserve"> I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believe that you have to agree to this claim, if you think that it is legitimate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to develop the common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AB78AD7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5AB78AD7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D974BB">
        <w:rPr>
          <w:rFonts w:asciiTheme="majorHAnsi" w:hAnsiTheme="majorHAnsi" w:cs="Times New Roman"/>
          <w:b/>
          <w:sz w:val="22"/>
          <w:szCs w:val="22"/>
        </w:rPr>
        <w:t>Do the Canadian and Indian approaches reduce or increase arbitrary power?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40383C62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0383C62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Judicial law making is not arbitrary in itself, but there is a standing tension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between the freedom of the interpreter and the rule of law. If judges interpret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their constitutions to give them power over telecommunications policy or over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health and public safety policy, there is a standing potential for the interpreters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govern the lives of their fellow citizens according to their arbitrary will, rather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than according to law. But then, if the judges had not developed the remarkable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Canadian and Indian arbitrariness doctrines, their fellow citizens’ lives would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governed by less-constrained executive officials, who would have more scope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 the lives of their fellow citizens according to their arbitrary will. Is there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any reason to think that the approach of the 2G Spectrum case and of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case increase or decrease the scope for arbitrary decision making?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E94210C" w14:textId="76CE8F8B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is tempting to say that arbitrariness will be decreased if judges give effect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law, but that it will be increased if judges interfere with policy. The Canadian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Supreme Court quashed a federal government’s health and public safety policy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decision. The Indian Supreme Court quashed a telecommunications policy decision.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 might seem that by making policy, these two courts abandoned the sort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 that is the concern of courts and therefore, in a sense, acted arbitrarily.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6D73905" w14:textId="6D65C3CD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would be a mistake to reserve policy making to politicians exclusively.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governmental policy of shooting suspected drug traffickers on sight would be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contrary to the Canadian Charter of Rights and Freedoms. It would not be a good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policy that is impermissible because it infringes the Charter; it would be a bad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policy, for reasons that are articulated by section 7 of the Charter. Those reasons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are the very reasons why an executive or legislative policy maker ought not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adopt the policy. There is no way to define ‘policy’, so as to use the term as an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analytical device to delimit the appropriate role of an institution such as a court.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judges have no general responsibility for policy, but they do have responsibility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give effect to the law’s constraints on policy formation and implementation.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the judges have responsibility for developing those elements of the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1232CDA" w14:textId="7415767F" w:rsidR="00E062C2" w:rsidRDefault="007471AC" w:rsidP="00E5592E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Both the Canadian and Indian Supreme Courts are aware that not all questions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policy are for them to decide, but that it is their job to decide whether a policy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lawful: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C7FF964" w14:textId="77777777" w:rsidR="00E5592E" w:rsidRDefault="00E5592E" w:rsidP="00E5592E">
      <w:pPr>
        <w:ind w:left="720"/>
        <w:rPr>
          <w:rFonts w:asciiTheme="majorHAnsi" w:hAnsiTheme="majorHAnsi" w:cs="Times New Roman"/>
          <w:sz w:val="22"/>
          <w:szCs w:val="22"/>
        </w:rPr>
      </w:pPr>
    </w:p>
    <w:p w14:paraId="55D20EA8" w14:textId="58143DDD" w:rsidR="00E062C2" w:rsidRDefault="007471AC" w:rsidP="00E5592E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There is room for disagreement between reasonable people concerning how addiction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should be treated. It is for the relevant governments, not the Court, to make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criminal and health policy. However, when a policy is translated into law or state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action, those laws and actions are subject to scrutiny under the Charter….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issue before the Court at this point is not whether harm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reduction or abstinence</w:t>
      </w:r>
      <w:r w:rsidR="00664EA2">
        <w:rPr>
          <w:rFonts w:asciiTheme="majorHAnsi" w:hAnsiTheme="majorHAnsi" w:cs="Times New Roman"/>
          <w:sz w:val="22"/>
          <w:szCs w:val="22"/>
        </w:rPr>
        <w:t>-</w:t>
      </w:r>
      <w:r w:rsidRPr="007471AC">
        <w:rPr>
          <w:rFonts w:asciiTheme="majorHAnsi" w:hAnsiTheme="majorHAnsi" w:cs="Times New Roman"/>
          <w:sz w:val="22"/>
          <w:szCs w:val="22"/>
        </w:rPr>
        <w:t>based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programmes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are the best approach to resolving illegal drug use. It is simply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whether Canada has limited the rights of the claimants in a manner that does 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comply with Charter.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28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6B42206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26B42206" w14:textId="77777777" w:rsidR="00E062C2" w:rsidRDefault="007471AC" w:rsidP="00664EA2">
      <w:pPr>
        <w:ind w:left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There cannot be any quarrel with the proposition that the Court cannot substitute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its opinion for the one formed by the experts in the particular field and due respect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should be given to the wisdom of those who are entrusted with the task of framing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policies. …However, when it is clearly demonstrated that the policy framed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by the State or its agency/instrumentality and/or its implementation is contrary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public interest or is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violative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of the constitutional principles, it is the duty of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Court to exercise its jurisdiction in larger public interest and reject the stock plea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State that the scope of judicial review should not be exceeded.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29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1C56981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01C56981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 think, with respect, that these explanations of the Courts’ role are entirely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sound. The fact that a decision is a policy decision does not mean that judges, 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review, should not quash it when it is unlawful. On the other hand, the fact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another policy would be better does not mean that the judges have any ground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quashing it on review.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4F9D7A5" w14:textId="1B962C24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this sound and fairly simple explanation of the Courts’ role rather points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out the tension between that role, and the role of the authorities that are respon</w:t>
      </w:r>
      <w:r w:rsidRPr="007471AC">
        <w:rPr>
          <w:rFonts w:asciiTheme="majorHAnsi" w:hAnsiTheme="majorHAnsi" w:cs="¿@˚ø◊ƒ‚"/>
          <w:sz w:val="22"/>
          <w:szCs w:val="22"/>
        </w:rPr>
        <w:t>sible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in the first instance for the policies in question. In both cases, the law (i.e.,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law made by judges in their interpretation of the respective constitutional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rights) requires judges to quash arbitrary policy decisions. If they quash policy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decisions on the ground that another policy decision would have been better,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their countries may or may not get better policy making as a result. But there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no gain to be made in adherence to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E467B72" w14:textId="6B282749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2G Spectrum case involved apparent irregularities in the process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which the ‘first come, first served’ allocation was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organised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and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publicised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>.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Supreme Court suggested that the process was corrupt. The judges said that ‘first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come, first served’ allocations of natural resources ‘</w:t>
      </w:r>
      <w:r w:rsidRPr="007471AC">
        <w:rPr>
          <w:rFonts w:asciiTheme="majorHAnsi" w:hAnsiTheme="majorHAnsi" w:cs="Times New Roman"/>
          <w:sz w:val="22"/>
          <w:szCs w:val="22"/>
        </w:rPr>
        <w:t>are likely to be misused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unscrupulous people’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30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And it was not a merely hypothetical danger; the judges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say that the Minister of Communications ‘wanted to favour some companies 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cost of the Public Exchequer’.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31</w:t>
      </w:r>
      <w:r w:rsidRPr="007471AC">
        <w:rPr>
          <w:rFonts w:asciiTheme="majorHAnsi" w:hAnsiTheme="majorHAnsi" w:cs="Times New Roman"/>
          <w:sz w:val="22"/>
          <w:szCs w:val="22"/>
        </w:rPr>
        <w:t xml:space="preserve"> They concluded by asserting (without particulars)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a ‘scarce natural resource … has been grabbed by those who enjoy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money power and who have been able to manipulate the system’.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32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385175B" w14:textId="7E77FCEC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If the Indian Supreme Court had held merely that the allocation was arbitrary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because it was corrupt, that would have given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a content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to the doctrine of arbitrariness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would promote the rule of law. If a public decision was made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personal gain of an official, and not for the relevant public purposes, then it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indeed a decision that lacked reason.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33</w:t>
      </w:r>
      <w:r w:rsidRPr="007471AC">
        <w:rPr>
          <w:rFonts w:asciiTheme="majorHAnsi" w:hAnsiTheme="majorHAnsi" w:cs="Times New Roman"/>
          <w:sz w:val="22"/>
          <w:szCs w:val="22"/>
        </w:rPr>
        <w:t xml:space="preserve"> Selling a public resource to secure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bribe is arbitrary in the sense of arbitrariness that is relevant to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If judges can craft and apply a rule against it, and if it can be shown in a judicial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process that an allocation of resources was corrupt, then the judges have the opportunity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stand up for government by law, and not by caprice.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34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7635015" w14:textId="5C2EEF08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the judges based their decision—bribery aside—on the proposition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an auction would have been better than a ‘first come, first served’ allocation;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judgment presents that conclusion as sufficient ground for holding that the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allocation had been unlawful. The government’s policy against holding an auction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not invented by the allegedly corrupt Minister, it was recommended by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Telecom Regulatory Authority of India. The judges rejected the Authority’s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view, and held that ‘the doctrine of equality … demands that the people … are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adequately compensated for the transfer of the resource to the private domain’</w:t>
      </w:r>
      <w:r w:rsidRPr="00E310A1">
        <w:rPr>
          <w:rFonts w:asciiTheme="majorHAnsi" w:hAnsiTheme="majorHAnsi" w:cs="Times New Roman"/>
          <w:sz w:val="22"/>
          <w:szCs w:val="22"/>
          <w:vertAlign w:val="superscript"/>
        </w:rPr>
        <w:t>35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that an auction would best meet that demand.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EBC3E62" w14:textId="0F94E525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guarantee of equality in the Indian Constitution was a central element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in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Ambedkar’s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prodigiously ambitious plan—backed by Nehru and the whole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leadership in the founding of the nation—to engineer a social revolution while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putting together a vast, complex new polity that was fragmenting even as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Constituent Assembly set about its work, and that could barely aspire to stay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one piece. In that remarkable social revolution, it is impossible to see a justifica</w:t>
      </w:r>
      <w:r w:rsidRPr="007471AC">
        <w:rPr>
          <w:rFonts w:asciiTheme="majorHAnsi" w:hAnsiTheme="majorHAnsi" w:cs="Times New Roman"/>
          <w:sz w:val="22"/>
          <w:szCs w:val="22"/>
        </w:rPr>
        <w:t>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the proposition that there should be a judicial power to decide whether 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auction of mobile spectrum would be better for the nation, than a low-cost distri</w:t>
      </w:r>
      <w:r w:rsidRPr="007471AC">
        <w:rPr>
          <w:rFonts w:asciiTheme="majorHAnsi" w:hAnsiTheme="majorHAnsi" w:cs="¿@˚ø◊ƒ‚"/>
          <w:sz w:val="22"/>
          <w:szCs w:val="22"/>
        </w:rPr>
        <w:t>bution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designed to stimulate investment. The Indian public can be </w:t>
      </w:r>
      <w:proofErr w:type="gramStart"/>
      <w:r w:rsidRPr="007471AC">
        <w:rPr>
          <w:rFonts w:asciiTheme="majorHAnsi" w:hAnsiTheme="majorHAnsi" w:cs="¿@˚ø◊ƒ‚"/>
          <w:sz w:val="22"/>
          <w:szCs w:val="22"/>
        </w:rPr>
        <w:t>confident</w:t>
      </w:r>
      <w:proofErr w:type="gramEnd"/>
      <w:r w:rsidRPr="007471AC">
        <w:rPr>
          <w:rFonts w:asciiTheme="majorHAnsi" w:hAnsiTheme="majorHAnsi" w:cs="¿@˚ø◊ƒ‚"/>
          <w:sz w:val="22"/>
          <w:szCs w:val="22"/>
        </w:rPr>
        <w:t xml:space="preserve"> that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rule by judges on matters of corruption is calculated to promote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But they cannot be confident that rule by judges on the question of how best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allocate mobile phone spectrum is either less arbitrary or more likely to promote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public interest, than rule by politicians and regulators.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754AA44" w14:textId="5E276ABF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What about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case? Was the Canadian government’s action arbitrary?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Supreme Court concluded, based on the findings of the trial judge, that there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was no reason to expect any discernible reduction in drug use in the Downtown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Eastside of Vancouver, through the application of a blanket ban on narcotics.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The Court also concluded that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saves lives. So exempting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from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application of the possession prohibition does not undermine the objectives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health and public safety; the exemption furthers those objectives. Withdrawing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exemption, therefore, is contrary to the purposes that the government ought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be pursuing. The Court concluded that it was arbitrary, and therefore contrary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principles of fundamental justice, for the government to act on an incorrect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conclusion as to how to further health and public safety.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A7C569F" w14:textId="293704F8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is, of course, conceivable that the government was acting on some whim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or in the pursuit of some ideological agenda that had nothing to do with health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and public safety, so that its decision was arbitrary in the sense that it was taken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disregard to the purpose of the narcotics control legislation, rather than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government’s judgment as to what would further that purpose. Perhaps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of the Supreme Court thought that this is what was happening: that instead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reasoning that a restoration of the blanket ban would further health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public safety, the government was merely ignoring that issue in its policy deci</w:t>
      </w:r>
      <w:r w:rsidRPr="007471AC">
        <w:rPr>
          <w:rFonts w:asciiTheme="majorHAnsi" w:hAnsiTheme="majorHAnsi" w:cs="¿@˚ø◊ƒ‚"/>
          <w:sz w:val="22"/>
          <w:szCs w:val="22"/>
        </w:rPr>
        <w:t>sion.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McLachlin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CJ comments that the trial judge’s findings were consistent with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information available to the Minister—the same information on which ‘succes</w:t>
      </w:r>
      <w:r w:rsidRPr="007471AC">
        <w:rPr>
          <w:rFonts w:asciiTheme="majorHAnsi" w:hAnsiTheme="majorHAnsi" w:cs="¿@˚ø◊ƒ‚"/>
          <w:sz w:val="22"/>
          <w:szCs w:val="22"/>
        </w:rPr>
        <w:t>sive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federal Ministers’ had granted exemption orders for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over almost five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years.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36</w:t>
      </w:r>
      <w:r w:rsidRPr="007471AC">
        <w:rPr>
          <w:rFonts w:asciiTheme="majorHAnsi" w:hAnsiTheme="majorHAnsi" w:cs="Times New Roman"/>
          <w:sz w:val="22"/>
          <w:szCs w:val="22"/>
        </w:rPr>
        <w:t xml:space="preserve"> Perhaps the Justices felt that the federal government had not been attending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facts at all.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FC6C54C" w14:textId="3EC660EE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what they held was that the facts found by the trial judge supported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conclusion that it would be better for health and public safety to keep the exemp</w:t>
      </w:r>
      <w:r w:rsidRPr="007471AC">
        <w:rPr>
          <w:rFonts w:asciiTheme="majorHAnsi" w:hAnsiTheme="majorHAnsi" w:cs="¿@˚ø◊ƒ‚"/>
          <w:sz w:val="22"/>
          <w:szCs w:val="22"/>
        </w:rPr>
        <w:t>tion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in place. The decision presents that </w:t>
      </w:r>
      <w:proofErr w:type="gramStart"/>
      <w:r w:rsidRPr="007471AC">
        <w:rPr>
          <w:rFonts w:asciiTheme="majorHAnsi" w:hAnsiTheme="majorHAnsi" w:cs="¿@˚ø◊ƒ‚"/>
          <w:sz w:val="22"/>
          <w:szCs w:val="22"/>
        </w:rPr>
        <w:t>conclusion</w:t>
      </w:r>
      <w:proofErr w:type="gramEnd"/>
      <w:r w:rsidRPr="007471AC">
        <w:rPr>
          <w:rFonts w:asciiTheme="majorHAnsi" w:hAnsiTheme="majorHAnsi" w:cs="¿@˚ø◊ƒ‚"/>
          <w:sz w:val="22"/>
          <w:szCs w:val="22"/>
        </w:rPr>
        <w:t xml:space="preserve"> as sufficient ground for hold</w:t>
      </w:r>
      <w:r w:rsidRPr="007471AC">
        <w:rPr>
          <w:rFonts w:asciiTheme="majorHAnsi" w:hAnsiTheme="majorHAnsi" w:cs="Times New Roman"/>
          <w:sz w:val="22"/>
          <w:szCs w:val="22"/>
        </w:rPr>
        <w:t>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withdrawing the exemption had been unlawful. That makes the judges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arbiters of health and public safety.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C2CB3B4" w14:textId="5B816533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It follows that in its review of the government’s policy on health and public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safety the Supreme Court of Canada ought to be prepared to ask whether a decision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based on the best policy. If a different decision would be better for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purposes of public health and safety, then other things being equal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,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37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Court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should order the authority to take a different decision (because that different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choice would further health and public safety). The doctrine of arbitrariness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section 7 has become a doctrine that the principles of fundamental justice require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public authorities other than courts to reach the right conclusion on questions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public health and public safety. And then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justiciability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of section 7 gives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the responsibility of reviewing the correctness of those conclusions.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660BEB2" w14:textId="0E142E19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This approach does not promote the rule of law; it needs some other rationale.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 makes for good governance, you may say, if and only if the judges are better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than the federal government at making a decision such as whether keeping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clinic open is a better way of pursuing the purposes of the narcotics control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legislation. A doctrine of correctness on conclusions of fact and assessments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policy options in narcotics control does not enhance ‘the power of laws over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expectation’, as Bentham put it. It does not enhance the rule of law.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7E83A9B" w14:textId="37391D05" w:rsidR="00E062C2" w:rsidRDefault="007471AC" w:rsidP="00664EA2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Bentham would say that it detracts from the rule of law. And you can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see his point, when judges reinterpret guarantees to equality or to the principles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fundamental justice, so as to give themselves power to decide what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telecommunications policy or what health and public safety policy would be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best. This judicial law making changed the Indian and Canadian Constitutions,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 as to reallocate power to the judges from their parliaments, and from their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governments. Yet even so, it seems to me, the doctrines do not necessarily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lead to arbitrary rule by judges. The reallocation of power to judges in the 2G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Spectrum case and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 do not mean allocation of power to a body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will abandon reason; all the judges in both cases did, after all, attend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reasons in favour of or against the policy choices they made. It would be hasty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conclude (as Bentham presumably would) that these cases lead to arbitrary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judicial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decision making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, even though the judges ought not to have interpreted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their constitutions to give them the powers that they took upon themselves.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Whether the judges’ decisions can be distinguished from unreasoned acts of will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depends on the constraints under which the judges, in turn, operate. And there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are constraints, even in India and Canada.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B189EF0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6B189EF0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E062C2">
        <w:rPr>
          <w:rFonts w:asciiTheme="majorHAnsi" w:hAnsiTheme="majorHAnsi" w:cs="Times New Roman"/>
          <w:b/>
          <w:sz w:val="22"/>
          <w:szCs w:val="22"/>
        </w:rPr>
        <w:t>The limits of the judicial role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4F1A6CB9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F1A6CB9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Supreme Court of Canada is not managing the country’s hospitals.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Supreme Court of India, even though its remedial orders can be as creative as its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constitutional interpretations, is not managing the Indian mobile phone industry.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The two Courts have adopted doctrines of arbitrariness that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authorise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them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assess telecommunications policy and health policy, and to impose those assessments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their governments. But that role has limits.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E34E69E" w14:textId="251B1B8A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First, the two institutions still operate as courts. This means that they respond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claims brought by litigants. It is not hard for litigants to invoke their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jurisdiction; there are generous rules of standing in both systems and the Indian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Supreme Court in particular has become a very active forum for public interest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litigation (as in the 2G Spectrum case). But the structure of litigation places a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limit on the courts’ role in governance, because the judges only hear challenges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the constitutionality of laws, or of government decisions. Claimants cannot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ask the Indian judges to allocate mobile phone spectrum, but only to pass judgment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the lawfulness of the government’s allocation. You might be tempted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say that judges make telecommunications policy in India and judges make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health policy in Canada. But that would be misleading: the judges do not set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policy agenda. They hold that a policy is unlawful, if it is in their view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wrong policy. Even in Canada and India, the courts do not make policy; they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only strike down policies of which they disapprove. And in Canada at least,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court’s power to impose the best policy on government depends on an assertion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right by a person; the Court’s role in regulating health and public safety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policy is only available in respect of decisions affecting interests protected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by Charter rights (such as life, liberty or security). Even in India, where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Court’s role under Article 14 has been expanded beyond any assertion of right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by any person, the 2G Spectrum doctrine is restricted to allocations of natural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resources; it is not a doctrine that all government decisions must accord with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judges’ view as to what is to be done.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ADD384A" w14:textId="1BFC44FE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Secondly, these creative doctrines of judicial governance in the two Courts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depend on the ability of judges to find the facts on which good decisions must be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based and to decide the relevant policy questions. Judges act in an artificial deci</w:t>
      </w:r>
      <w:r w:rsidRPr="007471AC">
        <w:rPr>
          <w:rFonts w:asciiTheme="majorHAnsi" w:hAnsiTheme="majorHAnsi" w:cs="Times New Roman"/>
          <w:sz w:val="22"/>
          <w:szCs w:val="22"/>
        </w:rPr>
        <w:t>sion-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making framework; what they have to go on is what the parties (including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intervenors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) and their lawyers give them. The Courts do not have the resources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the government has. As a result, the doctrines are consistent with (in fact,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they necessitate) some significant forms of deference to other public authori</w:t>
      </w:r>
      <w:r w:rsidRPr="007471AC">
        <w:rPr>
          <w:rFonts w:asciiTheme="majorHAnsi" w:hAnsiTheme="majorHAnsi" w:cs="Times New Roman"/>
          <w:sz w:val="22"/>
          <w:szCs w:val="22"/>
        </w:rPr>
        <w:t>ties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on those questions. No judicial deference was shown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the 2G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case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, you might well say. Yet the reasoning in those cases leaves scope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judicial deference to the government: the doctrine of arbitrariness in the 2G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Spectrum case only applies ‘when it is clearly demonstrated that the policy …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contrary to public interest’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38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So at least in principle, it is not enough to ask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judges to make a different policy decision; the judges have to hold that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impugned decision was demonstrably contrary to the public interest. If the necessary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facts cannot be established in a judicial proceeding or if the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necessary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assessments of the public good cannot be made by the court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>, then a challenge to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a public decision ought to fail. For other public officials, it is often simply nec</w:t>
      </w:r>
      <w:r w:rsidRPr="007471AC">
        <w:rPr>
          <w:rFonts w:asciiTheme="majorHAnsi" w:hAnsiTheme="majorHAnsi" w:cs="Times New Roman"/>
          <w:sz w:val="22"/>
          <w:szCs w:val="22"/>
        </w:rPr>
        <w:t>essary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make policy decisions (the Canadian government had to decide either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to continue the exemption for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or not); judges, in their reviewing role, can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decline to interfere with the decision under review, when grounds for doing so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are not established in court.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D2B966C" w14:textId="77777777" w:rsidR="00664EA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Thirdly, we should remember that in Canada and India, the development of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the common law means that the doctrines of arbitrariness are in flux, and subject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adjustment, and the role of the judges may be moderated by the Courts’ decisions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future. In fact, this has already happened in respect of the 2G Spectrum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case. The Indian government brought a reference to the Supreme Court to ask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for clarification of the implications of the decision.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39</w:t>
      </w:r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In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reference, the Court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insisted that the legal effect of the decision in the 2G Spectrum case was not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issue. But the Court did what common lawyers know as confining a case to its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facts: they insisted that the decision depended on the whole pattern of that particular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resource allocation as the government had engaged in it, and did not establish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general rules in the terms that the Court had used in giving its reasons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decision. There is ‘no constitutional mandate in favour of auction under Article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14’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40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‘Article 14 does not pre-define any economic policy as a constitutional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mandate’,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41</w:t>
      </w:r>
      <w:r w:rsidRPr="007471AC">
        <w:rPr>
          <w:rFonts w:asciiTheme="majorHAnsi" w:hAnsiTheme="majorHAnsi" w:cs="Times New Roman"/>
          <w:sz w:val="22"/>
          <w:szCs w:val="22"/>
        </w:rPr>
        <w:t xml:space="preserve"> and the Court held that the potential susceptibility of other techniques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resource allocation to abuse does not make them unconstitutional.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42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reference marks a striking retrenchment on the issue of deference to a public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authority’s judgments as to the economic logic of an allocation technique.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D7BC2C8" w14:textId="6FED7D35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And in Canada, the arbitrariness doctrine is unsettled. Its furthest frontier may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be the decision in </w:t>
      </w:r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proofErr w:type="spell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v Quebec </w:t>
      </w:r>
      <w:r w:rsidRPr="007471AC">
        <w:rPr>
          <w:rFonts w:asciiTheme="majorHAnsi" w:hAnsiTheme="majorHAnsi" w:cs="Times New Roman"/>
          <w:sz w:val="22"/>
          <w:szCs w:val="22"/>
        </w:rPr>
        <w:t>[2005] SCC 35, [2005] 1 SCR 791,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which the Supreme Court struck down legislation in Quebec that prohibited private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health care insurance, in order to support a single-tier public health care system.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Six of seven justices adhered to the established doctrine that a limit on life,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liberty or security of the person is contrary to the principles of fundamental justice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if ‘it bears no relation to, or is inconsistent with, the objective that lies behind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legislation’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43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notion that such a limit is arbitrary where a policy is inconsistent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with the relevant objective lies behind the approach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case.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bookmarkStart w:id="0" w:name="_GoBack"/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bookmarkEnd w:id="0"/>
      <w:proofErr w:type="spellEnd"/>
      <w:r w:rsidRPr="007471AC">
        <w:rPr>
          <w:rFonts w:asciiTheme="majorHAnsi" w:hAnsiTheme="majorHAnsi" w:cs="Times New Roman"/>
          <w:sz w:val="22"/>
          <w:szCs w:val="22"/>
        </w:rPr>
        <w:t>, three of the seven justices dissented vigorously, arguing that the Court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should not hold that the rule against private insurance was inconsistent with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relevant purposes, because that would require the Court to resolve the complex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policy debate, which ‘does not fit easily within the institutional competence or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procedures of courts of law’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44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The seventh of the justices decided against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Quebec government on grounds other than the Charter, so the tension over policy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making and section 7 of the Charter is partly unresolved.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45</w:t>
      </w:r>
      <w:r w:rsidRPr="007471AC">
        <w:rPr>
          <w:rFonts w:asciiTheme="majorHAnsi" w:hAnsiTheme="majorHAnsi" w:cs="Times New Roman"/>
          <w:sz w:val="22"/>
          <w:szCs w:val="22"/>
        </w:rPr>
        <w:t xml:space="preserve"> The judges will have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opportunity in future, if they so choose, to moderate the notion that it is for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them to decide whether the government could have adopted a better health and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public safety policy.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2746FD2" w14:textId="7CF49290" w:rsidR="00E062C2" w:rsidRDefault="007471AC" w:rsidP="00664EA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Finally, there are evidently intangible limits on the Courts’ willingness to follow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through on the doctrine that a decision contrary to good policy is arbitrary.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McLachlin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CJ said that the issue was ‘not whether harm reduction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or abstinence-based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programmes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are the best approach to resolving illegal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drug use’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,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46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but whether section 7 had been violated; of course, the Court went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to hold that section 7 had been violated because harm reduction was in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context the best way to deal with drug use. But the Court was careful not to adopt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 general rule that it will order the government to take the decisions that best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promote health and public safety: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54DD0FE" w14:textId="77777777" w:rsidR="00664EA2" w:rsidRDefault="00664EA2" w:rsidP="00664EA2">
      <w:pPr>
        <w:ind w:left="720"/>
        <w:rPr>
          <w:rFonts w:asciiTheme="majorHAnsi" w:hAnsiTheme="majorHAnsi" w:cs="Times New Roman"/>
          <w:sz w:val="22"/>
          <w:szCs w:val="22"/>
        </w:rPr>
      </w:pPr>
    </w:p>
    <w:p w14:paraId="16146CD1" w14:textId="4DA7A63B" w:rsidR="00E062C2" w:rsidRDefault="007471AC" w:rsidP="00664EA2">
      <w:pPr>
        <w:ind w:left="72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The conclusion that the Minister has not exercised his discretion in accordance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with the Charter in this case, is not a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licence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for injection drug users to possess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drugs wherever and whenever they wish. Nor is it an invitation for anyone who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so chooses to open a facility for drug use under the banner of a “safe injection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facility”. The result in this case rests on the trial judge’s conclusions that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effective in reducing the risk of death and disease and has had no negative impact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the legitimate criminal law objectives of the federal government.</w:t>
      </w:r>
      <w:r w:rsidRPr="0014022E">
        <w:rPr>
          <w:rFonts w:asciiTheme="majorHAnsi" w:hAnsiTheme="majorHAnsi" w:cs="Times New Roman"/>
          <w:sz w:val="22"/>
          <w:szCs w:val="22"/>
          <w:vertAlign w:val="superscript"/>
        </w:rPr>
        <w:t>47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5578CD8" w14:textId="77777777" w:rsidR="00664EA2" w:rsidRDefault="00664EA2" w:rsidP="00664EA2">
      <w:pPr>
        <w:rPr>
          <w:rFonts w:asciiTheme="majorHAnsi" w:hAnsiTheme="majorHAnsi" w:cs="¿@˚ø◊ƒ‚"/>
          <w:sz w:val="22"/>
          <w:szCs w:val="22"/>
        </w:rPr>
      </w:pPr>
    </w:p>
    <w:p w14:paraId="578508F1" w14:textId="33A11275" w:rsidR="00E062C2" w:rsidRDefault="007471AC" w:rsidP="00664EA2">
      <w:pPr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What if a trial judge in a future case finds that (1) safe injection clinics are gener</w:t>
      </w:r>
      <w:r w:rsidRPr="007471AC">
        <w:rPr>
          <w:rFonts w:asciiTheme="majorHAnsi" w:hAnsiTheme="majorHAnsi" w:cs="Times New Roman"/>
          <w:sz w:val="22"/>
          <w:szCs w:val="22"/>
        </w:rPr>
        <w:t>ally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effective in reducing the risk of death and disease, and (2) the government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could approve or establish </w:t>
      </w:r>
      <w:proofErr w:type="gramStart"/>
      <w:r w:rsidRPr="007471AC">
        <w:rPr>
          <w:rFonts w:asciiTheme="majorHAnsi" w:hAnsiTheme="majorHAnsi" w:cs="Times New Roman"/>
          <w:sz w:val="22"/>
          <w:szCs w:val="22"/>
        </w:rPr>
        <w:t>similar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clinics across Canada with no negative impact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on the government’s other legitimate objectives, and without disproportionate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cost? Then the Court’s reasoning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decision would support the proposition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the Court should require that the government approve or establish similar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clinics across Canada. Yet the Court is evidently not going to rush into that.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FAB8D4A" w14:textId="2D98A477" w:rsidR="00E062C2" w:rsidRDefault="007471AC" w:rsidP="00B6021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Political culture undoubtedly imposes significant limits on the Courts’ role.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When judges’ constitutional interpretations give them the sort of role that would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horrify Jeremy Bentham, they incur a need not to horrify their own community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too much. The limits of the judicial role will, as a result, depend on the political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culture of the community. And in a country like India, where disenchantment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with political institutions is wide and deep, political culture will not impose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same limits on the courts’ role that might be taken for granted elsewhere.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1C0E198E" w14:textId="53EA2BB1" w:rsidR="00E062C2" w:rsidRDefault="007471AC" w:rsidP="00B60212">
      <w:pPr>
        <w:ind w:firstLine="720"/>
        <w:rPr>
          <w:rFonts w:asciiTheme="majorHAnsi" w:hAnsiTheme="majorHAnsi" w:cs="Times New Roman"/>
          <w:b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Even in such a situation, there ought to be limits. If executive and legislative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institutions are not carrying out their responsibilities, it does not follow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judges can solve the problem, or that they ought to try to solve it.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1CE3150" w14:textId="77777777" w:rsidR="00E062C2" w:rsidRDefault="00E062C2" w:rsidP="007471AC">
      <w:pPr>
        <w:rPr>
          <w:rFonts w:asciiTheme="majorHAnsi" w:hAnsiTheme="majorHAnsi" w:cs="Times New Roman"/>
          <w:b/>
          <w:sz w:val="22"/>
          <w:szCs w:val="22"/>
        </w:rPr>
      </w:pPr>
    </w:p>
    <w:p w14:paraId="01CE3150" w14:textId="77777777" w:rsidR="00E062C2" w:rsidRDefault="007471AC" w:rsidP="007471AC">
      <w:pPr>
        <w:rPr>
          <w:rFonts w:asciiTheme="majorHAnsi" w:hAnsiTheme="majorHAnsi" w:cs="Times New Roman"/>
          <w:sz w:val="22"/>
          <w:szCs w:val="22"/>
        </w:rPr>
      </w:pPr>
      <w:r w:rsidRPr="00E062C2">
        <w:rPr>
          <w:rFonts w:asciiTheme="majorHAnsi" w:hAnsiTheme="majorHAnsi" w:cs="Times New Roman"/>
          <w:b/>
          <w:sz w:val="22"/>
          <w:szCs w:val="22"/>
        </w:rPr>
        <w:t>Conclusion</w:t>
      </w:r>
      <w:r w:rsidR="00E062C2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76FED98E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76FED98E" w14:textId="77777777" w:rsidR="00E062C2" w:rsidRDefault="007471AC" w:rsidP="007471AC">
      <w:pPr>
        <w:rPr>
          <w:rFonts w:asciiTheme="majorHAnsi" w:hAnsiTheme="majorHAnsi" w:cs="¿@˚ø◊ƒ‚"/>
          <w:sz w:val="22"/>
          <w:szCs w:val="22"/>
        </w:rPr>
      </w:pPr>
      <w:proofErr w:type="gramStart"/>
      <w:r w:rsidRPr="007471AC">
        <w:rPr>
          <w:rFonts w:asciiTheme="majorHAnsi" w:hAnsiTheme="majorHAnsi" w:cs="Times New Roman"/>
          <w:sz w:val="22"/>
          <w:szCs w:val="22"/>
        </w:rPr>
        <w:t>A country is not ruled by law</w:t>
      </w:r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when it is ruled by the arbitrary caprice—by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sweet will and whims—of executive or legislative or judicial officials. An ar</w:t>
      </w:r>
      <w:r w:rsidRPr="007471AC">
        <w:rPr>
          <w:rFonts w:asciiTheme="majorHAnsi" w:hAnsiTheme="majorHAnsi" w:cs="Times New Roman"/>
          <w:sz w:val="22"/>
          <w:szCs w:val="22"/>
        </w:rPr>
        <w:t>bitrary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decision in general is one that is not distinguished, by reasons in favour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it, from an unreasoned choice. In the special sense in which arbitrariness is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 departure from the rule of law, a decision is arbitrary whenever the law itself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ought to demand a justification other than the fact that the decision maker made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it, and there is no such justification.</w:t>
      </w:r>
      <w:r w:rsidRPr="00AC4E59">
        <w:rPr>
          <w:rFonts w:asciiTheme="majorHAnsi" w:hAnsiTheme="majorHAnsi" w:cs="Times New Roman"/>
          <w:sz w:val="22"/>
          <w:szCs w:val="22"/>
          <w:vertAlign w:val="superscript"/>
        </w:rPr>
        <w:t>48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1ECEB4A" w14:textId="599B1A90" w:rsidR="00E062C2" w:rsidRDefault="007471AC" w:rsidP="00B6021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The law does not generally require executive officials to have any justifica</w:t>
      </w:r>
      <w:r w:rsidRPr="007471AC">
        <w:rPr>
          <w:rFonts w:asciiTheme="majorHAnsi" w:hAnsiTheme="majorHAnsi" w:cs="Times New Roman"/>
          <w:sz w:val="22"/>
          <w:szCs w:val="22"/>
        </w:rPr>
        <w:t>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adhering to a judicial order other than the fact that the court made it. It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a valuable feature of political culture in India and in Canada that it was taken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for granted that their governments would go along with the judgments in the 2G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Spectrum case and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case.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clinic celebrated its tenth anniversary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 2013. And in the very fact that the Indian government brought a reference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clarify the 2G Spectrum case, we can see the government’s presupposition that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judicial orders are to be complied with. Executive officials cannot come closer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to the ideal of the rule of law by demanding a justification for a judicial decision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other than the fact that it was the decision of the court.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E11E63D" w14:textId="2E56EA6B" w:rsidR="00E062C2" w:rsidRDefault="007471AC" w:rsidP="00B60212">
      <w:pPr>
        <w:ind w:firstLine="72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But it may be right—and a vindication of the rule of law—for judges to quash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an executive decision on the ground of arbitrariness. We have seen that any doctrine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that effect will give judges an open-ended role in governance. As the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and 2G cases show, there is a standing tension between an interpreter’s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exercise of his or her freedom and the ideal of the rule of law. In the resolution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that I have offered to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problem of arbitrariness, perhaps the central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point is that we do not need to eliminate this tension in order for a community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to be ruled by law. The rule of law and the interpretive role of judges, even in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Canada and India, are not irreconcilable. This is only a tension, not a contradiction.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But the judges need to work on the reconciliation.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6E80B972" w14:textId="576BD81F" w:rsidR="007471AC" w:rsidRDefault="007471AC" w:rsidP="00B60212">
      <w:pPr>
        <w:ind w:firstLine="72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¿@˚ø◊ƒ‚"/>
          <w:sz w:val="22"/>
          <w:szCs w:val="22"/>
        </w:rPr>
        <w:t>We should not exaggerate or understate the significance of the tension; there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are so many ongoing, imperfectly resolved tensions in any scheme of governance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according to law, between change and stability, between general rules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and equity, between certainty and flexibility (not to mention all the substantive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tensions, as they might be called, among the interests of persons). Here is one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striking feature of the tension between the role of judges and the rule of law: as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long as executive officials hold on to their presupposition that judgments are to</w:t>
      </w:r>
      <w:r w:rsidR="00E062C2"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complied with, it is the judges, who have a stake in the game, who decide its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outcome. That is why it is useful for the rule of law that they should be painfully</w:t>
      </w:r>
      <w:r w:rsidR="00E062C2"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aware of the tension.</w:t>
      </w:r>
      <w:r w:rsidR="00E062C2">
        <w:rPr>
          <w:rFonts w:asciiTheme="majorHAnsi" w:hAnsiTheme="majorHAnsi" w:cs="Times New Roman"/>
          <w:sz w:val="22"/>
          <w:szCs w:val="22"/>
        </w:rPr>
        <w:t xml:space="preserve">  </w:t>
      </w:r>
    </w:p>
    <w:p w14:paraId="7C556E12" w14:textId="77777777" w:rsidR="00E062C2" w:rsidRDefault="00E062C2" w:rsidP="007471AC">
      <w:pPr>
        <w:rPr>
          <w:rFonts w:asciiTheme="majorHAnsi" w:hAnsiTheme="majorHAnsi" w:cs="Times New Roman"/>
          <w:sz w:val="22"/>
          <w:szCs w:val="22"/>
        </w:rPr>
      </w:pPr>
    </w:p>
    <w:p w14:paraId="4B74C786" w14:textId="109A4B09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*</w:t>
      </w:r>
      <w:r w:rsidRPr="007471AC">
        <w:rPr>
          <w:rFonts w:asciiTheme="majorHAnsi" w:hAnsiTheme="majorHAnsi" w:cs="Times New Roman"/>
          <w:sz w:val="22"/>
          <w:szCs w:val="22"/>
        </w:rPr>
        <w:t xml:space="preserve">This article was developed from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Coxford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Lecture, “Interpretation and the Rule of Law”, delivered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March 28, 2013 at Western Law. I am grateful to Caroline Norris for clerical assistance, and to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Richard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Bronaugh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and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Tarun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Khaitan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for comments on a draft.</w:t>
      </w:r>
    </w:p>
    <w:p w14:paraId="0A3D4382" w14:textId="77777777" w:rsid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A173D6A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1. Constitution of India, 1950, Article 14.</w:t>
      </w:r>
    </w:p>
    <w:p w14:paraId="489BEE43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2. </w:t>
      </w:r>
      <w:proofErr w:type="spellStart"/>
      <w:r w:rsidRPr="00332438">
        <w:rPr>
          <w:rFonts w:asciiTheme="majorHAnsi" w:hAnsiTheme="majorHAnsi" w:cs="Times New Roman"/>
          <w:i/>
          <w:sz w:val="22"/>
          <w:szCs w:val="22"/>
        </w:rPr>
        <w:t>Akhil</w:t>
      </w:r>
      <w:proofErr w:type="spell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</w:t>
      </w:r>
      <w:proofErr w:type="spellStart"/>
      <w:r w:rsidRPr="00332438">
        <w:rPr>
          <w:rFonts w:asciiTheme="majorHAnsi" w:hAnsiTheme="majorHAnsi" w:cs="Times New Roman"/>
          <w:i/>
          <w:sz w:val="22"/>
          <w:szCs w:val="22"/>
        </w:rPr>
        <w:t>Bharatiya</w:t>
      </w:r>
      <w:proofErr w:type="spell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</w:t>
      </w:r>
      <w:proofErr w:type="spellStart"/>
      <w:r w:rsidRPr="00332438">
        <w:rPr>
          <w:rFonts w:asciiTheme="majorHAnsi" w:hAnsiTheme="majorHAnsi" w:cs="Times New Roman"/>
          <w:i/>
          <w:sz w:val="22"/>
          <w:szCs w:val="22"/>
        </w:rPr>
        <w:t>Upbhokta</w:t>
      </w:r>
      <w:proofErr w:type="spell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Congress v State of Madhya Pradesh </w:t>
      </w:r>
      <w:r w:rsidRPr="007471AC">
        <w:rPr>
          <w:rFonts w:asciiTheme="majorHAnsi" w:hAnsiTheme="majorHAnsi" w:cs="Times New Roman"/>
          <w:sz w:val="22"/>
          <w:szCs w:val="22"/>
        </w:rPr>
        <w:t>(2011) 5 SCC 29 [65].</w:t>
      </w:r>
    </w:p>
    <w:p w14:paraId="0DB08DBF" w14:textId="670DF505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3. </w:t>
      </w:r>
      <w:r w:rsidRPr="00332438">
        <w:rPr>
          <w:rFonts w:asciiTheme="majorHAnsi" w:hAnsiTheme="majorHAnsi" w:cs="Times New Roman"/>
          <w:i/>
          <w:sz w:val="22"/>
          <w:szCs w:val="22"/>
        </w:rPr>
        <w:t>Centre for Public Interest Litigation &amp; Others v Union of India &amp; Others</w:t>
      </w:r>
      <w:r w:rsidRPr="007471AC">
        <w:rPr>
          <w:rFonts w:asciiTheme="majorHAnsi" w:hAnsiTheme="majorHAnsi" w:cs="Times New Roman"/>
          <w:sz w:val="22"/>
          <w:szCs w:val="22"/>
        </w:rPr>
        <w:t>, Supreme Court of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India, Writ Petition (Civil) No 423 of 2010, decided on 2 Feb 2012 [2G Spectrum].</w:t>
      </w:r>
    </w:p>
    <w:p w14:paraId="65457844" w14:textId="37F3E041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4. Canadian Charter of Rights and Freedoms, s 7, Part I of the Constitution Act, 1982, being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Schedule B to the Canada Act 1982 (UK), 1982, c 11.</w:t>
      </w:r>
    </w:p>
    <w:p w14:paraId="37471051" w14:textId="5221F544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5. </w:t>
      </w:r>
      <w:r w:rsidRPr="00332438">
        <w:rPr>
          <w:rFonts w:asciiTheme="majorHAnsi" w:hAnsiTheme="majorHAnsi" w:cs="Times New Roman"/>
          <w:i/>
          <w:sz w:val="22"/>
          <w:szCs w:val="22"/>
        </w:rPr>
        <w:t>Canada (Attorney General) v PHS Community Services Society</w:t>
      </w:r>
      <w:r w:rsidRPr="007471AC">
        <w:rPr>
          <w:rFonts w:asciiTheme="majorHAnsi" w:hAnsiTheme="majorHAnsi" w:cs="Times New Roman"/>
          <w:sz w:val="22"/>
          <w:szCs w:val="22"/>
        </w:rPr>
        <w:t xml:space="preserve"> [2011] SCC 44, [2011] 3 SCR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134 [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]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127.</w:t>
      </w:r>
    </w:p>
    <w:p w14:paraId="77B8EB56" w14:textId="3DA49FF1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6. </w:t>
      </w:r>
      <w:r w:rsidRPr="00332438">
        <w:rPr>
          <w:rFonts w:asciiTheme="majorHAnsi" w:hAnsiTheme="majorHAnsi" w:cs="Times New Roman"/>
          <w:i/>
          <w:sz w:val="22"/>
          <w:szCs w:val="22"/>
        </w:rPr>
        <w:t xml:space="preserve">Rodriguez v British Columbia </w:t>
      </w:r>
      <w:r w:rsidRPr="007471AC">
        <w:rPr>
          <w:rFonts w:asciiTheme="majorHAnsi" w:hAnsiTheme="majorHAnsi" w:cs="Times New Roman"/>
          <w:sz w:val="22"/>
          <w:szCs w:val="22"/>
        </w:rPr>
        <w:t>[1993] 3 SCR 519 at 594-95,</w:t>
      </w:r>
      <w:r w:rsidRPr="00332438">
        <w:rPr>
          <w:rFonts w:asciiTheme="majorHAnsi" w:hAnsiTheme="majorHAnsi" w:cs="Times New Roman"/>
          <w:i/>
          <w:sz w:val="22"/>
          <w:szCs w:val="22"/>
        </w:rPr>
        <w:t xml:space="preserve"> R v Malmo-Levine </w:t>
      </w:r>
      <w:r w:rsidRPr="007471AC">
        <w:rPr>
          <w:rFonts w:asciiTheme="majorHAnsi" w:hAnsiTheme="majorHAnsi" w:cs="Times New Roman"/>
          <w:sz w:val="22"/>
          <w:szCs w:val="22"/>
        </w:rPr>
        <w:t>[2003] SCC 74,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[2003] 3 SCR 571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77-78.</w:t>
      </w:r>
    </w:p>
    <w:p w14:paraId="0C2935B6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7.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supra note 5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131.</w:t>
      </w:r>
    </w:p>
    <w:p w14:paraId="23FE3726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8.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133.</w:t>
      </w:r>
    </w:p>
    <w:p w14:paraId="2873BF40" w14:textId="363432F5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9. </w:t>
      </w:r>
      <w:r w:rsidRPr="007471AC">
        <w:rPr>
          <w:rFonts w:asciiTheme="majorHAnsi" w:hAnsiTheme="majorHAnsi" w:cs="¿@˚ø◊ƒ‚"/>
          <w:sz w:val="22"/>
          <w:szCs w:val="22"/>
        </w:rPr>
        <w:t>Other things might not be equal if, e.g., the impugned decision has some other public benefit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that can legitimately be pursued, or if the alternative to the impugned decision would be costly.</w:t>
      </w:r>
    </w:p>
    <w:p w14:paraId="57581B2C" w14:textId="4E55E75D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10. Through the Bentham Project at University College, London, you can be part of a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crowdsourced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programme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to transcribe Bentham’s mass of unpublished writings, for a projected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seventy-volume collection of his works: blogs.ucl.ac.uk/transcribe-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bentham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.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11. Jeremy Bentham, A Fragment on Government</w:t>
      </w:r>
      <w:r w:rsidRPr="007471AC">
        <w:rPr>
          <w:rFonts w:asciiTheme="majorHAnsi" w:hAnsiTheme="majorHAnsi" w:cs="¿@˚ø◊ƒ‚"/>
          <w:sz w:val="22"/>
          <w:szCs w:val="22"/>
        </w:rPr>
        <w:t xml:space="preserve">, </w:t>
      </w:r>
      <w:proofErr w:type="spellStart"/>
      <w:proofErr w:type="gramStart"/>
      <w:r w:rsidRPr="007471AC">
        <w:rPr>
          <w:rFonts w:asciiTheme="majorHAnsi" w:hAnsiTheme="majorHAnsi" w:cs="¿@˚ø◊ƒ‚"/>
          <w:sz w:val="22"/>
          <w:szCs w:val="22"/>
        </w:rPr>
        <w:t>ed</w:t>
      </w:r>
      <w:proofErr w:type="spellEnd"/>
      <w:proofErr w:type="gramEnd"/>
      <w:r w:rsidRPr="007471AC">
        <w:rPr>
          <w:rFonts w:asciiTheme="majorHAnsi" w:hAnsiTheme="majorHAnsi" w:cs="¿@˚ø◊ƒ‚"/>
          <w:sz w:val="22"/>
          <w:szCs w:val="22"/>
        </w:rPr>
        <w:t xml:space="preserve"> by JH Burns &amp; HLA Hart (Cambridge: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Cambridge University Press, 1988 (1776)).</w:t>
      </w:r>
    </w:p>
    <w:p w14:paraId="2794B72D" w14:textId="2E688615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12. The Works of Jeremy Bentham, </w:t>
      </w:r>
      <w:proofErr w:type="spellStart"/>
      <w:proofErr w:type="gramStart"/>
      <w:r w:rsidRPr="007471AC">
        <w:rPr>
          <w:rFonts w:asciiTheme="majorHAnsi" w:hAnsiTheme="majorHAnsi" w:cs="Times New Roman"/>
          <w:sz w:val="22"/>
          <w:szCs w:val="22"/>
        </w:rPr>
        <w:t>ed</w:t>
      </w:r>
      <w:proofErr w:type="spellEnd"/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by John Bowring (Edinburgh: William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Tait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, 1838-1843),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vol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4.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Cf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‘the species of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pseudonomia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—of sham, and Judge-made law, styled Common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Law’, Principles of the Civil Code,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XVII, § XXI, art 14.</w:t>
      </w:r>
    </w:p>
    <w:p w14:paraId="3DD275F4" w14:textId="709E092B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13.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vol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5, 231-37 at 235-36; </w:t>
      </w:r>
      <w:r>
        <w:rPr>
          <w:rFonts w:asciiTheme="majorHAnsi" w:hAnsiTheme="majorHAnsi" w:cs="Times New Roman"/>
          <w:sz w:val="22"/>
          <w:szCs w:val="22"/>
        </w:rPr>
        <w:t>www.ucl.ac.uk/Bentham-</w:t>
      </w:r>
      <w:r w:rsidRPr="007471AC">
        <w:rPr>
          <w:rFonts w:asciiTheme="majorHAnsi" w:hAnsiTheme="majorHAnsi" w:cs="Times New Roman"/>
          <w:sz w:val="22"/>
          <w:szCs w:val="22"/>
        </w:rPr>
        <w:t>Project/tools/bentham_online_texts/truthvash.</w:t>
      </w:r>
    </w:p>
    <w:p w14:paraId="30B70826" w14:textId="1B3EA9FB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14. Ibid at chapter XVII. Principles of the Civil Code </w:t>
      </w:r>
      <w:r w:rsidRPr="007471AC">
        <w:rPr>
          <w:rFonts w:asciiTheme="majorHAnsi" w:hAnsiTheme="majorHAnsi" w:cs="¿@˚ø◊ƒ‚"/>
          <w:sz w:val="22"/>
          <w:szCs w:val="22"/>
        </w:rPr>
        <w:t>was first published by Etienne Dumont in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1802, in French translation from papers that Bentham had given him in 1788. An English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translation of Dumont’s work was published in Bowring’s collection of Bentham’s works forty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years later (from which the quotations here are taken); that version can be seen at http://www.laits.utexas.edu/poltheory/bentham/pcc/pcc.pa01.c17.html. Dumont had evidently done some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extensive editing of the work; see the Introduction to Charles Milner Atkinson, </w:t>
      </w:r>
      <w:proofErr w:type="spellStart"/>
      <w:proofErr w:type="gramStart"/>
      <w:r w:rsidRPr="007471AC">
        <w:rPr>
          <w:rFonts w:asciiTheme="majorHAnsi" w:hAnsiTheme="majorHAnsi" w:cs="Times New Roman"/>
          <w:sz w:val="22"/>
          <w:szCs w:val="22"/>
        </w:rPr>
        <w:t>ed</w:t>
      </w:r>
      <w:proofErr w:type="spellEnd"/>
      <w:proofErr w:type="gramEnd"/>
      <w:r w:rsidRPr="007471AC">
        <w:rPr>
          <w:rFonts w:asciiTheme="majorHAnsi" w:hAnsiTheme="majorHAnsi" w:cs="Times New Roman"/>
          <w:sz w:val="22"/>
          <w:szCs w:val="22"/>
        </w:rPr>
        <w:t>, Bentham’s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Theory of Legislation (Oxford University Press, 1914).</w:t>
      </w:r>
    </w:p>
    <w:p w14:paraId="1EA55628" w14:textId="2D41DB53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15. Lon Fuller, The Morality of Law</w:t>
      </w:r>
      <w:r w:rsidRPr="007471AC">
        <w:rPr>
          <w:rFonts w:asciiTheme="majorHAnsi" w:hAnsiTheme="majorHAnsi" w:cs="¿@˚ø◊ƒ‚"/>
          <w:sz w:val="22"/>
          <w:szCs w:val="22"/>
        </w:rPr>
        <w:t xml:space="preserve">, 2d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ed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(New Haven: Yale University Press, 1969) at </w:t>
      </w:r>
      <w:proofErr w:type="spellStart"/>
      <w:r w:rsidRPr="007471AC">
        <w:rPr>
          <w:rFonts w:asciiTheme="majorHAnsi" w:hAnsiTheme="majorHAnsi" w:cs="¿@˚ø◊ƒ‚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¿@˚ø◊ƒ‚"/>
          <w:sz w:val="22"/>
          <w:szCs w:val="22"/>
        </w:rPr>
        <w:t xml:space="preserve"> 2;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John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Finnis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Natural Law and Natural Rights, 2d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ed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(Oxford: Oxford University Press, 2011)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at 270-21; Joseph Raz, The Authority of Law, 2d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ed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(Oxford: Oxford University Press, 2009)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at 214-18.</w:t>
      </w:r>
    </w:p>
    <w:p w14:paraId="03DCB405" w14:textId="2FFC258C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16. Jeremy Bentham, Principles of the Civil Code (W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Tait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1843)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XVII, ‘The Power of Laws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over Expectation’: www.laits.utexas.edu/poltheory/bentham/pcc/index.html.</w:t>
      </w:r>
    </w:p>
    <w:p w14:paraId="44F2DA24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proofErr w:type="gramStart"/>
      <w:r w:rsidRPr="007471AC">
        <w:rPr>
          <w:rFonts w:asciiTheme="majorHAnsi" w:hAnsiTheme="majorHAnsi" w:cs="Times New Roman"/>
          <w:sz w:val="22"/>
          <w:szCs w:val="22"/>
        </w:rPr>
        <w:t>17. Ibid.</w:t>
      </w:r>
      <w:proofErr w:type="gramEnd"/>
    </w:p>
    <w:p w14:paraId="33A76501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18.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Finnis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, supra note 15 at 270.</w:t>
      </w:r>
    </w:p>
    <w:p w14:paraId="19828471" w14:textId="343266F8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19. I do not mean that they should never do so; in fact, it would be damaging to a legal system if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they had no jurisdiction or no willingness to depart from legislation on grounds of equity, or on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grounds of perversity; Bentham himself gave the example—already a chestnut in his day—of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 surgeon who operates on a person in an emergency after an accident in t</w:t>
      </w:r>
      <w:r>
        <w:rPr>
          <w:rFonts w:asciiTheme="majorHAnsi" w:hAnsiTheme="majorHAnsi" w:cs="Times New Roman"/>
          <w:sz w:val="22"/>
          <w:szCs w:val="22"/>
        </w:rPr>
        <w:t xml:space="preserve">he street, and is </w:t>
      </w:r>
      <w:r w:rsidRPr="007471AC">
        <w:rPr>
          <w:rFonts w:asciiTheme="majorHAnsi" w:hAnsiTheme="majorHAnsi" w:cs="Times New Roman"/>
          <w:sz w:val="22"/>
          <w:szCs w:val="22"/>
        </w:rPr>
        <w:t>prosecuted for an offence of drawing blood in public.</w:t>
      </w:r>
    </w:p>
    <w:p w14:paraId="3C488EE9" w14:textId="2421666E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20. </w:t>
      </w:r>
      <w:r w:rsidRPr="007471AC">
        <w:rPr>
          <w:rFonts w:asciiTheme="majorHAnsi" w:hAnsiTheme="majorHAnsi" w:cs="¿@˚ø◊ƒ‚"/>
          <w:sz w:val="22"/>
          <w:szCs w:val="22"/>
        </w:rPr>
        <w:t>See Timothy Endicott, ‘The Value of Vagueness’ in And</w:t>
      </w:r>
      <w:r>
        <w:rPr>
          <w:rFonts w:asciiTheme="majorHAnsi" w:hAnsiTheme="majorHAnsi" w:cs="¿@˚ø◊ƒ‚"/>
          <w:sz w:val="22"/>
          <w:szCs w:val="22"/>
        </w:rPr>
        <w:t xml:space="preserve">rei </w:t>
      </w:r>
      <w:proofErr w:type="spellStart"/>
      <w:r>
        <w:rPr>
          <w:rFonts w:asciiTheme="majorHAnsi" w:hAnsiTheme="majorHAnsi" w:cs="¿@˚ø◊ƒ‚"/>
          <w:sz w:val="22"/>
          <w:szCs w:val="22"/>
        </w:rPr>
        <w:t>Marmor</w:t>
      </w:r>
      <w:proofErr w:type="spellEnd"/>
      <w:r>
        <w:rPr>
          <w:rFonts w:asciiTheme="majorHAnsi" w:hAnsiTheme="majorHAnsi" w:cs="¿@˚ø◊ƒ‚"/>
          <w:sz w:val="22"/>
          <w:szCs w:val="22"/>
        </w:rPr>
        <w:t xml:space="preserve"> &amp; Scott </w:t>
      </w:r>
      <w:proofErr w:type="spellStart"/>
      <w:r>
        <w:rPr>
          <w:rFonts w:asciiTheme="majorHAnsi" w:hAnsiTheme="majorHAnsi" w:cs="¿@˚ø◊ƒ‚"/>
          <w:sz w:val="22"/>
          <w:szCs w:val="22"/>
        </w:rPr>
        <w:t>Soames</w:t>
      </w:r>
      <w:proofErr w:type="spellEnd"/>
      <w:r>
        <w:rPr>
          <w:rFonts w:asciiTheme="majorHAnsi" w:hAnsiTheme="majorHAnsi" w:cs="¿@˚ø◊ƒ‚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¿@˚ø◊ƒ‚"/>
          <w:sz w:val="22"/>
          <w:szCs w:val="22"/>
        </w:rPr>
        <w:t>eds</w:t>
      </w:r>
      <w:proofErr w:type="spellEnd"/>
      <w:r>
        <w:rPr>
          <w:rFonts w:asciiTheme="majorHAnsi" w:hAnsiTheme="majorHAnsi" w:cs="¿@˚ø◊ƒ‚"/>
          <w:sz w:val="22"/>
          <w:szCs w:val="22"/>
        </w:rPr>
        <w:t xml:space="preserve">, </w:t>
      </w:r>
      <w:r w:rsidRPr="007471AC">
        <w:rPr>
          <w:rFonts w:asciiTheme="majorHAnsi" w:hAnsiTheme="majorHAnsi" w:cs="Times New Roman"/>
          <w:sz w:val="22"/>
          <w:szCs w:val="22"/>
        </w:rPr>
        <w:t>Philosophical Foundations of Language in the Law (Oxford: Oxford University Press, 2011).</w:t>
      </w:r>
    </w:p>
    <w:p w14:paraId="69C0FFD4" w14:textId="30B0A424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21. Jeremy Bentham, Constitutional Code</w:t>
      </w:r>
      <w:r w:rsidRPr="007471AC">
        <w:rPr>
          <w:rFonts w:asciiTheme="majorHAnsi" w:hAnsiTheme="majorHAnsi" w:cs="¿@˚ø◊ƒ‚"/>
          <w:sz w:val="22"/>
          <w:szCs w:val="22"/>
        </w:rPr>
        <w:t xml:space="preserve">, </w:t>
      </w:r>
      <w:proofErr w:type="spellStart"/>
      <w:proofErr w:type="gramStart"/>
      <w:r w:rsidRPr="007471AC">
        <w:rPr>
          <w:rFonts w:asciiTheme="majorHAnsi" w:hAnsiTheme="majorHAnsi" w:cs="¿@˚ø◊ƒ‚"/>
          <w:sz w:val="22"/>
          <w:szCs w:val="22"/>
        </w:rPr>
        <w:t>ed</w:t>
      </w:r>
      <w:proofErr w:type="spellEnd"/>
      <w:proofErr w:type="gramEnd"/>
      <w:r w:rsidRPr="007471AC">
        <w:rPr>
          <w:rFonts w:asciiTheme="majorHAnsi" w:hAnsiTheme="majorHAnsi" w:cs="¿@˚ø◊ƒ‚"/>
          <w:sz w:val="22"/>
          <w:szCs w:val="22"/>
        </w:rPr>
        <w:t xml:space="preserve"> by F Rosen &amp; JH B</w:t>
      </w:r>
      <w:r>
        <w:rPr>
          <w:rFonts w:asciiTheme="majorHAnsi" w:hAnsiTheme="majorHAnsi" w:cs="¿@˚ø◊ƒ‚"/>
          <w:sz w:val="22"/>
          <w:szCs w:val="22"/>
        </w:rPr>
        <w:t xml:space="preserve">urns (Oxford: Oxford University </w:t>
      </w:r>
      <w:r w:rsidRPr="007471AC">
        <w:rPr>
          <w:rFonts w:asciiTheme="majorHAnsi" w:hAnsiTheme="majorHAnsi" w:cs="Times New Roman"/>
          <w:sz w:val="22"/>
          <w:szCs w:val="22"/>
        </w:rPr>
        <w:t xml:space="preserve">Press, 1983)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XII, § XX, art 2. Bentham wrote this Code in the early 1820s.</w:t>
      </w:r>
    </w:p>
    <w:p w14:paraId="2C236440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22.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XII, § XIX, art 1.</w:t>
      </w:r>
    </w:p>
    <w:p w14:paraId="64C9A4DE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23.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XII, § XXI, art 1-3.</w:t>
      </w:r>
    </w:p>
    <w:p w14:paraId="26C6CCA4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24.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ch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XII, § XXI, art 13.</w:t>
      </w:r>
    </w:p>
    <w:p w14:paraId="1271D85F" w14:textId="724FC562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¿@˚ø◊ƒ‚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25. </w:t>
      </w:r>
      <w:r w:rsidRPr="007471AC">
        <w:rPr>
          <w:rFonts w:asciiTheme="majorHAnsi" w:hAnsiTheme="majorHAnsi" w:cs="¿@˚ø◊ƒ‚"/>
          <w:sz w:val="22"/>
          <w:szCs w:val="22"/>
        </w:rPr>
        <w:t>In fact, the good sense of asking your mom, if she is available, reflects a difference between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the authority of a parent and the authority of a legislature; in political community we need the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virtues of the rule of law, which include the value of dispute resolution by an interpreter that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is independent of the lawmaker. Even a household may well need certain analogues of the rule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of law (certain forms of stability, openness, intelligibility, and consistency in the rules). Yet it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may be just and convenient in a household, for a parent to have a power in a form that would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 tyranny in a political community. We might say that a parent’s power to decide what you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get to eat is an arbitrary power. ‘Because I said so’ may actually be all the justification that the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parent needs to give to a person subject to the power. If so, it i</w:t>
      </w:r>
      <w:r>
        <w:rPr>
          <w:rFonts w:asciiTheme="majorHAnsi" w:hAnsiTheme="majorHAnsi" w:cs="Times New Roman"/>
          <w:sz w:val="22"/>
          <w:szCs w:val="22"/>
        </w:rPr>
        <w:t xml:space="preserve">s all right for parents to have </w:t>
      </w:r>
      <w:r w:rsidRPr="007471AC">
        <w:rPr>
          <w:rFonts w:asciiTheme="majorHAnsi" w:hAnsiTheme="majorHAnsi" w:cs="Times New Roman"/>
          <w:sz w:val="22"/>
          <w:szCs w:val="22"/>
        </w:rPr>
        <w:t>certain forms of arbitrary power.</w:t>
      </w:r>
    </w:p>
    <w:p w14:paraId="2497D7D7" w14:textId="0D62F5F4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26. See, e.g., Richard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Ekins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>, The Nature of Legislative Intent (O</w:t>
      </w:r>
      <w:r>
        <w:rPr>
          <w:rFonts w:asciiTheme="majorHAnsi" w:hAnsiTheme="majorHAnsi" w:cs="Times New Roman"/>
          <w:sz w:val="22"/>
          <w:szCs w:val="22"/>
        </w:rPr>
        <w:t xml:space="preserve">xford: Oxford University Press, </w:t>
      </w:r>
      <w:r w:rsidRPr="007471AC">
        <w:rPr>
          <w:rFonts w:asciiTheme="majorHAnsi" w:hAnsiTheme="majorHAnsi" w:cs="Times New Roman"/>
          <w:sz w:val="22"/>
          <w:szCs w:val="22"/>
        </w:rPr>
        <w:t>2012).</w:t>
      </w:r>
    </w:p>
    <w:p w14:paraId="678DA2A8" w14:textId="08BEDAED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27. For a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defence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of this claim, see Timothy Endicott, ‘Adju</w:t>
      </w:r>
      <w:r>
        <w:rPr>
          <w:rFonts w:asciiTheme="majorHAnsi" w:hAnsiTheme="majorHAnsi" w:cs="Times New Roman"/>
          <w:sz w:val="22"/>
          <w:szCs w:val="22"/>
        </w:rPr>
        <w:t xml:space="preserve">dication and the Law’ (2007) 27 </w:t>
      </w:r>
      <w:r w:rsidRPr="007471AC">
        <w:rPr>
          <w:rFonts w:asciiTheme="majorHAnsi" w:hAnsiTheme="majorHAnsi" w:cs="Times New Roman"/>
          <w:sz w:val="22"/>
          <w:szCs w:val="22"/>
        </w:rPr>
        <w:t>Oxford J Legal Stud 311.</w:t>
      </w:r>
    </w:p>
    <w:p w14:paraId="3FA5E777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28.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supra note 5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105.</w:t>
      </w:r>
    </w:p>
    <w:p w14:paraId="5AAD914D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29. 2G Spectrum, supra note 3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79.</w:t>
      </w:r>
    </w:p>
    <w:p w14:paraId="4FAC2557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30.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76.</w:t>
      </w:r>
    </w:p>
    <w:p w14:paraId="1A2169CD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31.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77.</w:t>
      </w:r>
    </w:p>
    <w:p w14:paraId="0E68F2F2" w14:textId="77777777" w:rsid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32.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80.</w:t>
      </w:r>
    </w:p>
    <w:p w14:paraId="00B83B9F" w14:textId="6B3CF638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33. Securing a bribe is, you might be tempted to say, a reason for acti</w:t>
      </w:r>
      <w:r>
        <w:rPr>
          <w:rFonts w:asciiTheme="majorHAnsi" w:hAnsiTheme="majorHAnsi" w:cs="Times New Roman"/>
          <w:sz w:val="22"/>
          <w:szCs w:val="22"/>
        </w:rPr>
        <w:t xml:space="preserve">on, but it is a reason that the </w:t>
      </w:r>
      <w:r w:rsidRPr="007471AC">
        <w:rPr>
          <w:rFonts w:asciiTheme="majorHAnsi" w:hAnsiTheme="majorHAnsi" w:cs="Times New Roman"/>
          <w:sz w:val="22"/>
          <w:szCs w:val="22"/>
        </w:rPr>
        <w:t>law ought to treat as no reason at all.</w:t>
      </w:r>
    </w:p>
    <w:p w14:paraId="0DF9686C" w14:textId="726E0054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34. Even then, such a rule would be a novel creation out of a guarantee of equality in the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Constitution. The guarantee in Article 14 that ‘the State shall not deny to any person equality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before the law…’ does obviously entail a rule that the State should not draw certain sorts of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arbitrary distinction between people (in an appropriate sense of arbitrariness). But the Court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seems to have extended this rule into a general prohibition on arbitrariness, detached from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equality between persons. The Court has crafted a rule that even if no person’s equality is denied,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it is unlawful for natural resources to be allocated in a way that is corrupt. You might say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that the doctrine does arise from Article 14, because a public official who sells a public good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>for private profit is denying everyone else’s equality with himself or herself. But then Article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14 would become a source for any conceivable rule prohibit</w:t>
      </w:r>
      <w:r>
        <w:rPr>
          <w:rFonts w:asciiTheme="majorHAnsi" w:hAnsiTheme="majorHAnsi" w:cs="Times New Roman"/>
          <w:sz w:val="22"/>
          <w:szCs w:val="22"/>
        </w:rPr>
        <w:t xml:space="preserve">ing wrongdoing that affects the </w:t>
      </w:r>
      <w:r w:rsidRPr="007471AC">
        <w:rPr>
          <w:rFonts w:asciiTheme="majorHAnsi" w:hAnsiTheme="majorHAnsi" w:cs="Times New Roman"/>
          <w:sz w:val="22"/>
          <w:szCs w:val="22"/>
        </w:rPr>
        <w:t xml:space="preserve">public; and that would treat it as an unruly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authorisation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for judicial law making.</w:t>
      </w:r>
    </w:p>
    <w:p w14:paraId="3427BF3E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35.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69.</w:t>
      </w:r>
    </w:p>
    <w:p w14:paraId="73E0765A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36.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supra note 5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131.</w:t>
      </w:r>
    </w:p>
    <w:p w14:paraId="052949D1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37. See supra note 9.</w:t>
      </w:r>
    </w:p>
    <w:p w14:paraId="1C0198CA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>38. Supra note 29.</w:t>
      </w:r>
    </w:p>
    <w:p w14:paraId="70E0ADC0" w14:textId="03FE13C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39. Supreme Court of India, Special Reference No.1 of </w:t>
      </w:r>
      <w:r>
        <w:rPr>
          <w:rFonts w:asciiTheme="majorHAnsi" w:hAnsiTheme="majorHAnsi" w:cs="Times New Roman"/>
          <w:sz w:val="22"/>
          <w:szCs w:val="22"/>
        </w:rPr>
        <w:t xml:space="preserve">2012, opinion handed down on 27 </w:t>
      </w:r>
      <w:r w:rsidRPr="007471AC">
        <w:rPr>
          <w:rFonts w:asciiTheme="majorHAnsi" w:hAnsiTheme="majorHAnsi" w:cs="Times New Roman"/>
          <w:sz w:val="22"/>
          <w:szCs w:val="22"/>
        </w:rPr>
        <w:t>September 2012.</w:t>
      </w:r>
    </w:p>
    <w:p w14:paraId="76768E8A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40. Ibid,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129.</w:t>
      </w:r>
    </w:p>
    <w:p w14:paraId="3D4744A3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41. Ibid,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120.</w:t>
      </w:r>
    </w:p>
    <w:p w14:paraId="7220E878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42. Ibid,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135.</w:t>
      </w:r>
    </w:p>
    <w:p w14:paraId="0C4E6C23" w14:textId="462517CA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43. </w:t>
      </w:r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proofErr w:type="spell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v Quebec </w:t>
      </w:r>
      <w:r w:rsidRPr="007471AC">
        <w:rPr>
          <w:rFonts w:asciiTheme="majorHAnsi" w:hAnsiTheme="majorHAnsi" w:cs="Times New Roman"/>
          <w:sz w:val="22"/>
          <w:szCs w:val="22"/>
        </w:rPr>
        <w:t xml:space="preserve">[2005] SCC 35, [2005] 1 SCR 791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paras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</w:t>
      </w:r>
      <w:r>
        <w:rPr>
          <w:rFonts w:asciiTheme="majorHAnsi" w:hAnsiTheme="majorHAnsi" w:cs="Times New Roman"/>
          <w:sz w:val="22"/>
          <w:szCs w:val="22"/>
        </w:rPr>
        <w:t xml:space="preserve">30, 231-33, citing </w:t>
      </w:r>
      <w:proofErr w:type="gramStart"/>
      <w:r w:rsidRPr="00332438">
        <w:rPr>
          <w:rFonts w:asciiTheme="majorHAnsi" w:hAnsiTheme="majorHAnsi" w:cs="Times New Roman"/>
          <w:i/>
          <w:sz w:val="22"/>
          <w:szCs w:val="22"/>
        </w:rPr>
        <w:t>Rodriguez  v</w:t>
      </w:r>
      <w:proofErr w:type="gramEnd"/>
      <w:r w:rsidRPr="00332438">
        <w:rPr>
          <w:rFonts w:asciiTheme="majorHAnsi" w:hAnsiTheme="majorHAnsi" w:cs="Times New Roman"/>
          <w:i/>
          <w:sz w:val="22"/>
          <w:szCs w:val="22"/>
        </w:rPr>
        <w:t xml:space="preserve"> British Columbia </w:t>
      </w:r>
      <w:r w:rsidRPr="007471AC">
        <w:rPr>
          <w:rFonts w:asciiTheme="majorHAnsi" w:hAnsiTheme="majorHAnsi" w:cs="Times New Roman"/>
          <w:sz w:val="22"/>
          <w:szCs w:val="22"/>
        </w:rPr>
        <w:t>[1993] 3 SCR 519 at 594-95.</w:t>
      </w:r>
    </w:p>
    <w:p w14:paraId="37972068" w14:textId="7FC9BEFC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44. </w:t>
      </w:r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164.</w:t>
      </w:r>
    </w:p>
    <w:p w14:paraId="270B9D96" w14:textId="77CEF182" w:rsidR="00E062C2" w:rsidRPr="00E062C2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45. As noted by the Court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132, although in the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case, the unanimous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Court held that the government’s decision should be struck down on either of the two views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 xml:space="preserve">expressed in </w:t>
      </w:r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. For an account of </w:t>
      </w:r>
      <w:proofErr w:type="spellStart"/>
      <w:r w:rsidR="00332438" w:rsidRPr="00332438">
        <w:rPr>
          <w:rFonts w:asciiTheme="majorHAnsi" w:hAnsiTheme="majorHAnsi" w:cs="Times New Roman"/>
          <w:i/>
          <w:sz w:val="22"/>
          <w:szCs w:val="22"/>
        </w:rPr>
        <w:t>Chaoulli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and of the unsettled state of the arbitrari</w:t>
      </w:r>
      <w:r w:rsidRPr="007471AC">
        <w:rPr>
          <w:rFonts w:asciiTheme="majorHAnsi" w:hAnsiTheme="majorHAnsi" w:cs="¿@˚ø◊ƒ‚"/>
          <w:sz w:val="22"/>
          <w:szCs w:val="22"/>
        </w:rPr>
        <w:t>ness</w:t>
      </w:r>
      <w:r>
        <w:rPr>
          <w:rFonts w:asciiTheme="majorHAnsi" w:hAnsiTheme="majorHAnsi" w:cs="¿@˚ø◊ƒ‚"/>
          <w:sz w:val="22"/>
          <w:szCs w:val="22"/>
        </w:rPr>
        <w:t xml:space="preserve"> </w:t>
      </w:r>
      <w:r w:rsidRPr="007471AC">
        <w:rPr>
          <w:rFonts w:asciiTheme="majorHAnsi" w:hAnsiTheme="majorHAnsi" w:cs="¿@˚ø◊ƒ‚"/>
          <w:sz w:val="22"/>
          <w:szCs w:val="22"/>
        </w:rPr>
        <w:t xml:space="preserve">doctrine, see Robert J Sharpe &amp; Kent Roach, </w:t>
      </w:r>
      <w:r w:rsidRPr="007471AC">
        <w:rPr>
          <w:rFonts w:asciiTheme="majorHAnsi" w:hAnsiTheme="majorHAnsi" w:cs="Times New Roman"/>
          <w:sz w:val="22"/>
          <w:szCs w:val="22"/>
        </w:rPr>
        <w:t>The Charter</w:t>
      </w:r>
      <w:r>
        <w:rPr>
          <w:rFonts w:asciiTheme="majorHAnsi" w:hAnsiTheme="majorHAnsi" w:cs="Times New Roman"/>
          <w:sz w:val="22"/>
          <w:szCs w:val="22"/>
        </w:rPr>
        <w:t xml:space="preserve"> of Rights and Freedoms, 5th </w:t>
      </w:r>
      <w:proofErr w:type="spellStart"/>
      <w:proofErr w:type="gramStart"/>
      <w:r>
        <w:rPr>
          <w:rFonts w:asciiTheme="majorHAnsi" w:hAnsiTheme="majorHAnsi" w:cs="Times New Roman"/>
          <w:sz w:val="22"/>
          <w:szCs w:val="22"/>
        </w:rPr>
        <w:t>ed</w:t>
      </w:r>
      <w:proofErr w:type="spellEnd"/>
      <w:proofErr w:type="gramEnd"/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7471AC">
        <w:rPr>
          <w:rFonts w:asciiTheme="majorHAnsi" w:hAnsiTheme="majorHAnsi" w:cs="Times New Roman"/>
          <w:sz w:val="22"/>
          <w:szCs w:val="22"/>
        </w:rPr>
        <w:t>(Toronto: Irwin Law, 2013) at 249-52.</w:t>
      </w:r>
    </w:p>
    <w:p w14:paraId="03A93E9D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46.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Insite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, supra note 5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105.</w:t>
      </w:r>
    </w:p>
    <w:p w14:paraId="0ED3CC94" w14:textId="77777777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47. Ibid at </w:t>
      </w:r>
      <w:proofErr w:type="spellStart"/>
      <w:r w:rsidRPr="007471AC">
        <w:rPr>
          <w:rFonts w:asciiTheme="majorHAnsi" w:hAnsiTheme="majorHAnsi" w:cs="Times New Roman"/>
          <w:sz w:val="22"/>
          <w:szCs w:val="22"/>
        </w:rPr>
        <w:t>para</w:t>
      </w:r>
      <w:proofErr w:type="spellEnd"/>
      <w:r w:rsidRPr="007471AC">
        <w:rPr>
          <w:rFonts w:asciiTheme="majorHAnsi" w:hAnsiTheme="majorHAnsi" w:cs="Times New Roman"/>
          <w:sz w:val="22"/>
          <w:szCs w:val="22"/>
        </w:rPr>
        <w:t xml:space="preserve"> 140.</w:t>
      </w:r>
    </w:p>
    <w:p w14:paraId="5A3D0320" w14:textId="20020A7C" w:rsidR="00E062C2" w:rsidRPr="007471AC" w:rsidRDefault="00E062C2" w:rsidP="00E062C2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7471AC">
        <w:rPr>
          <w:rFonts w:asciiTheme="majorHAnsi" w:hAnsiTheme="majorHAnsi" w:cs="Times New Roman"/>
          <w:sz w:val="22"/>
          <w:szCs w:val="22"/>
        </w:rPr>
        <w:t xml:space="preserve">48. See Timothy Endicott, Administrative Law, 2d </w:t>
      </w:r>
      <w:proofErr w:type="spellStart"/>
      <w:proofErr w:type="gramStart"/>
      <w:r w:rsidRPr="007471AC">
        <w:rPr>
          <w:rFonts w:asciiTheme="majorHAnsi" w:hAnsiTheme="majorHAnsi" w:cs="Times New Roman"/>
          <w:sz w:val="22"/>
          <w:szCs w:val="22"/>
        </w:rPr>
        <w:t>ed</w:t>
      </w:r>
      <w:proofErr w:type="spellEnd"/>
      <w:proofErr w:type="gramEnd"/>
      <w:r w:rsidRPr="007471AC">
        <w:rPr>
          <w:rFonts w:asciiTheme="majorHAnsi" w:hAnsiTheme="majorHAnsi" w:cs="Times New Roman"/>
          <w:sz w:val="22"/>
          <w:szCs w:val="22"/>
        </w:rPr>
        <w:t xml:space="preserve"> (Oxford: Ox</w:t>
      </w:r>
      <w:r>
        <w:rPr>
          <w:rFonts w:asciiTheme="majorHAnsi" w:hAnsiTheme="majorHAnsi" w:cs="Times New Roman"/>
          <w:sz w:val="22"/>
          <w:szCs w:val="22"/>
        </w:rPr>
        <w:t xml:space="preserve">ford University Press, 2011) at </w:t>
      </w:r>
      <w:r w:rsidRPr="007471AC">
        <w:rPr>
          <w:rFonts w:asciiTheme="majorHAnsi" w:hAnsiTheme="majorHAnsi" w:cs="Times New Roman"/>
          <w:sz w:val="22"/>
          <w:szCs w:val="22"/>
        </w:rPr>
        <w:t>7-9.</w:t>
      </w:r>
    </w:p>
    <w:p w14:paraId="71ADC6F4" w14:textId="77777777" w:rsidR="00E062C2" w:rsidRPr="007471AC" w:rsidRDefault="00E062C2" w:rsidP="00E062C2">
      <w:pPr>
        <w:rPr>
          <w:rFonts w:asciiTheme="majorHAnsi" w:hAnsiTheme="majorHAnsi"/>
          <w:sz w:val="22"/>
          <w:szCs w:val="22"/>
        </w:rPr>
      </w:pPr>
    </w:p>
    <w:p w14:paraId="746C9F4C" w14:textId="750F0CAF" w:rsidR="00E062C2" w:rsidRDefault="000B4CAE" w:rsidP="007471AC">
      <w:p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sectPr w:rsidR="00E062C2" w:rsidSect="00D64D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¿@˚ø◊ƒ‚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AC"/>
    <w:rsid w:val="000564CE"/>
    <w:rsid w:val="000B4CAE"/>
    <w:rsid w:val="0014022E"/>
    <w:rsid w:val="00332438"/>
    <w:rsid w:val="0044058E"/>
    <w:rsid w:val="00664EA2"/>
    <w:rsid w:val="007471AC"/>
    <w:rsid w:val="009F76B6"/>
    <w:rsid w:val="00AC4E59"/>
    <w:rsid w:val="00B60212"/>
    <w:rsid w:val="00C3513D"/>
    <w:rsid w:val="00D64D02"/>
    <w:rsid w:val="00D974BB"/>
    <w:rsid w:val="00DC3344"/>
    <w:rsid w:val="00E062C2"/>
    <w:rsid w:val="00E1397B"/>
    <w:rsid w:val="00E310A1"/>
    <w:rsid w:val="00E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5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12387</Words>
  <Characters>61192</Characters>
  <Application>Microsoft Macintosh Word</Application>
  <DocSecurity>0</DocSecurity>
  <Lines>1112</Lines>
  <Paragraphs>152</Paragraphs>
  <ScaleCrop>false</ScaleCrop>
  <Company>Law Faculty - Oxford University</Company>
  <LinksUpToDate>false</LinksUpToDate>
  <CharactersWithSpaces>73427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Endicott</dc:creator>
  <cp:keywords/>
  <dc:description/>
  <cp:lastModifiedBy>Timothy Endicott</cp:lastModifiedBy>
  <cp:revision>12</cp:revision>
  <dcterms:created xsi:type="dcterms:W3CDTF">2015-06-22T15:15:00Z</dcterms:created>
  <dcterms:modified xsi:type="dcterms:W3CDTF">2015-06-22T16:05:00Z</dcterms:modified>
</cp:coreProperties>
</file>