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21CAE" w14:textId="58D03892" w:rsidR="00663090" w:rsidRPr="00663090" w:rsidRDefault="00124073" w:rsidP="00663090">
      <w:pPr>
        <w:pStyle w:val="Title"/>
      </w:pPr>
      <w:r>
        <w:rPr>
          <w:noProof/>
          <w:lang w:eastAsia="en-GB"/>
        </w:rPr>
        <w:drawing>
          <wp:anchor distT="0" distB="0" distL="114300" distR="114300" simplePos="0" relativeHeight="251661312" behindDoc="0" locked="0" layoutInCell="1" allowOverlap="1" wp14:anchorId="5951AFDE" wp14:editId="7AE90776">
            <wp:simplePos x="0" y="0"/>
            <wp:positionH relativeFrom="column">
              <wp:posOffset>5156835</wp:posOffset>
            </wp:positionH>
            <wp:positionV relativeFrom="paragraph">
              <wp:posOffset>-425450</wp:posOffset>
            </wp:positionV>
            <wp:extent cx="1013460" cy="1013460"/>
            <wp:effectExtent l="0" t="0" r="0" b="0"/>
            <wp:wrapNone/>
            <wp:docPr id="4" name="Picture 4" descr="http://www.thesgc.org/sites/default/files/TEP-logo.png"/>
            <wp:cNvGraphicFramePr/>
            <a:graphic xmlns:a="http://schemas.openxmlformats.org/drawingml/2006/main">
              <a:graphicData uri="http://schemas.openxmlformats.org/drawingml/2006/picture">
                <pic:pic xmlns:pic="http://schemas.openxmlformats.org/drawingml/2006/picture">
                  <pic:nvPicPr>
                    <pic:cNvPr id="4" name="Picture 4" descr="http://www.thesgc.org/sites/default/files/TEP-logo.pn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anchor>
        </w:drawing>
      </w:r>
      <w:r>
        <w:rPr>
          <w:noProof/>
          <w:lang w:eastAsia="en-GB"/>
        </w:rPr>
        <w:drawing>
          <wp:anchor distT="0" distB="0" distL="114300" distR="114300" simplePos="0" relativeHeight="251660288" behindDoc="0" locked="0" layoutInCell="1" allowOverlap="1" wp14:anchorId="06B202EF" wp14:editId="1886BEB9">
            <wp:simplePos x="0" y="0"/>
            <wp:positionH relativeFrom="column">
              <wp:posOffset>0</wp:posOffset>
            </wp:positionH>
            <wp:positionV relativeFrom="paragraph">
              <wp:posOffset>-438785</wp:posOffset>
            </wp:positionV>
            <wp:extent cx="984250" cy="467360"/>
            <wp:effectExtent l="0" t="0" r="6350" b="8890"/>
            <wp:wrapNone/>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4250" cy="467360"/>
                    </a:xfrm>
                    <a:prstGeom prst="rect">
                      <a:avLst/>
                    </a:prstGeom>
                    <a:noFill/>
                  </pic:spPr>
                </pic:pic>
              </a:graphicData>
            </a:graphic>
          </wp:anchor>
        </w:drawing>
      </w:r>
      <w:r w:rsidR="007E62DB">
        <w:t>Human RECQL5 helicase</w:t>
      </w:r>
    </w:p>
    <w:p w14:paraId="5A72F469" w14:textId="77777777" w:rsidR="00EF1205" w:rsidRDefault="00663090" w:rsidP="00663090">
      <w:pPr>
        <w:pStyle w:val="Heading1"/>
      </w:pPr>
      <w:r w:rsidRPr="00663090">
        <w:t xml:space="preserve">A </w:t>
      </w:r>
      <w:r w:rsidR="00EF1205" w:rsidRPr="00663090">
        <w:t>Target Enabling Package</w:t>
      </w:r>
      <w:r w:rsidR="001A4267" w:rsidRPr="00663090">
        <w:t xml:space="preserve"> </w:t>
      </w:r>
    </w:p>
    <w:p w14:paraId="071738A4" w14:textId="77777777" w:rsidR="00EF1205" w:rsidRPr="00EF1205" w:rsidRDefault="00EF1205" w:rsidP="00EF120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8"/>
        <w:gridCol w:w="7724"/>
      </w:tblGrid>
      <w:tr w:rsidR="00D221BA" w:rsidRPr="00FA50DE" w14:paraId="3CB5964E" w14:textId="77777777" w:rsidTr="001D1C0E">
        <w:trPr>
          <w:trHeight w:val="310"/>
        </w:trPr>
        <w:tc>
          <w:tcPr>
            <w:tcW w:w="0" w:type="auto"/>
            <w:shd w:val="clear" w:color="auto" w:fill="F2F2F2" w:themeFill="background1" w:themeFillShade="F2"/>
          </w:tcPr>
          <w:p w14:paraId="20E4A38D" w14:textId="50734141" w:rsidR="00EF1205" w:rsidRPr="00FA50DE" w:rsidRDefault="007E62DB" w:rsidP="00FA50DE">
            <w:pPr>
              <w:spacing w:before="20" w:after="0" w:line="240" w:lineRule="auto"/>
              <w:rPr>
                <w:rFonts w:ascii="Arial" w:eastAsia="Times New Roman" w:hAnsi="Arial" w:cs="Arial"/>
                <w:b/>
                <w:sz w:val="20"/>
                <w:szCs w:val="20"/>
              </w:rPr>
            </w:pPr>
            <w:proofErr w:type="spellStart"/>
            <w:r>
              <w:rPr>
                <w:rFonts w:ascii="Arial" w:eastAsia="Times New Roman" w:hAnsi="Arial" w:cs="Arial"/>
                <w:b/>
                <w:sz w:val="20"/>
                <w:szCs w:val="20"/>
              </w:rPr>
              <w:t>Uniprot</w:t>
            </w:r>
            <w:proofErr w:type="spellEnd"/>
            <w:r>
              <w:rPr>
                <w:rFonts w:ascii="Arial" w:eastAsia="Times New Roman" w:hAnsi="Arial" w:cs="Arial"/>
                <w:b/>
                <w:sz w:val="20"/>
                <w:szCs w:val="20"/>
              </w:rPr>
              <w:t xml:space="preserve"> ID</w:t>
            </w:r>
            <w:r w:rsidR="001D1C0E">
              <w:rPr>
                <w:rFonts w:ascii="Arial" w:eastAsia="Times New Roman" w:hAnsi="Arial" w:cs="Arial"/>
                <w:b/>
                <w:sz w:val="20"/>
                <w:szCs w:val="20"/>
              </w:rPr>
              <w:t>/EC</w:t>
            </w:r>
          </w:p>
        </w:tc>
        <w:tc>
          <w:tcPr>
            <w:tcW w:w="0" w:type="auto"/>
          </w:tcPr>
          <w:p w14:paraId="7E6325FF" w14:textId="576DBCC1" w:rsidR="00EF1205" w:rsidRPr="001D1C0E" w:rsidRDefault="001D1C0E" w:rsidP="001D1C0E">
            <w:pPr>
              <w:spacing w:before="20" w:after="0" w:line="240" w:lineRule="auto"/>
              <w:rPr>
                <w:rFonts w:ascii="Arial" w:eastAsia="Times New Roman" w:hAnsi="Arial" w:cs="Arial"/>
              </w:rPr>
            </w:pPr>
            <w:r w:rsidRPr="001D1C0E">
              <w:rPr>
                <w:rFonts w:ascii="Arial" w:eastAsia="Times New Roman" w:hAnsi="Arial" w:cs="Arial"/>
              </w:rPr>
              <w:t>O94762/ 3.6.4.12</w:t>
            </w:r>
          </w:p>
        </w:tc>
      </w:tr>
      <w:tr w:rsidR="00D221BA" w:rsidRPr="00EF1205" w14:paraId="4593953E" w14:textId="77777777" w:rsidTr="001D1C0E">
        <w:tc>
          <w:tcPr>
            <w:tcW w:w="0" w:type="auto"/>
            <w:shd w:val="clear" w:color="auto" w:fill="F2F2F2" w:themeFill="background1" w:themeFillShade="F2"/>
          </w:tcPr>
          <w:p w14:paraId="1D54131E" w14:textId="77777777" w:rsidR="00EF1205" w:rsidRPr="00EF1205" w:rsidRDefault="00EF1205" w:rsidP="00FA50DE">
            <w:pPr>
              <w:spacing w:before="20" w:after="0" w:line="240" w:lineRule="auto"/>
              <w:rPr>
                <w:rFonts w:ascii="Arial" w:eastAsia="Times New Roman" w:hAnsi="Arial" w:cs="Arial"/>
                <w:b/>
                <w:sz w:val="20"/>
              </w:rPr>
            </w:pPr>
            <w:r w:rsidRPr="0052495C">
              <w:rPr>
                <w:rFonts w:ascii="Arial" w:eastAsia="Times New Roman" w:hAnsi="Arial" w:cs="Arial"/>
                <w:b/>
                <w:sz w:val="20"/>
              </w:rPr>
              <w:t>Target Nominator</w:t>
            </w:r>
          </w:p>
        </w:tc>
        <w:tc>
          <w:tcPr>
            <w:tcW w:w="0" w:type="auto"/>
          </w:tcPr>
          <w:p w14:paraId="3D6E2523" w14:textId="77777777" w:rsidR="00EF1205" w:rsidRPr="00EF1205" w:rsidRDefault="00EF1205" w:rsidP="00FA50DE">
            <w:pPr>
              <w:spacing w:before="20" w:after="0" w:line="240" w:lineRule="auto"/>
              <w:rPr>
                <w:rFonts w:ascii="Arial" w:eastAsia="Times New Roman" w:hAnsi="Arial" w:cs="Arial"/>
              </w:rPr>
            </w:pPr>
            <w:r w:rsidRPr="00EF1205">
              <w:rPr>
                <w:rFonts w:ascii="Arial" w:eastAsia="Times New Roman" w:hAnsi="Arial" w:cs="Arial"/>
              </w:rPr>
              <w:fldChar w:fldCharType="begin"/>
            </w:r>
            <w:r w:rsidRPr="00EF1205">
              <w:rPr>
                <w:rFonts w:ascii="Arial" w:eastAsia="Times New Roman" w:hAnsi="Arial" w:cs="Arial"/>
              </w:rPr>
              <w:instrText xml:space="preserve"> FORMTEXT __</w:instrText>
            </w:r>
            <w:r w:rsidR="004B66F4">
              <w:rPr>
                <w:rFonts w:ascii="Arial" w:eastAsia="Times New Roman" w:hAnsi="Arial" w:cs="Arial"/>
              </w:rPr>
              <w:fldChar w:fldCharType="separate"/>
            </w:r>
            <w:r w:rsidRPr="00EF1205">
              <w:rPr>
                <w:rFonts w:ascii="Arial" w:eastAsia="Times New Roman" w:hAnsi="Arial" w:cs="Arial"/>
              </w:rPr>
              <w:fldChar w:fldCharType="end"/>
            </w:r>
          </w:p>
        </w:tc>
      </w:tr>
      <w:tr w:rsidR="002741AE" w:rsidRPr="00EF1205" w14:paraId="523B4F13" w14:textId="77777777" w:rsidTr="001D1C0E">
        <w:tc>
          <w:tcPr>
            <w:tcW w:w="0" w:type="auto"/>
            <w:shd w:val="clear" w:color="auto" w:fill="F2F2F2" w:themeFill="background1" w:themeFillShade="F2"/>
          </w:tcPr>
          <w:p w14:paraId="54C652ED" w14:textId="48556644" w:rsidR="002741AE" w:rsidRPr="0052495C" w:rsidRDefault="002741AE" w:rsidP="00FA50DE">
            <w:pPr>
              <w:spacing w:before="20" w:after="0" w:line="240" w:lineRule="auto"/>
              <w:rPr>
                <w:rFonts w:ascii="Arial" w:eastAsia="Times New Roman" w:hAnsi="Arial" w:cs="Arial"/>
                <w:b/>
                <w:sz w:val="20"/>
              </w:rPr>
            </w:pPr>
            <w:r>
              <w:rPr>
                <w:rFonts w:ascii="Arial" w:eastAsia="Times New Roman" w:hAnsi="Arial" w:cs="Arial"/>
                <w:b/>
                <w:sz w:val="20"/>
              </w:rPr>
              <w:t>Authors</w:t>
            </w:r>
          </w:p>
        </w:tc>
        <w:tc>
          <w:tcPr>
            <w:tcW w:w="0" w:type="auto"/>
          </w:tcPr>
          <w:p w14:paraId="57682AB5" w14:textId="4FAD9A4A" w:rsidR="002741AE" w:rsidRPr="00EF1205" w:rsidRDefault="002741AE" w:rsidP="00FA50DE">
            <w:pPr>
              <w:spacing w:before="20" w:after="0" w:line="240" w:lineRule="auto"/>
              <w:rPr>
                <w:rFonts w:ascii="Arial" w:eastAsia="Times New Roman" w:hAnsi="Arial" w:cs="Arial"/>
              </w:rPr>
            </w:pPr>
            <w:r>
              <w:rPr>
                <w:rFonts w:ascii="Arial" w:eastAsia="Times New Roman" w:hAnsi="Arial" w:cs="Arial"/>
              </w:rPr>
              <w:t>Joseph A Newman, Hazel Aitkenhead, Pavel Savitsky, Opher Gileadi</w:t>
            </w:r>
          </w:p>
        </w:tc>
      </w:tr>
      <w:tr w:rsidR="00D221BA" w:rsidRPr="00EF1205" w14:paraId="0010BB02" w14:textId="77777777" w:rsidTr="001D1C0E">
        <w:tc>
          <w:tcPr>
            <w:tcW w:w="0" w:type="auto"/>
            <w:shd w:val="clear" w:color="auto" w:fill="F2F2F2" w:themeFill="background1" w:themeFillShade="F2"/>
          </w:tcPr>
          <w:p w14:paraId="49D14A15" w14:textId="77777777" w:rsidR="00EF1205" w:rsidRPr="00EF1205" w:rsidRDefault="00EF1205" w:rsidP="00FA50DE">
            <w:pPr>
              <w:spacing w:before="20" w:after="0" w:line="240" w:lineRule="auto"/>
              <w:rPr>
                <w:rFonts w:ascii="Arial" w:eastAsia="Times New Roman" w:hAnsi="Arial" w:cs="Arial"/>
                <w:b/>
                <w:sz w:val="20"/>
              </w:rPr>
            </w:pPr>
            <w:r w:rsidRPr="0052495C">
              <w:rPr>
                <w:rFonts w:ascii="Arial" w:eastAsia="Times New Roman" w:hAnsi="Arial" w:cs="Arial"/>
                <w:b/>
                <w:sz w:val="20"/>
              </w:rPr>
              <w:t>Target PI</w:t>
            </w:r>
          </w:p>
        </w:tc>
        <w:tc>
          <w:tcPr>
            <w:tcW w:w="0" w:type="auto"/>
          </w:tcPr>
          <w:p w14:paraId="7D13EA4E" w14:textId="632B20B5" w:rsidR="00EF1205" w:rsidRPr="00EF1205" w:rsidRDefault="007E62DB" w:rsidP="00FA50DE">
            <w:pPr>
              <w:spacing w:before="20" w:after="0" w:line="240" w:lineRule="auto"/>
              <w:rPr>
                <w:rFonts w:ascii="Arial" w:eastAsia="Times New Roman" w:hAnsi="Arial" w:cs="Arial"/>
              </w:rPr>
            </w:pPr>
            <w:r>
              <w:rPr>
                <w:rFonts w:ascii="Arial" w:eastAsia="Times New Roman" w:hAnsi="Arial" w:cs="Arial"/>
              </w:rPr>
              <w:t>Opher Gileadi</w:t>
            </w:r>
            <w:r w:rsidR="001D1C0E">
              <w:rPr>
                <w:rFonts w:ascii="Arial" w:eastAsia="Times New Roman" w:hAnsi="Arial" w:cs="Arial"/>
              </w:rPr>
              <w:t xml:space="preserve"> (Oxford)</w:t>
            </w:r>
            <w:r w:rsidR="00EF1205" w:rsidRPr="00EF1205">
              <w:rPr>
                <w:rFonts w:ascii="Arial" w:eastAsia="Times New Roman" w:hAnsi="Arial" w:cs="Arial"/>
              </w:rPr>
              <w:fldChar w:fldCharType="begin"/>
            </w:r>
            <w:r w:rsidR="00EF1205" w:rsidRPr="00EF1205">
              <w:rPr>
                <w:rFonts w:ascii="Arial" w:eastAsia="Times New Roman" w:hAnsi="Arial" w:cs="Arial"/>
              </w:rPr>
              <w:instrText xml:space="preserve"> FORMTEXT __</w:instrText>
            </w:r>
            <w:r w:rsidR="004B66F4">
              <w:rPr>
                <w:rFonts w:ascii="Arial" w:eastAsia="Times New Roman" w:hAnsi="Arial" w:cs="Arial"/>
              </w:rPr>
              <w:fldChar w:fldCharType="separate"/>
            </w:r>
            <w:r w:rsidR="00EF1205" w:rsidRPr="00EF1205">
              <w:rPr>
                <w:rFonts w:ascii="Arial" w:eastAsia="Times New Roman" w:hAnsi="Arial" w:cs="Arial"/>
              </w:rPr>
              <w:fldChar w:fldCharType="end"/>
            </w:r>
          </w:p>
        </w:tc>
      </w:tr>
      <w:tr w:rsidR="00D221BA" w:rsidRPr="00EF1205" w14:paraId="7669FCD8" w14:textId="77777777" w:rsidTr="001D1C0E">
        <w:tc>
          <w:tcPr>
            <w:tcW w:w="0" w:type="auto"/>
            <w:shd w:val="clear" w:color="auto" w:fill="F2F2F2" w:themeFill="background1" w:themeFillShade="F2"/>
          </w:tcPr>
          <w:p w14:paraId="1CE2FB31" w14:textId="77777777" w:rsidR="00571BE4" w:rsidRPr="0052495C" w:rsidRDefault="00571BE4" w:rsidP="00FA50DE">
            <w:pPr>
              <w:spacing w:before="20" w:after="0" w:line="240" w:lineRule="auto"/>
              <w:rPr>
                <w:rFonts w:ascii="Arial" w:eastAsia="Times New Roman" w:hAnsi="Arial" w:cs="Arial"/>
                <w:b/>
                <w:sz w:val="20"/>
              </w:rPr>
            </w:pPr>
            <w:r>
              <w:rPr>
                <w:rFonts w:ascii="Arial" w:eastAsia="Times New Roman" w:hAnsi="Arial" w:cs="Arial"/>
                <w:b/>
                <w:sz w:val="20"/>
              </w:rPr>
              <w:t>Therapeutic Area</w:t>
            </w:r>
          </w:p>
        </w:tc>
        <w:tc>
          <w:tcPr>
            <w:tcW w:w="0" w:type="auto"/>
          </w:tcPr>
          <w:p w14:paraId="4ACB5ADF" w14:textId="518FE9ED" w:rsidR="00571BE4" w:rsidRDefault="007E62DB" w:rsidP="00FA50DE">
            <w:pPr>
              <w:spacing w:before="20" w:after="0" w:line="240" w:lineRule="auto"/>
              <w:rPr>
                <w:rFonts w:ascii="Arial" w:eastAsia="Times New Roman" w:hAnsi="Arial" w:cs="Arial"/>
              </w:rPr>
            </w:pPr>
            <w:r>
              <w:rPr>
                <w:rFonts w:ascii="Arial" w:eastAsia="Times New Roman" w:hAnsi="Arial" w:cs="Arial"/>
              </w:rPr>
              <w:t>Cancer</w:t>
            </w:r>
          </w:p>
        </w:tc>
      </w:tr>
      <w:tr w:rsidR="00D221BA" w:rsidRPr="00EF1205" w14:paraId="24A62DD3" w14:textId="77777777" w:rsidTr="001D1C0E">
        <w:tc>
          <w:tcPr>
            <w:tcW w:w="0" w:type="auto"/>
            <w:shd w:val="clear" w:color="auto" w:fill="F2F2F2" w:themeFill="background1" w:themeFillShade="F2"/>
          </w:tcPr>
          <w:p w14:paraId="5B15D085" w14:textId="77777777" w:rsidR="00EF1205" w:rsidRPr="0052495C" w:rsidRDefault="00EF1205" w:rsidP="00FA50DE">
            <w:pPr>
              <w:spacing w:before="20" w:after="0" w:line="240" w:lineRule="auto"/>
              <w:rPr>
                <w:rFonts w:ascii="Arial" w:eastAsia="Times New Roman" w:hAnsi="Arial" w:cs="Arial"/>
                <w:b/>
                <w:sz w:val="20"/>
              </w:rPr>
            </w:pPr>
            <w:r w:rsidRPr="0052495C">
              <w:rPr>
                <w:rFonts w:ascii="Arial" w:eastAsia="Times New Roman" w:hAnsi="Arial" w:cs="Arial"/>
                <w:b/>
                <w:sz w:val="20"/>
              </w:rPr>
              <w:t>Disease Relevance</w:t>
            </w:r>
          </w:p>
        </w:tc>
        <w:tc>
          <w:tcPr>
            <w:tcW w:w="0" w:type="auto"/>
          </w:tcPr>
          <w:p w14:paraId="6EED6770" w14:textId="41A69AA4" w:rsidR="00EF1205" w:rsidRPr="001D1C0E" w:rsidRDefault="001D1C0E" w:rsidP="00FA50DE">
            <w:pPr>
              <w:spacing w:before="20" w:after="0" w:line="240" w:lineRule="auto"/>
              <w:rPr>
                <w:rFonts w:ascii="Arial" w:eastAsia="Times New Roman" w:hAnsi="Arial" w:cs="Arial"/>
              </w:rPr>
            </w:pPr>
            <w:r>
              <w:rPr>
                <w:rFonts w:ascii="Arial" w:eastAsia="Times New Roman" w:hAnsi="Arial" w:cs="Arial"/>
              </w:rPr>
              <w:t xml:space="preserve">RECQL5 is a validated synthetic lethal target in </w:t>
            </w:r>
            <w:r w:rsidRPr="001D1C0E">
              <w:rPr>
                <w:rFonts w:ascii="Arial" w:eastAsia="Times New Roman" w:hAnsi="Arial" w:cs="Arial"/>
              </w:rPr>
              <w:t>myeloproliferative neoplasms</w:t>
            </w:r>
            <w:r>
              <w:rPr>
                <w:rFonts w:ascii="Arial" w:eastAsia="Times New Roman" w:hAnsi="Arial" w:cs="Arial"/>
              </w:rPr>
              <w:t xml:space="preserve"> </w:t>
            </w:r>
          </w:p>
        </w:tc>
      </w:tr>
      <w:tr w:rsidR="00D221BA" w:rsidRPr="00EF1205" w14:paraId="2C49D269" w14:textId="77777777" w:rsidTr="001D1C0E">
        <w:tc>
          <w:tcPr>
            <w:tcW w:w="0" w:type="auto"/>
            <w:shd w:val="clear" w:color="auto" w:fill="F2F2F2" w:themeFill="background1" w:themeFillShade="F2"/>
          </w:tcPr>
          <w:p w14:paraId="1638AE21" w14:textId="77777777" w:rsidR="001A4267" w:rsidRPr="0052495C" w:rsidRDefault="001A4267" w:rsidP="00FA50DE">
            <w:pPr>
              <w:spacing w:before="20" w:after="0" w:line="240" w:lineRule="auto"/>
              <w:rPr>
                <w:rFonts w:ascii="Arial" w:eastAsia="Times New Roman" w:hAnsi="Arial" w:cs="Arial"/>
                <w:b/>
                <w:sz w:val="20"/>
              </w:rPr>
            </w:pPr>
            <w:r>
              <w:rPr>
                <w:rFonts w:ascii="Arial" w:eastAsia="Times New Roman" w:hAnsi="Arial" w:cs="Arial"/>
                <w:b/>
                <w:sz w:val="20"/>
              </w:rPr>
              <w:t>Date</w:t>
            </w:r>
          </w:p>
        </w:tc>
        <w:tc>
          <w:tcPr>
            <w:tcW w:w="0" w:type="auto"/>
          </w:tcPr>
          <w:p w14:paraId="177CDD7D" w14:textId="1AE74DB4" w:rsidR="001A4267" w:rsidRDefault="001A4267" w:rsidP="00FA50DE">
            <w:pPr>
              <w:spacing w:before="20" w:after="0" w:line="240" w:lineRule="auto"/>
              <w:rPr>
                <w:rFonts w:ascii="Arial" w:eastAsia="Times New Roman" w:hAnsi="Arial" w:cs="Arial"/>
              </w:rPr>
            </w:pPr>
            <w:r>
              <w:rPr>
                <w:rFonts w:ascii="Arial" w:eastAsia="Times New Roman" w:hAnsi="Arial" w:cs="Arial"/>
              </w:rPr>
              <w:t>17</w:t>
            </w:r>
            <w:r w:rsidRPr="001A4267">
              <w:rPr>
                <w:rFonts w:ascii="Arial" w:eastAsia="Times New Roman" w:hAnsi="Arial" w:cs="Arial"/>
                <w:vertAlign w:val="superscript"/>
              </w:rPr>
              <w:t>th</w:t>
            </w:r>
            <w:r>
              <w:rPr>
                <w:rFonts w:ascii="Arial" w:eastAsia="Times New Roman" w:hAnsi="Arial" w:cs="Arial"/>
              </w:rPr>
              <w:t xml:space="preserve"> June 2016</w:t>
            </w:r>
            <w:r w:rsidR="0099722B">
              <w:rPr>
                <w:rFonts w:ascii="Arial" w:eastAsia="Times New Roman" w:hAnsi="Arial" w:cs="Arial"/>
              </w:rPr>
              <w:t>; updated 23</w:t>
            </w:r>
            <w:r w:rsidR="0099722B" w:rsidRPr="0099722B">
              <w:rPr>
                <w:rFonts w:ascii="Arial" w:eastAsia="Times New Roman" w:hAnsi="Arial" w:cs="Arial"/>
                <w:vertAlign w:val="superscript"/>
              </w:rPr>
              <w:t>rd</w:t>
            </w:r>
            <w:r w:rsidR="0099722B">
              <w:rPr>
                <w:rFonts w:ascii="Arial" w:eastAsia="Times New Roman" w:hAnsi="Arial" w:cs="Arial"/>
              </w:rPr>
              <w:t xml:space="preserve"> May 2017</w:t>
            </w:r>
          </w:p>
        </w:tc>
      </w:tr>
    </w:tbl>
    <w:p w14:paraId="2719E35B" w14:textId="77777777" w:rsidR="00EF1205" w:rsidRDefault="00EF1205" w:rsidP="00571BE4">
      <w:pPr>
        <w:spacing w:after="0"/>
      </w:pPr>
    </w:p>
    <w:tbl>
      <w:tblPr>
        <w:tblW w:w="9776" w:type="dxa"/>
        <w:tblLayout w:type="fixed"/>
        <w:tblLook w:val="0000" w:firstRow="0" w:lastRow="0" w:firstColumn="0" w:lastColumn="0" w:noHBand="0" w:noVBand="0"/>
      </w:tblPr>
      <w:tblGrid>
        <w:gridCol w:w="9776"/>
      </w:tblGrid>
      <w:tr w:rsidR="00E05DB5" w:rsidRPr="00E05DB5" w14:paraId="0EE712D1" w14:textId="77777777" w:rsidTr="006F6647">
        <w:trPr>
          <w:cantSplit/>
          <w:trHeight w:val="56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33F267" w14:textId="4860C571" w:rsidR="00E05DB5" w:rsidRPr="00E05DB5" w:rsidRDefault="00E05DB5" w:rsidP="006F6647">
            <w:pPr>
              <w:spacing w:after="0" w:line="240" w:lineRule="auto"/>
              <w:jc w:val="both"/>
              <w:rPr>
                <w:rFonts w:ascii="Arial" w:eastAsia="Times New Roman" w:hAnsi="Arial" w:cs="Arial"/>
                <w:b/>
                <w:bCs/>
                <w:sz w:val="20"/>
                <w:szCs w:val="24"/>
              </w:rPr>
            </w:pPr>
            <w:r w:rsidRPr="00E05DB5">
              <w:rPr>
                <w:rFonts w:ascii="Arial" w:eastAsia="Times New Roman" w:hAnsi="Arial" w:cs="Arial"/>
                <w:b/>
                <w:bCs/>
                <w:sz w:val="20"/>
                <w:szCs w:val="24"/>
              </w:rPr>
              <w:t>SUMMARY OF PROJECT</w:t>
            </w:r>
            <w:r w:rsidR="00571BE4">
              <w:rPr>
                <w:rFonts w:ascii="Arial" w:eastAsia="Times New Roman" w:hAnsi="Arial" w:cs="Arial"/>
                <w:b/>
                <w:bCs/>
                <w:sz w:val="20"/>
                <w:szCs w:val="24"/>
              </w:rPr>
              <w:t xml:space="preserve"> </w:t>
            </w:r>
          </w:p>
        </w:tc>
      </w:tr>
      <w:tr w:rsidR="00E05DB5" w:rsidRPr="00E05DB5" w14:paraId="053DA6D1"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16EFB69F" w14:textId="471C433D" w:rsidR="003321FB" w:rsidRPr="00AB6E9C" w:rsidRDefault="00C36214" w:rsidP="003321FB">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RECQL5 is a member of the RecQ family of helicase which have important functions in DNA repair pathways and maintenance of genome integrity. RECQL5 has recently been identified as a synthetic lethal candidate</w:t>
            </w:r>
            <w:r w:rsidR="00462A11" w:rsidRPr="00AB6E9C">
              <w:rPr>
                <w:rFonts w:ascii="Arial" w:eastAsia="Times New Roman" w:hAnsi="Arial" w:cs="Arial"/>
                <w:bCs/>
                <w:sz w:val="20"/>
                <w:szCs w:val="20"/>
              </w:rPr>
              <w:t xml:space="preserve"> in various haematological malignancies</w:t>
            </w:r>
            <w:r w:rsidRPr="00AB6E9C">
              <w:rPr>
                <w:rFonts w:ascii="Arial" w:eastAsia="Times New Roman" w:hAnsi="Arial" w:cs="Arial"/>
                <w:bCs/>
                <w:sz w:val="20"/>
                <w:szCs w:val="20"/>
              </w:rPr>
              <w:t xml:space="preserve"> </w:t>
            </w:r>
            <w:r w:rsidR="00462A11" w:rsidRPr="00AB6E9C">
              <w:rPr>
                <w:rFonts w:ascii="Arial" w:eastAsia="Times New Roman" w:hAnsi="Arial" w:cs="Arial"/>
                <w:bCs/>
                <w:sz w:val="20"/>
                <w:szCs w:val="20"/>
              </w:rPr>
              <w:t>and has been verified by knockdown to sensitize myeloproliferative neoplasms (MPN) to DNA damaging agents. In this TEP we have expressed purified and determined the first ever crystal structures of RECQL5, in both APO and ADP/Mg</w:t>
            </w:r>
            <w:r w:rsidR="00462A11" w:rsidRPr="00AB6E9C">
              <w:rPr>
                <w:rFonts w:ascii="Arial" w:eastAsia="Times New Roman" w:hAnsi="Arial" w:cs="Arial"/>
                <w:bCs/>
                <w:sz w:val="20"/>
                <w:szCs w:val="20"/>
                <w:vertAlign w:val="superscript"/>
              </w:rPr>
              <w:t>2+</w:t>
            </w:r>
            <w:r w:rsidR="00462A11" w:rsidRPr="00AB6E9C">
              <w:rPr>
                <w:rFonts w:ascii="Arial" w:eastAsia="Times New Roman" w:hAnsi="Arial" w:cs="Arial"/>
                <w:bCs/>
                <w:sz w:val="20"/>
                <w:szCs w:val="20"/>
              </w:rPr>
              <w:t xml:space="preserve"> bound forms which crystallize in two distinctly different conformations. </w:t>
            </w:r>
            <w:r w:rsidR="00462A11" w:rsidRPr="00AB6E9C">
              <w:rPr>
                <w:rFonts w:ascii="Arial" w:eastAsia="Times New Roman" w:hAnsi="Arial" w:cs="Arial"/>
                <w:bCs/>
                <w:i/>
                <w:sz w:val="20"/>
                <w:szCs w:val="20"/>
              </w:rPr>
              <w:t xml:space="preserve">In vitro </w:t>
            </w:r>
            <w:r w:rsidR="0003755C" w:rsidRPr="00AB6E9C">
              <w:rPr>
                <w:rFonts w:ascii="Arial" w:eastAsia="Times New Roman" w:hAnsi="Arial" w:cs="Arial"/>
                <w:bCs/>
                <w:sz w:val="20"/>
                <w:szCs w:val="20"/>
              </w:rPr>
              <w:t>DNA stimulated ATPase assays</w:t>
            </w:r>
            <w:r w:rsidR="00462A11" w:rsidRPr="00AB6E9C">
              <w:rPr>
                <w:rFonts w:ascii="Arial" w:eastAsia="Times New Roman" w:hAnsi="Arial" w:cs="Arial"/>
                <w:bCs/>
                <w:sz w:val="20"/>
                <w:szCs w:val="20"/>
              </w:rPr>
              <w:t xml:space="preserve"> suitable for high throughput screening have been developed as well as </w:t>
            </w:r>
            <w:r w:rsidR="0003755C" w:rsidRPr="00AB6E9C">
              <w:rPr>
                <w:rFonts w:ascii="Arial" w:eastAsia="Times New Roman" w:hAnsi="Arial" w:cs="Arial"/>
                <w:bCs/>
                <w:sz w:val="20"/>
                <w:szCs w:val="20"/>
              </w:rPr>
              <w:t xml:space="preserve">lower throughput orthogonal assays to verify potential hits. A fragment screening campaign has been initiated and single fragment hit has identified a potential allosteric site that may be targeted to block the transition between conformations that it thought to be part of the helicase mechanism. </w:t>
            </w:r>
            <w:r w:rsidR="003321FB" w:rsidRPr="00AB6E9C">
              <w:rPr>
                <w:rFonts w:ascii="Arial" w:eastAsia="Times New Roman" w:hAnsi="Arial" w:cs="Arial"/>
                <w:bCs/>
                <w:sz w:val="20"/>
                <w:szCs w:val="20"/>
              </w:rPr>
              <w:t xml:space="preserve">Finally included as part of the package we present 3 validated RECQL5 binding </w:t>
            </w:r>
            <w:proofErr w:type="spellStart"/>
            <w:r w:rsidR="003321FB" w:rsidRPr="00AB6E9C">
              <w:rPr>
                <w:rFonts w:ascii="Arial" w:eastAsia="Times New Roman" w:hAnsi="Arial" w:cs="Arial"/>
                <w:bCs/>
                <w:sz w:val="20"/>
                <w:szCs w:val="20"/>
              </w:rPr>
              <w:t>nanobodies</w:t>
            </w:r>
            <w:proofErr w:type="spellEnd"/>
            <w:r w:rsidR="003321FB" w:rsidRPr="00AB6E9C">
              <w:rPr>
                <w:rFonts w:ascii="Arial" w:eastAsia="Times New Roman" w:hAnsi="Arial" w:cs="Arial"/>
                <w:bCs/>
                <w:sz w:val="20"/>
                <w:szCs w:val="20"/>
              </w:rPr>
              <w:t xml:space="preserve">, one of which is a potent inhibitor of RECQL5 ATPase activity and is suitable for use as a tool reagent to investigate inhibition of RECQL5 and its complexes </w:t>
            </w:r>
            <w:r w:rsidR="003321FB" w:rsidRPr="00AB6E9C">
              <w:rPr>
                <w:rFonts w:ascii="Arial" w:eastAsia="Times New Roman" w:hAnsi="Arial" w:cs="Arial"/>
                <w:bCs/>
                <w:i/>
                <w:sz w:val="20"/>
                <w:szCs w:val="20"/>
              </w:rPr>
              <w:t>in vitro</w:t>
            </w:r>
            <w:r w:rsidR="003321FB" w:rsidRPr="00AB6E9C">
              <w:rPr>
                <w:rFonts w:asciiTheme="majorHAnsi" w:hAnsiTheme="majorHAnsi" w:cs="Arial"/>
                <w:sz w:val="20"/>
                <w:szCs w:val="20"/>
              </w:rPr>
              <w:t>.</w:t>
            </w:r>
          </w:p>
        </w:tc>
      </w:tr>
    </w:tbl>
    <w:p w14:paraId="2935441E" w14:textId="77777777" w:rsidR="00E05DB5" w:rsidRDefault="00E05DB5" w:rsidP="00571BE4">
      <w:pPr>
        <w:spacing w:after="0"/>
      </w:pPr>
    </w:p>
    <w:tbl>
      <w:tblPr>
        <w:tblW w:w="9776" w:type="dxa"/>
        <w:tblLayout w:type="fixed"/>
        <w:tblLook w:val="0000" w:firstRow="0" w:lastRow="0" w:firstColumn="0" w:lastColumn="0" w:noHBand="0" w:noVBand="0"/>
      </w:tblPr>
      <w:tblGrid>
        <w:gridCol w:w="9776"/>
      </w:tblGrid>
      <w:tr w:rsidR="00E05DB5" w:rsidRPr="00E05DB5" w14:paraId="6C02B20C" w14:textId="77777777" w:rsidTr="00A81A85">
        <w:trPr>
          <w:cantSplit/>
          <w:trHeight w:val="51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830278" w14:textId="06E89719" w:rsidR="00E05DB5" w:rsidRPr="00E05DB5" w:rsidRDefault="00E05DB5" w:rsidP="00725C4A">
            <w:pPr>
              <w:spacing w:after="0" w:line="240" w:lineRule="auto"/>
              <w:jc w:val="both"/>
              <w:rPr>
                <w:rFonts w:ascii="Arial" w:eastAsia="Times New Roman" w:hAnsi="Arial" w:cs="Arial"/>
                <w:b/>
                <w:bCs/>
                <w:sz w:val="20"/>
                <w:szCs w:val="24"/>
              </w:rPr>
            </w:pPr>
            <w:r>
              <w:rPr>
                <w:rFonts w:ascii="Arial" w:eastAsia="Times New Roman" w:hAnsi="Arial" w:cs="Arial"/>
                <w:b/>
                <w:bCs/>
                <w:sz w:val="20"/>
                <w:szCs w:val="24"/>
              </w:rPr>
              <w:t>SCIENTIFIC BACKGROUND</w:t>
            </w:r>
            <w:r w:rsidR="00571BE4">
              <w:rPr>
                <w:rFonts w:ascii="Arial" w:eastAsia="Times New Roman" w:hAnsi="Arial" w:cs="Arial"/>
                <w:b/>
                <w:bCs/>
                <w:sz w:val="20"/>
                <w:szCs w:val="24"/>
              </w:rPr>
              <w:t xml:space="preserve"> </w:t>
            </w:r>
          </w:p>
        </w:tc>
      </w:tr>
      <w:tr w:rsidR="00E05DB5" w:rsidRPr="008D5A70" w14:paraId="4154C971"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7B18A252" w14:textId="77777777" w:rsidR="003321FB" w:rsidRPr="00AB6E9C" w:rsidRDefault="003321FB" w:rsidP="003321FB">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Background</w:t>
            </w:r>
          </w:p>
          <w:p w14:paraId="36997B7D" w14:textId="0BC2B166" w:rsidR="003321FB" w:rsidRPr="00AB6E9C" w:rsidRDefault="003321FB" w:rsidP="003321FB">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 xml:space="preserve">Although the </w:t>
            </w:r>
            <w:r w:rsidR="0033600B" w:rsidRPr="00AB6E9C">
              <w:rPr>
                <w:rFonts w:ascii="Arial" w:eastAsia="Times New Roman" w:hAnsi="Arial" w:cs="Arial"/>
                <w:bCs/>
                <w:sz w:val="20"/>
                <w:szCs w:val="20"/>
              </w:rPr>
              <w:t>generally</w:t>
            </w:r>
            <w:r w:rsidRPr="00AB6E9C">
              <w:rPr>
                <w:rFonts w:ascii="Arial" w:eastAsia="Times New Roman" w:hAnsi="Arial" w:cs="Arial"/>
                <w:bCs/>
                <w:sz w:val="20"/>
                <w:szCs w:val="20"/>
              </w:rPr>
              <w:t xml:space="preserve"> </w:t>
            </w:r>
            <w:r w:rsidR="0033600B" w:rsidRPr="00AB6E9C">
              <w:rPr>
                <w:rFonts w:ascii="Arial" w:eastAsia="Times New Roman" w:hAnsi="Arial" w:cs="Arial"/>
                <w:bCs/>
                <w:sz w:val="20"/>
                <w:szCs w:val="20"/>
              </w:rPr>
              <w:t>considered</w:t>
            </w:r>
            <w:r w:rsidRPr="00AB6E9C">
              <w:rPr>
                <w:rFonts w:ascii="Arial" w:eastAsia="Times New Roman" w:hAnsi="Arial" w:cs="Arial"/>
                <w:bCs/>
                <w:sz w:val="20"/>
                <w:szCs w:val="20"/>
              </w:rPr>
              <w:t xml:space="preserve"> </w:t>
            </w:r>
            <w:r w:rsidR="00451FDA" w:rsidRPr="00AB6E9C">
              <w:rPr>
                <w:rFonts w:ascii="Arial" w:eastAsia="Times New Roman" w:hAnsi="Arial" w:cs="Arial"/>
                <w:bCs/>
                <w:sz w:val="20"/>
                <w:szCs w:val="20"/>
              </w:rPr>
              <w:t>to be</w:t>
            </w:r>
            <w:r w:rsidR="0033600B" w:rsidRPr="00AB6E9C">
              <w:rPr>
                <w:rFonts w:ascii="Arial" w:eastAsia="Times New Roman" w:hAnsi="Arial" w:cs="Arial"/>
                <w:bCs/>
                <w:sz w:val="20"/>
                <w:szCs w:val="20"/>
              </w:rPr>
              <w:t xml:space="preserve"> </w:t>
            </w:r>
            <w:r w:rsidRPr="00AB6E9C">
              <w:rPr>
                <w:rFonts w:ascii="Arial" w:eastAsia="Times New Roman" w:hAnsi="Arial" w:cs="Arial"/>
                <w:bCs/>
                <w:sz w:val="20"/>
                <w:szCs w:val="20"/>
              </w:rPr>
              <w:t>tumour suppressors, a number of recent studies have identified possible synthetic lethal relationships</w:t>
            </w:r>
            <w:r w:rsidR="0033600B" w:rsidRPr="00AB6E9C">
              <w:rPr>
                <w:rFonts w:ascii="Arial" w:eastAsia="Times New Roman" w:hAnsi="Arial" w:cs="Arial"/>
                <w:bCs/>
                <w:sz w:val="20"/>
                <w:szCs w:val="20"/>
              </w:rPr>
              <w:t xml:space="preserve"> for RecQ helicases</w:t>
            </w:r>
            <w:r w:rsidRPr="00AB6E9C">
              <w:rPr>
                <w:rFonts w:ascii="Arial" w:eastAsia="Times New Roman" w:hAnsi="Arial" w:cs="Arial"/>
                <w:bCs/>
                <w:sz w:val="20"/>
                <w:szCs w:val="20"/>
              </w:rPr>
              <w:t xml:space="preserve"> </w:t>
            </w:r>
            <w:r w:rsidRPr="00AB6E9C">
              <w:rPr>
                <w:rFonts w:ascii="Arial" w:eastAsia="Times New Roman" w:hAnsi="Arial" w:cs="Arial"/>
                <w:bCs/>
                <w:sz w:val="20"/>
                <w:szCs w:val="20"/>
              </w:rPr>
              <w:fldChar w:fldCharType="begin">
                <w:fldData xml:space="preserve">PEVuZE5vdGU+PENpdGU+PEF1dGhvcj5TYW5hZGE8L0F1dGhvcj48WWVhcj4yMDEzPC9ZZWFyPjxS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</w:fldData>
              </w:fldChar>
            </w:r>
            <w:r w:rsidR="00451FDA" w:rsidRPr="00AB6E9C">
              <w:rPr>
                <w:rFonts w:ascii="Arial" w:eastAsia="Times New Roman" w:hAnsi="Arial" w:cs="Arial"/>
                <w:bCs/>
                <w:sz w:val="20"/>
                <w:szCs w:val="20"/>
              </w:rPr>
              <w:instrText xml:space="preserve"> ADDIN EN.CITE </w:instrText>
            </w:r>
            <w:r w:rsidR="00451FDA" w:rsidRPr="00AB6E9C">
              <w:rPr>
                <w:rFonts w:ascii="Arial" w:eastAsia="Times New Roman" w:hAnsi="Arial" w:cs="Arial"/>
                <w:bCs/>
                <w:sz w:val="20"/>
                <w:szCs w:val="20"/>
              </w:rPr>
              <w:fldChar w:fldCharType="begin">
                <w:fldData xml:space="preserve">PEVuZE5vdGU+PENpdGU+PEF1dGhvcj5TYW5hZGE8L0F1dGhvcj48WWVhcj4yMDEzPC9ZZWFyPjxS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</w:fldData>
              </w:fldChar>
            </w:r>
            <w:r w:rsidR="00451FDA" w:rsidRPr="00AB6E9C">
              <w:rPr>
                <w:rFonts w:ascii="Arial" w:eastAsia="Times New Roman" w:hAnsi="Arial" w:cs="Arial"/>
                <w:bCs/>
                <w:sz w:val="20"/>
                <w:szCs w:val="20"/>
              </w:rPr>
              <w:instrText xml:space="preserve"> ADDIN EN.CITE.DATA </w:instrText>
            </w:r>
            <w:r w:rsidR="00451FDA" w:rsidRPr="00AB6E9C">
              <w:rPr>
                <w:rFonts w:ascii="Arial" w:eastAsia="Times New Roman" w:hAnsi="Arial" w:cs="Arial"/>
                <w:bCs/>
                <w:sz w:val="20"/>
                <w:szCs w:val="20"/>
              </w:rPr>
            </w:r>
            <w:r w:rsidR="00451FDA" w:rsidRPr="00AB6E9C">
              <w:rPr>
                <w:rFonts w:ascii="Arial" w:eastAsia="Times New Roman" w:hAnsi="Arial" w:cs="Arial"/>
                <w:bCs/>
                <w:sz w:val="20"/>
                <w:szCs w:val="20"/>
              </w:rPr>
              <w:fldChar w:fldCharType="end"/>
            </w:r>
            <w:r w:rsidRPr="00AB6E9C">
              <w:rPr>
                <w:rFonts w:ascii="Arial" w:eastAsia="Times New Roman" w:hAnsi="Arial" w:cs="Arial"/>
                <w:bCs/>
                <w:sz w:val="20"/>
                <w:szCs w:val="20"/>
              </w:rPr>
            </w:r>
            <w:r w:rsidRPr="00AB6E9C">
              <w:rPr>
                <w:rFonts w:ascii="Arial" w:eastAsia="Times New Roman" w:hAnsi="Arial" w:cs="Arial"/>
                <w:bCs/>
                <w:sz w:val="20"/>
                <w:szCs w:val="20"/>
              </w:rPr>
              <w:fldChar w:fldCharType="separate"/>
            </w:r>
            <w:r w:rsidR="00451FDA" w:rsidRPr="00AB6E9C">
              <w:rPr>
                <w:rFonts w:ascii="Arial" w:eastAsia="Times New Roman" w:hAnsi="Arial" w:cs="Arial"/>
                <w:bCs/>
                <w:noProof/>
                <w:sz w:val="20"/>
                <w:szCs w:val="20"/>
              </w:rPr>
              <w:t>(1-3)</w:t>
            </w:r>
            <w:r w:rsidRPr="00AB6E9C">
              <w:rPr>
                <w:rFonts w:ascii="Arial" w:eastAsia="Times New Roman" w:hAnsi="Arial" w:cs="Arial"/>
                <w:bCs/>
                <w:sz w:val="20"/>
                <w:szCs w:val="20"/>
              </w:rPr>
              <w:fldChar w:fldCharType="end"/>
            </w:r>
            <w:r w:rsidRPr="00AB6E9C">
              <w:rPr>
                <w:rFonts w:ascii="Arial" w:eastAsia="Times New Roman" w:hAnsi="Arial" w:cs="Arial"/>
                <w:bCs/>
                <w:sz w:val="20"/>
                <w:szCs w:val="20"/>
              </w:rPr>
              <w:t xml:space="preserve">. </w:t>
            </w:r>
            <w:r w:rsidR="00451FDA" w:rsidRPr="00AB6E9C">
              <w:rPr>
                <w:rFonts w:ascii="Arial" w:eastAsia="Times New Roman" w:hAnsi="Arial" w:cs="Arial"/>
                <w:bCs/>
                <w:sz w:val="20"/>
                <w:szCs w:val="20"/>
              </w:rPr>
              <w:t>A</w:t>
            </w:r>
            <w:r w:rsidRPr="00AB6E9C">
              <w:rPr>
                <w:rFonts w:ascii="Arial" w:eastAsia="Times New Roman" w:hAnsi="Arial" w:cs="Arial"/>
                <w:bCs/>
                <w:sz w:val="20"/>
                <w:szCs w:val="20"/>
              </w:rPr>
              <w:t xml:space="preserve"> recent analysis of expression data </w:t>
            </w:r>
            <w:r w:rsidR="00451FDA" w:rsidRPr="00AB6E9C">
              <w:rPr>
                <w:rFonts w:ascii="Arial" w:eastAsia="Times New Roman" w:hAnsi="Arial" w:cs="Arial"/>
                <w:bCs/>
                <w:sz w:val="20"/>
                <w:szCs w:val="20"/>
              </w:rPr>
              <w:t xml:space="preserve">in haematological malignancies found </w:t>
            </w:r>
            <w:r w:rsidRPr="00AB6E9C">
              <w:rPr>
                <w:rFonts w:ascii="Arial" w:eastAsia="Times New Roman" w:hAnsi="Arial" w:cs="Arial"/>
                <w:bCs/>
                <w:sz w:val="20"/>
                <w:szCs w:val="20"/>
              </w:rPr>
              <w:t xml:space="preserve">abnormal expression of at least one RecQ helicase was found in each of the cancer types studied </w:t>
            </w:r>
            <w:r w:rsidRPr="00AB6E9C">
              <w:rPr>
                <w:rFonts w:ascii="Arial" w:eastAsia="Times New Roman" w:hAnsi="Arial" w:cs="Arial"/>
                <w:bCs/>
                <w:sz w:val="20"/>
                <w:szCs w:val="20"/>
              </w:rPr>
              <w:fldChar w:fldCharType="begin"/>
            </w:r>
            <w:r w:rsidR="00F83C8F" w:rsidRPr="00AB6E9C">
              <w:rPr>
                <w:rFonts w:ascii="Arial" w:eastAsia="Times New Roman" w:hAnsi="Arial" w:cs="Arial"/>
                <w:bCs/>
                <w:sz w:val="20"/>
                <w:szCs w:val="20"/>
              </w:rPr>
              <w:instrText xml:space="preserve"> ADDIN EN.CITE &lt;EndNote&gt;&lt;Cite&gt;&lt;Author&gt;Viziteu&lt;/Author&gt;&lt;Year&gt;2016&lt;/Year&gt;&lt;RecNum&gt;140&lt;/RecNum&gt;&lt;DisplayText&gt;(2)&lt;/DisplayText&gt;&lt;record&gt;&lt;rec-number&gt;140&lt;/rec-number&gt;&lt;foreign-keys&gt;&lt;key app="EN" db-id="p9a5dzxan2zxs2etw075vwf9pzv29xdxxxs2" timestamp="1464091696"&gt;140&lt;/key&gt;&lt;/foreign-keys&gt;&lt;ref-type name="Journal Article"&gt;17&lt;/ref-type&gt;&lt;contributors&gt;&lt;authors&gt;&lt;author&gt;Viziteu, E.&lt;/author&gt;&lt;author&gt;Kassambara, A.&lt;/author&gt;&lt;author&gt;Pasero, P.&lt;/author&gt;&lt;author&gt;Klein, B.&lt;/author&gt;&lt;author&gt;Moreaux, J.&lt;/author&gt;&lt;/authors&gt;&lt;/contributors&gt;&lt;auth-address&gt;Institute of Human Genetics, CNRS-UPR1142, Montpellier, F-34396 France.&amp;#xD;Laboratory for Monitoring Innovative Therapies, Department of Biological Hematology, Hopital Saint-Eloi - CHRU de Montpellier, 80, av. Augustin Fliche, 34295 Montpellier, Cedex 5 France ; Institute of Human Genetics, CNRS-UPR1142, Montpellier, F-34396 France.&amp;#xD;Laboratory for Monitoring Innovative Therapies, Department of Biological Hematology, Hopital Saint-Eloi - CHRU de Montpellier, 80, av. Augustin Fliche, 34295 Montpellier, Cedex 5 France ; Institute of Human Genetics, CNRS-UPR1142, Montpellier, F-34396 France ; University of Montpellier 1, UFR de Medecine, Montpellier, France.&lt;/auth-address&gt;&lt;titles&gt;&lt;title&gt;RECQ helicases are deregulated in hematological malignancies in association with a prognostic value&lt;/title&gt;&lt;secondary-title&gt;Biomark Res&lt;/secondary-title&gt;&lt;/titles&gt;&lt;periodical&gt;&lt;full-title&gt;Biomark Res&lt;/full-title&gt;&lt;/periodical&gt;&lt;pages&gt;3&lt;/pages&gt;&lt;volume&gt;4&lt;/volume&gt;&lt;keywords&gt;&lt;keyword&gt;Gene expression&lt;/keyword&gt;&lt;keyword&gt;Hematological malignancies&lt;/keyword&gt;&lt;keyword&gt;Prognostic markers&lt;/keyword&gt;&lt;keyword&gt;RECQ helicases&lt;/keyword&gt;&lt;keyword&gt;Therapeutic targets&lt;/keyword&gt;&lt;/keywords&gt;&lt;dates&gt;&lt;year&gt;2016&lt;/year&gt;&lt;/dates&gt;&lt;isbn&gt;2050-7771 (Electronic)&amp;#xD;2050-7771 (Linking)&lt;/isbn&gt;&lt;accession-num&gt;26877874&lt;/accession-num&gt;&lt;urls&gt;&lt;related-urls&gt;&lt;url&gt;http://www.ncbi.nlm.nih.gov/pubmed/26877874&lt;/url&gt;&lt;/related-urls&gt;&lt;/urls&gt;&lt;custom2&gt;PMC4752763&lt;/custom2&gt;&lt;electronic-resource-num&gt;10.1186/s40364-016-0057-4&lt;/electronic-resource-num&gt;&lt;/record&gt;&lt;/Cite&gt;&lt;/EndNote&gt;</w:instrText>
            </w:r>
            <w:r w:rsidRPr="00AB6E9C">
              <w:rPr>
                <w:rFonts w:ascii="Arial" w:eastAsia="Times New Roman" w:hAnsi="Arial" w:cs="Arial"/>
                <w:bCs/>
                <w:sz w:val="20"/>
                <w:szCs w:val="20"/>
              </w:rPr>
              <w:fldChar w:fldCharType="separate"/>
            </w:r>
            <w:r w:rsidR="00F83C8F" w:rsidRPr="00AB6E9C">
              <w:rPr>
                <w:rFonts w:ascii="Arial" w:eastAsia="Times New Roman" w:hAnsi="Arial" w:cs="Arial"/>
                <w:bCs/>
                <w:noProof/>
                <w:sz w:val="20"/>
                <w:szCs w:val="20"/>
              </w:rPr>
              <w:t>(2)</w:t>
            </w:r>
            <w:r w:rsidRPr="00AB6E9C">
              <w:rPr>
                <w:rFonts w:ascii="Arial" w:eastAsia="Times New Roman" w:hAnsi="Arial" w:cs="Arial"/>
                <w:bCs/>
                <w:sz w:val="20"/>
                <w:szCs w:val="20"/>
              </w:rPr>
              <w:fldChar w:fldCharType="end"/>
            </w:r>
            <w:r w:rsidRPr="00AB6E9C">
              <w:rPr>
                <w:rFonts w:ascii="Arial" w:eastAsia="Times New Roman" w:hAnsi="Arial" w:cs="Arial"/>
                <w:bCs/>
                <w:sz w:val="20"/>
                <w:szCs w:val="20"/>
              </w:rPr>
              <w:t xml:space="preserve">. </w:t>
            </w:r>
            <w:r w:rsidR="008E4F08" w:rsidRPr="00AB6E9C">
              <w:rPr>
                <w:rFonts w:ascii="Arial" w:eastAsia="Times New Roman" w:hAnsi="Arial" w:cs="Arial"/>
                <w:bCs/>
                <w:sz w:val="20"/>
                <w:szCs w:val="20"/>
              </w:rPr>
              <w:t>For RECQL5 s</w:t>
            </w:r>
            <w:r w:rsidRPr="00AB6E9C">
              <w:rPr>
                <w:rFonts w:ascii="Arial" w:eastAsia="Times New Roman" w:hAnsi="Arial" w:cs="Arial"/>
                <w:bCs/>
                <w:sz w:val="20"/>
                <w:szCs w:val="20"/>
              </w:rPr>
              <w:t xml:space="preserve">ignificant overexpression, was found in patients with acute myeloid </w:t>
            </w:r>
            <w:proofErr w:type="spellStart"/>
            <w:r w:rsidRPr="00AB6E9C">
              <w:rPr>
                <w:rFonts w:ascii="Arial" w:eastAsia="Times New Roman" w:hAnsi="Arial" w:cs="Arial"/>
                <w:bCs/>
                <w:sz w:val="20"/>
                <w:szCs w:val="20"/>
              </w:rPr>
              <w:t>leukemia</w:t>
            </w:r>
            <w:proofErr w:type="spellEnd"/>
            <w:r w:rsidRPr="00AB6E9C">
              <w:rPr>
                <w:rFonts w:ascii="Arial" w:eastAsia="Times New Roman" w:hAnsi="Arial" w:cs="Arial"/>
                <w:bCs/>
                <w:sz w:val="20"/>
                <w:szCs w:val="20"/>
              </w:rPr>
              <w:t xml:space="preserve"> (AML), with expression being linked to poor prognosis in these patients.</w:t>
            </w:r>
          </w:p>
          <w:p w14:paraId="0C765483" w14:textId="77777777" w:rsidR="00725C4A" w:rsidRPr="00AB6E9C" w:rsidRDefault="00725C4A" w:rsidP="003321FB">
            <w:pPr>
              <w:spacing w:after="0" w:line="240" w:lineRule="auto"/>
              <w:jc w:val="both"/>
              <w:rPr>
                <w:rFonts w:ascii="Arial" w:eastAsia="Times New Roman" w:hAnsi="Arial" w:cs="Arial"/>
                <w:b/>
                <w:bCs/>
                <w:sz w:val="20"/>
                <w:szCs w:val="20"/>
              </w:rPr>
            </w:pPr>
          </w:p>
          <w:p w14:paraId="33CD9802" w14:textId="6DB7A384" w:rsidR="0033600B" w:rsidRPr="00AB6E9C" w:rsidRDefault="00F83C8F" w:rsidP="003321FB">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Therapeutic rationale</w:t>
            </w:r>
          </w:p>
          <w:p w14:paraId="61033E8F" w14:textId="4339F7ED" w:rsidR="00A81A85" w:rsidRPr="00AB6E9C" w:rsidRDefault="003321FB" w:rsidP="003321FB">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 xml:space="preserve">Another recent study identified a strong synthetic lethal relationship between RECQL5 and with patients with myeloproliferative neoplasms (MPN), carrying an activating V617F mutation in the JAK2 non-receptor tyrosine kinase </w:t>
            </w:r>
            <w:r w:rsidRPr="00AB6E9C">
              <w:rPr>
                <w:rFonts w:ascii="Arial" w:eastAsia="Times New Roman" w:hAnsi="Arial" w:cs="Arial"/>
                <w:bCs/>
                <w:sz w:val="20"/>
                <w:szCs w:val="20"/>
              </w:rPr>
              <w:fldChar w:fldCharType="begin">
                <w:fldData xml:space="preserve">PEVuZE5vdGU+PENpdGU+PEF1dGhvcj5DaGVuPC9BdXRob3I+PFllYXI+MjAxNTwvWWVhcj48UmVj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</w:fldData>
              </w:fldChar>
            </w:r>
            <w:r w:rsidR="00451FDA" w:rsidRPr="00AB6E9C">
              <w:rPr>
                <w:rFonts w:ascii="Arial" w:eastAsia="Times New Roman" w:hAnsi="Arial" w:cs="Arial"/>
                <w:bCs/>
                <w:sz w:val="20"/>
                <w:szCs w:val="20"/>
              </w:rPr>
              <w:instrText xml:space="preserve"> ADDIN EN.CITE </w:instrText>
            </w:r>
            <w:r w:rsidR="00451FDA" w:rsidRPr="00AB6E9C">
              <w:rPr>
                <w:rFonts w:ascii="Arial" w:eastAsia="Times New Roman" w:hAnsi="Arial" w:cs="Arial"/>
                <w:bCs/>
                <w:sz w:val="20"/>
                <w:szCs w:val="20"/>
              </w:rPr>
              <w:fldChar w:fldCharType="begin">
                <w:fldData xml:space="preserve">PEVuZE5vdGU+PENpdGU+PEF1dGhvcj5DaGVuPC9BdXRob3I+PFllYXI+MjAxNTwvWWVhcj48UmVj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</w:fldData>
              </w:fldChar>
            </w:r>
            <w:r w:rsidR="00451FDA" w:rsidRPr="00AB6E9C">
              <w:rPr>
                <w:rFonts w:ascii="Arial" w:eastAsia="Times New Roman" w:hAnsi="Arial" w:cs="Arial"/>
                <w:bCs/>
                <w:sz w:val="20"/>
                <w:szCs w:val="20"/>
              </w:rPr>
              <w:instrText xml:space="preserve"> ADDIN EN.CITE.DATA </w:instrText>
            </w:r>
            <w:r w:rsidR="00451FDA" w:rsidRPr="00AB6E9C">
              <w:rPr>
                <w:rFonts w:ascii="Arial" w:eastAsia="Times New Roman" w:hAnsi="Arial" w:cs="Arial"/>
                <w:bCs/>
                <w:sz w:val="20"/>
                <w:szCs w:val="20"/>
              </w:rPr>
            </w:r>
            <w:r w:rsidR="00451FDA" w:rsidRPr="00AB6E9C">
              <w:rPr>
                <w:rFonts w:ascii="Arial" w:eastAsia="Times New Roman" w:hAnsi="Arial" w:cs="Arial"/>
                <w:bCs/>
                <w:sz w:val="20"/>
                <w:szCs w:val="20"/>
              </w:rPr>
              <w:fldChar w:fldCharType="end"/>
            </w:r>
            <w:r w:rsidRPr="00AB6E9C">
              <w:rPr>
                <w:rFonts w:ascii="Arial" w:eastAsia="Times New Roman" w:hAnsi="Arial" w:cs="Arial"/>
                <w:bCs/>
                <w:sz w:val="20"/>
                <w:szCs w:val="20"/>
              </w:rPr>
            </w:r>
            <w:r w:rsidRPr="00AB6E9C">
              <w:rPr>
                <w:rFonts w:ascii="Arial" w:eastAsia="Times New Roman" w:hAnsi="Arial" w:cs="Arial"/>
                <w:bCs/>
                <w:sz w:val="20"/>
                <w:szCs w:val="20"/>
              </w:rPr>
              <w:fldChar w:fldCharType="separate"/>
            </w:r>
            <w:r w:rsidR="00451FDA" w:rsidRPr="00AB6E9C">
              <w:rPr>
                <w:rFonts w:ascii="Arial" w:eastAsia="Times New Roman" w:hAnsi="Arial" w:cs="Arial"/>
                <w:bCs/>
                <w:noProof/>
                <w:sz w:val="20"/>
                <w:szCs w:val="20"/>
              </w:rPr>
              <w:t>(4)</w:t>
            </w:r>
            <w:r w:rsidRPr="00AB6E9C">
              <w:rPr>
                <w:rFonts w:ascii="Arial" w:eastAsia="Times New Roman" w:hAnsi="Arial" w:cs="Arial"/>
                <w:bCs/>
                <w:sz w:val="20"/>
                <w:szCs w:val="20"/>
              </w:rPr>
              <w:fldChar w:fldCharType="end"/>
            </w:r>
            <w:r w:rsidRPr="00AB6E9C">
              <w:rPr>
                <w:rFonts w:ascii="Arial" w:eastAsia="Times New Roman" w:hAnsi="Arial" w:cs="Arial"/>
                <w:bCs/>
                <w:sz w:val="20"/>
                <w:szCs w:val="20"/>
              </w:rPr>
              <w:t>. MPNs are rare bone marrow disorders that cause an overproduction of one of various types of blood cells</w:t>
            </w:r>
            <w:r w:rsidR="0033600B" w:rsidRPr="00AB6E9C">
              <w:rPr>
                <w:rFonts w:ascii="Arial" w:eastAsia="Times New Roman" w:hAnsi="Arial" w:cs="Arial"/>
                <w:bCs/>
                <w:sz w:val="20"/>
                <w:szCs w:val="20"/>
              </w:rPr>
              <w:t xml:space="preserve">, and although </w:t>
            </w:r>
            <w:r w:rsidRPr="00AB6E9C">
              <w:rPr>
                <w:rFonts w:ascii="Arial" w:eastAsia="Times New Roman" w:hAnsi="Arial" w:cs="Arial"/>
                <w:bCs/>
                <w:sz w:val="20"/>
                <w:szCs w:val="20"/>
              </w:rPr>
              <w:t>not generally considered immediately life threatening there is a significant mortality risk associated with increased incidence of vascular events and a significantly higher risk of transformation to a more aggressive disease in the form of AML. Expression of JAK2V617F</w:t>
            </w:r>
            <w:r w:rsidR="0033600B" w:rsidRPr="00AB6E9C">
              <w:rPr>
                <w:rFonts w:ascii="Arial" w:eastAsia="Times New Roman" w:hAnsi="Arial" w:cs="Arial"/>
                <w:bCs/>
                <w:sz w:val="20"/>
                <w:szCs w:val="20"/>
              </w:rPr>
              <w:t xml:space="preserve"> (by far the most common oncogenic lesion in MPN)</w:t>
            </w:r>
            <w:r w:rsidRPr="00AB6E9C">
              <w:rPr>
                <w:rFonts w:ascii="Arial" w:eastAsia="Times New Roman" w:hAnsi="Arial" w:cs="Arial"/>
                <w:bCs/>
                <w:sz w:val="20"/>
                <w:szCs w:val="20"/>
              </w:rPr>
              <w:t xml:space="preserve"> has been associated with increased DNA damage yet paradoxically long term analysis MPN patients show remarkable long term genomic stability</w:t>
            </w:r>
            <w:r w:rsidR="000C705E" w:rsidRPr="00AB6E9C">
              <w:rPr>
                <w:rFonts w:ascii="Arial" w:eastAsia="Times New Roman" w:hAnsi="Arial" w:cs="Arial"/>
                <w:bCs/>
                <w:sz w:val="20"/>
                <w:szCs w:val="20"/>
              </w:rPr>
              <w:t xml:space="preserve">, indicating a possible </w:t>
            </w:r>
            <w:r w:rsidR="00F83C8F" w:rsidRPr="00AB6E9C">
              <w:rPr>
                <w:rFonts w:ascii="Arial" w:eastAsia="Times New Roman" w:hAnsi="Arial" w:cs="Arial"/>
                <w:bCs/>
                <w:sz w:val="20"/>
                <w:szCs w:val="20"/>
              </w:rPr>
              <w:t>dependence</w:t>
            </w:r>
            <w:r w:rsidRPr="00AB6E9C">
              <w:rPr>
                <w:rFonts w:ascii="Arial" w:eastAsia="Times New Roman" w:hAnsi="Arial" w:cs="Arial"/>
                <w:bCs/>
                <w:sz w:val="20"/>
                <w:szCs w:val="20"/>
              </w:rPr>
              <w:t xml:space="preserve"> on a compensatory DNA repair protein for their survival. RECQL5 was the only helicase to be overexpressed in these cells and </w:t>
            </w:r>
            <w:r w:rsidR="000C705E" w:rsidRPr="00AB6E9C">
              <w:rPr>
                <w:rFonts w:ascii="Arial" w:eastAsia="Times New Roman" w:hAnsi="Arial" w:cs="Arial"/>
                <w:bCs/>
                <w:sz w:val="20"/>
                <w:szCs w:val="20"/>
              </w:rPr>
              <w:t>d</w:t>
            </w:r>
            <w:r w:rsidRPr="00AB6E9C">
              <w:rPr>
                <w:rFonts w:ascii="Arial" w:eastAsia="Times New Roman" w:hAnsi="Arial" w:cs="Arial"/>
                <w:bCs/>
                <w:sz w:val="20"/>
                <w:szCs w:val="20"/>
              </w:rPr>
              <w:t xml:space="preserve">epletion of RECQL5 (via shRNA) leads to increased replication stress, double strand breaks, replication fork collapse and sensitization to hydroxyurea </w:t>
            </w:r>
            <w:r w:rsidRPr="00AB6E9C">
              <w:rPr>
                <w:rFonts w:ascii="Arial" w:eastAsia="Times New Roman" w:hAnsi="Arial" w:cs="Arial"/>
                <w:bCs/>
                <w:sz w:val="20"/>
                <w:szCs w:val="20"/>
              </w:rPr>
              <w:fldChar w:fldCharType="begin">
                <w:fldData xml:space="preserve">PEVuZE5vdGU+PENpdGU+PEF1dGhvcj5DaGVuPC9BdXRob3I+PFllYXI+MjAxNTwvWWVhcj48UmVj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</w:fldData>
              </w:fldChar>
            </w:r>
            <w:r w:rsidR="00451FDA" w:rsidRPr="00AB6E9C">
              <w:rPr>
                <w:rFonts w:ascii="Arial" w:eastAsia="Times New Roman" w:hAnsi="Arial" w:cs="Arial"/>
                <w:bCs/>
                <w:sz w:val="20"/>
                <w:szCs w:val="20"/>
              </w:rPr>
              <w:instrText xml:space="preserve"> ADDIN EN.CITE </w:instrText>
            </w:r>
            <w:r w:rsidR="00451FDA" w:rsidRPr="00AB6E9C">
              <w:rPr>
                <w:rFonts w:ascii="Arial" w:eastAsia="Times New Roman" w:hAnsi="Arial" w:cs="Arial"/>
                <w:bCs/>
                <w:sz w:val="20"/>
                <w:szCs w:val="20"/>
              </w:rPr>
              <w:fldChar w:fldCharType="begin">
                <w:fldData xml:space="preserve">PEVuZE5vdGU+PENpdGU+PEF1dGhvcj5DaGVuPC9BdXRob3I+PFllYXI+MjAxNTwvWWVhcj48UmVj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</w:fldData>
              </w:fldChar>
            </w:r>
            <w:r w:rsidR="00451FDA" w:rsidRPr="00AB6E9C">
              <w:rPr>
                <w:rFonts w:ascii="Arial" w:eastAsia="Times New Roman" w:hAnsi="Arial" w:cs="Arial"/>
                <w:bCs/>
                <w:sz w:val="20"/>
                <w:szCs w:val="20"/>
              </w:rPr>
              <w:instrText xml:space="preserve"> ADDIN EN.CITE.DATA </w:instrText>
            </w:r>
            <w:r w:rsidR="00451FDA" w:rsidRPr="00AB6E9C">
              <w:rPr>
                <w:rFonts w:ascii="Arial" w:eastAsia="Times New Roman" w:hAnsi="Arial" w:cs="Arial"/>
                <w:bCs/>
                <w:sz w:val="20"/>
                <w:szCs w:val="20"/>
              </w:rPr>
            </w:r>
            <w:r w:rsidR="00451FDA" w:rsidRPr="00AB6E9C">
              <w:rPr>
                <w:rFonts w:ascii="Arial" w:eastAsia="Times New Roman" w:hAnsi="Arial" w:cs="Arial"/>
                <w:bCs/>
                <w:sz w:val="20"/>
                <w:szCs w:val="20"/>
              </w:rPr>
              <w:fldChar w:fldCharType="end"/>
            </w:r>
            <w:r w:rsidRPr="00AB6E9C">
              <w:rPr>
                <w:rFonts w:ascii="Arial" w:eastAsia="Times New Roman" w:hAnsi="Arial" w:cs="Arial"/>
                <w:bCs/>
                <w:sz w:val="20"/>
                <w:szCs w:val="20"/>
              </w:rPr>
            </w:r>
            <w:r w:rsidRPr="00AB6E9C">
              <w:rPr>
                <w:rFonts w:ascii="Arial" w:eastAsia="Times New Roman" w:hAnsi="Arial" w:cs="Arial"/>
                <w:bCs/>
                <w:sz w:val="20"/>
                <w:szCs w:val="20"/>
              </w:rPr>
              <w:fldChar w:fldCharType="separate"/>
            </w:r>
            <w:r w:rsidR="00451FDA" w:rsidRPr="00AB6E9C">
              <w:rPr>
                <w:rFonts w:ascii="Arial" w:eastAsia="Times New Roman" w:hAnsi="Arial" w:cs="Arial"/>
                <w:bCs/>
                <w:noProof/>
                <w:sz w:val="20"/>
                <w:szCs w:val="20"/>
              </w:rPr>
              <w:t>(4)</w:t>
            </w:r>
            <w:r w:rsidRPr="00AB6E9C">
              <w:rPr>
                <w:rFonts w:ascii="Arial" w:eastAsia="Times New Roman" w:hAnsi="Arial" w:cs="Arial"/>
                <w:bCs/>
                <w:sz w:val="20"/>
                <w:szCs w:val="20"/>
              </w:rPr>
              <w:fldChar w:fldCharType="end"/>
            </w:r>
            <w:r w:rsidR="000C705E" w:rsidRPr="00AB6E9C">
              <w:rPr>
                <w:rFonts w:ascii="Arial" w:eastAsia="Times New Roman" w:hAnsi="Arial" w:cs="Arial"/>
                <w:bCs/>
                <w:sz w:val="20"/>
                <w:szCs w:val="20"/>
              </w:rPr>
              <w:t>.</w:t>
            </w:r>
            <w:r w:rsidR="00C029EB" w:rsidRPr="00AB6E9C">
              <w:rPr>
                <w:rFonts w:ascii="Arial" w:eastAsia="Times New Roman" w:hAnsi="Arial" w:cs="Arial"/>
                <w:bCs/>
                <w:sz w:val="20"/>
                <w:szCs w:val="20"/>
              </w:rPr>
              <w:t xml:space="preserve"> The</w:t>
            </w:r>
            <w:r w:rsidRPr="00AB6E9C">
              <w:rPr>
                <w:rFonts w:ascii="Arial" w:eastAsia="Times New Roman" w:hAnsi="Arial" w:cs="Arial"/>
                <w:bCs/>
                <w:sz w:val="20"/>
                <w:szCs w:val="20"/>
              </w:rPr>
              <w:t xml:space="preserve"> </w:t>
            </w:r>
            <w:r w:rsidR="000C705E" w:rsidRPr="00AB6E9C">
              <w:rPr>
                <w:rFonts w:ascii="Arial" w:eastAsia="Times New Roman" w:hAnsi="Arial" w:cs="Arial"/>
                <w:bCs/>
                <w:sz w:val="20"/>
                <w:szCs w:val="20"/>
              </w:rPr>
              <w:t>hy</w:t>
            </w:r>
            <w:r w:rsidRPr="00AB6E9C">
              <w:rPr>
                <w:rFonts w:ascii="Arial" w:eastAsia="Times New Roman" w:hAnsi="Arial" w:cs="Arial"/>
                <w:bCs/>
                <w:sz w:val="20"/>
                <w:szCs w:val="20"/>
              </w:rPr>
              <w:t xml:space="preserve">persensitivity could be complemented by the addition </w:t>
            </w:r>
            <w:r w:rsidR="000C705E" w:rsidRPr="00AB6E9C">
              <w:rPr>
                <w:rFonts w:ascii="Arial" w:eastAsia="Times New Roman" w:hAnsi="Arial" w:cs="Arial"/>
                <w:bCs/>
                <w:sz w:val="20"/>
                <w:szCs w:val="20"/>
              </w:rPr>
              <w:t xml:space="preserve">WT </w:t>
            </w:r>
            <w:r w:rsidRPr="00AB6E9C">
              <w:rPr>
                <w:rFonts w:ascii="Arial" w:eastAsia="Times New Roman" w:hAnsi="Arial" w:cs="Arial"/>
                <w:bCs/>
                <w:sz w:val="20"/>
                <w:szCs w:val="20"/>
              </w:rPr>
              <w:t>RECQL5</w:t>
            </w:r>
            <w:r w:rsidR="00C029EB" w:rsidRPr="00AB6E9C">
              <w:rPr>
                <w:rFonts w:ascii="Arial" w:eastAsia="Times New Roman" w:hAnsi="Arial" w:cs="Arial"/>
                <w:bCs/>
                <w:sz w:val="20"/>
                <w:szCs w:val="20"/>
              </w:rPr>
              <w:t>,</w:t>
            </w:r>
            <w:r w:rsidRPr="00AB6E9C">
              <w:rPr>
                <w:rFonts w:ascii="Arial" w:eastAsia="Times New Roman" w:hAnsi="Arial" w:cs="Arial"/>
                <w:bCs/>
                <w:sz w:val="20"/>
                <w:szCs w:val="20"/>
              </w:rPr>
              <w:t xml:space="preserve"> but not a </w:t>
            </w:r>
            <w:r w:rsidR="00C029EB" w:rsidRPr="00AB6E9C">
              <w:rPr>
                <w:rFonts w:ascii="Arial" w:eastAsia="Times New Roman" w:hAnsi="Arial" w:cs="Arial"/>
                <w:bCs/>
                <w:sz w:val="20"/>
                <w:szCs w:val="20"/>
              </w:rPr>
              <w:t xml:space="preserve">RECQL5 </w:t>
            </w:r>
            <w:r w:rsidRPr="00AB6E9C">
              <w:rPr>
                <w:rFonts w:ascii="Arial" w:eastAsia="Times New Roman" w:hAnsi="Arial" w:cs="Arial"/>
                <w:bCs/>
                <w:sz w:val="20"/>
                <w:szCs w:val="20"/>
              </w:rPr>
              <w:t>K58R</w:t>
            </w:r>
            <w:r w:rsidR="00C029EB" w:rsidRPr="00AB6E9C">
              <w:rPr>
                <w:rFonts w:ascii="Arial" w:eastAsia="Times New Roman" w:hAnsi="Arial" w:cs="Arial"/>
                <w:bCs/>
                <w:sz w:val="20"/>
                <w:szCs w:val="20"/>
              </w:rPr>
              <w:t xml:space="preserve"> which is</w:t>
            </w:r>
            <w:r w:rsidRPr="00AB6E9C">
              <w:rPr>
                <w:rFonts w:ascii="Arial" w:eastAsia="Times New Roman" w:hAnsi="Arial" w:cs="Arial"/>
                <w:bCs/>
                <w:sz w:val="20"/>
                <w:szCs w:val="20"/>
              </w:rPr>
              <w:t xml:space="preserve"> mutat</w:t>
            </w:r>
            <w:r w:rsidR="00C029EB" w:rsidRPr="00AB6E9C">
              <w:rPr>
                <w:rFonts w:ascii="Arial" w:eastAsia="Times New Roman" w:hAnsi="Arial" w:cs="Arial"/>
                <w:bCs/>
                <w:sz w:val="20"/>
                <w:szCs w:val="20"/>
              </w:rPr>
              <w:t>ed in</w:t>
            </w:r>
            <w:r w:rsidRPr="00AB6E9C">
              <w:rPr>
                <w:rFonts w:ascii="Arial" w:eastAsia="Times New Roman" w:hAnsi="Arial" w:cs="Arial"/>
                <w:bCs/>
                <w:sz w:val="20"/>
                <w:szCs w:val="20"/>
              </w:rPr>
              <w:t xml:space="preserve"> the highly conserved helicase motif I and is indispensable for helicase or ATPase activity.</w:t>
            </w:r>
          </w:p>
          <w:p w14:paraId="6CCA1872" w14:textId="77777777" w:rsidR="000C705E" w:rsidRPr="00AB6E9C" w:rsidRDefault="000C705E" w:rsidP="003321FB">
            <w:pPr>
              <w:spacing w:after="0" w:line="240" w:lineRule="auto"/>
              <w:jc w:val="both"/>
              <w:rPr>
                <w:rFonts w:ascii="Arial" w:eastAsia="Times New Roman" w:hAnsi="Arial" w:cs="Arial"/>
                <w:bCs/>
                <w:sz w:val="20"/>
                <w:szCs w:val="20"/>
              </w:rPr>
            </w:pPr>
          </w:p>
          <w:p w14:paraId="7285EB2F" w14:textId="07C34A87" w:rsidR="00725C4A" w:rsidRPr="00AB6E9C" w:rsidRDefault="00725C4A" w:rsidP="003321FB">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Despite their importance in DNA repair pathways and emerging prominence as synthetic lethal targets</w:t>
            </w:r>
            <w:r w:rsidR="006C3C82" w:rsidRPr="00AB6E9C">
              <w:rPr>
                <w:rFonts w:ascii="Arial" w:eastAsia="Times New Roman" w:hAnsi="Arial" w:cs="Arial"/>
                <w:bCs/>
                <w:sz w:val="20"/>
                <w:szCs w:val="20"/>
              </w:rPr>
              <w:t>,</w:t>
            </w:r>
            <w:r w:rsidRPr="00AB6E9C">
              <w:rPr>
                <w:rFonts w:ascii="Arial" w:eastAsia="Times New Roman" w:hAnsi="Arial" w:cs="Arial"/>
                <w:bCs/>
                <w:sz w:val="20"/>
                <w:szCs w:val="20"/>
              </w:rPr>
              <w:t xml:space="preserve"> very few compounds</w:t>
            </w:r>
            <w:r w:rsidR="006C3C82" w:rsidRPr="00AB6E9C">
              <w:rPr>
                <w:rFonts w:ascii="Arial" w:eastAsia="Times New Roman" w:hAnsi="Arial" w:cs="Arial"/>
                <w:bCs/>
                <w:sz w:val="20"/>
                <w:szCs w:val="20"/>
              </w:rPr>
              <w:t xml:space="preserve"> targeting helicases</w:t>
            </w:r>
            <w:r w:rsidRPr="00AB6E9C">
              <w:rPr>
                <w:rFonts w:ascii="Arial" w:eastAsia="Times New Roman" w:hAnsi="Arial" w:cs="Arial"/>
                <w:bCs/>
                <w:sz w:val="20"/>
                <w:szCs w:val="20"/>
              </w:rPr>
              <w:t xml:space="preserve"> have been developed to date, and non</w:t>
            </w:r>
            <w:r w:rsidR="006C3C82" w:rsidRPr="00AB6E9C">
              <w:rPr>
                <w:rFonts w:ascii="Arial" w:eastAsia="Times New Roman" w:hAnsi="Arial" w:cs="Arial"/>
                <w:bCs/>
                <w:sz w:val="20"/>
                <w:szCs w:val="20"/>
              </w:rPr>
              <w:t>e of these compounds have accompanying structural data showing binding modes. Thus there exists an urgent need to identify compounds, tools and modes of inhibition that may have relevance to the wider human helicase family.</w:t>
            </w:r>
          </w:p>
          <w:p w14:paraId="49F26127" w14:textId="77777777" w:rsidR="00725C4A" w:rsidRPr="00AB6E9C" w:rsidRDefault="00725C4A" w:rsidP="003321FB">
            <w:pPr>
              <w:spacing w:after="0" w:line="240" w:lineRule="auto"/>
              <w:jc w:val="both"/>
              <w:rPr>
                <w:rFonts w:ascii="Arial" w:eastAsia="Times New Roman" w:hAnsi="Arial" w:cs="Arial"/>
                <w:bCs/>
                <w:sz w:val="20"/>
                <w:szCs w:val="20"/>
              </w:rPr>
            </w:pPr>
          </w:p>
          <w:p w14:paraId="2018CDD8" w14:textId="77777777" w:rsidR="000C705E" w:rsidRPr="00AB6E9C" w:rsidRDefault="00F83C8F" w:rsidP="003321FB">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Objectives of this TEP:</w:t>
            </w:r>
          </w:p>
          <w:p w14:paraId="1DB9F9ED" w14:textId="75147609" w:rsidR="00F83C8F" w:rsidRPr="00AB6E9C" w:rsidRDefault="00F83C8F" w:rsidP="00F83C8F">
            <w:pPr>
              <w:spacing w:after="0" w:line="240" w:lineRule="auto"/>
              <w:ind w:left="720"/>
              <w:jc w:val="both"/>
              <w:rPr>
                <w:rFonts w:ascii="Arial" w:eastAsia="Times New Roman" w:hAnsi="Arial" w:cs="Arial"/>
                <w:bCs/>
                <w:sz w:val="20"/>
                <w:szCs w:val="20"/>
              </w:rPr>
            </w:pPr>
            <w:r w:rsidRPr="00AB6E9C">
              <w:rPr>
                <w:rFonts w:ascii="Arial" w:eastAsia="Times New Roman" w:hAnsi="Arial" w:cs="Arial"/>
                <w:bCs/>
                <w:sz w:val="20"/>
                <w:szCs w:val="20"/>
              </w:rPr>
              <w:t>-Overexpress and purify RECQL5 constructs and determine the first ever crystal structure of RECQL5</w:t>
            </w:r>
          </w:p>
          <w:p w14:paraId="2D012544" w14:textId="77777777" w:rsidR="00F83C8F" w:rsidRPr="00AB6E9C" w:rsidRDefault="00F83C8F" w:rsidP="00F83C8F">
            <w:pPr>
              <w:spacing w:after="0" w:line="240" w:lineRule="auto"/>
              <w:ind w:left="720"/>
              <w:jc w:val="both"/>
              <w:rPr>
                <w:rFonts w:ascii="Arial" w:eastAsia="Times New Roman" w:hAnsi="Arial" w:cs="Arial"/>
                <w:bCs/>
                <w:sz w:val="20"/>
                <w:szCs w:val="20"/>
              </w:rPr>
            </w:pPr>
            <w:r w:rsidRPr="00AB6E9C">
              <w:rPr>
                <w:rFonts w:ascii="Arial" w:eastAsia="Times New Roman" w:hAnsi="Arial" w:cs="Arial"/>
                <w:bCs/>
                <w:sz w:val="20"/>
                <w:szCs w:val="20"/>
              </w:rPr>
              <w:t>-Generate suitable assays to probe RECQL5 function and enable high throughput screening</w:t>
            </w:r>
          </w:p>
          <w:p w14:paraId="6D3D9874" w14:textId="4CB8ECF2" w:rsidR="00F83C8F" w:rsidRPr="00AB6E9C" w:rsidRDefault="00F83C8F" w:rsidP="00C6127F">
            <w:pPr>
              <w:spacing w:after="0" w:line="240" w:lineRule="auto"/>
              <w:ind w:left="720"/>
              <w:jc w:val="both"/>
              <w:rPr>
                <w:rFonts w:ascii="Arial" w:eastAsia="Times New Roman" w:hAnsi="Arial" w:cs="Arial"/>
                <w:b/>
                <w:bCs/>
                <w:sz w:val="20"/>
                <w:szCs w:val="20"/>
              </w:rPr>
            </w:pPr>
            <w:r w:rsidRPr="00AB6E9C">
              <w:rPr>
                <w:rFonts w:ascii="Arial" w:eastAsia="Times New Roman" w:hAnsi="Arial" w:cs="Arial"/>
                <w:bCs/>
                <w:sz w:val="20"/>
                <w:szCs w:val="20"/>
              </w:rPr>
              <w:t xml:space="preserve">-Generate initial </w:t>
            </w:r>
            <w:r w:rsidR="00C6127F" w:rsidRPr="00AB6E9C">
              <w:rPr>
                <w:rFonts w:ascii="Arial" w:eastAsia="Times New Roman" w:hAnsi="Arial" w:cs="Arial"/>
                <w:bCs/>
                <w:sz w:val="20"/>
                <w:szCs w:val="20"/>
              </w:rPr>
              <w:t xml:space="preserve">chemical </w:t>
            </w:r>
            <w:r w:rsidR="00451FDA" w:rsidRPr="00AB6E9C">
              <w:rPr>
                <w:rFonts w:ascii="Arial" w:eastAsia="Times New Roman" w:hAnsi="Arial" w:cs="Arial"/>
                <w:bCs/>
                <w:sz w:val="20"/>
                <w:szCs w:val="20"/>
              </w:rPr>
              <w:t>matter</w:t>
            </w:r>
            <w:r w:rsidRPr="00AB6E9C">
              <w:rPr>
                <w:rFonts w:ascii="Arial" w:eastAsia="Times New Roman" w:hAnsi="Arial" w:cs="Arial"/>
                <w:bCs/>
                <w:sz w:val="20"/>
                <w:szCs w:val="20"/>
              </w:rPr>
              <w:t>,</w:t>
            </w:r>
            <w:r w:rsidR="00C6127F" w:rsidRPr="00AB6E9C">
              <w:rPr>
                <w:rFonts w:ascii="Arial" w:eastAsia="Times New Roman" w:hAnsi="Arial" w:cs="Arial"/>
                <w:bCs/>
                <w:sz w:val="20"/>
                <w:szCs w:val="20"/>
              </w:rPr>
              <w:t xml:space="preserve"> and inhibition strategies. </w:t>
            </w:r>
          </w:p>
          <w:p w14:paraId="078CD85B" w14:textId="77777777" w:rsidR="00E05DB5" w:rsidRPr="008D5A70" w:rsidRDefault="00E05DB5" w:rsidP="003F06E7">
            <w:pPr>
              <w:spacing w:after="0" w:line="240" w:lineRule="auto"/>
              <w:jc w:val="both"/>
              <w:rPr>
                <w:rFonts w:ascii="Arial" w:eastAsia="Times New Roman" w:hAnsi="Arial" w:cs="Arial"/>
                <w:bCs/>
                <w:sz w:val="20"/>
                <w:szCs w:val="20"/>
              </w:rPr>
            </w:pPr>
          </w:p>
        </w:tc>
      </w:tr>
    </w:tbl>
    <w:p w14:paraId="6CC0B83C" w14:textId="77777777" w:rsidR="00E05DB5" w:rsidRPr="008D5A70" w:rsidRDefault="00E05DB5" w:rsidP="00571BE4">
      <w:pPr>
        <w:spacing w:after="0"/>
        <w:rPr>
          <w:sz w:val="20"/>
          <w:szCs w:val="20"/>
        </w:rPr>
      </w:pPr>
    </w:p>
    <w:tbl>
      <w:tblPr>
        <w:tblW w:w="9776" w:type="dxa"/>
        <w:tblLayout w:type="fixed"/>
        <w:tblLook w:val="0000" w:firstRow="0" w:lastRow="0" w:firstColumn="0" w:lastColumn="0" w:noHBand="0" w:noVBand="0"/>
      </w:tblPr>
      <w:tblGrid>
        <w:gridCol w:w="9776"/>
      </w:tblGrid>
      <w:tr w:rsidR="00E05DB5" w:rsidRPr="008D5A70" w14:paraId="24D5FE91" w14:textId="77777777" w:rsidTr="006F6647">
        <w:trPr>
          <w:cantSplit/>
          <w:trHeight w:val="607"/>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68BAE0" w14:textId="396B2BE2" w:rsidR="00E05DB5" w:rsidRPr="008D5A70" w:rsidRDefault="00E05DB5" w:rsidP="006F6647">
            <w:pPr>
              <w:spacing w:after="0" w:line="240" w:lineRule="auto"/>
              <w:jc w:val="both"/>
              <w:rPr>
                <w:rFonts w:ascii="Arial" w:eastAsia="Times New Roman" w:hAnsi="Arial" w:cs="Arial"/>
                <w:b/>
                <w:bCs/>
                <w:sz w:val="20"/>
                <w:szCs w:val="20"/>
              </w:rPr>
            </w:pPr>
            <w:r w:rsidRPr="008D5A70">
              <w:rPr>
                <w:rFonts w:ascii="Arial" w:eastAsia="Times New Roman" w:hAnsi="Arial" w:cs="Arial"/>
                <w:b/>
                <w:bCs/>
                <w:sz w:val="20"/>
                <w:szCs w:val="20"/>
              </w:rPr>
              <w:t>RESULTS – The TEP</w:t>
            </w:r>
            <w:r w:rsidR="00571BE4" w:rsidRPr="008D5A70">
              <w:rPr>
                <w:rFonts w:ascii="Arial" w:eastAsia="Times New Roman" w:hAnsi="Arial" w:cs="Arial"/>
                <w:b/>
                <w:bCs/>
                <w:sz w:val="20"/>
                <w:szCs w:val="20"/>
              </w:rPr>
              <w:t xml:space="preserve"> </w:t>
            </w:r>
          </w:p>
        </w:tc>
      </w:tr>
      <w:tr w:rsidR="00E05DB5" w:rsidRPr="008D5A70" w14:paraId="41829EA4"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4093B653" w14:textId="0230BD6E" w:rsidR="0052495C" w:rsidRPr="008D5A70" w:rsidRDefault="0052495C" w:rsidP="003F06E7">
            <w:pPr>
              <w:spacing w:after="0" w:line="240" w:lineRule="auto"/>
              <w:jc w:val="both"/>
              <w:rPr>
                <w:rFonts w:ascii="Arial" w:eastAsia="Times New Roman" w:hAnsi="Arial" w:cs="Arial"/>
                <w:bCs/>
                <w:i/>
                <w:sz w:val="20"/>
                <w:szCs w:val="20"/>
              </w:rPr>
            </w:pPr>
          </w:p>
          <w:p w14:paraId="7DC66A16" w14:textId="6AD53406" w:rsidR="00E05DB5" w:rsidRPr="00AB6E9C" w:rsidRDefault="00C57EC0" w:rsidP="003F06E7">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Purified proteins</w:t>
            </w:r>
          </w:p>
          <w:p w14:paraId="3FE0C953" w14:textId="590C3381" w:rsidR="00E05DB5" w:rsidRPr="00AB6E9C" w:rsidRDefault="004C4052" w:rsidP="003F06E7">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 xml:space="preserve">RECQL5-11-526 </w:t>
            </w:r>
            <w:r w:rsidR="005B3622">
              <w:rPr>
                <w:rFonts w:ascii="Arial" w:eastAsia="Times New Roman" w:hAnsi="Arial" w:cs="Arial"/>
                <w:bCs/>
                <w:sz w:val="20"/>
                <w:szCs w:val="20"/>
              </w:rPr>
              <w:t>(</w:t>
            </w:r>
            <w:r w:rsidRPr="00AB6E9C">
              <w:rPr>
                <w:rFonts w:ascii="Arial" w:eastAsia="Times New Roman" w:hAnsi="Arial" w:cs="Arial"/>
                <w:bCs/>
                <w:sz w:val="20"/>
                <w:szCs w:val="20"/>
              </w:rPr>
              <w:t>construct used for APO crystals</w:t>
            </w:r>
            <w:r w:rsidR="005B3622">
              <w:rPr>
                <w:rFonts w:ascii="Arial" w:eastAsia="Times New Roman" w:hAnsi="Arial" w:cs="Arial"/>
                <w:bCs/>
                <w:sz w:val="20"/>
                <w:szCs w:val="20"/>
              </w:rPr>
              <w:t>)</w:t>
            </w:r>
            <w:r w:rsidRPr="00AB6E9C">
              <w:rPr>
                <w:rFonts w:ascii="Arial" w:eastAsia="Times New Roman" w:hAnsi="Arial" w:cs="Arial"/>
                <w:bCs/>
                <w:sz w:val="20"/>
                <w:szCs w:val="20"/>
              </w:rPr>
              <w:t xml:space="preserve">, RECQL5-11-453 </w:t>
            </w:r>
            <w:r w:rsidR="005B3622">
              <w:rPr>
                <w:rFonts w:ascii="Arial" w:eastAsia="Times New Roman" w:hAnsi="Arial" w:cs="Arial"/>
                <w:bCs/>
                <w:sz w:val="20"/>
                <w:szCs w:val="20"/>
              </w:rPr>
              <w:t>(</w:t>
            </w:r>
            <w:r w:rsidRPr="00AB6E9C">
              <w:rPr>
                <w:rFonts w:ascii="Arial" w:eastAsia="Times New Roman" w:hAnsi="Arial" w:cs="Arial"/>
                <w:bCs/>
                <w:sz w:val="20"/>
                <w:szCs w:val="20"/>
              </w:rPr>
              <w:t>construct used for ADP crystals</w:t>
            </w:r>
            <w:r w:rsidR="005B3622">
              <w:rPr>
                <w:rFonts w:ascii="Arial" w:eastAsia="Times New Roman" w:hAnsi="Arial" w:cs="Arial"/>
                <w:bCs/>
                <w:sz w:val="20"/>
                <w:szCs w:val="20"/>
              </w:rPr>
              <w:t>)</w:t>
            </w:r>
            <w:r w:rsidRPr="00AB6E9C">
              <w:rPr>
                <w:rFonts w:ascii="Arial" w:eastAsia="Times New Roman" w:hAnsi="Arial" w:cs="Arial"/>
                <w:bCs/>
                <w:sz w:val="20"/>
                <w:szCs w:val="20"/>
              </w:rPr>
              <w:t>, RECQL5-nanobody D6 (binder), RECQL5-nanobody D10 (binder), RECQL5-nanobody D9 (inhibitor).</w:t>
            </w:r>
          </w:p>
          <w:p w14:paraId="1CEAAB3E" w14:textId="6F66C001" w:rsidR="00C6127F" w:rsidRPr="00AB6E9C" w:rsidRDefault="00C6127F" w:rsidP="003F06E7">
            <w:pPr>
              <w:spacing w:after="0" w:line="240" w:lineRule="auto"/>
              <w:jc w:val="both"/>
              <w:rPr>
                <w:rFonts w:ascii="Arial" w:eastAsia="Times New Roman" w:hAnsi="Arial" w:cs="Arial"/>
                <w:bCs/>
                <w:sz w:val="20"/>
                <w:szCs w:val="20"/>
              </w:rPr>
            </w:pPr>
          </w:p>
          <w:p w14:paraId="72EF52F8" w14:textId="7860B7A1" w:rsidR="00E05DB5" w:rsidRPr="00AB6E9C" w:rsidRDefault="00C57EC0" w:rsidP="003F06E7">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Structures</w:t>
            </w:r>
          </w:p>
          <w:p w14:paraId="32D1D7C3" w14:textId="23802B46" w:rsidR="0052495C" w:rsidRPr="00AB6E9C" w:rsidRDefault="004C4052" w:rsidP="003F06E7">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 xml:space="preserve">The first ever structures of human RECQL5 are presented as part of the TEP. The structures were determined in two distinctly different conformations in the absence and presence of ADP/Mg2+ to 3.2Å and 1.8Å </w:t>
            </w:r>
            <w:r w:rsidR="008E4F08" w:rsidRPr="00AB6E9C">
              <w:rPr>
                <w:rFonts w:ascii="Arial" w:eastAsia="Times New Roman" w:hAnsi="Arial" w:cs="Arial"/>
                <w:bCs/>
                <w:sz w:val="20"/>
                <w:szCs w:val="20"/>
              </w:rPr>
              <w:t>respectively</w:t>
            </w:r>
            <w:r w:rsidRPr="00AB6E9C">
              <w:rPr>
                <w:rFonts w:ascii="Arial" w:eastAsia="Times New Roman" w:hAnsi="Arial" w:cs="Arial"/>
                <w:bCs/>
                <w:sz w:val="20"/>
                <w:szCs w:val="20"/>
              </w:rPr>
              <w:t>. Prominent differences can be seen between the two with maximal displacements of equivalent residues of up to 30Å</w:t>
            </w:r>
            <w:r w:rsidR="00446DA1">
              <w:rPr>
                <w:rFonts w:ascii="Arial" w:eastAsia="Times New Roman" w:hAnsi="Arial" w:cs="Arial"/>
                <w:bCs/>
                <w:sz w:val="20"/>
                <w:szCs w:val="20"/>
              </w:rPr>
              <w:t xml:space="preserve"> (Fig. 1)</w:t>
            </w:r>
            <w:r w:rsidRPr="00AB6E9C">
              <w:rPr>
                <w:rFonts w:ascii="Arial" w:eastAsia="Times New Roman" w:hAnsi="Arial" w:cs="Arial"/>
                <w:bCs/>
                <w:sz w:val="20"/>
                <w:szCs w:val="20"/>
              </w:rPr>
              <w:t>. Solution studies, comparisons with other enzymes and site directed mutagenesis have established that both conformations are relevant in solution and represent distinct states in the RECQL5 catalytic cycle. Thus molecules preventing this transition may be of therapeutic interest.</w:t>
            </w:r>
            <w:r w:rsidR="00446DA1">
              <w:rPr>
                <w:noProof/>
                <w:lang w:eastAsia="en-GB"/>
              </w:rPr>
              <w:t xml:space="preserve"> </w:t>
            </w:r>
          </w:p>
          <w:p w14:paraId="5A172536" w14:textId="47EF83E0" w:rsidR="007F0AE1" w:rsidRPr="00AB6E9C" w:rsidRDefault="00446DA1" w:rsidP="00446DA1">
            <w:pPr>
              <w:spacing w:after="0" w:line="240" w:lineRule="auto"/>
              <w:jc w:val="center"/>
              <w:rPr>
                <w:rFonts w:ascii="Arial" w:eastAsia="Times New Roman" w:hAnsi="Arial" w:cs="Arial"/>
                <w:bCs/>
                <w:sz w:val="20"/>
                <w:szCs w:val="20"/>
              </w:rPr>
            </w:pPr>
            <w:r>
              <w:rPr>
                <w:rFonts w:ascii="Arial" w:eastAsia="Times New Roman" w:hAnsi="Arial" w:cs="Arial"/>
                <w:bCs/>
                <w:noProof/>
                <w:sz w:val="20"/>
                <w:szCs w:val="20"/>
                <w:lang w:eastAsia="en-GB"/>
              </w:rPr>
              <w:drawing>
                <wp:inline distT="0" distB="0" distL="0" distR="0" wp14:anchorId="0E206094" wp14:editId="49C10ADA">
                  <wp:extent cx="5208105" cy="4113317"/>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389" cy="4152241"/>
                          </a:xfrm>
                          <a:prstGeom prst="rect">
                            <a:avLst/>
                          </a:prstGeom>
                          <a:noFill/>
                        </pic:spPr>
                      </pic:pic>
                    </a:graphicData>
                  </a:graphic>
                </wp:inline>
              </w:drawing>
            </w:r>
          </w:p>
          <w:p w14:paraId="44FB7E8E" w14:textId="0E6D623C" w:rsidR="00E05DB5" w:rsidRPr="00AB6E9C" w:rsidRDefault="004C4052" w:rsidP="003F06E7">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A</w:t>
            </w:r>
            <w:r w:rsidR="0052495C" w:rsidRPr="00AB6E9C">
              <w:rPr>
                <w:rFonts w:ascii="Arial" w:eastAsia="Times New Roman" w:hAnsi="Arial" w:cs="Arial"/>
                <w:b/>
                <w:bCs/>
                <w:sz w:val="20"/>
                <w:szCs w:val="20"/>
              </w:rPr>
              <w:t>ssays</w:t>
            </w:r>
          </w:p>
          <w:p w14:paraId="7F32E3AD" w14:textId="5FC9460F" w:rsidR="0052495C" w:rsidRDefault="004C4052" w:rsidP="003F06E7">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The primary assay suitable for use in high throughput screening is measurement of DNA stimulated ATPase activity using the readily commercially available ADP-</w:t>
            </w:r>
            <w:proofErr w:type="spellStart"/>
            <w:r w:rsidRPr="00AB6E9C">
              <w:rPr>
                <w:rFonts w:ascii="Arial" w:eastAsia="Times New Roman" w:hAnsi="Arial" w:cs="Arial"/>
                <w:bCs/>
                <w:sz w:val="20"/>
                <w:szCs w:val="20"/>
              </w:rPr>
              <w:t>Glo</w:t>
            </w:r>
            <w:proofErr w:type="spellEnd"/>
            <w:r w:rsidRPr="00AB6E9C">
              <w:rPr>
                <w:rFonts w:ascii="Arial" w:eastAsia="Times New Roman" w:hAnsi="Arial" w:cs="Arial"/>
                <w:bCs/>
                <w:sz w:val="20"/>
                <w:szCs w:val="20"/>
              </w:rPr>
              <w:t xml:space="preserve"> system (</w:t>
            </w:r>
            <w:proofErr w:type="spellStart"/>
            <w:r w:rsidRPr="00AB6E9C">
              <w:rPr>
                <w:rFonts w:ascii="Arial" w:eastAsia="Times New Roman" w:hAnsi="Arial" w:cs="Arial"/>
                <w:bCs/>
                <w:sz w:val="20"/>
                <w:szCs w:val="20"/>
              </w:rPr>
              <w:t>Promega</w:t>
            </w:r>
            <w:proofErr w:type="spellEnd"/>
            <w:r w:rsidRPr="00AB6E9C">
              <w:rPr>
                <w:rFonts w:ascii="Arial" w:eastAsia="Times New Roman" w:hAnsi="Arial" w:cs="Arial"/>
                <w:bCs/>
                <w:sz w:val="20"/>
                <w:szCs w:val="20"/>
              </w:rPr>
              <w:t xml:space="preserve">). This assay features very high </w:t>
            </w:r>
            <w:r w:rsidR="00BB69EE" w:rsidRPr="00AB6E9C">
              <w:rPr>
                <w:rFonts w:ascii="Arial" w:eastAsia="Times New Roman" w:hAnsi="Arial" w:cs="Arial"/>
                <w:bCs/>
                <w:sz w:val="20"/>
                <w:szCs w:val="20"/>
              </w:rPr>
              <w:t>signal to noise (Z-factor &gt;0.6), low</w:t>
            </w:r>
            <w:r w:rsidRPr="00AB6E9C">
              <w:rPr>
                <w:rFonts w:ascii="Arial" w:eastAsia="Times New Roman" w:hAnsi="Arial" w:cs="Arial"/>
                <w:bCs/>
                <w:sz w:val="20"/>
                <w:szCs w:val="20"/>
              </w:rPr>
              <w:t xml:space="preserve"> compound interference</w:t>
            </w:r>
            <w:r w:rsidR="00BB69EE" w:rsidRPr="00AB6E9C">
              <w:rPr>
                <w:rFonts w:ascii="Arial" w:eastAsia="Times New Roman" w:hAnsi="Arial" w:cs="Arial"/>
                <w:bCs/>
                <w:sz w:val="20"/>
                <w:szCs w:val="20"/>
              </w:rPr>
              <w:t xml:space="preserve"> and protein consumption (s</w:t>
            </w:r>
            <w:r w:rsidR="008E4F08" w:rsidRPr="00AB6E9C">
              <w:rPr>
                <w:rFonts w:ascii="Arial" w:eastAsia="Times New Roman" w:hAnsi="Arial" w:cs="Arial"/>
                <w:bCs/>
                <w:sz w:val="20"/>
                <w:szCs w:val="20"/>
              </w:rPr>
              <w:t>creening possible at just 20nM)</w:t>
            </w:r>
            <w:r w:rsidR="00446DA1">
              <w:rPr>
                <w:rFonts w:ascii="Arial" w:eastAsia="Times New Roman" w:hAnsi="Arial" w:cs="Arial"/>
                <w:bCs/>
                <w:sz w:val="20"/>
                <w:szCs w:val="20"/>
              </w:rPr>
              <w:t xml:space="preserve"> (Fig. 2)</w:t>
            </w:r>
            <w:r w:rsidRPr="00AB6E9C">
              <w:rPr>
                <w:rFonts w:ascii="Arial" w:eastAsia="Times New Roman" w:hAnsi="Arial" w:cs="Arial"/>
                <w:bCs/>
                <w:sz w:val="20"/>
                <w:szCs w:val="20"/>
              </w:rPr>
              <w:t>. Due to the stimulation of ATPase activity by (&gt;100 fold for RECQL5) this assay is also sensitive to compounds interfering with DNA binding, although we also provide an orthogonal DNA binding assay in the form of fluorescence polarization assays which also feature</w:t>
            </w:r>
            <w:r w:rsidR="00451FDA" w:rsidRPr="00AB6E9C">
              <w:rPr>
                <w:rFonts w:ascii="Arial" w:eastAsia="Times New Roman" w:hAnsi="Arial" w:cs="Arial"/>
                <w:bCs/>
                <w:sz w:val="20"/>
                <w:szCs w:val="20"/>
              </w:rPr>
              <w:t>s</w:t>
            </w:r>
            <w:r w:rsidRPr="00AB6E9C">
              <w:rPr>
                <w:rFonts w:ascii="Arial" w:eastAsia="Times New Roman" w:hAnsi="Arial" w:cs="Arial"/>
                <w:bCs/>
                <w:sz w:val="20"/>
                <w:szCs w:val="20"/>
              </w:rPr>
              <w:t xml:space="preserve"> high signal to noise and are suitable for high throughput. We have also developed conditions suitable for testing higher order functions of RECQL5 such as helicase and strand annealing activity</w:t>
            </w:r>
            <w:r w:rsidR="00446DA1">
              <w:rPr>
                <w:rFonts w:ascii="Arial" w:eastAsia="Times New Roman" w:hAnsi="Arial" w:cs="Arial"/>
                <w:bCs/>
                <w:sz w:val="20"/>
                <w:szCs w:val="20"/>
              </w:rPr>
              <w:t xml:space="preserve"> (Fig. 2)</w:t>
            </w:r>
            <w:r w:rsidRPr="00AB6E9C">
              <w:rPr>
                <w:rFonts w:ascii="Arial" w:eastAsia="Times New Roman" w:hAnsi="Arial" w:cs="Arial"/>
                <w:bCs/>
                <w:sz w:val="20"/>
                <w:szCs w:val="20"/>
              </w:rPr>
              <w:t>. These assays are better suited as</w:t>
            </w:r>
            <w:r w:rsidR="008E4F08" w:rsidRPr="00AB6E9C">
              <w:rPr>
                <w:rFonts w:ascii="Arial" w:eastAsia="Times New Roman" w:hAnsi="Arial" w:cs="Arial"/>
                <w:bCs/>
                <w:sz w:val="20"/>
                <w:szCs w:val="20"/>
              </w:rPr>
              <w:t xml:space="preserve"> low throughput</w:t>
            </w:r>
            <w:r w:rsidRPr="00AB6E9C">
              <w:rPr>
                <w:rFonts w:ascii="Arial" w:eastAsia="Times New Roman" w:hAnsi="Arial" w:cs="Arial"/>
                <w:bCs/>
                <w:sz w:val="20"/>
                <w:szCs w:val="20"/>
              </w:rPr>
              <w:t xml:space="preserve"> orthogonal assays for verification</w:t>
            </w:r>
            <w:r w:rsidR="008E4F08" w:rsidRPr="00AB6E9C">
              <w:rPr>
                <w:rFonts w:ascii="Arial" w:eastAsia="Times New Roman" w:hAnsi="Arial" w:cs="Arial"/>
                <w:bCs/>
                <w:sz w:val="20"/>
                <w:szCs w:val="20"/>
              </w:rPr>
              <w:t xml:space="preserve"> and characterization</w:t>
            </w:r>
            <w:r w:rsidRPr="00AB6E9C">
              <w:rPr>
                <w:rFonts w:ascii="Arial" w:eastAsia="Times New Roman" w:hAnsi="Arial" w:cs="Arial"/>
                <w:bCs/>
                <w:sz w:val="20"/>
                <w:szCs w:val="20"/>
              </w:rPr>
              <w:t xml:space="preserve"> of potential inhibitors found in high throughput screening.</w:t>
            </w:r>
          </w:p>
          <w:p w14:paraId="52AF0A1A" w14:textId="27C1B057" w:rsidR="00912F18" w:rsidRPr="00AB6E9C" w:rsidRDefault="00446DA1" w:rsidP="00446DA1">
            <w:pPr>
              <w:spacing w:after="0" w:line="240" w:lineRule="auto"/>
              <w:jc w:val="center"/>
              <w:rPr>
                <w:rFonts w:ascii="Arial" w:eastAsia="Times New Roman" w:hAnsi="Arial" w:cs="Arial"/>
                <w:bCs/>
                <w:sz w:val="20"/>
                <w:szCs w:val="20"/>
              </w:rPr>
            </w:pPr>
            <w:r w:rsidRPr="00446DA1">
              <w:rPr>
                <w:rFonts w:ascii="Arial" w:eastAsia="Times New Roman" w:hAnsi="Arial" w:cs="Arial"/>
                <w:bCs/>
                <w:noProof/>
                <w:sz w:val="20"/>
                <w:szCs w:val="20"/>
                <w:lang w:eastAsia="en-GB"/>
              </w:rPr>
              <w:lastRenderedPageBreak/>
              <w:drawing>
                <wp:inline distT="0" distB="0" distL="0" distR="0" wp14:anchorId="4C96D099" wp14:editId="308D1885">
                  <wp:extent cx="3700131" cy="3925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58442" cy="3987276"/>
                          </a:xfrm>
                          <a:prstGeom prst="rect">
                            <a:avLst/>
                          </a:prstGeom>
                        </pic:spPr>
                      </pic:pic>
                    </a:graphicData>
                  </a:graphic>
                </wp:inline>
              </w:drawing>
            </w:r>
          </w:p>
          <w:p w14:paraId="079A706C" w14:textId="751E2295" w:rsidR="00E05DB5" w:rsidRPr="00AB6E9C" w:rsidRDefault="0052495C" w:rsidP="003F06E7">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 xml:space="preserve">Chemical </w:t>
            </w:r>
            <w:r w:rsidR="004C4052" w:rsidRPr="00AB6E9C">
              <w:rPr>
                <w:rFonts w:ascii="Arial" w:eastAsia="Times New Roman" w:hAnsi="Arial" w:cs="Arial"/>
                <w:b/>
                <w:bCs/>
                <w:sz w:val="20"/>
                <w:szCs w:val="20"/>
              </w:rPr>
              <w:t>Matter</w:t>
            </w:r>
          </w:p>
          <w:p w14:paraId="542643A9" w14:textId="433D90B1" w:rsidR="00451FDA" w:rsidRPr="00AB6E9C" w:rsidRDefault="00451FDA" w:rsidP="00451FDA">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In addition to the ADP/Mg2+ bound to the AD</w:t>
            </w:r>
            <w:r w:rsidR="00886893" w:rsidRPr="00AB6E9C">
              <w:rPr>
                <w:rFonts w:ascii="Arial" w:eastAsia="Times New Roman" w:hAnsi="Arial" w:cs="Arial"/>
                <w:bCs/>
                <w:sz w:val="20"/>
                <w:szCs w:val="20"/>
              </w:rPr>
              <w:t>P form crystals at 1.8Å</w:t>
            </w:r>
            <w:r w:rsidRPr="00AB6E9C">
              <w:rPr>
                <w:rFonts w:ascii="Arial" w:eastAsia="Times New Roman" w:hAnsi="Arial" w:cs="Arial"/>
                <w:bCs/>
                <w:sz w:val="20"/>
                <w:szCs w:val="20"/>
              </w:rPr>
              <w:t>, we have also initiated a crystallographic fragment screening campaign to identify possible additional chemical matter. Due to the low resolution of the APO form crystals it was decided to focus on the ADP from with a view to identifying possible allosteric binders. So far a single fragment hit has been obtained at 2.4Å (Fig.3) which localizes to a deep pocket formed by the cleft between the N and C-terminal helicase lobes. This pocket is extensive, with a relatively hydrophobic character (DMSO also binds to the pocket in some datasets), and importantly is the closed APO form this pocket is no longer present</w:t>
            </w:r>
            <w:r w:rsidR="008E4F08" w:rsidRPr="00AB6E9C">
              <w:rPr>
                <w:rFonts w:ascii="Arial" w:eastAsia="Times New Roman" w:hAnsi="Arial" w:cs="Arial"/>
                <w:bCs/>
                <w:sz w:val="20"/>
                <w:szCs w:val="20"/>
              </w:rPr>
              <w:t>.</w:t>
            </w:r>
            <w:r w:rsidRPr="00AB6E9C">
              <w:rPr>
                <w:rFonts w:ascii="Arial" w:eastAsia="Times New Roman" w:hAnsi="Arial" w:cs="Arial"/>
                <w:bCs/>
                <w:sz w:val="20"/>
                <w:szCs w:val="20"/>
              </w:rPr>
              <w:t xml:space="preserve"> </w:t>
            </w:r>
            <w:r w:rsidR="008E4F08" w:rsidRPr="00AB6E9C">
              <w:rPr>
                <w:rFonts w:ascii="Arial" w:eastAsia="Times New Roman" w:hAnsi="Arial" w:cs="Arial"/>
                <w:bCs/>
                <w:sz w:val="20"/>
                <w:szCs w:val="20"/>
              </w:rPr>
              <w:t>P</w:t>
            </w:r>
            <w:r w:rsidRPr="00AB6E9C">
              <w:rPr>
                <w:rFonts w:ascii="Arial" w:eastAsia="Times New Roman" w:hAnsi="Arial" w:cs="Arial"/>
                <w:bCs/>
                <w:sz w:val="20"/>
                <w:szCs w:val="20"/>
              </w:rPr>
              <w:t>otential steric clashes with main chain and side chain residues indicate that binding to this site would prevent the transition from open to closed forms, potentially inhibiting the enzyme.</w:t>
            </w:r>
          </w:p>
          <w:p w14:paraId="74CFB92D" w14:textId="369CB527" w:rsidR="00451FDA" w:rsidRDefault="002741AE" w:rsidP="00446DA1">
            <w:pPr>
              <w:spacing w:after="0" w:line="240" w:lineRule="auto"/>
              <w:jc w:val="center"/>
              <w:rPr>
                <w:rFonts w:ascii="Arial" w:eastAsia="Times New Roman" w:hAnsi="Arial" w:cs="Arial"/>
                <w:bCs/>
                <w:sz w:val="20"/>
                <w:szCs w:val="20"/>
              </w:rPr>
            </w:pPr>
            <w:r w:rsidRPr="002741AE">
              <w:rPr>
                <w:rFonts w:ascii="Arial" w:eastAsia="Times New Roman" w:hAnsi="Arial" w:cs="Arial"/>
                <w:bCs/>
                <w:noProof/>
                <w:sz w:val="20"/>
                <w:szCs w:val="20"/>
                <w:lang w:eastAsia="en-GB"/>
              </w:rPr>
              <w:drawing>
                <wp:inline distT="0" distB="0" distL="0" distR="0" wp14:anchorId="05FC6C23" wp14:editId="7EC58A46">
                  <wp:extent cx="5248856" cy="38301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07322" cy="3872791"/>
                          </a:xfrm>
                          <a:prstGeom prst="rect">
                            <a:avLst/>
                          </a:prstGeom>
                        </pic:spPr>
                      </pic:pic>
                    </a:graphicData>
                  </a:graphic>
                </wp:inline>
              </w:drawing>
            </w:r>
          </w:p>
          <w:p w14:paraId="709BCD56" w14:textId="405728B7" w:rsidR="0099722B" w:rsidRDefault="00BC0C9A" w:rsidP="0099722B">
            <w:pPr>
              <w:pStyle w:val="Default"/>
              <w:rPr>
                <w:sz w:val="18"/>
                <w:szCs w:val="18"/>
              </w:rPr>
            </w:pPr>
            <w:r>
              <w:rPr>
                <w:b/>
                <w:bCs/>
                <w:sz w:val="18"/>
                <w:szCs w:val="18"/>
              </w:rPr>
              <w:lastRenderedPageBreak/>
              <w:t>I</w:t>
            </w:r>
            <w:r w:rsidR="0099722B">
              <w:rPr>
                <w:b/>
                <w:bCs/>
                <w:sz w:val="18"/>
                <w:szCs w:val="18"/>
              </w:rPr>
              <w:t>MPORTANT</w:t>
            </w:r>
            <w:r w:rsidR="0099722B">
              <w:rPr>
                <w:sz w:val="18"/>
                <w:szCs w:val="18"/>
              </w:rPr>
              <w:t xml:space="preserve">: Please note that the existence of a small molecule within this TEP indicates that chemical matter can bind to the protein in a functionally relevant pocket. As such these molecules should not be used as tools for functional studies of the protein unless otherwise stated as they are not sufficiently potent or well-characterised to be used in cellular studies. The small molecule ligands are intended to be used as the basis for future chemistry optimisation to increase potency and selectivity and yield a chemical probe or lead series. </w:t>
            </w:r>
          </w:p>
          <w:p w14:paraId="34DE6CF0" w14:textId="77777777" w:rsidR="0099722B" w:rsidRDefault="0099722B" w:rsidP="00446DA1">
            <w:pPr>
              <w:spacing w:after="0" w:line="240" w:lineRule="auto"/>
              <w:jc w:val="center"/>
              <w:rPr>
                <w:rFonts w:ascii="Arial" w:eastAsia="Times New Roman" w:hAnsi="Arial" w:cs="Arial"/>
                <w:bCs/>
                <w:sz w:val="20"/>
                <w:szCs w:val="20"/>
              </w:rPr>
            </w:pPr>
          </w:p>
          <w:p w14:paraId="10ACE6FD" w14:textId="376717E1" w:rsidR="00451FDA" w:rsidRDefault="00451FDA" w:rsidP="00451FDA">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We also include three RECQL5 specific single domain camelid antibodies “</w:t>
            </w:r>
            <w:proofErr w:type="spellStart"/>
            <w:r w:rsidRPr="00AB6E9C">
              <w:rPr>
                <w:rFonts w:ascii="Arial" w:eastAsia="Times New Roman" w:hAnsi="Arial" w:cs="Arial"/>
                <w:bCs/>
                <w:sz w:val="20"/>
                <w:szCs w:val="20"/>
              </w:rPr>
              <w:t>nanobodies</w:t>
            </w:r>
            <w:proofErr w:type="spellEnd"/>
            <w:r w:rsidRPr="00AB6E9C">
              <w:rPr>
                <w:rFonts w:ascii="Arial" w:eastAsia="Times New Roman" w:hAnsi="Arial" w:cs="Arial"/>
                <w:bCs/>
                <w:sz w:val="20"/>
                <w:szCs w:val="20"/>
              </w:rPr>
              <w:t xml:space="preserve">” as part of the package that we have validated as potent binders of RECQL5 catalytic domain. In addition to use as reagents in pull down experiments, one of these </w:t>
            </w:r>
            <w:proofErr w:type="spellStart"/>
            <w:r w:rsidRPr="00AB6E9C">
              <w:rPr>
                <w:rFonts w:ascii="Arial" w:eastAsia="Times New Roman" w:hAnsi="Arial" w:cs="Arial"/>
                <w:bCs/>
                <w:sz w:val="20"/>
                <w:szCs w:val="20"/>
              </w:rPr>
              <w:t>nanobodies</w:t>
            </w:r>
            <w:proofErr w:type="spellEnd"/>
            <w:r w:rsidRPr="00AB6E9C">
              <w:rPr>
                <w:rFonts w:ascii="Arial" w:eastAsia="Times New Roman" w:hAnsi="Arial" w:cs="Arial"/>
                <w:bCs/>
                <w:sz w:val="20"/>
                <w:szCs w:val="20"/>
              </w:rPr>
              <w:t xml:space="preserve"> has been demonstrated to be a potent inhibitor (inhibition is retained down to limit of enzyme concentration used in assay) o</w:t>
            </w:r>
            <w:r w:rsidR="00446DA1">
              <w:rPr>
                <w:rFonts w:ascii="Arial" w:eastAsia="Times New Roman" w:hAnsi="Arial" w:cs="Arial"/>
                <w:bCs/>
                <w:sz w:val="20"/>
                <w:szCs w:val="20"/>
              </w:rPr>
              <w:t>f RECQL5 ATPase activity (Fig. 4</w:t>
            </w:r>
            <w:r w:rsidRPr="00AB6E9C">
              <w:rPr>
                <w:rFonts w:ascii="Arial" w:eastAsia="Times New Roman" w:hAnsi="Arial" w:cs="Arial"/>
                <w:bCs/>
                <w:sz w:val="20"/>
                <w:szCs w:val="20"/>
              </w:rPr>
              <w:t xml:space="preserve">), and thus may also be useful as a tool compound to investigate inhibition of RECQL5 and its complexes </w:t>
            </w:r>
            <w:r w:rsidRPr="00AB6E9C">
              <w:rPr>
                <w:rFonts w:ascii="Arial" w:eastAsia="Times New Roman" w:hAnsi="Arial" w:cs="Arial"/>
                <w:bCs/>
                <w:i/>
                <w:sz w:val="20"/>
                <w:szCs w:val="20"/>
              </w:rPr>
              <w:t>in vitro</w:t>
            </w:r>
            <w:r w:rsidRPr="00AB6E9C">
              <w:rPr>
                <w:rFonts w:ascii="Arial" w:eastAsia="Times New Roman" w:hAnsi="Arial" w:cs="Arial"/>
                <w:bCs/>
                <w:sz w:val="20"/>
                <w:szCs w:val="20"/>
              </w:rPr>
              <w:t>.</w:t>
            </w:r>
          </w:p>
          <w:p w14:paraId="541F6906" w14:textId="2C0B0B51" w:rsidR="00C94445" w:rsidRPr="00AB6E9C" w:rsidRDefault="00864111" w:rsidP="00451FDA">
            <w:pPr>
              <w:spacing w:after="0" w:line="240" w:lineRule="auto"/>
              <w:jc w:val="both"/>
              <w:rPr>
                <w:rFonts w:ascii="Arial" w:eastAsia="Times New Roman" w:hAnsi="Arial" w:cs="Arial"/>
                <w:bCs/>
                <w:sz w:val="20"/>
                <w:szCs w:val="20"/>
              </w:rPr>
            </w:pPr>
            <w:r w:rsidRPr="00864111">
              <w:rPr>
                <w:rFonts w:ascii="Arial" w:eastAsia="Times New Roman" w:hAnsi="Arial" w:cs="Arial"/>
                <w:bCs/>
                <w:noProof/>
                <w:sz w:val="20"/>
                <w:szCs w:val="20"/>
                <w:lang w:eastAsia="en-GB"/>
              </w:rPr>
              <w:drawing>
                <wp:inline distT="0" distB="0" distL="0" distR="0" wp14:anchorId="3EBDDFCB" wp14:editId="153F3F86">
                  <wp:extent cx="6070600" cy="2486025"/>
                  <wp:effectExtent l="0" t="0" r="635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70600" cy="2486025"/>
                          </a:xfrm>
                          <a:prstGeom prst="rect">
                            <a:avLst/>
                          </a:prstGeom>
                        </pic:spPr>
                      </pic:pic>
                    </a:graphicData>
                  </a:graphic>
                </wp:inline>
              </w:drawing>
            </w:r>
          </w:p>
          <w:p w14:paraId="4AD7A119" w14:textId="7B9D46B8" w:rsidR="00E05DB5" w:rsidRPr="00AB6E9C" w:rsidRDefault="00E05DB5" w:rsidP="003F06E7">
            <w:pPr>
              <w:spacing w:after="0" w:line="240" w:lineRule="auto"/>
              <w:jc w:val="both"/>
              <w:rPr>
                <w:rFonts w:ascii="Arial" w:eastAsia="Times New Roman" w:hAnsi="Arial" w:cs="Arial"/>
                <w:bCs/>
                <w:sz w:val="20"/>
                <w:szCs w:val="20"/>
              </w:rPr>
            </w:pPr>
          </w:p>
          <w:p w14:paraId="7B68D178" w14:textId="77777777" w:rsidR="0052495C" w:rsidRPr="00AB6E9C" w:rsidRDefault="0052495C" w:rsidP="0052495C">
            <w:pPr>
              <w:spacing w:after="0" w:line="240" w:lineRule="auto"/>
              <w:jc w:val="both"/>
              <w:rPr>
                <w:rFonts w:ascii="Arial" w:eastAsia="Times New Roman" w:hAnsi="Arial" w:cs="Arial"/>
                <w:b/>
                <w:bCs/>
                <w:sz w:val="20"/>
                <w:szCs w:val="20"/>
              </w:rPr>
            </w:pPr>
            <w:r w:rsidRPr="00AB6E9C">
              <w:rPr>
                <w:rFonts w:ascii="Arial" w:eastAsia="Times New Roman" w:hAnsi="Arial" w:cs="Arial"/>
                <w:b/>
                <w:bCs/>
                <w:sz w:val="20"/>
                <w:szCs w:val="20"/>
              </w:rPr>
              <w:t>Future work</w:t>
            </w:r>
          </w:p>
          <w:p w14:paraId="37548BC4" w14:textId="3B3F0303" w:rsidR="0052495C" w:rsidRPr="008D5A70" w:rsidRDefault="00886893" w:rsidP="00E63B91">
            <w:pPr>
              <w:spacing w:after="0" w:line="240" w:lineRule="auto"/>
              <w:jc w:val="both"/>
              <w:rPr>
                <w:rFonts w:ascii="Arial" w:eastAsia="Times New Roman" w:hAnsi="Arial" w:cs="Arial"/>
                <w:bCs/>
                <w:sz w:val="20"/>
                <w:szCs w:val="20"/>
              </w:rPr>
            </w:pPr>
            <w:r w:rsidRPr="00AB6E9C">
              <w:rPr>
                <w:rFonts w:ascii="Arial" w:eastAsia="Times New Roman" w:hAnsi="Arial" w:cs="Arial"/>
                <w:bCs/>
                <w:sz w:val="20"/>
                <w:szCs w:val="20"/>
              </w:rPr>
              <w:t>We intend to continue to work on RECQL5 with a view to finding more fragment hits</w:t>
            </w:r>
            <w:r w:rsidR="005B3622">
              <w:rPr>
                <w:rFonts w:ascii="Arial" w:eastAsia="Times New Roman" w:hAnsi="Arial" w:cs="Arial"/>
                <w:bCs/>
                <w:sz w:val="20"/>
                <w:szCs w:val="20"/>
              </w:rPr>
              <w:t xml:space="preserve"> and verify </w:t>
            </w:r>
            <w:r w:rsidR="00E63B91">
              <w:rPr>
                <w:rFonts w:ascii="Arial" w:eastAsia="Times New Roman" w:hAnsi="Arial" w:cs="Arial"/>
                <w:bCs/>
                <w:sz w:val="20"/>
                <w:szCs w:val="20"/>
              </w:rPr>
              <w:t xml:space="preserve">fragment </w:t>
            </w:r>
            <w:r w:rsidR="005B3622">
              <w:rPr>
                <w:rFonts w:ascii="Arial" w:eastAsia="Times New Roman" w:hAnsi="Arial" w:cs="Arial"/>
                <w:bCs/>
                <w:sz w:val="20"/>
                <w:szCs w:val="20"/>
              </w:rPr>
              <w:t>binding</w:t>
            </w:r>
            <w:r w:rsidR="00E63B91">
              <w:rPr>
                <w:rFonts w:ascii="Arial" w:eastAsia="Times New Roman" w:hAnsi="Arial" w:cs="Arial"/>
                <w:bCs/>
                <w:sz w:val="20"/>
                <w:szCs w:val="20"/>
              </w:rPr>
              <w:t xml:space="preserve"> using biophysical assays and investigate effect of compounds binding to the allosteric site on enzyme </w:t>
            </w:r>
            <w:r w:rsidR="00C223E2">
              <w:rPr>
                <w:rFonts w:ascii="Arial" w:eastAsia="Times New Roman" w:hAnsi="Arial" w:cs="Arial"/>
                <w:bCs/>
                <w:sz w:val="20"/>
                <w:szCs w:val="20"/>
              </w:rPr>
              <w:t>activity</w:t>
            </w:r>
            <w:r w:rsidR="005B3622">
              <w:rPr>
                <w:rFonts w:ascii="Arial" w:eastAsia="Times New Roman" w:hAnsi="Arial" w:cs="Arial"/>
                <w:bCs/>
                <w:sz w:val="20"/>
                <w:szCs w:val="20"/>
              </w:rPr>
              <w:t>. We also intend</w:t>
            </w:r>
            <w:r w:rsidRPr="00AB6E9C">
              <w:rPr>
                <w:rFonts w:ascii="Arial" w:eastAsia="Times New Roman" w:hAnsi="Arial" w:cs="Arial"/>
                <w:bCs/>
                <w:sz w:val="20"/>
                <w:szCs w:val="20"/>
              </w:rPr>
              <w:t xml:space="preserve"> </w:t>
            </w:r>
            <w:r w:rsidR="00701619">
              <w:rPr>
                <w:rFonts w:ascii="Arial" w:eastAsia="Times New Roman" w:hAnsi="Arial" w:cs="Arial"/>
                <w:bCs/>
                <w:sz w:val="20"/>
                <w:szCs w:val="20"/>
              </w:rPr>
              <w:t xml:space="preserve">to </w:t>
            </w:r>
            <w:r w:rsidRPr="00AB6E9C">
              <w:rPr>
                <w:rFonts w:ascii="Arial" w:eastAsia="Times New Roman" w:hAnsi="Arial" w:cs="Arial"/>
                <w:bCs/>
                <w:sz w:val="20"/>
                <w:szCs w:val="20"/>
              </w:rPr>
              <w:t>initiat</w:t>
            </w:r>
            <w:r w:rsidR="00701619">
              <w:rPr>
                <w:rFonts w:ascii="Arial" w:eastAsia="Times New Roman" w:hAnsi="Arial" w:cs="Arial"/>
                <w:bCs/>
                <w:sz w:val="20"/>
                <w:szCs w:val="20"/>
              </w:rPr>
              <w:t>e</w:t>
            </w:r>
            <w:r w:rsidRPr="00AB6E9C">
              <w:rPr>
                <w:rFonts w:ascii="Arial" w:eastAsia="Times New Roman" w:hAnsi="Arial" w:cs="Arial"/>
                <w:bCs/>
                <w:sz w:val="20"/>
                <w:szCs w:val="20"/>
              </w:rPr>
              <w:t xml:space="preserve"> enzymatic screening against helicase focussed </w:t>
            </w:r>
            <w:r w:rsidR="00446DA1">
              <w:rPr>
                <w:rFonts w:ascii="Arial" w:eastAsia="Times New Roman" w:hAnsi="Arial" w:cs="Arial"/>
                <w:bCs/>
                <w:sz w:val="20"/>
                <w:szCs w:val="20"/>
              </w:rPr>
              <w:t>compound libraries</w:t>
            </w:r>
            <w:r w:rsidR="00701619">
              <w:rPr>
                <w:rFonts w:ascii="Arial" w:eastAsia="Times New Roman" w:hAnsi="Arial" w:cs="Arial"/>
                <w:bCs/>
                <w:sz w:val="20"/>
                <w:szCs w:val="20"/>
              </w:rPr>
              <w:t>, with a view to developing RECQL5 specific small molecule inhibitors</w:t>
            </w:r>
            <w:r w:rsidR="00446DA1">
              <w:rPr>
                <w:rFonts w:ascii="Arial" w:eastAsia="Times New Roman" w:hAnsi="Arial" w:cs="Arial"/>
                <w:bCs/>
                <w:sz w:val="20"/>
                <w:szCs w:val="20"/>
              </w:rPr>
              <w:t>.</w:t>
            </w:r>
            <w:r w:rsidR="00701619">
              <w:rPr>
                <w:rFonts w:ascii="Arial" w:eastAsia="Times New Roman" w:hAnsi="Arial" w:cs="Arial"/>
                <w:bCs/>
                <w:sz w:val="20"/>
                <w:szCs w:val="20"/>
              </w:rPr>
              <w:t xml:space="preserve"> </w:t>
            </w:r>
          </w:p>
        </w:tc>
      </w:tr>
    </w:tbl>
    <w:p w14:paraId="4B0CDB82" w14:textId="2C3FA4C5" w:rsidR="00E05DB5" w:rsidRPr="008D5A70" w:rsidRDefault="00E05DB5" w:rsidP="00571BE4">
      <w:pPr>
        <w:spacing w:after="0"/>
        <w:rPr>
          <w:sz w:val="20"/>
          <w:szCs w:val="20"/>
        </w:rPr>
      </w:pPr>
    </w:p>
    <w:tbl>
      <w:tblPr>
        <w:tblW w:w="9776" w:type="dxa"/>
        <w:tblLayout w:type="fixed"/>
        <w:tblLook w:val="0000" w:firstRow="0" w:lastRow="0" w:firstColumn="0" w:lastColumn="0" w:noHBand="0" w:noVBand="0"/>
      </w:tblPr>
      <w:tblGrid>
        <w:gridCol w:w="9776"/>
      </w:tblGrid>
      <w:tr w:rsidR="0052495C" w:rsidRPr="008D5A70" w14:paraId="14863715" w14:textId="77777777" w:rsidTr="006F6647">
        <w:trPr>
          <w:cantSplit/>
          <w:trHeight w:val="541"/>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4DF393" w14:textId="1B1B2606" w:rsidR="0052495C" w:rsidRPr="008D5A70" w:rsidRDefault="0052495C" w:rsidP="006F6647">
            <w:pPr>
              <w:spacing w:after="0" w:line="240" w:lineRule="auto"/>
              <w:jc w:val="both"/>
              <w:rPr>
                <w:rFonts w:ascii="Arial" w:eastAsia="Times New Roman" w:hAnsi="Arial" w:cs="Arial"/>
                <w:b/>
                <w:bCs/>
                <w:sz w:val="20"/>
                <w:szCs w:val="20"/>
              </w:rPr>
            </w:pPr>
            <w:r w:rsidRPr="008D5A70">
              <w:rPr>
                <w:rFonts w:ascii="Arial" w:eastAsia="Times New Roman" w:hAnsi="Arial" w:cs="Arial"/>
                <w:b/>
                <w:bCs/>
                <w:sz w:val="20"/>
                <w:szCs w:val="20"/>
              </w:rPr>
              <w:t>CONCLUSION</w:t>
            </w:r>
            <w:r w:rsidR="00571BE4" w:rsidRPr="008D5A70">
              <w:rPr>
                <w:rFonts w:ascii="Arial" w:eastAsia="Times New Roman" w:hAnsi="Arial" w:cs="Arial"/>
                <w:b/>
                <w:bCs/>
                <w:sz w:val="20"/>
                <w:szCs w:val="20"/>
              </w:rPr>
              <w:t xml:space="preserve"> </w:t>
            </w:r>
          </w:p>
        </w:tc>
      </w:tr>
      <w:tr w:rsidR="0052495C" w:rsidRPr="008D5A70" w14:paraId="2B691765"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725B1099" w14:textId="77777777" w:rsidR="005B3622" w:rsidRDefault="005B3622" w:rsidP="005B3622">
            <w:pPr>
              <w:spacing w:after="0" w:line="240" w:lineRule="auto"/>
              <w:jc w:val="both"/>
              <w:rPr>
                <w:rFonts w:ascii="Arial" w:eastAsia="Times New Roman" w:hAnsi="Arial" w:cs="Arial"/>
                <w:bCs/>
                <w:sz w:val="20"/>
                <w:szCs w:val="20"/>
              </w:rPr>
            </w:pPr>
          </w:p>
          <w:p w14:paraId="7FAFAD4B" w14:textId="77777777" w:rsidR="00B87487" w:rsidRDefault="005B3622" w:rsidP="00B87487">
            <w:pPr>
              <w:spacing w:after="0" w:line="240" w:lineRule="auto"/>
              <w:jc w:val="both"/>
              <w:rPr>
                <w:rFonts w:ascii="Arial" w:eastAsia="Times New Roman" w:hAnsi="Arial" w:cs="Arial"/>
                <w:bCs/>
                <w:sz w:val="20"/>
                <w:szCs w:val="20"/>
              </w:rPr>
            </w:pPr>
            <w:r>
              <w:rPr>
                <w:rFonts w:ascii="Arial" w:eastAsia="Times New Roman" w:hAnsi="Arial" w:cs="Arial"/>
                <w:bCs/>
                <w:sz w:val="20"/>
                <w:szCs w:val="20"/>
              </w:rPr>
              <w:t xml:space="preserve">This work describes the structure determination </w:t>
            </w:r>
            <w:r w:rsidR="00E63B91">
              <w:rPr>
                <w:rFonts w:ascii="Arial" w:eastAsia="Times New Roman" w:hAnsi="Arial" w:cs="Arial"/>
                <w:bCs/>
                <w:sz w:val="20"/>
                <w:szCs w:val="20"/>
              </w:rPr>
              <w:t>of a novel target. Enzymatic assays suitable for high throughput screening have been developed and fragment screening has identified a potential allosteric pocket that is thought to be a possible route to inhibition by preventing conformational changes that occur as part of the RECQL5 catalytic cycle.</w:t>
            </w:r>
          </w:p>
          <w:p w14:paraId="13CFDDDF" w14:textId="77777777" w:rsidR="00B87487" w:rsidRDefault="00B87487" w:rsidP="00B87487">
            <w:pPr>
              <w:spacing w:after="0" w:line="240" w:lineRule="auto"/>
              <w:jc w:val="both"/>
              <w:rPr>
                <w:rFonts w:ascii="Arial" w:eastAsia="Times New Roman" w:hAnsi="Arial" w:cs="Arial"/>
                <w:bCs/>
                <w:sz w:val="20"/>
                <w:szCs w:val="20"/>
              </w:rPr>
            </w:pPr>
          </w:p>
          <w:p w14:paraId="061270FD" w14:textId="7EC0A2A4" w:rsidR="005B3622" w:rsidRPr="00AB6E9C" w:rsidRDefault="00B87487" w:rsidP="00B87487">
            <w:pPr>
              <w:spacing w:after="0" w:line="240" w:lineRule="auto"/>
              <w:jc w:val="both"/>
              <w:rPr>
                <w:rFonts w:ascii="Arial" w:eastAsia="Times New Roman" w:hAnsi="Arial" w:cs="Arial"/>
                <w:bCs/>
                <w:sz w:val="20"/>
                <w:szCs w:val="20"/>
              </w:rPr>
            </w:pPr>
            <w:r w:rsidRPr="00B87487">
              <w:rPr>
                <w:rFonts w:ascii="Arial" w:eastAsia="Times New Roman" w:hAnsi="Arial" w:cs="Arial"/>
                <w:bCs/>
                <w:sz w:val="20"/>
                <w:szCs w:val="20"/>
              </w:rPr>
              <w:t>A paper describing the structural, enzymatic and mechanistic characterization of RECQL5 helicase has been published. (PMID: 28100692</w:t>
            </w:r>
            <w:r>
              <w:rPr>
                <w:rFonts w:ascii="Arial" w:eastAsia="Times New Roman" w:hAnsi="Arial" w:cs="Arial"/>
                <w:bCs/>
                <w:sz w:val="20"/>
                <w:szCs w:val="20"/>
              </w:rPr>
              <w:t xml:space="preserve"> </w:t>
            </w:r>
            <w:r w:rsidRPr="00B87487">
              <w:rPr>
                <w:rFonts w:ascii="Arial" w:eastAsia="Times New Roman" w:hAnsi="Arial" w:cs="Arial"/>
                <w:bCs/>
                <w:sz w:val="20"/>
                <w:szCs w:val="20"/>
              </w:rPr>
              <w:t xml:space="preserve">Newman JA, Aitkenhead H, Savitsky P, and Gileadi O. (2017) Insights into the RecQ helicase mechanism revealed by the structure of the helicase domain of human RECQL5. </w:t>
            </w:r>
            <w:proofErr w:type="spellStart"/>
            <w:r w:rsidRPr="00B87487">
              <w:rPr>
                <w:rFonts w:ascii="Arial" w:eastAsia="Times New Roman" w:hAnsi="Arial" w:cs="Arial"/>
                <w:bCs/>
                <w:sz w:val="20"/>
                <w:szCs w:val="20"/>
              </w:rPr>
              <w:t>Nucl</w:t>
            </w:r>
            <w:proofErr w:type="spellEnd"/>
            <w:r w:rsidRPr="00B87487">
              <w:rPr>
                <w:rFonts w:ascii="Arial" w:eastAsia="Times New Roman" w:hAnsi="Arial" w:cs="Arial"/>
                <w:bCs/>
                <w:sz w:val="20"/>
                <w:szCs w:val="20"/>
              </w:rPr>
              <w:t xml:space="preserve"> Acids Res. 45:4231-4243.)</w:t>
            </w:r>
          </w:p>
          <w:p w14:paraId="28284197" w14:textId="77777777" w:rsidR="0052495C" w:rsidRPr="008D5A70" w:rsidRDefault="0052495C" w:rsidP="005B3622">
            <w:pPr>
              <w:spacing w:after="0" w:line="240" w:lineRule="auto"/>
              <w:jc w:val="both"/>
              <w:rPr>
                <w:rFonts w:ascii="Arial" w:eastAsia="Times New Roman" w:hAnsi="Arial" w:cs="Arial"/>
                <w:bCs/>
                <w:sz w:val="20"/>
                <w:szCs w:val="20"/>
              </w:rPr>
            </w:pPr>
          </w:p>
        </w:tc>
      </w:tr>
    </w:tbl>
    <w:p w14:paraId="79B359DA" w14:textId="78426B48" w:rsidR="00571BE4" w:rsidRDefault="00571BE4" w:rsidP="00571BE4">
      <w:pPr>
        <w:spacing w:after="0"/>
        <w:rPr>
          <w:rFonts w:ascii="Arial" w:hAnsi="Arial" w:cs="Arial"/>
          <w:b/>
          <w:bCs/>
          <w:sz w:val="20"/>
          <w:szCs w:val="20"/>
        </w:rPr>
      </w:pPr>
    </w:p>
    <w:p w14:paraId="6365591A" w14:textId="77777777" w:rsidR="004B66F4" w:rsidRDefault="004B66F4" w:rsidP="004B66F4">
      <w:pPr>
        <w:spacing w:after="0"/>
      </w:pPr>
      <w:r>
        <w:rPr>
          <w:rFonts w:ascii="Arial" w:hAnsi="Arial" w:cs="Arial"/>
          <w:b/>
          <w:bCs/>
          <w:sz w:val="20"/>
        </w:rPr>
        <w:t>FUNDING INFORMATION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6"/>
      </w:tblGrid>
      <w:tr w:rsidR="004B66F4" w:rsidRPr="00EF1205" w14:paraId="325E9437" w14:textId="77777777" w:rsidTr="00676B64">
        <w:trPr>
          <w:trHeight w:val="251"/>
        </w:trPr>
        <w:tc>
          <w:tcPr>
            <w:tcW w:w="9776" w:type="dxa"/>
            <w:shd w:val="clear" w:color="auto" w:fill="auto"/>
            <w:vAlign w:val="center"/>
          </w:tcPr>
          <w:p w14:paraId="42181EB3" w14:textId="77777777" w:rsidR="004B66F4" w:rsidRPr="00474353" w:rsidRDefault="004B66F4" w:rsidP="00676B64">
            <w:pPr>
              <w:spacing w:after="0" w:line="240" w:lineRule="auto"/>
              <w:rPr>
                <w:rFonts w:ascii="Arial" w:eastAsia="Times New Roman" w:hAnsi="Arial" w:cs="Arial"/>
                <w:bCs/>
                <w:sz w:val="20"/>
              </w:rPr>
            </w:pPr>
            <w:r w:rsidRPr="00474353">
              <w:rPr>
                <w:rFonts w:ascii="Arial" w:eastAsia="Times New Roman" w:hAnsi="Arial" w:cs="Arial"/>
                <w:bCs/>
                <w:sz w:val="20"/>
              </w:rPr>
              <w:t>The</w:t>
            </w:r>
            <w:r>
              <w:rPr>
                <w:rFonts w:ascii="Arial" w:eastAsia="Times New Roman" w:hAnsi="Arial" w:cs="Arial"/>
                <w:bCs/>
                <w:sz w:val="20"/>
              </w:rPr>
              <w:t xml:space="preserve"> work at the</w:t>
            </w:r>
            <w:r w:rsidRPr="00474353">
              <w:rPr>
                <w:rFonts w:ascii="Arial" w:eastAsia="Times New Roman" w:hAnsi="Arial" w:cs="Arial"/>
                <w:bCs/>
                <w:sz w:val="20"/>
              </w:rPr>
              <w:t xml:space="preserve"> SGC </w:t>
            </w:r>
            <w:r>
              <w:rPr>
                <w:rFonts w:ascii="Arial" w:eastAsia="Times New Roman" w:hAnsi="Arial" w:cs="Arial"/>
                <w:bCs/>
                <w:sz w:val="20"/>
              </w:rPr>
              <w:t>has been funded by a grant from the</w:t>
            </w:r>
            <w:r w:rsidRPr="00474353">
              <w:rPr>
                <w:rFonts w:ascii="Arial" w:eastAsia="Times New Roman" w:hAnsi="Arial" w:cs="Arial"/>
                <w:bCs/>
                <w:sz w:val="20"/>
              </w:rPr>
              <w:t xml:space="preserve"> </w:t>
            </w:r>
            <w:proofErr w:type="spellStart"/>
            <w:r w:rsidRPr="00474353">
              <w:rPr>
                <w:rFonts w:ascii="Arial" w:eastAsia="Times New Roman" w:hAnsi="Arial" w:cs="Arial"/>
                <w:bCs/>
                <w:sz w:val="20"/>
              </w:rPr>
              <w:t>Wellcome</w:t>
            </w:r>
            <w:proofErr w:type="spellEnd"/>
            <w:r w:rsidRPr="00474353">
              <w:rPr>
                <w:rFonts w:ascii="Arial" w:eastAsia="Times New Roman" w:hAnsi="Arial" w:cs="Arial"/>
                <w:bCs/>
                <w:sz w:val="20"/>
              </w:rPr>
              <w:t xml:space="preserve"> [106169/ZZ14/Z].</w:t>
            </w:r>
          </w:p>
        </w:tc>
      </w:tr>
    </w:tbl>
    <w:p w14:paraId="1564B9F7" w14:textId="77777777" w:rsidR="004B66F4" w:rsidRPr="008D5A70" w:rsidRDefault="004B66F4" w:rsidP="00571BE4">
      <w:pPr>
        <w:spacing w:after="0"/>
        <w:rPr>
          <w:rFonts w:ascii="Arial" w:hAnsi="Arial" w:cs="Arial"/>
          <w:b/>
          <w:bCs/>
          <w:sz w:val="20"/>
          <w:szCs w:val="20"/>
        </w:rPr>
      </w:pPr>
      <w:bookmarkStart w:id="0" w:name="_GoBack"/>
      <w:bookmarkEnd w:id="0"/>
    </w:p>
    <w:p w14:paraId="708AEA11" w14:textId="5D90597A" w:rsidR="00571BE4" w:rsidRPr="008D5A70" w:rsidRDefault="00571BE4" w:rsidP="00571BE4">
      <w:pPr>
        <w:spacing w:after="0"/>
        <w:rPr>
          <w:sz w:val="20"/>
          <w:szCs w:val="20"/>
        </w:rPr>
      </w:pPr>
      <w:r w:rsidRPr="008D5A70">
        <w:rPr>
          <w:rFonts w:ascii="Arial" w:hAnsi="Arial" w:cs="Arial"/>
          <w:b/>
          <w:bCs/>
          <w:sz w:val="20"/>
          <w:szCs w:val="20"/>
        </w:rPr>
        <w:t>ADDITIONAL INFORMATION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694"/>
        <w:gridCol w:w="4819"/>
      </w:tblGrid>
      <w:tr w:rsidR="006F6647" w:rsidRPr="008D5A70" w14:paraId="00FA9E7C" w14:textId="77777777" w:rsidTr="006F6647">
        <w:tc>
          <w:tcPr>
            <w:tcW w:w="2263" w:type="dxa"/>
            <w:vMerge w:val="restart"/>
            <w:tcBorders>
              <w:top w:val="single" w:sz="4" w:space="0" w:color="auto"/>
            </w:tcBorders>
            <w:shd w:val="clear" w:color="auto" w:fill="F2F2F2" w:themeFill="background1" w:themeFillShade="F2"/>
          </w:tcPr>
          <w:p w14:paraId="5D4543EF" w14:textId="310C32D8" w:rsidR="006F6647" w:rsidRPr="008D5A70" w:rsidRDefault="006F6647" w:rsidP="003F06E7">
            <w:pPr>
              <w:spacing w:after="0" w:line="240" w:lineRule="auto"/>
              <w:rPr>
                <w:rFonts w:ascii="Arial" w:eastAsia="Times New Roman" w:hAnsi="Arial" w:cs="Arial"/>
                <w:b/>
                <w:sz w:val="20"/>
                <w:szCs w:val="20"/>
              </w:rPr>
            </w:pPr>
            <w:r w:rsidRPr="008D5A70">
              <w:rPr>
                <w:rFonts w:ascii="Arial" w:eastAsia="Times New Roman" w:hAnsi="Arial" w:cs="Arial"/>
                <w:b/>
                <w:sz w:val="20"/>
                <w:szCs w:val="20"/>
              </w:rPr>
              <w:t>Structure files</w:t>
            </w:r>
          </w:p>
        </w:tc>
        <w:tc>
          <w:tcPr>
            <w:tcW w:w="2694" w:type="dxa"/>
            <w:tcBorders>
              <w:top w:val="single" w:sz="4" w:space="0" w:color="auto"/>
            </w:tcBorders>
          </w:tcPr>
          <w:p w14:paraId="454C0BDA" w14:textId="63CD1732" w:rsidR="006F6647" w:rsidRPr="008D5A70" w:rsidRDefault="00B87487" w:rsidP="00DF6BA4">
            <w:pPr>
              <w:tabs>
                <w:tab w:val="center" w:pos="3002"/>
              </w:tabs>
              <w:spacing w:after="0" w:line="240" w:lineRule="auto"/>
              <w:rPr>
                <w:rFonts w:ascii="Arial" w:eastAsia="Times New Roman" w:hAnsi="Arial" w:cs="Arial"/>
                <w:sz w:val="20"/>
                <w:szCs w:val="20"/>
              </w:rPr>
            </w:pPr>
            <w:r>
              <w:rPr>
                <w:rFonts w:ascii="Arial" w:eastAsia="Times New Roman" w:hAnsi="Arial" w:cs="Arial"/>
                <w:sz w:val="20"/>
                <w:szCs w:val="20"/>
              </w:rPr>
              <w:t>5LB8</w:t>
            </w:r>
          </w:p>
        </w:tc>
        <w:tc>
          <w:tcPr>
            <w:tcW w:w="4819" w:type="dxa"/>
            <w:tcBorders>
              <w:top w:val="single" w:sz="4" w:space="0" w:color="auto"/>
            </w:tcBorders>
          </w:tcPr>
          <w:p w14:paraId="116F96D8" w14:textId="32A0FF93" w:rsidR="006F6647" w:rsidRPr="00DF6BA4" w:rsidRDefault="006F6647" w:rsidP="002E774F">
            <w:pPr>
              <w:tabs>
                <w:tab w:val="center" w:pos="3002"/>
              </w:tabs>
              <w:spacing w:after="0" w:line="240" w:lineRule="auto"/>
              <w:rPr>
                <w:rFonts w:ascii="Arial" w:eastAsia="Times New Roman" w:hAnsi="Arial" w:cs="Arial"/>
                <w:sz w:val="20"/>
                <w:szCs w:val="20"/>
              </w:rPr>
            </w:pPr>
            <w:r>
              <w:rPr>
                <w:rFonts w:ascii="Arial" w:eastAsia="Times New Roman" w:hAnsi="Arial" w:cs="Arial"/>
                <w:iCs/>
                <w:sz w:val="20"/>
                <w:szCs w:val="20"/>
              </w:rPr>
              <w:t>RECQL5 APO form</w:t>
            </w:r>
          </w:p>
        </w:tc>
      </w:tr>
      <w:tr w:rsidR="006F6647" w:rsidRPr="008D5A70" w14:paraId="11209E8C" w14:textId="77777777" w:rsidTr="00635A0F">
        <w:tc>
          <w:tcPr>
            <w:tcW w:w="2263" w:type="dxa"/>
            <w:vMerge/>
            <w:shd w:val="clear" w:color="auto" w:fill="F2F2F2" w:themeFill="background1" w:themeFillShade="F2"/>
          </w:tcPr>
          <w:p w14:paraId="5812AEBE" w14:textId="77777777" w:rsidR="006F6647" w:rsidRPr="008D5A70" w:rsidRDefault="006F6647" w:rsidP="003F06E7">
            <w:pPr>
              <w:spacing w:after="0" w:line="240" w:lineRule="auto"/>
              <w:rPr>
                <w:rFonts w:ascii="Arial" w:eastAsia="Times New Roman" w:hAnsi="Arial" w:cs="Arial"/>
                <w:b/>
                <w:sz w:val="20"/>
                <w:szCs w:val="20"/>
              </w:rPr>
            </w:pPr>
          </w:p>
        </w:tc>
        <w:tc>
          <w:tcPr>
            <w:tcW w:w="2694" w:type="dxa"/>
          </w:tcPr>
          <w:p w14:paraId="5FC69885" w14:textId="58131476" w:rsidR="006F6647" w:rsidRPr="008D5A70" w:rsidRDefault="00B87487" w:rsidP="00DF6BA4">
            <w:pPr>
              <w:tabs>
                <w:tab w:val="center" w:pos="3002"/>
              </w:tabs>
              <w:spacing w:after="0" w:line="240" w:lineRule="auto"/>
              <w:rPr>
                <w:rFonts w:ascii="Arial" w:eastAsia="Times New Roman" w:hAnsi="Arial" w:cs="Arial"/>
                <w:sz w:val="20"/>
                <w:szCs w:val="20"/>
              </w:rPr>
            </w:pPr>
            <w:r>
              <w:rPr>
                <w:rFonts w:ascii="Arial" w:eastAsia="Times New Roman" w:hAnsi="Arial" w:cs="Arial"/>
                <w:sz w:val="20"/>
                <w:szCs w:val="20"/>
              </w:rPr>
              <w:t>5LB3</w:t>
            </w:r>
          </w:p>
        </w:tc>
        <w:tc>
          <w:tcPr>
            <w:tcW w:w="4819" w:type="dxa"/>
          </w:tcPr>
          <w:p w14:paraId="60D61CED" w14:textId="724B1484" w:rsidR="006F6647" w:rsidRPr="00DF6BA4" w:rsidRDefault="006F6647" w:rsidP="002E774F">
            <w:pPr>
              <w:tabs>
                <w:tab w:val="center" w:pos="3002"/>
              </w:tabs>
              <w:spacing w:after="0" w:line="240" w:lineRule="auto"/>
              <w:rPr>
                <w:rFonts w:ascii="Arial" w:eastAsia="Times New Roman" w:hAnsi="Arial" w:cs="Arial"/>
                <w:sz w:val="20"/>
                <w:szCs w:val="20"/>
              </w:rPr>
            </w:pPr>
            <w:r>
              <w:rPr>
                <w:rFonts w:ascii="Arial" w:eastAsia="Times New Roman" w:hAnsi="Arial" w:cs="Arial"/>
                <w:iCs/>
                <w:sz w:val="20"/>
                <w:szCs w:val="20"/>
              </w:rPr>
              <w:t>RECQL5 ADP/Mg</w:t>
            </w:r>
            <w:r>
              <w:rPr>
                <w:rFonts w:ascii="Arial" w:eastAsia="Times New Roman" w:hAnsi="Arial" w:cs="Arial"/>
                <w:iCs/>
                <w:sz w:val="20"/>
                <w:szCs w:val="20"/>
                <w:vertAlign w:val="superscript"/>
              </w:rPr>
              <w:t>2+</w:t>
            </w:r>
            <w:r>
              <w:rPr>
                <w:rFonts w:ascii="Arial" w:eastAsia="Times New Roman" w:hAnsi="Arial" w:cs="Arial"/>
                <w:iCs/>
                <w:sz w:val="20"/>
                <w:szCs w:val="20"/>
              </w:rPr>
              <w:t xml:space="preserve"> complex P2</w:t>
            </w:r>
            <w:r w:rsidRPr="00DF6BA4">
              <w:rPr>
                <w:rFonts w:ascii="Arial" w:eastAsia="Times New Roman" w:hAnsi="Arial" w:cs="Arial"/>
                <w:iCs/>
                <w:sz w:val="20"/>
                <w:szCs w:val="20"/>
                <w:vertAlign w:val="subscript"/>
              </w:rPr>
              <w:t>1</w:t>
            </w:r>
            <w:r>
              <w:rPr>
                <w:rFonts w:ascii="Arial" w:eastAsia="Times New Roman" w:hAnsi="Arial" w:cs="Arial"/>
                <w:iCs/>
                <w:sz w:val="20"/>
                <w:szCs w:val="20"/>
              </w:rPr>
              <w:t xml:space="preserve"> </w:t>
            </w:r>
            <w:proofErr w:type="spellStart"/>
            <w:r>
              <w:rPr>
                <w:rFonts w:ascii="Arial" w:eastAsia="Times New Roman" w:hAnsi="Arial" w:cs="Arial"/>
                <w:iCs/>
                <w:sz w:val="20"/>
                <w:szCs w:val="20"/>
              </w:rPr>
              <w:t>xtal</w:t>
            </w:r>
            <w:proofErr w:type="spellEnd"/>
            <w:r>
              <w:rPr>
                <w:rFonts w:ascii="Arial" w:eastAsia="Times New Roman" w:hAnsi="Arial" w:cs="Arial"/>
                <w:iCs/>
                <w:sz w:val="20"/>
                <w:szCs w:val="20"/>
              </w:rPr>
              <w:t xml:space="preserve"> form</w:t>
            </w:r>
          </w:p>
        </w:tc>
      </w:tr>
      <w:tr w:rsidR="006F6647" w:rsidRPr="00FF5458" w14:paraId="56034FF2" w14:textId="77777777" w:rsidTr="00635A0F">
        <w:tc>
          <w:tcPr>
            <w:tcW w:w="2263" w:type="dxa"/>
            <w:vMerge/>
            <w:shd w:val="clear" w:color="auto" w:fill="F2F2F2" w:themeFill="background1" w:themeFillShade="F2"/>
          </w:tcPr>
          <w:p w14:paraId="082BD61D" w14:textId="77777777" w:rsidR="006F6647" w:rsidRPr="00FF5458" w:rsidRDefault="006F6647" w:rsidP="00DF6BA4">
            <w:pPr>
              <w:spacing w:after="0" w:line="240" w:lineRule="auto"/>
              <w:rPr>
                <w:rFonts w:ascii="Arial" w:eastAsia="Times New Roman" w:hAnsi="Arial" w:cs="Arial"/>
                <w:b/>
                <w:sz w:val="20"/>
              </w:rPr>
            </w:pPr>
          </w:p>
        </w:tc>
        <w:tc>
          <w:tcPr>
            <w:tcW w:w="2694" w:type="dxa"/>
          </w:tcPr>
          <w:p w14:paraId="14C1C777" w14:textId="1F105C77" w:rsidR="006F6647" w:rsidRPr="000B3D67" w:rsidRDefault="00B87487" w:rsidP="00DF6BA4">
            <w:pPr>
              <w:tabs>
                <w:tab w:val="center" w:pos="3002"/>
              </w:tabs>
              <w:spacing w:after="0" w:line="240" w:lineRule="auto"/>
              <w:rPr>
                <w:rFonts w:ascii="Arial" w:eastAsia="Times New Roman" w:hAnsi="Arial" w:cs="Arial"/>
                <w:sz w:val="20"/>
                <w:szCs w:val="20"/>
              </w:rPr>
            </w:pPr>
            <w:r w:rsidRPr="000B3D67">
              <w:rPr>
                <w:rFonts w:ascii="Arial" w:eastAsia="Times New Roman" w:hAnsi="Arial" w:cs="Arial"/>
                <w:sz w:val="20"/>
                <w:szCs w:val="20"/>
              </w:rPr>
              <w:t>5LB5</w:t>
            </w:r>
          </w:p>
        </w:tc>
        <w:tc>
          <w:tcPr>
            <w:tcW w:w="4819" w:type="dxa"/>
          </w:tcPr>
          <w:p w14:paraId="690DEB28" w14:textId="783B1299" w:rsidR="006F6647" w:rsidRPr="00FF5458" w:rsidRDefault="006F6647" w:rsidP="00DF6BA4">
            <w:pPr>
              <w:tabs>
                <w:tab w:val="center" w:pos="3002"/>
              </w:tabs>
              <w:spacing w:after="0" w:line="240" w:lineRule="auto"/>
              <w:rPr>
                <w:rFonts w:ascii="Arial" w:eastAsia="Times New Roman" w:hAnsi="Arial" w:cs="Arial"/>
              </w:rPr>
            </w:pPr>
            <w:r>
              <w:rPr>
                <w:rFonts w:ascii="Arial" w:eastAsia="Times New Roman" w:hAnsi="Arial" w:cs="Arial"/>
                <w:iCs/>
                <w:sz w:val="20"/>
                <w:szCs w:val="20"/>
              </w:rPr>
              <w:t>RECQL5 ADP/Mg</w:t>
            </w:r>
            <w:r>
              <w:rPr>
                <w:rFonts w:ascii="Arial" w:eastAsia="Times New Roman" w:hAnsi="Arial" w:cs="Arial"/>
                <w:iCs/>
                <w:sz w:val="20"/>
                <w:szCs w:val="20"/>
                <w:vertAlign w:val="superscript"/>
              </w:rPr>
              <w:t>2+</w:t>
            </w:r>
            <w:r>
              <w:rPr>
                <w:rFonts w:ascii="Arial" w:eastAsia="Times New Roman" w:hAnsi="Arial" w:cs="Arial"/>
                <w:iCs/>
                <w:sz w:val="20"/>
                <w:szCs w:val="20"/>
              </w:rPr>
              <w:t xml:space="preserve"> DMSO complex P1 </w:t>
            </w:r>
            <w:proofErr w:type="spellStart"/>
            <w:r>
              <w:rPr>
                <w:rFonts w:ascii="Arial" w:eastAsia="Times New Roman" w:hAnsi="Arial" w:cs="Arial"/>
                <w:iCs/>
                <w:sz w:val="20"/>
                <w:szCs w:val="20"/>
              </w:rPr>
              <w:t>xtal</w:t>
            </w:r>
            <w:proofErr w:type="spellEnd"/>
            <w:r>
              <w:rPr>
                <w:rFonts w:ascii="Arial" w:eastAsia="Times New Roman" w:hAnsi="Arial" w:cs="Arial"/>
                <w:iCs/>
                <w:sz w:val="20"/>
                <w:szCs w:val="20"/>
              </w:rPr>
              <w:t xml:space="preserve"> form</w:t>
            </w:r>
          </w:p>
        </w:tc>
      </w:tr>
      <w:tr w:rsidR="006F6647" w:rsidRPr="00FF5458" w14:paraId="78DF97F9" w14:textId="77777777" w:rsidTr="00AD451A">
        <w:trPr>
          <w:trHeight w:val="197"/>
        </w:trPr>
        <w:tc>
          <w:tcPr>
            <w:tcW w:w="2263" w:type="dxa"/>
            <w:vMerge/>
            <w:shd w:val="clear" w:color="auto" w:fill="F2F2F2" w:themeFill="background1" w:themeFillShade="F2"/>
          </w:tcPr>
          <w:p w14:paraId="25AFAD4A" w14:textId="77777777" w:rsidR="006F6647" w:rsidRPr="00FF5458" w:rsidRDefault="006F6647" w:rsidP="00DF6BA4">
            <w:pPr>
              <w:spacing w:after="0" w:line="240" w:lineRule="auto"/>
              <w:rPr>
                <w:rFonts w:ascii="Arial" w:eastAsia="Times New Roman" w:hAnsi="Arial" w:cs="Arial"/>
                <w:b/>
                <w:sz w:val="20"/>
              </w:rPr>
            </w:pPr>
          </w:p>
        </w:tc>
        <w:tc>
          <w:tcPr>
            <w:tcW w:w="2694" w:type="dxa"/>
          </w:tcPr>
          <w:p w14:paraId="5F97B544" w14:textId="1E312F3B" w:rsidR="006F6647" w:rsidRPr="000B3D67" w:rsidRDefault="00B87487" w:rsidP="00DF6BA4">
            <w:pPr>
              <w:tabs>
                <w:tab w:val="center" w:pos="3002"/>
              </w:tabs>
              <w:spacing w:after="0" w:line="240" w:lineRule="auto"/>
              <w:rPr>
                <w:rFonts w:ascii="Arial" w:eastAsia="Times New Roman" w:hAnsi="Arial" w:cs="Arial"/>
                <w:sz w:val="20"/>
                <w:szCs w:val="20"/>
              </w:rPr>
            </w:pPr>
            <w:r w:rsidRPr="000B3D67">
              <w:rPr>
                <w:rFonts w:ascii="Arial" w:eastAsia="Times New Roman" w:hAnsi="Arial" w:cs="Arial"/>
                <w:sz w:val="20"/>
                <w:szCs w:val="20"/>
              </w:rPr>
              <w:t>5LBA</w:t>
            </w:r>
          </w:p>
        </w:tc>
        <w:tc>
          <w:tcPr>
            <w:tcW w:w="4819" w:type="dxa"/>
          </w:tcPr>
          <w:p w14:paraId="5A11D32F" w14:textId="66389FA7" w:rsidR="006F6647" w:rsidRPr="00FF5458" w:rsidRDefault="006F6647" w:rsidP="00DF6BA4">
            <w:pPr>
              <w:tabs>
                <w:tab w:val="center" w:pos="3002"/>
              </w:tabs>
              <w:spacing w:after="0" w:line="240" w:lineRule="auto"/>
              <w:rPr>
                <w:rFonts w:ascii="Arial" w:eastAsia="Times New Roman" w:hAnsi="Arial" w:cs="Arial"/>
              </w:rPr>
            </w:pPr>
            <w:r>
              <w:rPr>
                <w:rFonts w:ascii="Arial" w:eastAsia="Times New Roman" w:hAnsi="Arial" w:cs="Arial"/>
                <w:iCs/>
                <w:sz w:val="20"/>
                <w:szCs w:val="20"/>
              </w:rPr>
              <w:t>RECQL5 ADP/Mg</w:t>
            </w:r>
            <w:r>
              <w:rPr>
                <w:rFonts w:ascii="Arial" w:eastAsia="Times New Roman" w:hAnsi="Arial" w:cs="Arial"/>
                <w:iCs/>
                <w:sz w:val="20"/>
                <w:szCs w:val="20"/>
                <w:vertAlign w:val="superscript"/>
              </w:rPr>
              <w:t>2+</w:t>
            </w:r>
            <w:r>
              <w:rPr>
                <w:rFonts w:ascii="Arial" w:eastAsia="Times New Roman" w:hAnsi="Arial" w:cs="Arial"/>
                <w:iCs/>
                <w:sz w:val="20"/>
                <w:szCs w:val="20"/>
              </w:rPr>
              <w:t xml:space="preserve"> Fragment complex P1 </w:t>
            </w:r>
            <w:proofErr w:type="spellStart"/>
            <w:r>
              <w:rPr>
                <w:rFonts w:ascii="Arial" w:eastAsia="Times New Roman" w:hAnsi="Arial" w:cs="Arial"/>
                <w:iCs/>
                <w:sz w:val="20"/>
                <w:szCs w:val="20"/>
              </w:rPr>
              <w:t>xtal</w:t>
            </w:r>
            <w:proofErr w:type="spellEnd"/>
            <w:r>
              <w:rPr>
                <w:rFonts w:ascii="Arial" w:eastAsia="Times New Roman" w:hAnsi="Arial" w:cs="Arial"/>
                <w:iCs/>
                <w:sz w:val="20"/>
                <w:szCs w:val="20"/>
              </w:rPr>
              <w:t xml:space="preserve"> form</w:t>
            </w:r>
          </w:p>
        </w:tc>
      </w:tr>
    </w:tbl>
    <w:p w14:paraId="0C3AB22E" w14:textId="308EA539" w:rsidR="008D5A70" w:rsidRDefault="008D5A70" w:rsidP="007F0AE1">
      <w:pPr>
        <w:spacing w:after="0"/>
      </w:pPr>
    </w:p>
    <w:p w14:paraId="7225D5F9" w14:textId="77777777" w:rsidR="007F0AE1" w:rsidRDefault="008D5A70" w:rsidP="007F0AE1">
      <w:pPr>
        <w:spacing w:after="0"/>
      </w:pPr>
      <w:r>
        <w:br w:type="column"/>
      </w:r>
    </w:p>
    <w:tbl>
      <w:tblPr>
        <w:tblW w:w="9744" w:type="dxa"/>
        <w:tblLayout w:type="fixed"/>
        <w:tblLook w:val="0000" w:firstRow="0" w:lastRow="0" w:firstColumn="0" w:lastColumn="0" w:noHBand="0" w:noVBand="0"/>
      </w:tblPr>
      <w:tblGrid>
        <w:gridCol w:w="9744"/>
      </w:tblGrid>
      <w:tr w:rsidR="00B05034" w:rsidRPr="00E05DB5" w14:paraId="15989041" w14:textId="77777777" w:rsidTr="00CB4D6C">
        <w:trPr>
          <w:cantSplit/>
          <w:trHeight w:val="688"/>
        </w:trPr>
        <w:tc>
          <w:tcPr>
            <w:tcW w:w="97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D23719" w14:textId="05C57D3B" w:rsidR="00B05034" w:rsidRPr="00E05DB5" w:rsidRDefault="00B05034" w:rsidP="00CB4D6C">
            <w:pPr>
              <w:spacing w:after="0" w:line="240" w:lineRule="auto"/>
              <w:jc w:val="both"/>
              <w:rPr>
                <w:rFonts w:ascii="Arial" w:eastAsia="Times New Roman" w:hAnsi="Arial" w:cs="Arial"/>
                <w:b/>
                <w:bCs/>
                <w:sz w:val="20"/>
                <w:szCs w:val="24"/>
              </w:rPr>
            </w:pPr>
            <w:r>
              <w:rPr>
                <w:rFonts w:ascii="Arial" w:eastAsia="Times New Roman" w:hAnsi="Arial" w:cs="Arial"/>
                <w:b/>
                <w:bCs/>
                <w:sz w:val="20"/>
                <w:szCs w:val="24"/>
              </w:rPr>
              <w:t xml:space="preserve">Supplemental Information </w:t>
            </w:r>
          </w:p>
        </w:tc>
      </w:tr>
      <w:tr w:rsidR="00B05034" w:rsidRPr="00E05DB5" w14:paraId="20DF0094" w14:textId="77777777" w:rsidTr="008E029B">
        <w:trPr>
          <w:trHeight w:val="279"/>
        </w:trPr>
        <w:tc>
          <w:tcPr>
            <w:tcW w:w="9744" w:type="dxa"/>
            <w:tcBorders>
              <w:top w:val="single" w:sz="4" w:space="0" w:color="auto"/>
              <w:left w:val="single" w:sz="4" w:space="0" w:color="auto"/>
              <w:bottom w:val="single" w:sz="4" w:space="0" w:color="auto"/>
              <w:right w:val="single" w:sz="4" w:space="0" w:color="auto"/>
            </w:tcBorders>
            <w:vAlign w:val="center"/>
          </w:tcPr>
          <w:p w14:paraId="18E2BCBF" w14:textId="679E365F" w:rsidR="00B05034" w:rsidRDefault="00B05034" w:rsidP="003F06E7">
            <w:pPr>
              <w:spacing w:after="0" w:line="240" w:lineRule="auto"/>
              <w:jc w:val="both"/>
              <w:rPr>
                <w:rFonts w:ascii="Arial" w:eastAsia="Times New Roman" w:hAnsi="Arial" w:cs="Arial"/>
                <w:bCs/>
                <w:szCs w:val="20"/>
              </w:rPr>
            </w:pPr>
          </w:p>
          <w:p w14:paraId="7FD78504" w14:textId="0F8DDD6E" w:rsidR="00912F18" w:rsidRDefault="002A1A0B" w:rsidP="00912F18">
            <w:pPr>
              <w:spacing w:after="0" w:line="240" w:lineRule="auto"/>
              <w:jc w:val="both"/>
              <w:rPr>
                <w:rFonts w:ascii="Arial" w:eastAsia="Times New Roman" w:hAnsi="Arial" w:cs="Arial"/>
                <w:b/>
                <w:bCs/>
                <w:sz w:val="20"/>
                <w:szCs w:val="20"/>
              </w:rPr>
            </w:pPr>
            <w:r w:rsidRPr="008E4F08">
              <w:rPr>
                <w:rFonts w:ascii="Arial" w:eastAsia="Times New Roman" w:hAnsi="Arial" w:cs="Arial"/>
                <w:b/>
                <w:bCs/>
                <w:sz w:val="20"/>
                <w:szCs w:val="20"/>
              </w:rPr>
              <w:t>Procedure for protein purification</w:t>
            </w:r>
            <w:r w:rsidR="00DF6BA4">
              <w:rPr>
                <w:rFonts w:ascii="Arial" w:eastAsia="Times New Roman" w:hAnsi="Arial" w:cs="Arial"/>
                <w:b/>
                <w:bCs/>
                <w:sz w:val="20"/>
                <w:szCs w:val="20"/>
              </w:rPr>
              <w:t xml:space="preserve"> of RECQL5</w:t>
            </w:r>
          </w:p>
          <w:p w14:paraId="511CA0F6" w14:textId="77777777" w:rsidR="00DF6BA4" w:rsidRDefault="00DF6BA4" w:rsidP="00912F18">
            <w:pPr>
              <w:spacing w:after="0" w:line="240" w:lineRule="auto"/>
              <w:jc w:val="both"/>
              <w:rPr>
                <w:rFonts w:ascii="Arial" w:eastAsia="Times New Roman" w:hAnsi="Arial" w:cs="Arial"/>
                <w:b/>
                <w:bCs/>
                <w:sz w:val="20"/>
                <w:szCs w:val="20"/>
              </w:rPr>
            </w:pPr>
          </w:p>
          <w:p w14:paraId="5257CEF7" w14:textId="0DABAC28" w:rsidR="00DF6BA4" w:rsidRDefault="00DF6BA4" w:rsidP="00912F18">
            <w:pPr>
              <w:spacing w:after="0" w:line="240" w:lineRule="auto"/>
              <w:jc w:val="both"/>
              <w:rPr>
                <w:rFonts w:ascii="Arial" w:eastAsia="Times New Roman" w:hAnsi="Arial" w:cs="Arial"/>
                <w:bCs/>
                <w:sz w:val="20"/>
                <w:szCs w:val="20"/>
              </w:rPr>
            </w:pPr>
            <w:r w:rsidRPr="00DF6BA4">
              <w:rPr>
                <w:rFonts w:ascii="Arial" w:eastAsia="Times New Roman" w:hAnsi="Arial" w:cs="Arial"/>
                <w:bCs/>
                <w:sz w:val="20"/>
                <w:szCs w:val="20"/>
              </w:rPr>
              <w:t xml:space="preserve">RECQL5 constructs were cloned in to the pNIC28-Bsa4 vector for histidine tagged overexpression in E.coli. The RECQL5 11-526 variants were generated from the WT construct by a site directed mutagenesis strategy. For purification cell pellets were thawed and </w:t>
            </w:r>
            <w:proofErr w:type="spellStart"/>
            <w:r w:rsidRPr="00DF6BA4">
              <w:rPr>
                <w:rFonts w:ascii="Arial" w:eastAsia="Times New Roman" w:hAnsi="Arial" w:cs="Arial"/>
                <w:bCs/>
                <w:sz w:val="20"/>
                <w:szCs w:val="20"/>
              </w:rPr>
              <w:t>resuspended</w:t>
            </w:r>
            <w:proofErr w:type="spellEnd"/>
            <w:r w:rsidRPr="00DF6BA4">
              <w:rPr>
                <w:rFonts w:ascii="Arial" w:eastAsia="Times New Roman" w:hAnsi="Arial" w:cs="Arial"/>
                <w:bCs/>
                <w:sz w:val="20"/>
                <w:szCs w:val="20"/>
              </w:rPr>
              <w:t xml:space="preserve"> in buffer A (50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HEPES pH 7.5, 500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w:t>
            </w:r>
            <w:proofErr w:type="spellStart"/>
            <w:r w:rsidRPr="00DF6BA4">
              <w:rPr>
                <w:rFonts w:ascii="Arial" w:eastAsia="Times New Roman" w:hAnsi="Arial" w:cs="Arial"/>
                <w:bCs/>
                <w:sz w:val="20"/>
                <w:szCs w:val="20"/>
              </w:rPr>
              <w:t>NaCl</w:t>
            </w:r>
            <w:proofErr w:type="spellEnd"/>
            <w:r w:rsidRPr="00DF6BA4">
              <w:rPr>
                <w:rFonts w:ascii="Arial" w:eastAsia="Times New Roman" w:hAnsi="Arial" w:cs="Arial"/>
                <w:bCs/>
                <w:sz w:val="20"/>
                <w:szCs w:val="20"/>
              </w:rPr>
              <w:t xml:space="preserve">, 5% glycerol, 10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imidazole, 0.5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w:t>
            </w:r>
            <w:proofErr w:type="spellStart"/>
            <w:r w:rsidRPr="00DF6BA4">
              <w:rPr>
                <w:rFonts w:ascii="Arial" w:eastAsia="Times New Roman" w:hAnsi="Arial" w:cs="Arial"/>
                <w:bCs/>
                <w:sz w:val="20"/>
                <w:szCs w:val="20"/>
              </w:rPr>
              <w:t>Tris</w:t>
            </w:r>
            <w:proofErr w:type="spellEnd"/>
            <w:r w:rsidRPr="00DF6BA4">
              <w:rPr>
                <w:rFonts w:ascii="Arial" w:eastAsia="Times New Roman" w:hAnsi="Arial" w:cs="Arial"/>
                <w:bCs/>
                <w:sz w:val="20"/>
                <w:szCs w:val="20"/>
              </w:rPr>
              <w:t xml:space="preserve"> (2-carboxyethyl) </w:t>
            </w:r>
            <w:proofErr w:type="spellStart"/>
            <w:r w:rsidRPr="00DF6BA4">
              <w:rPr>
                <w:rFonts w:ascii="Arial" w:eastAsia="Times New Roman" w:hAnsi="Arial" w:cs="Arial"/>
                <w:bCs/>
                <w:sz w:val="20"/>
                <w:szCs w:val="20"/>
              </w:rPr>
              <w:t>phosphene</w:t>
            </w:r>
            <w:proofErr w:type="spellEnd"/>
            <w:r w:rsidRPr="00DF6BA4">
              <w:rPr>
                <w:rFonts w:ascii="Arial" w:eastAsia="Times New Roman" w:hAnsi="Arial" w:cs="Arial"/>
                <w:bCs/>
                <w:sz w:val="20"/>
                <w:szCs w:val="20"/>
              </w:rPr>
              <w:t xml:space="preserve"> (TCEP). Cells were lysed using sonication and cell debris pelleted by centrifugation. Lysates were applied to a Ni-IDA IMAC gravity flow column, washed with 2 column volumes of wash buffer (buffer A supplemented with 45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imidazole), and eluted with the addition of 300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imidazole in buffer A. The purification tag was cleaved with the addition of 1:20 mass ratio of His-tagged TEV protease during overnight dialysis into buffer B (20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HEPES, pH 7.5, 500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w:t>
            </w:r>
            <w:proofErr w:type="spellStart"/>
            <w:r w:rsidRPr="00DF6BA4">
              <w:rPr>
                <w:rFonts w:ascii="Arial" w:eastAsia="Times New Roman" w:hAnsi="Arial" w:cs="Arial"/>
                <w:bCs/>
                <w:sz w:val="20"/>
                <w:szCs w:val="20"/>
              </w:rPr>
              <w:t>NaCl</w:t>
            </w:r>
            <w:proofErr w:type="spellEnd"/>
            <w:r w:rsidRPr="00DF6BA4">
              <w:rPr>
                <w:rFonts w:ascii="Arial" w:eastAsia="Times New Roman" w:hAnsi="Arial" w:cs="Arial"/>
                <w:bCs/>
                <w:sz w:val="20"/>
                <w:szCs w:val="20"/>
              </w:rPr>
              <w:t xml:space="preserve">, 5 % glycerol, 0.5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TCEP). TEV was removed by IMAC column rebinding and final protein purification was performed by size exclusion chromatography using a </w:t>
            </w:r>
            <w:proofErr w:type="spellStart"/>
            <w:r w:rsidRPr="00DF6BA4">
              <w:rPr>
                <w:rFonts w:ascii="Arial" w:eastAsia="Times New Roman" w:hAnsi="Arial" w:cs="Arial"/>
                <w:bCs/>
                <w:sz w:val="20"/>
                <w:szCs w:val="20"/>
              </w:rPr>
              <w:t>HiLoad</w:t>
            </w:r>
            <w:proofErr w:type="spellEnd"/>
            <w:r w:rsidRPr="00DF6BA4">
              <w:rPr>
                <w:rFonts w:ascii="Arial" w:eastAsia="Times New Roman" w:hAnsi="Arial" w:cs="Arial"/>
                <w:bCs/>
                <w:sz w:val="20"/>
                <w:szCs w:val="20"/>
              </w:rPr>
              <w:t xml:space="preserve"> 16/60 </w:t>
            </w:r>
            <w:proofErr w:type="spellStart"/>
            <w:r w:rsidRPr="00DF6BA4">
              <w:rPr>
                <w:rFonts w:ascii="Arial" w:eastAsia="Times New Roman" w:hAnsi="Arial" w:cs="Arial"/>
                <w:bCs/>
                <w:sz w:val="20"/>
                <w:szCs w:val="20"/>
              </w:rPr>
              <w:t>Superdex</w:t>
            </w:r>
            <w:proofErr w:type="spellEnd"/>
            <w:r w:rsidRPr="00DF6BA4">
              <w:rPr>
                <w:rFonts w:ascii="Arial" w:eastAsia="Times New Roman" w:hAnsi="Arial" w:cs="Arial"/>
                <w:bCs/>
                <w:sz w:val="20"/>
                <w:szCs w:val="20"/>
              </w:rPr>
              <w:t xml:space="preserve"> 200 column at 1 ml/min in buffer B. Protein concentrations were determined by measurement at 280nm (</w:t>
            </w:r>
            <w:proofErr w:type="spellStart"/>
            <w:r w:rsidRPr="00DF6BA4">
              <w:rPr>
                <w:rFonts w:ascii="Arial" w:eastAsia="Times New Roman" w:hAnsi="Arial" w:cs="Arial"/>
                <w:bCs/>
                <w:sz w:val="20"/>
                <w:szCs w:val="20"/>
              </w:rPr>
              <w:t>Nanodrop</w:t>
            </w:r>
            <w:proofErr w:type="spellEnd"/>
            <w:r w:rsidRPr="00DF6BA4">
              <w:rPr>
                <w:rFonts w:ascii="Arial" w:eastAsia="Times New Roman" w:hAnsi="Arial" w:cs="Arial"/>
                <w:bCs/>
                <w:sz w:val="20"/>
                <w:szCs w:val="20"/>
              </w:rPr>
              <w:t>) using the calculated molecular mass and extinction coefficients</w:t>
            </w:r>
            <w:r>
              <w:rPr>
                <w:rFonts w:ascii="Arial" w:eastAsia="Times New Roman" w:hAnsi="Arial" w:cs="Arial"/>
                <w:bCs/>
                <w:sz w:val="20"/>
                <w:szCs w:val="20"/>
              </w:rPr>
              <w:t>.</w:t>
            </w:r>
          </w:p>
          <w:p w14:paraId="51A4C961" w14:textId="77777777" w:rsidR="00DF6BA4" w:rsidRDefault="00DF6BA4" w:rsidP="00912F18">
            <w:pPr>
              <w:spacing w:after="0" w:line="240" w:lineRule="auto"/>
              <w:jc w:val="both"/>
              <w:rPr>
                <w:rFonts w:ascii="Arial" w:eastAsia="Times New Roman" w:hAnsi="Arial" w:cs="Arial"/>
                <w:bCs/>
                <w:sz w:val="20"/>
                <w:szCs w:val="20"/>
              </w:rPr>
            </w:pPr>
          </w:p>
          <w:p w14:paraId="165F0543" w14:textId="7EDE964C" w:rsidR="00DF6BA4" w:rsidRDefault="00DF6BA4" w:rsidP="00DF6BA4">
            <w:pPr>
              <w:spacing w:after="0" w:line="240" w:lineRule="auto"/>
              <w:jc w:val="both"/>
              <w:rPr>
                <w:rFonts w:ascii="Arial" w:eastAsia="Times New Roman" w:hAnsi="Arial" w:cs="Arial"/>
                <w:b/>
                <w:bCs/>
                <w:sz w:val="20"/>
                <w:szCs w:val="20"/>
              </w:rPr>
            </w:pPr>
            <w:r w:rsidRPr="008E4F08">
              <w:rPr>
                <w:rFonts w:ascii="Arial" w:eastAsia="Times New Roman" w:hAnsi="Arial" w:cs="Arial"/>
                <w:b/>
                <w:bCs/>
                <w:sz w:val="20"/>
                <w:szCs w:val="20"/>
              </w:rPr>
              <w:t xml:space="preserve">Procedure for </w:t>
            </w:r>
            <w:r w:rsidR="00FF055A">
              <w:rPr>
                <w:rFonts w:ascii="Arial" w:eastAsia="Times New Roman" w:hAnsi="Arial" w:cs="Arial"/>
                <w:b/>
                <w:bCs/>
                <w:sz w:val="20"/>
                <w:szCs w:val="20"/>
              </w:rPr>
              <w:t xml:space="preserve">expression </w:t>
            </w:r>
            <w:r w:rsidRPr="008E4F08">
              <w:rPr>
                <w:rFonts w:ascii="Arial" w:eastAsia="Times New Roman" w:hAnsi="Arial" w:cs="Arial"/>
                <w:b/>
                <w:bCs/>
                <w:sz w:val="20"/>
                <w:szCs w:val="20"/>
              </w:rPr>
              <w:t>purification</w:t>
            </w:r>
            <w:r>
              <w:rPr>
                <w:rFonts w:ascii="Arial" w:eastAsia="Times New Roman" w:hAnsi="Arial" w:cs="Arial"/>
                <w:b/>
                <w:bCs/>
                <w:sz w:val="20"/>
                <w:szCs w:val="20"/>
              </w:rPr>
              <w:t xml:space="preserve"> of RECQL5 </w:t>
            </w:r>
            <w:proofErr w:type="spellStart"/>
            <w:r>
              <w:rPr>
                <w:rFonts w:ascii="Arial" w:eastAsia="Times New Roman" w:hAnsi="Arial" w:cs="Arial"/>
                <w:b/>
                <w:bCs/>
                <w:sz w:val="20"/>
                <w:szCs w:val="20"/>
              </w:rPr>
              <w:t>Nanobodies</w:t>
            </w:r>
            <w:proofErr w:type="spellEnd"/>
            <w:r w:rsidR="00FF055A">
              <w:rPr>
                <w:rFonts w:ascii="Arial" w:eastAsia="Times New Roman" w:hAnsi="Arial" w:cs="Arial"/>
                <w:b/>
                <w:bCs/>
                <w:sz w:val="20"/>
                <w:szCs w:val="20"/>
              </w:rPr>
              <w:t xml:space="preserve"> (biotinylated)</w:t>
            </w:r>
          </w:p>
          <w:p w14:paraId="3C38E9C1" w14:textId="77777777" w:rsidR="00FF055A" w:rsidRDefault="00FF055A" w:rsidP="00DF6BA4">
            <w:pPr>
              <w:spacing w:after="0" w:line="240" w:lineRule="auto"/>
              <w:jc w:val="both"/>
              <w:rPr>
                <w:rFonts w:ascii="Arial" w:eastAsia="Times New Roman" w:hAnsi="Arial" w:cs="Arial"/>
                <w:b/>
                <w:bCs/>
                <w:sz w:val="20"/>
                <w:szCs w:val="20"/>
              </w:rPr>
            </w:pPr>
          </w:p>
          <w:p w14:paraId="4157E22C" w14:textId="6DF63945" w:rsidR="00FF055A" w:rsidRDefault="00FF055A" w:rsidP="00845349">
            <w:pPr>
              <w:spacing w:after="0" w:line="240" w:lineRule="auto"/>
              <w:jc w:val="both"/>
              <w:rPr>
                <w:rFonts w:ascii="Arial" w:eastAsia="Times New Roman" w:hAnsi="Arial" w:cs="Arial"/>
                <w:bCs/>
                <w:sz w:val="20"/>
                <w:szCs w:val="20"/>
              </w:rPr>
            </w:pPr>
            <w:proofErr w:type="spellStart"/>
            <w:r w:rsidRPr="00845349">
              <w:rPr>
                <w:rFonts w:ascii="Arial" w:eastAsia="Times New Roman" w:hAnsi="Arial" w:cs="Arial"/>
                <w:bCs/>
                <w:sz w:val="20"/>
                <w:szCs w:val="20"/>
              </w:rPr>
              <w:t>Rozetta-BirA</w:t>
            </w:r>
            <w:proofErr w:type="spellEnd"/>
            <w:r w:rsidRPr="00845349">
              <w:rPr>
                <w:rFonts w:ascii="Arial" w:eastAsia="Times New Roman" w:hAnsi="Arial" w:cs="Arial"/>
                <w:bCs/>
                <w:sz w:val="20"/>
                <w:szCs w:val="20"/>
              </w:rPr>
              <w:t xml:space="preserve"> was transformed by OG-NB1-CTBH constructs. 1ml cultures were grown overnight and used to inoculate 50 ml of TB+Kan100+Chlor37.5+Strep50 supplemented with 100 </w:t>
            </w:r>
            <w:proofErr w:type="spellStart"/>
            <w:r w:rsidRPr="00845349">
              <w:rPr>
                <w:rFonts w:ascii="Arial" w:eastAsia="Times New Roman" w:hAnsi="Arial" w:cs="Arial"/>
                <w:bCs/>
                <w:sz w:val="20"/>
                <w:szCs w:val="20"/>
              </w:rPr>
              <w:t>uM</w:t>
            </w:r>
            <w:proofErr w:type="spellEnd"/>
            <w:r w:rsidRPr="00845349">
              <w:rPr>
                <w:rFonts w:ascii="Arial" w:eastAsia="Times New Roman" w:hAnsi="Arial" w:cs="Arial"/>
                <w:bCs/>
                <w:sz w:val="20"/>
                <w:szCs w:val="20"/>
              </w:rPr>
              <w:t xml:space="preserve"> biotin. Cultures were grown to OD600 of 3 at 37 C and 180 rpm. Then temperature was shifted down to 18 and media were allowed to cool for 1 hour. Cells were induced by 0.2 </w:t>
            </w:r>
            <w:proofErr w:type="spellStart"/>
            <w:r w:rsidRPr="00845349">
              <w:rPr>
                <w:rFonts w:ascii="Arial" w:eastAsia="Times New Roman" w:hAnsi="Arial" w:cs="Arial"/>
                <w:bCs/>
                <w:sz w:val="20"/>
                <w:szCs w:val="20"/>
              </w:rPr>
              <w:t>mM</w:t>
            </w:r>
            <w:proofErr w:type="spellEnd"/>
            <w:r w:rsidRPr="00845349">
              <w:rPr>
                <w:rFonts w:ascii="Arial" w:eastAsia="Times New Roman" w:hAnsi="Arial" w:cs="Arial"/>
                <w:bCs/>
                <w:sz w:val="20"/>
                <w:szCs w:val="20"/>
              </w:rPr>
              <w:t xml:space="preserve"> IPTG overnight. Cell pellets ware </w:t>
            </w:r>
            <w:proofErr w:type="spellStart"/>
            <w:r w:rsidRPr="00845349">
              <w:rPr>
                <w:rFonts w:ascii="Arial" w:eastAsia="Times New Roman" w:hAnsi="Arial" w:cs="Arial"/>
                <w:bCs/>
                <w:sz w:val="20"/>
                <w:szCs w:val="20"/>
              </w:rPr>
              <w:t>resuspended</w:t>
            </w:r>
            <w:proofErr w:type="spellEnd"/>
            <w:r w:rsidRPr="00845349">
              <w:rPr>
                <w:rFonts w:ascii="Arial" w:eastAsia="Times New Roman" w:hAnsi="Arial" w:cs="Arial"/>
                <w:bCs/>
                <w:sz w:val="20"/>
                <w:szCs w:val="20"/>
              </w:rPr>
              <w:t xml:space="preserve"> in 150ml of sucrose buffer (200 </w:t>
            </w:r>
            <w:proofErr w:type="spellStart"/>
            <w:r w:rsidRPr="00845349">
              <w:rPr>
                <w:rFonts w:ascii="Arial" w:eastAsia="Times New Roman" w:hAnsi="Arial" w:cs="Arial"/>
                <w:bCs/>
                <w:sz w:val="20"/>
                <w:szCs w:val="20"/>
              </w:rPr>
              <w:t>mM</w:t>
            </w:r>
            <w:proofErr w:type="spellEnd"/>
            <w:r w:rsidRPr="00845349">
              <w:rPr>
                <w:rFonts w:ascii="Arial" w:eastAsia="Times New Roman" w:hAnsi="Arial" w:cs="Arial"/>
                <w:bCs/>
                <w:sz w:val="20"/>
                <w:szCs w:val="20"/>
              </w:rPr>
              <w:t xml:space="preserve"> </w:t>
            </w:r>
            <w:proofErr w:type="spellStart"/>
            <w:r w:rsidRPr="00845349">
              <w:rPr>
                <w:rFonts w:ascii="Arial" w:eastAsia="Times New Roman" w:hAnsi="Arial" w:cs="Arial"/>
                <w:bCs/>
                <w:sz w:val="20"/>
                <w:szCs w:val="20"/>
              </w:rPr>
              <w:t>Hepes</w:t>
            </w:r>
            <w:proofErr w:type="spellEnd"/>
            <w:r w:rsidRPr="00845349">
              <w:rPr>
                <w:rFonts w:ascii="Arial" w:eastAsia="Times New Roman" w:hAnsi="Arial" w:cs="Arial"/>
                <w:bCs/>
                <w:sz w:val="20"/>
                <w:szCs w:val="20"/>
              </w:rPr>
              <w:t xml:space="preserve"> pH 7.5, 500 </w:t>
            </w:r>
            <w:proofErr w:type="spellStart"/>
            <w:r w:rsidRPr="00845349">
              <w:rPr>
                <w:rFonts w:ascii="Arial" w:eastAsia="Times New Roman" w:hAnsi="Arial" w:cs="Arial"/>
                <w:bCs/>
                <w:sz w:val="20"/>
                <w:szCs w:val="20"/>
              </w:rPr>
              <w:t>mM</w:t>
            </w:r>
            <w:proofErr w:type="spellEnd"/>
            <w:r w:rsidRPr="00845349">
              <w:rPr>
                <w:rFonts w:ascii="Arial" w:eastAsia="Times New Roman" w:hAnsi="Arial" w:cs="Arial"/>
                <w:bCs/>
                <w:sz w:val="20"/>
                <w:szCs w:val="20"/>
              </w:rPr>
              <w:t xml:space="preserve"> Sucrose, 0.5 </w:t>
            </w:r>
            <w:proofErr w:type="spellStart"/>
            <w:r w:rsidRPr="00845349">
              <w:rPr>
                <w:rFonts w:ascii="Arial" w:eastAsia="Times New Roman" w:hAnsi="Arial" w:cs="Arial"/>
                <w:bCs/>
                <w:sz w:val="20"/>
                <w:szCs w:val="20"/>
              </w:rPr>
              <w:t>mM</w:t>
            </w:r>
            <w:proofErr w:type="spellEnd"/>
            <w:r w:rsidRPr="00845349">
              <w:rPr>
                <w:rFonts w:ascii="Arial" w:eastAsia="Times New Roman" w:hAnsi="Arial" w:cs="Arial"/>
                <w:bCs/>
                <w:sz w:val="20"/>
                <w:szCs w:val="20"/>
              </w:rPr>
              <w:t xml:space="preserve"> EDTA) per </w:t>
            </w:r>
            <w:r w:rsidR="00845349" w:rsidRPr="00845349">
              <w:rPr>
                <w:rFonts w:ascii="Arial" w:eastAsia="Times New Roman" w:hAnsi="Arial" w:cs="Arial"/>
                <w:bCs/>
                <w:sz w:val="20"/>
                <w:szCs w:val="20"/>
              </w:rPr>
              <w:t>lit</w:t>
            </w:r>
            <w:r w:rsidRPr="00845349">
              <w:rPr>
                <w:rFonts w:ascii="Arial" w:eastAsia="Times New Roman" w:hAnsi="Arial" w:cs="Arial"/>
                <w:bCs/>
                <w:sz w:val="20"/>
                <w:szCs w:val="20"/>
              </w:rPr>
              <w:t>r</w:t>
            </w:r>
            <w:r w:rsidR="00845349" w:rsidRPr="00845349">
              <w:rPr>
                <w:rFonts w:ascii="Arial" w:eastAsia="Times New Roman" w:hAnsi="Arial" w:cs="Arial"/>
                <w:bCs/>
                <w:sz w:val="20"/>
                <w:szCs w:val="20"/>
              </w:rPr>
              <w:t>e</w:t>
            </w:r>
            <w:r w:rsidRPr="00845349">
              <w:rPr>
                <w:rFonts w:ascii="Arial" w:eastAsia="Times New Roman" w:hAnsi="Arial" w:cs="Arial"/>
                <w:bCs/>
                <w:sz w:val="20"/>
                <w:szCs w:val="20"/>
              </w:rPr>
              <w:t xml:space="preserve"> overexpression and left one ice for 1 hour with occasional stirring. 150ml of water was then added to each sample and left on ice for another hour with occasional stirring. The samples were then centrifuged for 40min at 5000 rpm and 10°C. The supernatants were applied to </w:t>
            </w:r>
            <w:r w:rsidRPr="00DF6BA4">
              <w:rPr>
                <w:rFonts w:ascii="Arial" w:eastAsia="Times New Roman" w:hAnsi="Arial" w:cs="Arial"/>
                <w:bCs/>
                <w:sz w:val="20"/>
                <w:szCs w:val="20"/>
              </w:rPr>
              <w:t xml:space="preserve">Ni-IDA IMAC gravity flow column, washed with 2 column volumes of wash buffer (buffer A supplemented with 45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imidazole), and eluted with the addition of 300 </w:t>
            </w:r>
            <w:proofErr w:type="spellStart"/>
            <w:r w:rsidRPr="00DF6BA4">
              <w:rPr>
                <w:rFonts w:ascii="Arial" w:eastAsia="Times New Roman" w:hAnsi="Arial" w:cs="Arial"/>
                <w:bCs/>
                <w:sz w:val="20"/>
                <w:szCs w:val="20"/>
              </w:rPr>
              <w:t>mM</w:t>
            </w:r>
            <w:proofErr w:type="spellEnd"/>
            <w:r w:rsidRPr="00DF6BA4">
              <w:rPr>
                <w:rFonts w:ascii="Arial" w:eastAsia="Times New Roman" w:hAnsi="Arial" w:cs="Arial"/>
                <w:bCs/>
                <w:sz w:val="20"/>
                <w:szCs w:val="20"/>
              </w:rPr>
              <w:t xml:space="preserve"> imidazole in buffer A</w:t>
            </w:r>
            <w:r w:rsidRPr="00845349">
              <w:rPr>
                <w:rFonts w:ascii="Arial" w:eastAsia="Times New Roman" w:hAnsi="Arial" w:cs="Arial"/>
                <w:bCs/>
                <w:sz w:val="20"/>
                <w:szCs w:val="20"/>
              </w:rPr>
              <w:t>.</w:t>
            </w:r>
          </w:p>
          <w:p w14:paraId="00382500" w14:textId="77777777" w:rsidR="00F52A75" w:rsidRDefault="00F52A75" w:rsidP="00845349">
            <w:pPr>
              <w:spacing w:after="0" w:line="240" w:lineRule="auto"/>
              <w:jc w:val="both"/>
              <w:rPr>
                <w:rFonts w:ascii="Arial" w:eastAsia="Times New Roman" w:hAnsi="Arial" w:cs="Arial"/>
                <w:bCs/>
                <w:sz w:val="20"/>
                <w:szCs w:val="20"/>
              </w:rPr>
            </w:pPr>
          </w:p>
          <w:p w14:paraId="04F01831" w14:textId="0B4EF958" w:rsidR="00F52A75" w:rsidRDefault="00F52A75" w:rsidP="00845349">
            <w:pPr>
              <w:spacing w:after="0" w:line="240" w:lineRule="auto"/>
              <w:jc w:val="both"/>
              <w:rPr>
                <w:rFonts w:ascii="Arial" w:eastAsia="Times New Roman" w:hAnsi="Arial" w:cs="Arial"/>
                <w:b/>
                <w:bCs/>
                <w:sz w:val="20"/>
                <w:szCs w:val="20"/>
              </w:rPr>
            </w:pPr>
            <w:r w:rsidRPr="00F52A75">
              <w:rPr>
                <w:rFonts w:ascii="Arial" w:eastAsia="Times New Roman" w:hAnsi="Arial" w:cs="Arial"/>
                <w:b/>
                <w:bCs/>
                <w:sz w:val="20"/>
                <w:szCs w:val="20"/>
              </w:rPr>
              <w:t xml:space="preserve">Procedure for </w:t>
            </w:r>
            <w:r w:rsidR="00307AD6" w:rsidRPr="00F52A75">
              <w:rPr>
                <w:rFonts w:ascii="Arial" w:eastAsia="Times New Roman" w:hAnsi="Arial" w:cs="Arial"/>
                <w:b/>
                <w:bCs/>
                <w:sz w:val="20"/>
                <w:szCs w:val="20"/>
              </w:rPr>
              <w:t>crystallization</w:t>
            </w:r>
            <w:r w:rsidRPr="00F52A75">
              <w:rPr>
                <w:rFonts w:ascii="Arial" w:eastAsia="Times New Roman" w:hAnsi="Arial" w:cs="Arial"/>
                <w:b/>
                <w:bCs/>
                <w:sz w:val="20"/>
                <w:szCs w:val="20"/>
              </w:rPr>
              <w:t xml:space="preserve"> of RECQL5</w:t>
            </w:r>
          </w:p>
          <w:p w14:paraId="44F8B2CE" w14:textId="77777777" w:rsidR="00F52A75" w:rsidRPr="00F52A75" w:rsidRDefault="00F52A75" w:rsidP="00845349">
            <w:pPr>
              <w:spacing w:after="0" w:line="240" w:lineRule="auto"/>
              <w:jc w:val="both"/>
              <w:rPr>
                <w:rFonts w:ascii="Arial" w:eastAsia="Times New Roman" w:hAnsi="Arial" w:cs="Arial"/>
                <w:b/>
                <w:bCs/>
                <w:sz w:val="20"/>
                <w:szCs w:val="20"/>
              </w:rPr>
            </w:pPr>
          </w:p>
          <w:p w14:paraId="64673D0E" w14:textId="41613B56" w:rsidR="00F52A75" w:rsidRPr="00845349" w:rsidRDefault="00F52A75" w:rsidP="00845349">
            <w:pPr>
              <w:spacing w:after="0" w:line="240" w:lineRule="auto"/>
              <w:jc w:val="both"/>
              <w:rPr>
                <w:rFonts w:ascii="Arial" w:eastAsia="Times New Roman" w:hAnsi="Arial" w:cs="Arial"/>
                <w:bCs/>
                <w:sz w:val="20"/>
                <w:szCs w:val="20"/>
              </w:rPr>
            </w:pPr>
            <w:r w:rsidRPr="00F52A75">
              <w:rPr>
                <w:rFonts w:ascii="Arial" w:eastAsia="Times New Roman" w:hAnsi="Arial" w:cs="Arial"/>
                <w:bCs/>
                <w:sz w:val="20"/>
                <w:szCs w:val="20"/>
              </w:rPr>
              <w:t xml:space="preserve">For crystallization of the APO form (construct RECQL5 11-526) proteins were concentrated to 20 mg/ml using a 50,000 </w:t>
            </w:r>
            <w:proofErr w:type="spellStart"/>
            <w:r w:rsidRPr="00F52A75">
              <w:rPr>
                <w:rFonts w:ascii="Arial" w:eastAsia="Times New Roman" w:hAnsi="Arial" w:cs="Arial"/>
                <w:bCs/>
                <w:sz w:val="20"/>
                <w:szCs w:val="20"/>
              </w:rPr>
              <w:t>m</w:t>
            </w:r>
            <w:r>
              <w:rPr>
                <w:rFonts w:ascii="Arial" w:eastAsia="Times New Roman" w:hAnsi="Arial" w:cs="Arial"/>
                <w:bCs/>
                <w:sz w:val="20"/>
                <w:szCs w:val="20"/>
              </w:rPr>
              <w:t>.</w:t>
            </w:r>
            <w:r w:rsidRPr="00F52A75">
              <w:rPr>
                <w:rFonts w:ascii="Arial" w:eastAsia="Times New Roman" w:hAnsi="Arial" w:cs="Arial"/>
                <w:bCs/>
                <w:sz w:val="20"/>
                <w:szCs w:val="20"/>
              </w:rPr>
              <w:t>w</w:t>
            </w:r>
            <w:r>
              <w:rPr>
                <w:rFonts w:ascii="Arial" w:eastAsia="Times New Roman" w:hAnsi="Arial" w:cs="Arial"/>
                <w:bCs/>
                <w:sz w:val="20"/>
                <w:szCs w:val="20"/>
              </w:rPr>
              <w:t>.</w:t>
            </w:r>
            <w:r w:rsidRPr="00F52A75">
              <w:rPr>
                <w:rFonts w:ascii="Arial" w:eastAsia="Times New Roman" w:hAnsi="Arial" w:cs="Arial"/>
                <w:bCs/>
                <w:sz w:val="20"/>
                <w:szCs w:val="20"/>
              </w:rPr>
              <w:t>c</w:t>
            </w:r>
            <w:r>
              <w:rPr>
                <w:rFonts w:ascii="Arial" w:eastAsia="Times New Roman" w:hAnsi="Arial" w:cs="Arial"/>
                <w:bCs/>
                <w:sz w:val="20"/>
                <w:szCs w:val="20"/>
              </w:rPr>
              <w:t>.</w:t>
            </w:r>
            <w:r w:rsidRPr="00F52A75">
              <w:rPr>
                <w:rFonts w:ascii="Arial" w:eastAsia="Times New Roman" w:hAnsi="Arial" w:cs="Arial"/>
                <w:bCs/>
                <w:sz w:val="20"/>
                <w:szCs w:val="20"/>
              </w:rPr>
              <w:t>o</w:t>
            </w:r>
            <w:proofErr w:type="spellEnd"/>
            <w:r>
              <w:rPr>
                <w:rFonts w:ascii="Arial" w:eastAsia="Times New Roman" w:hAnsi="Arial" w:cs="Arial"/>
                <w:bCs/>
                <w:sz w:val="20"/>
                <w:szCs w:val="20"/>
              </w:rPr>
              <w:t>.</w:t>
            </w:r>
            <w:r w:rsidRPr="00F52A75">
              <w:rPr>
                <w:rFonts w:ascii="Arial" w:eastAsia="Times New Roman" w:hAnsi="Arial" w:cs="Arial"/>
                <w:bCs/>
                <w:sz w:val="20"/>
                <w:szCs w:val="20"/>
              </w:rPr>
              <w:t xml:space="preserve"> centrifugal concentrator and crystals were obtained in conditions containing 20% PEG 3350, 0.2M potassium thiocyanate. The monoclinic ADP form (construct RECQL5 11-453) was crystallized at 15 mg/ml by sitting drop vapour diffusion from conditions containing 19 % Peg 6K, 0.25 M Lithium Chloride and 10% ethylene glycol</w:t>
            </w:r>
            <w:r>
              <w:rPr>
                <w:rFonts w:ascii="Arial" w:eastAsia="Times New Roman" w:hAnsi="Arial" w:cs="Arial"/>
                <w:bCs/>
                <w:sz w:val="20"/>
                <w:szCs w:val="20"/>
              </w:rPr>
              <w:t xml:space="preserve">, 5mM ADP, 5mM </w:t>
            </w:r>
            <w:proofErr w:type="spellStart"/>
            <w:r>
              <w:rPr>
                <w:rFonts w:ascii="Arial" w:eastAsia="Times New Roman" w:hAnsi="Arial" w:cs="Arial"/>
                <w:bCs/>
                <w:sz w:val="20"/>
                <w:szCs w:val="20"/>
              </w:rPr>
              <w:t>MgCl</w:t>
            </w:r>
            <w:proofErr w:type="spellEnd"/>
            <w:r w:rsidRPr="00F52A75">
              <w:rPr>
                <w:rFonts w:ascii="Arial" w:eastAsia="Times New Roman" w:hAnsi="Arial" w:cs="Arial"/>
                <w:bCs/>
                <w:sz w:val="20"/>
                <w:szCs w:val="20"/>
              </w:rPr>
              <w:t xml:space="preserve">. The triclinic ADP form was crystallized by sitting drop vapour diffusion from conditions containing 0.1 M </w:t>
            </w:r>
            <w:proofErr w:type="spellStart"/>
            <w:r w:rsidRPr="00F52A75">
              <w:rPr>
                <w:rFonts w:ascii="Arial" w:eastAsia="Times New Roman" w:hAnsi="Arial" w:cs="Arial"/>
                <w:bCs/>
                <w:sz w:val="20"/>
                <w:szCs w:val="20"/>
              </w:rPr>
              <w:t>Tris</w:t>
            </w:r>
            <w:proofErr w:type="spellEnd"/>
            <w:r w:rsidRPr="00F52A75">
              <w:rPr>
                <w:rFonts w:ascii="Arial" w:eastAsia="Times New Roman" w:hAnsi="Arial" w:cs="Arial"/>
                <w:bCs/>
                <w:sz w:val="20"/>
                <w:szCs w:val="20"/>
              </w:rPr>
              <w:t xml:space="preserve"> pH 7.5, 23% PEG3350 and 0.1 M </w:t>
            </w:r>
            <w:proofErr w:type="spellStart"/>
            <w:r w:rsidRPr="00F52A75">
              <w:rPr>
                <w:rFonts w:ascii="Arial" w:eastAsia="Times New Roman" w:hAnsi="Arial" w:cs="Arial"/>
                <w:bCs/>
                <w:sz w:val="20"/>
                <w:szCs w:val="20"/>
              </w:rPr>
              <w:t>NaCl</w:t>
            </w:r>
            <w:proofErr w:type="spellEnd"/>
            <w:r w:rsidRPr="00F52A75">
              <w:rPr>
                <w:rFonts w:ascii="Arial" w:eastAsia="Times New Roman" w:hAnsi="Arial" w:cs="Arial"/>
                <w:bCs/>
                <w:sz w:val="20"/>
                <w:szCs w:val="20"/>
              </w:rPr>
              <w:t xml:space="preserve">. </w:t>
            </w:r>
          </w:p>
          <w:p w14:paraId="638C9B08" w14:textId="77777777" w:rsidR="00FF055A" w:rsidRDefault="00FF055A" w:rsidP="00FF055A">
            <w:pPr>
              <w:pStyle w:val="NormalWeb"/>
              <w:spacing w:before="0" w:beforeAutospacing="0" w:after="15" w:afterAutospacing="0"/>
              <w:jc w:val="both"/>
              <w:rPr>
                <w:rFonts w:ascii="MS Shell Dlg 2" w:hAnsi="MS Shell Dlg 2" w:cs="MS Shell Dlg 2"/>
                <w:sz w:val="22"/>
                <w:szCs w:val="22"/>
              </w:rPr>
            </w:pPr>
            <w:r>
              <w:rPr>
                <w:rFonts w:ascii="MS Shell Dlg 2" w:hAnsi="MS Shell Dlg 2" w:cs="MS Shell Dlg 2"/>
                <w:sz w:val="22"/>
                <w:szCs w:val="22"/>
              </w:rPr>
              <w:t> </w:t>
            </w:r>
          </w:p>
          <w:p w14:paraId="5D5B4081" w14:textId="77777777" w:rsidR="005837F0" w:rsidRPr="005837F0" w:rsidRDefault="005837F0" w:rsidP="003F06E7">
            <w:pPr>
              <w:spacing w:after="0" w:line="240" w:lineRule="auto"/>
              <w:jc w:val="both"/>
              <w:rPr>
                <w:rFonts w:ascii="Arial" w:hAnsi="Arial" w:cs="Arial"/>
                <w:b/>
                <w:sz w:val="20"/>
                <w:szCs w:val="20"/>
              </w:rPr>
            </w:pPr>
            <w:r w:rsidRPr="005837F0">
              <w:rPr>
                <w:rFonts w:ascii="Arial" w:hAnsi="Arial" w:cs="Arial"/>
                <w:b/>
                <w:sz w:val="20"/>
                <w:szCs w:val="20"/>
              </w:rPr>
              <w:t>References</w:t>
            </w:r>
          </w:p>
          <w:p w14:paraId="10C6894E" w14:textId="77777777" w:rsidR="005837F0" w:rsidRDefault="005837F0" w:rsidP="003F06E7">
            <w:pPr>
              <w:spacing w:after="0" w:line="240" w:lineRule="auto"/>
              <w:jc w:val="both"/>
              <w:rPr>
                <w:rFonts w:ascii="Arial" w:hAnsi="Arial" w:cs="Arial"/>
                <w:sz w:val="20"/>
                <w:szCs w:val="20"/>
              </w:rPr>
            </w:pPr>
          </w:p>
          <w:p w14:paraId="63CEFFEC" w14:textId="77777777" w:rsidR="008E4F08" w:rsidRPr="00451FDA" w:rsidRDefault="008E4F08" w:rsidP="008E4F08">
            <w:pPr>
              <w:pStyle w:val="EndNoteBibliography"/>
              <w:spacing w:after="0"/>
              <w:ind w:left="720" w:hanging="720"/>
              <w:rPr>
                <w:noProof/>
              </w:rPr>
            </w:pPr>
            <w:r>
              <w:fldChar w:fldCharType="begin"/>
            </w:r>
            <w:r>
              <w:instrText xml:space="preserve"> ADDIN EN.REFLIST </w:instrText>
            </w:r>
            <w:r>
              <w:fldChar w:fldCharType="separate"/>
            </w:r>
            <w:r w:rsidRPr="00451FDA">
              <w:rPr>
                <w:noProof/>
              </w:rPr>
              <w:t>1.</w:t>
            </w:r>
            <w:r w:rsidRPr="00451FDA">
              <w:rPr>
                <w:noProof/>
              </w:rPr>
              <w:tab/>
              <w:t xml:space="preserve">Sanada, S., Futami, K., Terada, A., Yonemoto, K., Ogasawara, S., Akiba, J., Yasumoto, M., Sumi, A., Ushijima, K., Kamura, T., Furuichi, Y., and Yano, H. (2013) RECQL1 DNA repair helicase: a potential therapeutic target and a proliferative marker against ovarian cancer. </w:t>
            </w:r>
            <w:r w:rsidRPr="00451FDA">
              <w:rPr>
                <w:i/>
                <w:noProof/>
              </w:rPr>
              <w:t>PLoS One</w:t>
            </w:r>
            <w:r w:rsidRPr="00451FDA">
              <w:rPr>
                <w:noProof/>
              </w:rPr>
              <w:t xml:space="preserve"> </w:t>
            </w:r>
            <w:r w:rsidRPr="00451FDA">
              <w:rPr>
                <w:b/>
                <w:noProof/>
              </w:rPr>
              <w:t>8</w:t>
            </w:r>
            <w:r w:rsidRPr="00451FDA">
              <w:rPr>
                <w:noProof/>
              </w:rPr>
              <w:t>, e72820</w:t>
            </w:r>
          </w:p>
          <w:p w14:paraId="173CFE52" w14:textId="77777777" w:rsidR="008E4F08" w:rsidRPr="00451FDA" w:rsidRDefault="008E4F08" w:rsidP="008E4F08">
            <w:pPr>
              <w:pStyle w:val="EndNoteBibliography"/>
              <w:spacing w:after="0"/>
              <w:ind w:left="720" w:hanging="720"/>
              <w:rPr>
                <w:noProof/>
              </w:rPr>
            </w:pPr>
            <w:r w:rsidRPr="00451FDA">
              <w:rPr>
                <w:noProof/>
              </w:rPr>
              <w:t>2.</w:t>
            </w:r>
            <w:r w:rsidRPr="00451FDA">
              <w:rPr>
                <w:noProof/>
              </w:rPr>
              <w:tab/>
              <w:t xml:space="preserve">Viziteu, E., Kassambara, A., Pasero, P., Klein, B., and Moreaux, J. (2016) RECQ helicases are deregulated in hematological malignancies in association with a prognostic value. </w:t>
            </w:r>
            <w:r w:rsidRPr="00451FDA">
              <w:rPr>
                <w:i/>
                <w:noProof/>
              </w:rPr>
              <w:t>Biomark Res</w:t>
            </w:r>
            <w:r w:rsidRPr="00451FDA">
              <w:rPr>
                <w:noProof/>
              </w:rPr>
              <w:t xml:space="preserve"> </w:t>
            </w:r>
            <w:r w:rsidRPr="00451FDA">
              <w:rPr>
                <w:b/>
                <w:noProof/>
              </w:rPr>
              <w:t>4</w:t>
            </w:r>
            <w:r w:rsidRPr="00451FDA">
              <w:rPr>
                <w:noProof/>
              </w:rPr>
              <w:t>, 3</w:t>
            </w:r>
          </w:p>
          <w:p w14:paraId="19F54464" w14:textId="77777777" w:rsidR="008E4F08" w:rsidRPr="00451FDA" w:rsidRDefault="008E4F08" w:rsidP="008E4F08">
            <w:pPr>
              <w:pStyle w:val="EndNoteBibliography"/>
              <w:spacing w:after="0"/>
              <w:ind w:left="720" w:hanging="720"/>
              <w:rPr>
                <w:noProof/>
              </w:rPr>
            </w:pPr>
            <w:r w:rsidRPr="00451FDA">
              <w:rPr>
                <w:noProof/>
              </w:rPr>
              <w:t>3.</w:t>
            </w:r>
            <w:r w:rsidRPr="00451FDA">
              <w:rPr>
                <w:noProof/>
              </w:rPr>
              <w:tab/>
              <w:t xml:space="preserve">Aggarwal, M., and Brosh, R. M., Jr. (2009) Hitting the bull's eye: novel directed cancer therapy through helicase-targeted synthetic lethality. </w:t>
            </w:r>
            <w:r w:rsidRPr="00451FDA">
              <w:rPr>
                <w:i/>
                <w:noProof/>
              </w:rPr>
              <w:t>J Cell Biochem</w:t>
            </w:r>
            <w:r w:rsidRPr="00451FDA">
              <w:rPr>
                <w:noProof/>
              </w:rPr>
              <w:t xml:space="preserve"> </w:t>
            </w:r>
            <w:r w:rsidRPr="00451FDA">
              <w:rPr>
                <w:b/>
                <w:noProof/>
              </w:rPr>
              <w:t>106</w:t>
            </w:r>
            <w:r w:rsidRPr="00451FDA">
              <w:rPr>
                <w:noProof/>
              </w:rPr>
              <w:t>, 758-763</w:t>
            </w:r>
          </w:p>
          <w:p w14:paraId="714D776F" w14:textId="77777777" w:rsidR="008E4F08" w:rsidRPr="00451FDA" w:rsidRDefault="008E4F08" w:rsidP="008E4F08">
            <w:pPr>
              <w:pStyle w:val="EndNoteBibliography"/>
              <w:ind w:left="720" w:hanging="720"/>
              <w:rPr>
                <w:noProof/>
              </w:rPr>
            </w:pPr>
            <w:r w:rsidRPr="00451FDA">
              <w:rPr>
                <w:noProof/>
              </w:rPr>
              <w:t>4.</w:t>
            </w:r>
            <w:r w:rsidRPr="00451FDA">
              <w:rPr>
                <w:noProof/>
              </w:rPr>
              <w:tab/>
              <w:t xml:space="preserve">Chen, E., Ahn, J. S., Sykes, D. B., Breyfogle, L. J., Godfrey, A. L., Nangalia, J., Ko, A., DeAngelo, D. J., Green, A. R., and Mullally, A. (2015) RECQL5 Suppresses Oncogenic JAK2-Induced Replication Stress and Genomic Instability. </w:t>
            </w:r>
            <w:r w:rsidRPr="00451FDA">
              <w:rPr>
                <w:i/>
                <w:noProof/>
              </w:rPr>
              <w:t>Cell Rep</w:t>
            </w:r>
            <w:r w:rsidRPr="00451FDA">
              <w:rPr>
                <w:noProof/>
              </w:rPr>
              <w:t xml:space="preserve"> </w:t>
            </w:r>
            <w:r w:rsidRPr="00451FDA">
              <w:rPr>
                <w:b/>
                <w:noProof/>
              </w:rPr>
              <w:t>13</w:t>
            </w:r>
            <w:r w:rsidRPr="00451FDA">
              <w:rPr>
                <w:noProof/>
              </w:rPr>
              <w:t>, 2345-2352</w:t>
            </w:r>
          </w:p>
          <w:p w14:paraId="43EBC5A0" w14:textId="77777777" w:rsidR="008E4F08" w:rsidRDefault="008E4F08" w:rsidP="008E4F08">
            <w:pPr>
              <w:spacing w:after="0"/>
            </w:pPr>
            <w:r>
              <w:fldChar w:fldCharType="end"/>
            </w:r>
          </w:p>
          <w:p w14:paraId="1E0E2CF2" w14:textId="77777777" w:rsidR="00B05034" w:rsidRPr="00E05DB5" w:rsidRDefault="00B05034" w:rsidP="00F83C8F">
            <w:pPr>
              <w:spacing w:after="0" w:line="240" w:lineRule="auto"/>
              <w:jc w:val="both"/>
              <w:rPr>
                <w:rFonts w:ascii="Arial" w:eastAsia="Times New Roman" w:hAnsi="Arial" w:cs="Arial"/>
                <w:bCs/>
                <w:sz w:val="20"/>
                <w:szCs w:val="20"/>
              </w:rPr>
            </w:pPr>
          </w:p>
        </w:tc>
      </w:tr>
    </w:tbl>
    <w:p w14:paraId="566ED97B" w14:textId="77777777" w:rsidR="00F83C8F" w:rsidRDefault="00F83C8F" w:rsidP="007F0AE1">
      <w:pPr>
        <w:spacing w:after="0"/>
      </w:pPr>
    </w:p>
    <w:p w14:paraId="37680CF4" w14:textId="28AFB869" w:rsidR="00F83C8F" w:rsidRDefault="00F83C8F" w:rsidP="007F0AE1">
      <w:pPr>
        <w:spacing w:after="0"/>
      </w:pPr>
    </w:p>
    <w:sectPr w:rsidR="00F83C8F" w:rsidSect="007F0AE1">
      <w:pgSz w:w="11906" w:h="16838"/>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Shell Dlg 2">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E0EFC"/>
    <w:multiLevelType w:val="hybridMultilevel"/>
    <w:tmpl w:val="8006DCA0"/>
    <w:lvl w:ilvl="0" w:tplc="23F601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253B9B"/>
    <w:multiLevelType w:val="hybridMultilevel"/>
    <w:tmpl w:val="E3C6B9DA"/>
    <w:lvl w:ilvl="0" w:tplc="23F601C0">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B234A7B"/>
    <w:multiLevelType w:val="hybridMultilevel"/>
    <w:tmpl w:val="24B21DC0"/>
    <w:lvl w:ilvl="0" w:tplc="23F601C0">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ABD2D83"/>
    <w:multiLevelType w:val="hybridMultilevel"/>
    <w:tmpl w:val="88940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Biological Che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a5dzxan2zxs2etw075vwf9pzv29xdxxxs2&quot;&gt;bloom&lt;record-ids&gt;&lt;item&gt;131&lt;/item&gt;&lt;item&gt;139&lt;/item&gt;&lt;item&gt;140&lt;/item&gt;&lt;item&gt;141&lt;/item&gt;&lt;/record-ids&gt;&lt;/item&gt;&lt;/Libraries&gt;"/>
  </w:docVars>
  <w:rsids>
    <w:rsidRoot w:val="00EF1205"/>
    <w:rsid w:val="0003755C"/>
    <w:rsid w:val="000845C0"/>
    <w:rsid w:val="000A36E8"/>
    <w:rsid w:val="000B3D67"/>
    <w:rsid w:val="000B6CBC"/>
    <w:rsid w:val="000C705E"/>
    <w:rsid w:val="000E0444"/>
    <w:rsid w:val="00124073"/>
    <w:rsid w:val="00196CB7"/>
    <w:rsid w:val="001A4267"/>
    <w:rsid w:val="001A70F2"/>
    <w:rsid w:val="001B1164"/>
    <w:rsid w:val="001D1C0E"/>
    <w:rsid w:val="001F544D"/>
    <w:rsid w:val="0020321F"/>
    <w:rsid w:val="00204138"/>
    <w:rsid w:val="00220AF1"/>
    <w:rsid w:val="00230ED6"/>
    <w:rsid w:val="0024339A"/>
    <w:rsid w:val="002741AE"/>
    <w:rsid w:val="002A1A0B"/>
    <w:rsid w:val="002C4A2C"/>
    <w:rsid w:val="002E774F"/>
    <w:rsid w:val="00307AD6"/>
    <w:rsid w:val="00311BD7"/>
    <w:rsid w:val="003321FB"/>
    <w:rsid w:val="0033600B"/>
    <w:rsid w:val="00346BD3"/>
    <w:rsid w:val="00376817"/>
    <w:rsid w:val="003B3769"/>
    <w:rsid w:val="003B6AE2"/>
    <w:rsid w:val="003F06E7"/>
    <w:rsid w:val="003F67BE"/>
    <w:rsid w:val="0040445F"/>
    <w:rsid w:val="00446DA1"/>
    <w:rsid w:val="00451FDA"/>
    <w:rsid w:val="00461135"/>
    <w:rsid w:val="00462A11"/>
    <w:rsid w:val="004807C8"/>
    <w:rsid w:val="00487B26"/>
    <w:rsid w:val="004B1999"/>
    <w:rsid w:val="004B66F4"/>
    <w:rsid w:val="004C4052"/>
    <w:rsid w:val="004E0924"/>
    <w:rsid w:val="0052061B"/>
    <w:rsid w:val="0052495C"/>
    <w:rsid w:val="00534F2A"/>
    <w:rsid w:val="00542B9C"/>
    <w:rsid w:val="00571BE4"/>
    <w:rsid w:val="005837F0"/>
    <w:rsid w:val="005B3622"/>
    <w:rsid w:val="005E09AF"/>
    <w:rsid w:val="005E63E7"/>
    <w:rsid w:val="00611DFB"/>
    <w:rsid w:val="00612765"/>
    <w:rsid w:val="00635A0F"/>
    <w:rsid w:val="00663090"/>
    <w:rsid w:val="006659EB"/>
    <w:rsid w:val="00674A36"/>
    <w:rsid w:val="00690CFA"/>
    <w:rsid w:val="006C3793"/>
    <w:rsid w:val="006C3C82"/>
    <w:rsid w:val="006F6647"/>
    <w:rsid w:val="00701619"/>
    <w:rsid w:val="00725C4A"/>
    <w:rsid w:val="00750132"/>
    <w:rsid w:val="007517AA"/>
    <w:rsid w:val="00774B97"/>
    <w:rsid w:val="007930A6"/>
    <w:rsid w:val="007C023F"/>
    <w:rsid w:val="007E00B1"/>
    <w:rsid w:val="007E62DB"/>
    <w:rsid w:val="007F0AE1"/>
    <w:rsid w:val="007F4122"/>
    <w:rsid w:val="00845349"/>
    <w:rsid w:val="00863228"/>
    <w:rsid w:val="00864111"/>
    <w:rsid w:val="00883E2B"/>
    <w:rsid w:val="00886893"/>
    <w:rsid w:val="00890379"/>
    <w:rsid w:val="008A6E96"/>
    <w:rsid w:val="008B765D"/>
    <w:rsid w:val="008C03AF"/>
    <w:rsid w:val="008D247C"/>
    <w:rsid w:val="008D5A70"/>
    <w:rsid w:val="008E029B"/>
    <w:rsid w:val="008E4F08"/>
    <w:rsid w:val="00912F18"/>
    <w:rsid w:val="00977C3B"/>
    <w:rsid w:val="00990D14"/>
    <w:rsid w:val="00996085"/>
    <w:rsid w:val="0099722B"/>
    <w:rsid w:val="009A5AAE"/>
    <w:rsid w:val="00A40DA6"/>
    <w:rsid w:val="00A60693"/>
    <w:rsid w:val="00A73E94"/>
    <w:rsid w:val="00A81A85"/>
    <w:rsid w:val="00AA6C44"/>
    <w:rsid w:val="00AA794D"/>
    <w:rsid w:val="00AB0418"/>
    <w:rsid w:val="00AB6E9C"/>
    <w:rsid w:val="00AD3AEC"/>
    <w:rsid w:val="00AD451A"/>
    <w:rsid w:val="00AE28BD"/>
    <w:rsid w:val="00B05034"/>
    <w:rsid w:val="00B522F4"/>
    <w:rsid w:val="00B71EDD"/>
    <w:rsid w:val="00B85E22"/>
    <w:rsid w:val="00B87487"/>
    <w:rsid w:val="00B9002D"/>
    <w:rsid w:val="00B944E8"/>
    <w:rsid w:val="00BB69EE"/>
    <w:rsid w:val="00BC0C9A"/>
    <w:rsid w:val="00BE4712"/>
    <w:rsid w:val="00C029EB"/>
    <w:rsid w:val="00C223E2"/>
    <w:rsid w:val="00C36214"/>
    <w:rsid w:val="00C379A3"/>
    <w:rsid w:val="00C44B8A"/>
    <w:rsid w:val="00C57EC0"/>
    <w:rsid w:val="00C6127F"/>
    <w:rsid w:val="00C7209F"/>
    <w:rsid w:val="00C75784"/>
    <w:rsid w:val="00C851AD"/>
    <w:rsid w:val="00C94445"/>
    <w:rsid w:val="00CB077E"/>
    <w:rsid w:val="00CB3CED"/>
    <w:rsid w:val="00CB4D6C"/>
    <w:rsid w:val="00CC5CC4"/>
    <w:rsid w:val="00CC6CD0"/>
    <w:rsid w:val="00CD08CD"/>
    <w:rsid w:val="00CF611A"/>
    <w:rsid w:val="00D008FC"/>
    <w:rsid w:val="00D06C65"/>
    <w:rsid w:val="00D21285"/>
    <w:rsid w:val="00D221BA"/>
    <w:rsid w:val="00D47E7C"/>
    <w:rsid w:val="00D637E9"/>
    <w:rsid w:val="00D74ECF"/>
    <w:rsid w:val="00D80182"/>
    <w:rsid w:val="00D902FB"/>
    <w:rsid w:val="00DA4B99"/>
    <w:rsid w:val="00DB6F66"/>
    <w:rsid w:val="00DE3828"/>
    <w:rsid w:val="00DF4DC4"/>
    <w:rsid w:val="00DF6BA4"/>
    <w:rsid w:val="00DF727C"/>
    <w:rsid w:val="00DF7342"/>
    <w:rsid w:val="00E05DB5"/>
    <w:rsid w:val="00E361CA"/>
    <w:rsid w:val="00E56F78"/>
    <w:rsid w:val="00E63B91"/>
    <w:rsid w:val="00E67AA5"/>
    <w:rsid w:val="00E705FF"/>
    <w:rsid w:val="00E720B6"/>
    <w:rsid w:val="00EA79A1"/>
    <w:rsid w:val="00EF1205"/>
    <w:rsid w:val="00F172EB"/>
    <w:rsid w:val="00F52A75"/>
    <w:rsid w:val="00F609D4"/>
    <w:rsid w:val="00F61E03"/>
    <w:rsid w:val="00F83C8F"/>
    <w:rsid w:val="00FA50DE"/>
    <w:rsid w:val="00FE386A"/>
    <w:rsid w:val="00FF055A"/>
    <w:rsid w:val="00FF54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C6B81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F08"/>
  </w:style>
  <w:style w:type="paragraph" w:styleId="Heading1">
    <w:name w:val="heading 1"/>
    <w:basedOn w:val="Normal"/>
    <w:next w:val="Normal"/>
    <w:link w:val="Heading1Char"/>
    <w:uiPriority w:val="9"/>
    <w:qFormat/>
    <w:rsid w:val="00EF12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30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20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05034"/>
    <w:rPr>
      <w:color w:val="0563C1" w:themeColor="hyperlink"/>
      <w:u w:val="single"/>
    </w:rPr>
  </w:style>
  <w:style w:type="paragraph" w:styleId="BalloonText">
    <w:name w:val="Balloon Text"/>
    <w:basedOn w:val="Normal"/>
    <w:link w:val="BalloonTextChar"/>
    <w:uiPriority w:val="99"/>
    <w:semiHidden/>
    <w:unhideWhenUsed/>
    <w:rsid w:val="001A4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267"/>
    <w:rPr>
      <w:rFonts w:ascii="Segoe UI" w:hAnsi="Segoe UI" w:cs="Segoe UI"/>
      <w:sz w:val="18"/>
      <w:szCs w:val="18"/>
    </w:rPr>
  </w:style>
  <w:style w:type="character" w:customStyle="1" w:styleId="Heading2Char">
    <w:name w:val="Heading 2 Char"/>
    <w:basedOn w:val="DefaultParagraphFont"/>
    <w:link w:val="Heading2"/>
    <w:uiPriority w:val="9"/>
    <w:rsid w:val="00663090"/>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6630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090"/>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2E774F"/>
    <w:rPr>
      <w:color w:val="954F72" w:themeColor="followedHyperlink"/>
      <w:u w:val="single"/>
    </w:rPr>
  </w:style>
  <w:style w:type="character" w:styleId="CommentReference">
    <w:name w:val="annotation reference"/>
    <w:basedOn w:val="DefaultParagraphFont"/>
    <w:uiPriority w:val="99"/>
    <w:semiHidden/>
    <w:unhideWhenUsed/>
    <w:rsid w:val="007F4122"/>
    <w:rPr>
      <w:sz w:val="16"/>
      <w:szCs w:val="16"/>
    </w:rPr>
  </w:style>
  <w:style w:type="paragraph" w:styleId="CommentText">
    <w:name w:val="annotation text"/>
    <w:basedOn w:val="Normal"/>
    <w:link w:val="CommentTextChar"/>
    <w:uiPriority w:val="99"/>
    <w:semiHidden/>
    <w:unhideWhenUsed/>
    <w:rsid w:val="007F4122"/>
    <w:pPr>
      <w:spacing w:line="240" w:lineRule="auto"/>
    </w:pPr>
    <w:rPr>
      <w:sz w:val="20"/>
      <w:szCs w:val="20"/>
    </w:rPr>
  </w:style>
  <w:style w:type="character" w:customStyle="1" w:styleId="CommentTextChar">
    <w:name w:val="Comment Text Char"/>
    <w:basedOn w:val="DefaultParagraphFont"/>
    <w:link w:val="CommentText"/>
    <w:uiPriority w:val="99"/>
    <w:semiHidden/>
    <w:rsid w:val="007F4122"/>
    <w:rPr>
      <w:sz w:val="20"/>
      <w:szCs w:val="20"/>
    </w:rPr>
  </w:style>
  <w:style w:type="paragraph" w:styleId="CommentSubject">
    <w:name w:val="annotation subject"/>
    <w:basedOn w:val="CommentText"/>
    <w:next w:val="CommentText"/>
    <w:link w:val="CommentSubjectChar"/>
    <w:uiPriority w:val="99"/>
    <w:semiHidden/>
    <w:unhideWhenUsed/>
    <w:rsid w:val="007F4122"/>
    <w:rPr>
      <w:b/>
      <w:bCs/>
    </w:rPr>
  </w:style>
  <w:style w:type="character" w:customStyle="1" w:styleId="CommentSubjectChar">
    <w:name w:val="Comment Subject Char"/>
    <w:basedOn w:val="CommentTextChar"/>
    <w:link w:val="CommentSubject"/>
    <w:uiPriority w:val="99"/>
    <w:semiHidden/>
    <w:rsid w:val="007F4122"/>
    <w:rPr>
      <w:b/>
      <w:bCs/>
      <w:sz w:val="20"/>
      <w:szCs w:val="20"/>
    </w:rPr>
  </w:style>
  <w:style w:type="character" w:styleId="Emphasis">
    <w:name w:val="Emphasis"/>
    <w:basedOn w:val="DefaultParagraphFont"/>
    <w:uiPriority w:val="20"/>
    <w:qFormat/>
    <w:rsid w:val="00487B26"/>
    <w:rPr>
      <w:i/>
      <w:iCs/>
    </w:rPr>
  </w:style>
  <w:style w:type="paragraph" w:styleId="ListParagraph">
    <w:name w:val="List Paragraph"/>
    <w:basedOn w:val="Normal"/>
    <w:uiPriority w:val="34"/>
    <w:qFormat/>
    <w:rsid w:val="00674A36"/>
    <w:pPr>
      <w:ind w:left="720"/>
      <w:contextualSpacing/>
    </w:pPr>
  </w:style>
  <w:style w:type="paragraph" w:styleId="NormalWeb">
    <w:name w:val="Normal (Web)"/>
    <w:basedOn w:val="Normal"/>
    <w:uiPriority w:val="99"/>
    <w:semiHidden/>
    <w:unhideWhenUsed/>
    <w:rsid w:val="001A70F2"/>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EndNoteBibliography">
    <w:name w:val="EndNote Bibliography"/>
    <w:basedOn w:val="Normal"/>
    <w:rsid w:val="007517AA"/>
    <w:pPr>
      <w:spacing w:after="200" w:line="240" w:lineRule="auto"/>
    </w:pPr>
    <w:rPr>
      <w:rFonts w:ascii="Calibri" w:hAnsi="Calibri" w:cs="Times New Roman"/>
      <w:lang w:val="en-US"/>
    </w:rPr>
  </w:style>
  <w:style w:type="paragraph" w:customStyle="1" w:styleId="EndNoteBibliographyTitle">
    <w:name w:val="EndNote Bibliography Title"/>
    <w:basedOn w:val="Normal"/>
    <w:link w:val="EndNoteBibliographyTitleChar"/>
    <w:rsid w:val="00F83C8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F83C8F"/>
    <w:rPr>
      <w:rFonts w:ascii="Calibri" w:hAnsi="Calibri"/>
      <w:noProof/>
      <w:lang w:val="en-US"/>
    </w:rPr>
  </w:style>
  <w:style w:type="paragraph" w:customStyle="1" w:styleId="Normal0">
    <w:name w:val="[Normal]"/>
    <w:rsid w:val="00FF055A"/>
    <w:pPr>
      <w:widowControl w:val="0"/>
      <w:autoSpaceDE w:val="0"/>
      <w:autoSpaceDN w:val="0"/>
      <w:adjustRightInd w:val="0"/>
      <w:spacing w:after="0" w:line="240" w:lineRule="auto"/>
    </w:pPr>
    <w:rPr>
      <w:rFonts w:ascii="Arial" w:eastAsiaTheme="minorEastAsia" w:hAnsi="Arial" w:cs="Arial"/>
      <w:sz w:val="24"/>
      <w:szCs w:val="24"/>
      <w:lang w:eastAsia="en-GB"/>
    </w:rPr>
  </w:style>
  <w:style w:type="paragraph" w:customStyle="1" w:styleId="Default">
    <w:name w:val="Default"/>
    <w:rsid w:val="0099722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309345">
      <w:bodyDiv w:val="1"/>
      <w:marLeft w:val="0"/>
      <w:marRight w:val="0"/>
      <w:marTop w:val="0"/>
      <w:marBottom w:val="0"/>
      <w:divBdr>
        <w:top w:val="none" w:sz="0" w:space="0" w:color="auto"/>
        <w:left w:val="none" w:sz="0" w:space="0" w:color="auto"/>
        <w:bottom w:val="none" w:sz="0" w:space="0" w:color="auto"/>
        <w:right w:val="none" w:sz="0" w:space="0" w:color="auto"/>
      </w:divBdr>
    </w:div>
    <w:div w:id="770009516">
      <w:bodyDiv w:val="1"/>
      <w:marLeft w:val="0"/>
      <w:marRight w:val="0"/>
      <w:marTop w:val="0"/>
      <w:marBottom w:val="0"/>
      <w:divBdr>
        <w:top w:val="none" w:sz="0" w:space="0" w:color="auto"/>
        <w:left w:val="none" w:sz="0" w:space="0" w:color="auto"/>
        <w:bottom w:val="none" w:sz="0" w:space="0" w:color="auto"/>
        <w:right w:val="none" w:sz="0" w:space="0" w:color="auto"/>
      </w:divBdr>
    </w:div>
    <w:div w:id="808522984">
      <w:bodyDiv w:val="1"/>
      <w:marLeft w:val="0"/>
      <w:marRight w:val="0"/>
      <w:marTop w:val="0"/>
      <w:marBottom w:val="0"/>
      <w:divBdr>
        <w:top w:val="none" w:sz="0" w:space="0" w:color="auto"/>
        <w:left w:val="none" w:sz="0" w:space="0" w:color="auto"/>
        <w:bottom w:val="none" w:sz="0" w:space="0" w:color="auto"/>
        <w:right w:val="none" w:sz="0" w:space="0" w:color="auto"/>
      </w:divBdr>
    </w:div>
    <w:div w:id="858082962">
      <w:bodyDiv w:val="1"/>
      <w:marLeft w:val="0"/>
      <w:marRight w:val="0"/>
      <w:marTop w:val="0"/>
      <w:marBottom w:val="0"/>
      <w:divBdr>
        <w:top w:val="none" w:sz="0" w:space="0" w:color="auto"/>
        <w:left w:val="none" w:sz="0" w:space="0" w:color="auto"/>
        <w:bottom w:val="none" w:sz="0" w:space="0" w:color="auto"/>
        <w:right w:val="none" w:sz="0" w:space="0" w:color="auto"/>
      </w:divBdr>
      <w:divsChild>
        <w:div w:id="2137870907">
          <w:marLeft w:val="446"/>
          <w:marRight w:val="0"/>
          <w:marTop w:val="0"/>
          <w:marBottom w:val="0"/>
          <w:divBdr>
            <w:top w:val="none" w:sz="0" w:space="0" w:color="auto"/>
            <w:left w:val="none" w:sz="0" w:space="0" w:color="auto"/>
            <w:bottom w:val="none" w:sz="0" w:space="0" w:color="auto"/>
            <w:right w:val="none" w:sz="0" w:space="0" w:color="auto"/>
          </w:divBdr>
        </w:div>
      </w:divsChild>
    </w:div>
    <w:div w:id="1158616144">
      <w:bodyDiv w:val="1"/>
      <w:marLeft w:val="0"/>
      <w:marRight w:val="0"/>
      <w:marTop w:val="0"/>
      <w:marBottom w:val="0"/>
      <w:divBdr>
        <w:top w:val="none" w:sz="0" w:space="0" w:color="auto"/>
        <w:left w:val="none" w:sz="0" w:space="0" w:color="auto"/>
        <w:bottom w:val="none" w:sz="0" w:space="0" w:color="auto"/>
        <w:right w:val="none" w:sz="0" w:space="0" w:color="auto"/>
      </w:divBdr>
      <w:divsChild>
        <w:div w:id="1890876933">
          <w:marLeft w:val="446"/>
          <w:marRight w:val="0"/>
          <w:marTop w:val="0"/>
          <w:marBottom w:val="0"/>
          <w:divBdr>
            <w:top w:val="none" w:sz="0" w:space="0" w:color="auto"/>
            <w:left w:val="none" w:sz="0" w:space="0" w:color="auto"/>
            <w:bottom w:val="none" w:sz="0" w:space="0" w:color="auto"/>
            <w:right w:val="none" w:sz="0" w:space="0" w:color="auto"/>
          </w:divBdr>
        </w:div>
      </w:divsChild>
    </w:div>
    <w:div w:id="1609770573">
      <w:bodyDiv w:val="1"/>
      <w:marLeft w:val="0"/>
      <w:marRight w:val="0"/>
      <w:marTop w:val="0"/>
      <w:marBottom w:val="0"/>
      <w:divBdr>
        <w:top w:val="none" w:sz="0" w:space="0" w:color="auto"/>
        <w:left w:val="none" w:sz="0" w:space="0" w:color="auto"/>
        <w:bottom w:val="none" w:sz="0" w:space="0" w:color="auto"/>
        <w:right w:val="none" w:sz="0" w:space="0" w:color="auto"/>
      </w:divBdr>
    </w:div>
    <w:div w:id="2008552856">
      <w:bodyDiv w:val="1"/>
      <w:marLeft w:val="0"/>
      <w:marRight w:val="0"/>
      <w:marTop w:val="0"/>
      <w:marBottom w:val="0"/>
      <w:divBdr>
        <w:top w:val="none" w:sz="0" w:space="0" w:color="auto"/>
        <w:left w:val="none" w:sz="0" w:space="0" w:color="auto"/>
        <w:bottom w:val="none" w:sz="0" w:space="0" w:color="auto"/>
        <w:right w:val="none" w:sz="0" w:space="0" w:color="auto"/>
      </w:divBdr>
    </w:div>
    <w:div w:id="2019887983">
      <w:bodyDiv w:val="1"/>
      <w:marLeft w:val="0"/>
      <w:marRight w:val="0"/>
      <w:marTop w:val="0"/>
      <w:marBottom w:val="0"/>
      <w:divBdr>
        <w:top w:val="none" w:sz="0" w:space="0" w:color="auto"/>
        <w:left w:val="none" w:sz="0" w:space="0" w:color="auto"/>
        <w:bottom w:val="none" w:sz="0" w:space="0" w:color="auto"/>
        <w:right w:val="none" w:sz="0" w:space="0" w:color="auto"/>
      </w:divBdr>
    </w:div>
    <w:div w:id="2106073242">
      <w:bodyDiv w:val="1"/>
      <w:marLeft w:val="0"/>
      <w:marRight w:val="0"/>
      <w:marTop w:val="0"/>
      <w:marBottom w:val="0"/>
      <w:divBdr>
        <w:top w:val="none" w:sz="0" w:space="0" w:color="auto"/>
        <w:left w:val="none" w:sz="0" w:space="0" w:color="auto"/>
        <w:bottom w:val="none" w:sz="0" w:space="0" w:color="auto"/>
        <w:right w:val="none" w:sz="0" w:space="0" w:color="auto"/>
      </w:divBdr>
    </w:div>
    <w:div w:id="214226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EE63E-2D03-4343-8C5F-33C4D1782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2318</Words>
  <Characters>13216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Wyatt Yue</dc:creator>
  <cp:lastModifiedBy>Rebecca Keyser</cp:lastModifiedBy>
  <cp:revision>2</cp:revision>
  <dcterms:created xsi:type="dcterms:W3CDTF">2018-03-27T10:50:00Z</dcterms:created>
  <dcterms:modified xsi:type="dcterms:W3CDTF">2018-03-27T10:50:00Z</dcterms:modified>
</cp:coreProperties>
</file>