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23" w:rsidRPr="00780D23" w:rsidRDefault="004B4B7E" w:rsidP="00780D23">
      <w:pPr>
        <w:jc w:val="center"/>
        <w:rPr>
          <w:b/>
        </w:rPr>
      </w:pPr>
      <w:r w:rsidRPr="00780D23">
        <w:rPr>
          <w:b/>
        </w:rPr>
        <w:t>Evidence from</w:t>
      </w:r>
      <w:r w:rsidR="002627BA">
        <w:rPr>
          <w:b/>
        </w:rPr>
        <w:t xml:space="preserve"> </w:t>
      </w:r>
      <w:bookmarkStart w:id="0" w:name="_GoBack"/>
      <w:bookmarkEnd w:id="0"/>
      <w:r w:rsidRPr="00780D23">
        <w:rPr>
          <w:b/>
        </w:rPr>
        <w:t>Turner’s</w:t>
      </w:r>
      <w:r w:rsidR="00780D23" w:rsidRPr="00780D23">
        <w:rPr>
          <w:b/>
        </w:rPr>
        <w:t xml:space="preserve"> </w:t>
      </w:r>
      <w:r w:rsidRPr="00780D23">
        <w:rPr>
          <w:b/>
        </w:rPr>
        <w:t>syndrome</w:t>
      </w:r>
      <w:r w:rsidR="00780D23" w:rsidRPr="00780D23">
        <w:rPr>
          <w:b/>
        </w:rPr>
        <w:t xml:space="preserve"> </w:t>
      </w:r>
      <w:r w:rsidRPr="00780D23">
        <w:rPr>
          <w:b/>
        </w:rPr>
        <w:t>of an imprinted</w:t>
      </w:r>
      <w:r w:rsidR="00780D23" w:rsidRPr="00780D23">
        <w:rPr>
          <w:b/>
        </w:rPr>
        <w:t xml:space="preserve"> </w:t>
      </w:r>
      <w:r w:rsidRPr="00780D23">
        <w:rPr>
          <w:b/>
        </w:rPr>
        <w:t>X-linked locus affecting</w:t>
      </w:r>
      <w:r w:rsidR="00780D23" w:rsidRPr="00780D23">
        <w:rPr>
          <w:b/>
        </w:rPr>
        <w:t xml:space="preserve"> </w:t>
      </w:r>
      <w:r w:rsidRPr="00780D23">
        <w:rPr>
          <w:b/>
        </w:rPr>
        <w:t>cognitive function</w:t>
      </w:r>
    </w:p>
    <w:p w:rsidR="00780D23" w:rsidRDefault="00780D23" w:rsidP="004B4B7E"/>
    <w:p w:rsidR="00780D23" w:rsidRDefault="00780D23" w:rsidP="004B4B7E"/>
    <w:p w:rsidR="00780D23" w:rsidRDefault="00780D23" w:rsidP="004B4B7E"/>
    <w:p w:rsidR="00780D23" w:rsidRDefault="004B4B7E" w:rsidP="004B4B7E">
      <w:r>
        <w:t xml:space="preserve">D. H. </w:t>
      </w:r>
      <w:proofErr w:type="spellStart"/>
      <w:r>
        <w:t>Skuse</w:t>
      </w:r>
      <w:proofErr w:type="spellEnd"/>
      <w:r>
        <w:t xml:space="preserve">*, R. S. James†, D. V.M. Bishop‡, B. </w:t>
      </w:r>
      <w:proofErr w:type="spellStart"/>
      <w:r>
        <w:t>Coppin</w:t>
      </w:r>
      <w:proofErr w:type="spellEnd"/>
      <w:r>
        <w:t>§,</w:t>
      </w:r>
      <w:r w:rsidR="00780D23">
        <w:t xml:space="preserve"> </w:t>
      </w:r>
      <w:r>
        <w:t xml:space="preserve">P. Dalton†, G. </w:t>
      </w:r>
      <w:proofErr w:type="spellStart"/>
      <w:r>
        <w:t>Aamodt-Leeper</w:t>
      </w:r>
      <w:proofErr w:type="spellEnd"/>
      <w:r>
        <w:t>*</w:t>
      </w:r>
      <w:proofErr w:type="gramStart"/>
      <w:r>
        <w:t>,M</w:t>
      </w:r>
      <w:proofErr w:type="gramEnd"/>
      <w:r>
        <w:t xml:space="preserve">. </w:t>
      </w:r>
      <w:proofErr w:type="spellStart"/>
      <w:r>
        <w:t>Bacarese</w:t>
      </w:r>
      <w:proofErr w:type="spellEnd"/>
      <w:r>
        <w:t>-Hamilton*,</w:t>
      </w:r>
      <w:r w:rsidR="00780D23">
        <w:t xml:space="preserve"> </w:t>
      </w:r>
      <w:r>
        <w:t>C. Creswell*, R. McGurk* &amp; P. A. Jacobs†</w:t>
      </w:r>
      <w:r w:rsidR="00780D23">
        <w:t xml:space="preserve"> </w:t>
      </w:r>
    </w:p>
    <w:p w:rsidR="00780D23" w:rsidRDefault="00780D23" w:rsidP="004B4B7E"/>
    <w:p w:rsidR="00780D23" w:rsidRDefault="004B4B7E" w:rsidP="004B4B7E">
      <w:r>
        <w:t>* Behavioural Sciences Unit, Institute of Child Health, 30 Guilford Street,</w:t>
      </w:r>
      <w:r w:rsidR="00780D23">
        <w:t xml:space="preserve"> </w:t>
      </w:r>
      <w:r>
        <w:t>London WC1N 1EH, UK</w:t>
      </w:r>
      <w:r w:rsidR="00780D23">
        <w:t xml:space="preserve"> </w:t>
      </w:r>
    </w:p>
    <w:p w:rsidR="00780D23" w:rsidRDefault="004B4B7E" w:rsidP="004B4B7E">
      <w:r>
        <w:t>†Wessex Regional Genetics Laboratory, Salisbury District Hospital, Salisbury,</w:t>
      </w:r>
      <w:r w:rsidR="00780D23">
        <w:t xml:space="preserve"> </w:t>
      </w:r>
      <w:r>
        <w:t>Wiltshire SP2 8BJ, UK</w:t>
      </w:r>
      <w:r w:rsidR="00780D23">
        <w:t xml:space="preserve"> </w:t>
      </w:r>
    </w:p>
    <w:p w:rsidR="00780D23" w:rsidRDefault="004B4B7E" w:rsidP="004B4B7E">
      <w:r>
        <w:t>‡MRC Applied Psychology Unit, 15 Chaucer Road, Cambridge CB2 2EF, UK</w:t>
      </w:r>
    </w:p>
    <w:p w:rsidR="00780D23" w:rsidRDefault="004B4B7E" w:rsidP="004B4B7E">
      <w:r>
        <w:t xml:space="preserve">§Wessex Regional Genetics Service, Princess Anne Hospital, </w:t>
      </w:r>
      <w:proofErr w:type="spellStart"/>
      <w:r>
        <w:t>Coxford</w:t>
      </w:r>
      <w:proofErr w:type="spellEnd"/>
      <w:r>
        <w:t xml:space="preserve"> Road,</w:t>
      </w:r>
      <w:r w:rsidR="00780D23">
        <w:t xml:space="preserve"> </w:t>
      </w:r>
      <w:r>
        <w:t>Southampton SO16 5YA, UK</w:t>
      </w:r>
      <w:r w:rsidR="00780D23">
        <w:t xml:space="preserve"> </w:t>
      </w:r>
    </w:p>
    <w:p w:rsidR="00780D23" w:rsidRDefault="00780D23">
      <w:r>
        <w:br w:type="page"/>
      </w:r>
    </w:p>
    <w:p w:rsidR="00780D23" w:rsidRDefault="00780D23" w:rsidP="004B4B7E"/>
    <w:p w:rsidR="00780D23" w:rsidRPr="00780D23" w:rsidRDefault="00780D23" w:rsidP="00780D23">
      <w:pPr>
        <w:jc w:val="center"/>
        <w:rPr>
          <w:b/>
        </w:rPr>
      </w:pPr>
      <w:r w:rsidRPr="00780D23">
        <w:rPr>
          <w:b/>
        </w:rPr>
        <w:t>Abstract</w:t>
      </w:r>
    </w:p>
    <w:p w:rsidR="00780D23" w:rsidRDefault="004B4B7E" w:rsidP="004B4B7E">
      <w:r>
        <w:t>Turner’s syndrome is a sporadic disorder of human females in</w:t>
      </w:r>
      <w:r w:rsidR="00780D23">
        <w:t xml:space="preserve"> </w:t>
      </w:r>
      <w:r>
        <w:t>which all or part of one X chromosome is deleted1. Intelligence is</w:t>
      </w:r>
      <w:r w:rsidR="00780D23">
        <w:t xml:space="preserve"> </w:t>
      </w:r>
      <w:r>
        <w:t>usually normal</w:t>
      </w:r>
      <w:r w:rsidRPr="00780D23">
        <w:rPr>
          <w:vertAlign w:val="superscript"/>
        </w:rPr>
        <w:t>2</w:t>
      </w:r>
      <w:r>
        <w:t xml:space="preserve"> but social adjustment problems are common</w:t>
      </w:r>
      <w:r w:rsidRPr="00780D23">
        <w:rPr>
          <w:vertAlign w:val="superscript"/>
        </w:rPr>
        <w:t>3</w:t>
      </w:r>
      <w:r>
        <w:t>.</w:t>
      </w:r>
      <w:r w:rsidR="00780D23">
        <w:t xml:space="preserve"> </w:t>
      </w:r>
      <w:r>
        <w:t>Here we report a study of 80 females with Turner’s syndrome and a</w:t>
      </w:r>
      <w:r w:rsidR="00780D23">
        <w:t xml:space="preserve"> </w:t>
      </w:r>
      <w:r>
        <w:t>single X chromosome, in 55 of which the X was maternally derived</w:t>
      </w:r>
      <w:r w:rsidR="00780D23">
        <w:t xml:space="preserve"> </w:t>
      </w:r>
      <w:r>
        <w:t>(45</w:t>
      </w:r>
      <w:proofErr w:type="gramStart"/>
      <w:r>
        <w:t>,Xm</w:t>
      </w:r>
      <w:proofErr w:type="gramEnd"/>
      <w:r>
        <w:t>) and in 25 it was of paternal origin (45,Xp). Members of the</w:t>
      </w:r>
      <w:r w:rsidR="00780D23">
        <w:t xml:space="preserve"> </w:t>
      </w:r>
      <w:r>
        <w:t>45</w:t>
      </w:r>
      <w:proofErr w:type="gramStart"/>
      <w:r>
        <w:t>,Xp</w:t>
      </w:r>
      <w:proofErr w:type="gramEnd"/>
      <w:r>
        <w:t xml:space="preserve"> group were significantly better adjusted, with superior</w:t>
      </w:r>
      <w:r w:rsidR="00780D23">
        <w:t xml:space="preserve"> </w:t>
      </w:r>
      <w:r>
        <w:t>verbal and higher-order executive function skills, which mediate</w:t>
      </w:r>
      <w:r w:rsidR="00780D23">
        <w:t xml:space="preserve"> </w:t>
      </w:r>
      <w:r>
        <w:t>social interactions</w:t>
      </w:r>
      <w:r w:rsidRPr="00780D23">
        <w:rPr>
          <w:vertAlign w:val="superscript"/>
        </w:rPr>
        <w:t>4</w:t>
      </w:r>
      <w:r>
        <w:t>. Our observations suggest that there is a</w:t>
      </w:r>
      <w:r w:rsidR="00780D23">
        <w:t xml:space="preserve"> </w:t>
      </w:r>
      <w:r>
        <w:t>genetic locus for social cognition, which is imprinted</w:t>
      </w:r>
      <w:r w:rsidRPr="00780D23">
        <w:rPr>
          <w:vertAlign w:val="superscript"/>
        </w:rPr>
        <w:t>5</w:t>
      </w:r>
      <w:r>
        <w:t xml:space="preserve"> and is not</w:t>
      </w:r>
      <w:r w:rsidR="00780D23">
        <w:t xml:space="preserve"> </w:t>
      </w:r>
      <w:r>
        <w:t>expressed from the maternally derived X chromosome. Neuropsychological</w:t>
      </w:r>
      <w:r w:rsidR="00780D23">
        <w:t xml:space="preserve"> </w:t>
      </w:r>
      <w:r>
        <w:t>and molecular investigations of eight females with</w:t>
      </w:r>
      <w:r w:rsidR="00780D23">
        <w:t xml:space="preserve"> </w:t>
      </w:r>
      <w:r>
        <w:t>partial deletions of the short arm of the X chromosome</w:t>
      </w:r>
      <w:r w:rsidRPr="00780D23">
        <w:rPr>
          <w:vertAlign w:val="superscript"/>
        </w:rPr>
        <w:t>6</w:t>
      </w:r>
      <w:r>
        <w:t xml:space="preserve"> indicate</w:t>
      </w:r>
      <w:r w:rsidR="00780D23">
        <w:t xml:space="preserve"> </w:t>
      </w:r>
      <w:r>
        <w:t>that the putative imprinted locus escapes X-inactivation</w:t>
      </w:r>
      <w:r w:rsidRPr="00780D23">
        <w:rPr>
          <w:vertAlign w:val="superscript"/>
        </w:rPr>
        <w:t>7</w:t>
      </w:r>
      <w:r>
        <w:t>, and</w:t>
      </w:r>
      <w:r w:rsidR="00780D23">
        <w:t xml:space="preserve"> </w:t>
      </w:r>
      <w:r>
        <w:t xml:space="preserve">probably lies on </w:t>
      </w:r>
      <w:proofErr w:type="spellStart"/>
      <w:r>
        <w:t>Xq</w:t>
      </w:r>
      <w:proofErr w:type="spellEnd"/>
      <w:r>
        <w:t xml:space="preserve"> or close to the centromere on </w:t>
      </w:r>
      <w:proofErr w:type="spellStart"/>
      <w:r>
        <w:t>Xp</w:t>
      </w:r>
      <w:proofErr w:type="spellEnd"/>
      <w:r>
        <w:t>. If expressed</w:t>
      </w:r>
      <w:r w:rsidR="00780D23">
        <w:t xml:space="preserve"> </w:t>
      </w:r>
      <w:r>
        <w:t>only from the X chromosome of paternal origin, the existence of</w:t>
      </w:r>
      <w:r w:rsidR="00780D23">
        <w:t xml:space="preserve"> </w:t>
      </w:r>
      <w:r>
        <w:t>this locus could explain why 46</w:t>
      </w:r>
      <w:proofErr w:type="gramStart"/>
      <w:r>
        <w:t>,XY</w:t>
      </w:r>
      <w:proofErr w:type="gramEnd"/>
      <w:r>
        <w:t xml:space="preserve"> males (whose single X</w:t>
      </w:r>
      <w:r w:rsidR="00780D23">
        <w:t xml:space="preserve"> </w:t>
      </w:r>
      <w:r>
        <w:t>chromosome is maternal) are more vulnerable to developmental</w:t>
      </w:r>
      <w:r w:rsidR="00780D23">
        <w:t xml:space="preserve"> </w:t>
      </w:r>
      <w:r>
        <w:t>disorders of language and social cognition, such as autism, than</w:t>
      </w:r>
      <w:r w:rsidR="00780D23">
        <w:t xml:space="preserve"> </w:t>
      </w:r>
      <w:r>
        <w:t>are 46,XX females</w:t>
      </w:r>
      <w:r w:rsidRPr="00780D23">
        <w:rPr>
          <w:vertAlign w:val="superscript"/>
        </w:rPr>
        <w:t>8</w:t>
      </w:r>
      <w:r>
        <w:t>.</w:t>
      </w:r>
      <w:r w:rsidR="00780D23">
        <w:t xml:space="preserve"> </w:t>
      </w:r>
    </w:p>
    <w:p w:rsidR="00780D23" w:rsidRDefault="00780D23" w:rsidP="004B4B7E"/>
    <w:p w:rsidR="00780D23" w:rsidRDefault="004B4B7E" w:rsidP="004B4B7E">
      <w:r>
        <w:t>An increasing number of mammalian genes are known to be</w:t>
      </w:r>
      <w:r w:rsidR="00780D23">
        <w:t xml:space="preserve"> </w:t>
      </w:r>
      <w:r>
        <w:t>subject to genomic imprinting, defined as parental origin-specific</w:t>
      </w:r>
      <w:r w:rsidR="00780D23">
        <w:t xml:space="preserve"> </w:t>
      </w:r>
      <w:r>
        <w:t>differential gene expression</w:t>
      </w:r>
      <w:r w:rsidRPr="00780D23">
        <w:rPr>
          <w:vertAlign w:val="superscript"/>
        </w:rPr>
        <w:t>5</w:t>
      </w:r>
      <w:r>
        <w:t>. No imprinted gene has yet been</w:t>
      </w:r>
      <w:r w:rsidR="00780D23">
        <w:t xml:space="preserve"> </w:t>
      </w:r>
      <w:r>
        <w:t>described on the X chromosome in humans</w:t>
      </w:r>
      <w:r w:rsidRPr="00780D23">
        <w:rPr>
          <w:vertAlign w:val="superscript"/>
        </w:rPr>
        <w:t>9</w:t>
      </w:r>
      <w:r>
        <w:t xml:space="preserve">, although the </w:t>
      </w:r>
      <w:proofErr w:type="spellStart"/>
      <w:r>
        <w:t>Xist</w:t>
      </w:r>
      <w:proofErr w:type="spellEnd"/>
      <w:r w:rsidR="00780D23">
        <w:t xml:space="preserve"> </w:t>
      </w:r>
      <w:r>
        <w:t>gene has been shown to be imprinted in the mouse</w:t>
      </w:r>
      <w:r w:rsidRPr="00780D23">
        <w:rPr>
          <w:vertAlign w:val="superscript"/>
        </w:rPr>
        <w:t>10</w:t>
      </w:r>
      <w:r>
        <w:t>.We considered</w:t>
      </w:r>
      <w:r w:rsidR="00780D23">
        <w:t xml:space="preserve"> </w:t>
      </w:r>
      <w:r>
        <w:t>that it should be possible to identify the effects of an X-linked</w:t>
      </w:r>
      <w:r w:rsidR="00780D23">
        <w:t xml:space="preserve"> </w:t>
      </w:r>
      <w:r>
        <w:t>imprinted locus by comparing classes of females with Turner’s</w:t>
      </w:r>
      <w:r w:rsidR="00780D23">
        <w:t xml:space="preserve"> </w:t>
      </w:r>
      <w:r>
        <w:t>syndrome. In this chromosomal disorder all, or a substantial part,</w:t>
      </w:r>
      <w:r w:rsidR="00780D23">
        <w:t xml:space="preserve"> </w:t>
      </w:r>
      <w:r>
        <w:t>of one X chromosome is missing as a result of non-disjunction</w:t>
      </w:r>
      <w:r w:rsidR="00780D23">
        <w:t xml:space="preserve"> </w:t>
      </w:r>
      <w:r>
        <w:t>(chromosome loss during gametogenesis or early cleavage of the</w:t>
      </w:r>
      <w:r w:rsidR="00780D23">
        <w:t xml:space="preserve"> </w:t>
      </w:r>
      <w:r>
        <w:t xml:space="preserve">zygote). In 70% of </w:t>
      </w:r>
      <w:proofErr w:type="spellStart"/>
      <w:r>
        <w:t>monosomic</w:t>
      </w:r>
      <w:proofErr w:type="spellEnd"/>
      <w:r>
        <w:t xml:space="preserve"> (45</w:t>
      </w:r>
      <w:proofErr w:type="gramStart"/>
      <w:r>
        <w:t>,X</w:t>
      </w:r>
      <w:proofErr w:type="gramEnd"/>
      <w:r>
        <w:t>) Turner-syndrome females,</w:t>
      </w:r>
      <w:r w:rsidR="00780D23">
        <w:t xml:space="preserve"> </w:t>
      </w:r>
      <w:r>
        <w:t>the single X chromosome is maternal in origin</w:t>
      </w:r>
      <w:r w:rsidRPr="00780D23">
        <w:rPr>
          <w:vertAlign w:val="superscript"/>
        </w:rPr>
        <w:t>1</w:t>
      </w:r>
      <w:r>
        <w:t>; in the remainder it</w:t>
      </w:r>
      <w:r w:rsidR="00780D23">
        <w:t xml:space="preserve"> </w:t>
      </w:r>
      <w:r>
        <w:t>is paternal. Normal females (46</w:t>
      </w:r>
      <w:proofErr w:type="gramStart"/>
      <w:r>
        <w:t>,XX</w:t>
      </w:r>
      <w:proofErr w:type="gramEnd"/>
      <w:r>
        <w:t>) possess both a maternally</w:t>
      </w:r>
      <w:r w:rsidR="00780D23">
        <w:t xml:space="preserve"> </w:t>
      </w:r>
      <w:r>
        <w:t>derived X chromosome (</w:t>
      </w:r>
      <w:proofErr w:type="spellStart"/>
      <w:r>
        <w:t>Xm</w:t>
      </w:r>
      <w:proofErr w:type="spellEnd"/>
      <w:r>
        <w:t>) and a paternally derived X chromosome</w:t>
      </w:r>
      <w:r w:rsidR="00780D23">
        <w:t xml:space="preserve"> </w:t>
      </w:r>
      <w:r>
        <w:t>(</w:t>
      </w:r>
      <w:proofErr w:type="spellStart"/>
      <w:r>
        <w:t>Xp</w:t>
      </w:r>
      <w:proofErr w:type="spellEnd"/>
      <w:r>
        <w:t>), one of which is randomly inactivated in any given</w:t>
      </w:r>
      <w:r w:rsidR="00780D23">
        <w:t xml:space="preserve"> </w:t>
      </w:r>
      <w:r>
        <w:t>somatic cell</w:t>
      </w:r>
      <w:r w:rsidRPr="00780D23">
        <w:rPr>
          <w:vertAlign w:val="superscript"/>
        </w:rPr>
        <w:t>7</w:t>
      </w:r>
      <w:r>
        <w:t>. In monosomy X, the single chromosome is never</w:t>
      </w:r>
      <w:r w:rsidR="00780D23">
        <w:t xml:space="preserve"> </w:t>
      </w:r>
      <w:r>
        <w:t>inactivated. Differences in physical or behavioural phenotype</w:t>
      </w:r>
      <w:r w:rsidR="00780D23">
        <w:t xml:space="preserve"> </w:t>
      </w:r>
      <w:r>
        <w:t>between 45</w:t>
      </w:r>
      <w:proofErr w:type="gramStart"/>
      <w:r>
        <w:t>,Xp</w:t>
      </w:r>
      <w:proofErr w:type="gramEnd"/>
      <w:r>
        <w:t xml:space="preserve"> and 45,Xm Turner-syndrome subjects might therefore</w:t>
      </w:r>
      <w:r w:rsidR="00780D23">
        <w:t xml:space="preserve"> </w:t>
      </w:r>
      <w:r>
        <w:t>indicate the existence of an imprinted genetic locus.</w:t>
      </w:r>
      <w:r w:rsidR="00780D23">
        <w:t xml:space="preserve"> </w:t>
      </w:r>
    </w:p>
    <w:p w:rsidR="00780D23" w:rsidRDefault="004B4B7E" w:rsidP="004B4B7E">
      <w:r>
        <w:t>Impaired social competence and adjustment are frequent in</w:t>
      </w:r>
      <w:r w:rsidR="00780D23">
        <w:t xml:space="preserve"> </w:t>
      </w:r>
      <w:r>
        <w:t>Turner’s syndrome</w:t>
      </w:r>
      <w:r w:rsidRPr="00780D23">
        <w:rPr>
          <w:vertAlign w:val="superscript"/>
        </w:rPr>
        <w:t>3</w:t>
      </w:r>
      <w:r>
        <w:t>, but a minority have good social skills</w:t>
      </w:r>
      <w:r w:rsidRPr="00780D23">
        <w:rPr>
          <w:vertAlign w:val="superscript"/>
        </w:rPr>
        <w:t>11</w:t>
      </w:r>
      <w:r>
        <w:t>.</w:t>
      </w:r>
      <w:r w:rsidR="00780D23">
        <w:t xml:space="preserve"> </w:t>
      </w:r>
      <w:r>
        <w:t xml:space="preserve">Intelligence is usually normal in </w:t>
      </w:r>
      <w:proofErr w:type="spellStart"/>
      <w:r>
        <w:t>monosomic</w:t>
      </w:r>
      <w:proofErr w:type="spellEnd"/>
      <w:r>
        <w:t xml:space="preserve"> (45</w:t>
      </w:r>
      <w:proofErr w:type="gramStart"/>
      <w:r>
        <w:t>,X</w:t>
      </w:r>
      <w:proofErr w:type="gramEnd"/>
      <w:r>
        <w:t>) cases</w:t>
      </w:r>
      <w:r w:rsidRPr="00780D23">
        <w:rPr>
          <w:vertAlign w:val="superscript"/>
        </w:rPr>
        <w:t>2</w:t>
      </w:r>
      <w:r>
        <w:t>. We</w:t>
      </w:r>
      <w:r w:rsidR="00780D23">
        <w:t xml:space="preserve"> </w:t>
      </w:r>
      <w:r>
        <w:t>wished to test the hypothesis that 45</w:t>
      </w:r>
      <w:proofErr w:type="gramStart"/>
      <w:r>
        <w:t>,Xp</w:t>
      </w:r>
      <w:proofErr w:type="gramEnd"/>
      <w:r>
        <w:t xml:space="preserve"> females would be distinguishable</w:t>
      </w:r>
      <w:r w:rsidR="00780D23">
        <w:t xml:space="preserve"> </w:t>
      </w:r>
      <w:r>
        <w:t>from 45,Xm females by their social behaviour.</w:t>
      </w:r>
      <w:r w:rsidR="00780D23">
        <w:t xml:space="preserve"> </w:t>
      </w:r>
    </w:p>
    <w:p w:rsidR="009C5A5A" w:rsidRDefault="004B4B7E" w:rsidP="004B4B7E">
      <w:r>
        <w:t xml:space="preserve">We karyotyped 80 </w:t>
      </w:r>
      <w:proofErr w:type="spellStart"/>
      <w:r>
        <w:t>monosomic</w:t>
      </w:r>
      <w:proofErr w:type="spellEnd"/>
      <w:r>
        <w:t xml:space="preserve"> (45</w:t>
      </w:r>
      <w:proofErr w:type="gramStart"/>
      <w:r>
        <w:t>,X</w:t>
      </w:r>
      <w:proofErr w:type="gramEnd"/>
      <w:r>
        <w:t>) females and eight with</w:t>
      </w:r>
      <w:r w:rsidR="00780D23">
        <w:t xml:space="preserve"> </w:t>
      </w:r>
      <w:r>
        <w:t>deletions of the short arm of one X chromosome (46,XXp-). The</w:t>
      </w:r>
      <w:r w:rsidR="00780D23">
        <w:t xml:space="preserve"> </w:t>
      </w:r>
      <w:r>
        <w:t>parental origin of the normal X chromosome was determined by</w:t>
      </w:r>
      <w:r w:rsidR="00780D23">
        <w:t xml:space="preserve"> </w:t>
      </w:r>
      <w:r>
        <w:t xml:space="preserve">comparing </w:t>
      </w:r>
      <w:proofErr w:type="spellStart"/>
      <w:r>
        <w:t>proband</w:t>
      </w:r>
      <w:proofErr w:type="spellEnd"/>
      <w:r>
        <w:t xml:space="preserve"> and parental DNA polymorphisms located on</w:t>
      </w:r>
      <w:r w:rsidR="00780D23">
        <w:t xml:space="preserve"> </w:t>
      </w:r>
      <w:r>
        <w:t xml:space="preserve">distal </w:t>
      </w:r>
      <w:proofErr w:type="spellStart"/>
      <w:r>
        <w:t>Xp</w:t>
      </w:r>
      <w:proofErr w:type="spellEnd"/>
      <w:r>
        <w:t>, in a region that was</w:t>
      </w:r>
      <w:r w:rsidR="00780D23">
        <w:t xml:space="preserve"> deleted in both 45,X and 46,XX </w:t>
      </w:r>
      <w:r>
        <w:t>patients.</w:t>
      </w:r>
      <w:r w:rsidR="00780D23">
        <w:t xml:space="preserve"> </w:t>
      </w:r>
      <w:r>
        <w:t>Of the 80 45</w:t>
      </w:r>
      <w:proofErr w:type="gramStart"/>
      <w:r>
        <w:t>,X</w:t>
      </w:r>
      <w:proofErr w:type="gramEnd"/>
      <w:r>
        <w:t xml:space="preserve"> females, 25 were 45,Xp and 55 were 45,Xm,</w:t>
      </w:r>
      <w:r w:rsidR="00780D23">
        <w:t xml:space="preserve"> </w:t>
      </w:r>
      <w:r>
        <w:t>with ages from 6 to 25 years. Clinical records did not reveal any</w:t>
      </w:r>
      <w:r w:rsidR="00780D23">
        <w:t xml:space="preserve"> </w:t>
      </w:r>
      <w:r>
        <w:t>significant group differences in terms of physical phenotype or in</w:t>
      </w:r>
      <w:r w:rsidR="00780D23">
        <w:t xml:space="preserve"> </w:t>
      </w:r>
      <w:r>
        <w:t>the provision of hormone-replacement therapy12. From a first-stage</w:t>
      </w:r>
      <w:r w:rsidR="00780D23">
        <w:t xml:space="preserve"> </w:t>
      </w:r>
      <w:r>
        <w:t>screening survey</w:t>
      </w:r>
      <w:r w:rsidRPr="00780D23">
        <w:rPr>
          <w:vertAlign w:val="superscript"/>
        </w:rPr>
        <w:t>13</w:t>
      </w:r>
      <w:r>
        <w:t xml:space="preserve"> of parents and teachers, using standardized</w:t>
      </w:r>
      <w:r w:rsidR="00780D23">
        <w:t xml:space="preserve"> </w:t>
      </w:r>
      <w:r>
        <w:t>instruments</w:t>
      </w:r>
      <w:r w:rsidRPr="00780D23">
        <w:rPr>
          <w:vertAlign w:val="superscript"/>
        </w:rPr>
        <w:t>14–16</w:t>
      </w:r>
      <w:r>
        <w:t>, we discovered that 40% of 45,Xm girls of school</w:t>
      </w:r>
      <w:r w:rsidR="00780D23">
        <w:t xml:space="preserve"> </w:t>
      </w:r>
      <w:r>
        <w:t xml:space="preserve">age had </w:t>
      </w:r>
      <w:r>
        <w:lastRenderedPageBreak/>
        <w:t>received a statement of special educational needs, indicating</w:t>
      </w:r>
      <w:r w:rsidR="00780D23">
        <w:t xml:space="preserve"> </w:t>
      </w:r>
      <w:r>
        <w:t>academic failure, compared with 16% of 45,Xp subje</w:t>
      </w:r>
      <w:r w:rsidR="00780D23">
        <w:t>cts (P &lt;</w:t>
      </w:r>
      <w:r w:rsidR="009C5A5A">
        <w:t xml:space="preserve"> 0.</w:t>
      </w:r>
      <w:r>
        <w:t>05);</w:t>
      </w:r>
      <w:r w:rsidR="00780D23">
        <w:t xml:space="preserve"> </w:t>
      </w:r>
      <w:r>
        <w:t>the figure in the general population is just 2%. We also found that</w:t>
      </w:r>
      <w:r w:rsidR="00780D23">
        <w:t xml:space="preserve"> </w:t>
      </w:r>
      <w:r>
        <w:t>clinically significant social difficulties affected 72.4% of the 45,Xm</w:t>
      </w:r>
      <w:r w:rsidR="00780D23">
        <w:t xml:space="preserve"> </w:t>
      </w:r>
      <w:r>
        <w:t>subjects over 11 years of age (21 of 29), compared with 28.6% of</w:t>
      </w:r>
      <w:r w:rsidR="00780D23">
        <w:t xml:space="preserve"> 45,Xp females (4 of 14) (P &lt;</w:t>
      </w:r>
      <w:r w:rsidR="009C5A5A">
        <w:t xml:space="preserve"> 0.</w:t>
      </w:r>
      <w:r>
        <w:t>02).</w:t>
      </w:r>
      <w:r w:rsidR="00780D23">
        <w:t xml:space="preserve"> </w:t>
      </w:r>
    </w:p>
    <w:p w:rsidR="009C5A5A" w:rsidRDefault="004B4B7E" w:rsidP="004B4B7E">
      <w:r>
        <w:t>Such phenotypic variability between the two classes of monosomy</w:t>
      </w:r>
      <w:r w:rsidR="00780D23">
        <w:t xml:space="preserve"> </w:t>
      </w:r>
      <w:r>
        <w:t>X subjects could indicate the existence of an imprinted genetic</w:t>
      </w:r>
      <w:r w:rsidR="00780D23">
        <w:t xml:space="preserve"> </w:t>
      </w:r>
      <w:r>
        <w:t>locus, at which gene(s) that influence social adjustment are</w:t>
      </w:r>
      <w:r w:rsidR="00780D23">
        <w:t xml:space="preserve"> </w:t>
      </w:r>
      <w:r>
        <w:t>expressed only from the paternally derived X chromosome. On</w:t>
      </w:r>
      <w:r w:rsidR="00780D23">
        <w:t xml:space="preserve"> </w:t>
      </w:r>
      <w:r>
        <w:t>the maternally derived X chromosome, the corresponding locus</w:t>
      </w:r>
      <w:r w:rsidR="00780D23">
        <w:t xml:space="preserve"> </w:t>
      </w:r>
      <w:r>
        <w:t>would be silenced. This could account for the excess of social and</w:t>
      </w:r>
      <w:r w:rsidR="00780D23">
        <w:t xml:space="preserve"> </w:t>
      </w:r>
      <w:r>
        <w:t>learning difficulties among 45</w:t>
      </w:r>
      <w:proofErr w:type="gramStart"/>
      <w:r>
        <w:t>,Xm</w:t>
      </w:r>
      <w:proofErr w:type="gramEnd"/>
      <w:r>
        <w:t xml:space="preserve"> females compared with the 45,Xp</w:t>
      </w:r>
      <w:r w:rsidR="00780D23">
        <w:t xml:space="preserve"> </w:t>
      </w:r>
      <w:r>
        <w:t>variant. Pilot interviews and observations showed that 45</w:t>
      </w:r>
      <w:proofErr w:type="gramStart"/>
      <w:r>
        <w:t>,Xm</w:t>
      </w:r>
      <w:proofErr w:type="gramEnd"/>
      <w:r w:rsidR="00780D23">
        <w:t xml:space="preserve"> </w:t>
      </w:r>
      <w:r>
        <w:t>females in particular lacked flexibility and responsiveness in social</w:t>
      </w:r>
      <w:r w:rsidR="00780D23">
        <w:t xml:space="preserve"> </w:t>
      </w:r>
      <w:proofErr w:type="spellStart"/>
      <w:r>
        <w:t>interactions.We</w:t>
      </w:r>
      <w:proofErr w:type="spellEnd"/>
      <w:r>
        <w:t xml:space="preserve"> therefore devised a questionnaire relevant to social</w:t>
      </w:r>
      <w:r w:rsidR="00780D23">
        <w:t xml:space="preserve"> </w:t>
      </w:r>
      <w:r>
        <w:t>cognition to summarize the main features of their behaviour (Box</w:t>
      </w:r>
      <w:r w:rsidR="00780D23">
        <w:t xml:space="preserve"> </w:t>
      </w:r>
      <w:r>
        <w:t>1). Parents of our sample of Turner’s syndrome females and the</w:t>
      </w:r>
      <w:r w:rsidR="00780D23">
        <w:t xml:space="preserve"> </w:t>
      </w:r>
      <w:r>
        <w:t>parents of age-matched normal male and female comparisons</w:t>
      </w:r>
      <w:r w:rsidR="00780D23">
        <w:t xml:space="preserve"> </w:t>
      </w:r>
      <w:r>
        <w:t>completed the questionnaire. The results for subjects aged from 6</w:t>
      </w:r>
      <w:r w:rsidR="00780D23">
        <w:t xml:space="preserve"> </w:t>
      </w:r>
      <w:r>
        <w:t>to 18 years of age confirm there are significant differences between</w:t>
      </w:r>
      <w:r w:rsidR="00780D23">
        <w:t xml:space="preserve"> </w:t>
      </w:r>
      <w:r>
        <w:t>45</w:t>
      </w:r>
      <w:proofErr w:type="gramStart"/>
      <w:r>
        <w:t>,Xm</w:t>
      </w:r>
      <w:proofErr w:type="gramEnd"/>
      <w:r>
        <w:t xml:space="preserve"> and 45,Xp females in the predicted direction (Fig. 1). We</w:t>
      </w:r>
      <w:r w:rsidR="00780D23">
        <w:t xml:space="preserve"> </w:t>
      </w:r>
      <w:r>
        <w:t>found that 45</w:t>
      </w:r>
      <w:proofErr w:type="gramStart"/>
      <w:r>
        <w:t>,Xm</w:t>
      </w:r>
      <w:proofErr w:type="gramEnd"/>
      <w:r>
        <w:t xml:space="preserve"> subjects obtained significantly higher scores than</w:t>
      </w:r>
      <w:r w:rsidR="00780D23">
        <w:t xml:space="preserve"> </w:t>
      </w:r>
      <w:r>
        <w:t>45,Xp females on our measure of social-cognitive dysfunction.</w:t>
      </w:r>
      <w:r w:rsidR="00780D23">
        <w:t xml:space="preserve"> </w:t>
      </w:r>
      <w:r>
        <w:t>Normal boys also obtained significantly higher scores on the</w:t>
      </w:r>
      <w:r w:rsidR="00780D23">
        <w:t xml:space="preserve"> </w:t>
      </w:r>
      <w:r>
        <w:t>questionnaire than did normal girls, indicating poorer social</w:t>
      </w:r>
      <w:r w:rsidR="00780D23">
        <w:t xml:space="preserve"> </w:t>
      </w:r>
      <w:r>
        <w:t>cognition (Fig. 1). The magnitude and direction of this difference</w:t>
      </w:r>
      <w:r w:rsidR="00780D23">
        <w:t xml:space="preserve"> </w:t>
      </w:r>
      <w:r>
        <w:t>are compatible with the hypothesis that there is an imprinted locus</w:t>
      </w:r>
      <w:r w:rsidR="00780D23">
        <w:t xml:space="preserve"> </w:t>
      </w:r>
      <w:r>
        <w:t>on the X chromosome that influences the development of social</w:t>
      </w:r>
      <w:r w:rsidR="00780D23">
        <w:t xml:space="preserve"> </w:t>
      </w:r>
      <w:r>
        <w:t>cognitive skills (although the finding is of course also compatible</w:t>
      </w:r>
      <w:r w:rsidR="00780D23">
        <w:t xml:space="preserve"> </w:t>
      </w:r>
      <w:r>
        <w:t>with other explanations of gender differences in behaviour</w:t>
      </w:r>
      <w:r w:rsidRPr="009C5A5A">
        <w:rPr>
          <w:vertAlign w:val="superscript"/>
        </w:rPr>
        <w:t>17</w:t>
      </w:r>
      <w:r>
        <w:t>). If the</w:t>
      </w:r>
      <w:r w:rsidR="00780D23">
        <w:t xml:space="preserve"> </w:t>
      </w:r>
      <w:r>
        <w:t>putative locus only expressed a gene (or genes) from the X</w:t>
      </w:r>
      <w:r w:rsidR="00780D23">
        <w:t xml:space="preserve"> </w:t>
      </w:r>
      <w:r>
        <w:t>chromosome of paternal origin (</w:t>
      </w:r>
      <w:proofErr w:type="spellStart"/>
      <w:r>
        <w:t>Xp</w:t>
      </w:r>
      <w:proofErr w:type="spellEnd"/>
      <w:r>
        <w:t>), we would expect a tendency</w:t>
      </w:r>
      <w:r w:rsidR="00780D23">
        <w:t xml:space="preserve"> </w:t>
      </w:r>
      <w:r>
        <w:t>for normal females to have superior social cognitive skills than</w:t>
      </w:r>
      <w:r w:rsidR="00780D23">
        <w:t xml:space="preserve"> </w:t>
      </w:r>
      <w:r>
        <w:t>males. Because males (46</w:t>
      </w:r>
      <w:proofErr w:type="gramStart"/>
      <w:r>
        <w:t>,XY</w:t>
      </w:r>
      <w:proofErr w:type="gramEnd"/>
      <w:r>
        <w:t>) invariably inherit their single X</w:t>
      </w:r>
      <w:r w:rsidR="00780D23">
        <w:t xml:space="preserve"> </w:t>
      </w:r>
      <w:r>
        <w:t>chromosome from their mothers, the genetic locus would be</w:t>
      </w:r>
      <w:r w:rsidR="00780D23">
        <w:t xml:space="preserve"> </w:t>
      </w:r>
      <w:r>
        <w:t xml:space="preserve">silenced. In contrast, the gene(s) would be expressed from </w:t>
      </w:r>
      <w:proofErr w:type="spellStart"/>
      <w:r>
        <w:t>Xp</w:t>
      </w:r>
      <w:proofErr w:type="spellEnd"/>
      <w:r>
        <w:t xml:space="preserve"> in</w:t>
      </w:r>
      <w:r w:rsidR="00780D23">
        <w:t xml:space="preserve"> </w:t>
      </w:r>
      <w:r>
        <w:t>approximately half of the cells of normal females if it were inactivated,</w:t>
      </w:r>
      <w:r w:rsidR="00780D23">
        <w:t xml:space="preserve"> </w:t>
      </w:r>
      <w:r>
        <w:t>and from all cells if it escaped X-inactivation</w:t>
      </w:r>
      <w:r w:rsidRPr="009C5A5A">
        <w:rPr>
          <w:vertAlign w:val="superscript"/>
        </w:rPr>
        <w:t>7</w:t>
      </w:r>
      <w:r>
        <w:t>.</w:t>
      </w:r>
      <w:r w:rsidR="00780D23">
        <w:t xml:space="preserve"> </w:t>
      </w:r>
    </w:p>
    <w:p w:rsidR="009C5A5A" w:rsidRDefault="004B4B7E" w:rsidP="004B4B7E">
      <w:r>
        <w:t>We hypothesized that an imprinted X-linked locus, either without</w:t>
      </w:r>
      <w:r w:rsidR="00780D23">
        <w:t xml:space="preserve"> </w:t>
      </w:r>
      <w:r>
        <w:t>a Y-linked homologue or with a Y homologue showing a lower</w:t>
      </w:r>
      <w:r w:rsidR="00780D23">
        <w:t xml:space="preserve"> </w:t>
      </w:r>
      <w:r>
        <w:t>level of expression, could also explain why males are markedly more</w:t>
      </w:r>
      <w:r w:rsidR="00780D23">
        <w:t xml:space="preserve"> </w:t>
      </w:r>
      <w:r>
        <w:t>vulnerable than females to pervasive developmental disorders</w:t>
      </w:r>
      <w:r w:rsidR="00780D23">
        <w:t xml:space="preserve"> </w:t>
      </w:r>
      <w:r>
        <w:t>affecting social adjustment and language, such as autism8. Accordingly,</w:t>
      </w:r>
      <w:r w:rsidR="00780D23">
        <w:t xml:space="preserve"> </w:t>
      </w:r>
      <w:r>
        <w:t>45</w:t>
      </w:r>
      <w:proofErr w:type="gramStart"/>
      <w:r>
        <w:t>,Xm</w:t>
      </w:r>
      <w:proofErr w:type="gramEnd"/>
      <w:r>
        <w:t xml:space="preserve"> Turner females should be exceptionally vulnerable to</w:t>
      </w:r>
      <w:r w:rsidR="00780D23">
        <w:t xml:space="preserve"> </w:t>
      </w:r>
      <w:r>
        <w:t>disorders of language and social adjustment that are usually more</w:t>
      </w:r>
      <w:r w:rsidR="00780D23">
        <w:t xml:space="preserve"> </w:t>
      </w:r>
      <w:r>
        <w:t>common in males. Consistent with this hypothesis, we identified</w:t>
      </w:r>
      <w:r w:rsidR="00780D23">
        <w:t xml:space="preserve"> </w:t>
      </w:r>
      <w:r>
        <w:t>three Turner-syndrome females with autism (meeting ICD-10</w:t>
      </w:r>
      <w:r w:rsidR="00780D23">
        <w:t xml:space="preserve"> </w:t>
      </w:r>
      <w:r>
        <w:t>criteria</w:t>
      </w:r>
      <w:proofErr w:type="gramStart"/>
      <w:r>
        <w:t>)</w:t>
      </w:r>
      <w:r w:rsidRPr="009C5A5A">
        <w:rPr>
          <w:vertAlign w:val="superscript"/>
        </w:rPr>
        <w:t>18</w:t>
      </w:r>
      <w:proofErr w:type="gramEnd"/>
      <w:r>
        <w:t>, out of the total unbiased sample assessed personally in</w:t>
      </w:r>
      <w:r w:rsidR="00780D23">
        <w:t xml:space="preserve"> </w:t>
      </w:r>
      <w:r>
        <w:t>the course of this investigation (3.75%). All three females had</w:t>
      </w:r>
      <w:r w:rsidR="00780D23">
        <w:t xml:space="preserve"> </w:t>
      </w:r>
      <w:r>
        <w:t>retained a normal maternal X chromosome. The population prevalence</w:t>
      </w:r>
      <w:r w:rsidR="00780D23">
        <w:t xml:space="preserve"> </w:t>
      </w:r>
      <w:r>
        <w:t>of autism is less than 1 per 10,000 females</w:t>
      </w:r>
      <w:r w:rsidRPr="009C5A5A">
        <w:rPr>
          <w:vertAlign w:val="superscript"/>
        </w:rPr>
        <w:t>8</w:t>
      </w:r>
      <w:r>
        <w:t>.</w:t>
      </w:r>
      <w:r w:rsidR="00780D23">
        <w:t xml:space="preserve"> </w:t>
      </w:r>
    </w:p>
    <w:p w:rsidR="009C5A5A" w:rsidRDefault="009C5A5A" w:rsidP="004B4B7E">
      <w:r>
        <w:t xml:space="preserve">We </w:t>
      </w:r>
      <w:r w:rsidR="004B4B7E">
        <w:t>then sought corresponding differences in the results of</w:t>
      </w:r>
      <w:r w:rsidR="00780D23">
        <w:t xml:space="preserve"> </w:t>
      </w:r>
      <w:r w:rsidR="004B4B7E">
        <w:t>neuropsychological testing of both normal and Turner-syndrome</w:t>
      </w:r>
      <w:r w:rsidR="00780D23">
        <w:t xml:space="preserve"> </w:t>
      </w:r>
      <w:proofErr w:type="spellStart"/>
      <w:r w:rsidR="004B4B7E">
        <w:t>subjects.We</w:t>
      </w:r>
      <w:proofErr w:type="spellEnd"/>
      <w:r w:rsidR="004B4B7E">
        <w:t xml:space="preserve"> found that 45</w:t>
      </w:r>
      <w:proofErr w:type="gramStart"/>
      <w:r w:rsidR="004B4B7E">
        <w:t>,Xp</w:t>
      </w:r>
      <w:proofErr w:type="gramEnd"/>
      <w:r w:rsidR="004B4B7E">
        <w:t xml:space="preserve"> females were significantly superior in</w:t>
      </w:r>
      <w:r w:rsidR="00780D23">
        <w:t xml:space="preserve"> </w:t>
      </w:r>
      <w:r w:rsidR="004B4B7E">
        <w:t>verbal intelligence to 45,Xm females (Table 1). Verbal IQ was</w:t>
      </w:r>
      <w:r w:rsidR="00780D23">
        <w:t xml:space="preserve"> </w:t>
      </w:r>
      <w:r w:rsidR="004B4B7E">
        <w:t>negatively correlated with the social dysfunction score in the</w:t>
      </w:r>
      <w:r w:rsidR="00780D23">
        <w:t xml:space="preserve"> </w:t>
      </w:r>
      <w:r w:rsidR="004B4B7E">
        <w:t>s</w:t>
      </w:r>
      <w:r>
        <w:t>ample as a whole (r = -.41, P &lt;</w:t>
      </w:r>
      <w:r w:rsidR="004B4B7E">
        <w:t xml:space="preserve"> 0:002). Both </w:t>
      </w:r>
      <w:proofErr w:type="spellStart"/>
      <w:r w:rsidR="004B4B7E">
        <w:t>monosomic</w:t>
      </w:r>
      <w:proofErr w:type="spellEnd"/>
      <w:r w:rsidR="00780D23">
        <w:t xml:space="preserve"> </w:t>
      </w:r>
      <w:r w:rsidR="004B4B7E">
        <w:t>Turner subgroups were equivalently impaired in non-verbal</w:t>
      </w:r>
      <w:r w:rsidR="00780D23">
        <w:t xml:space="preserve"> </w:t>
      </w:r>
      <w:r w:rsidR="004B4B7E">
        <w:t>(including visuospatial) abilities.</w:t>
      </w:r>
      <w:r w:rsidR="00780D23">
        <w:t xml:space="preserve"> </w:t>
      </w:r>
    </w:p>
    <w:p w:rsidR="009C5A5A" w:rsidRDefault="009C5A5A" w:rsidP="004B4B7E">
      <w:r>
        <w:lastRenderedPageBreak/>
        <w:t xml:space="preserve">We </w:t>
      </w:r>
      <w:r w:rsidR="004B4B7E">
        <w:t>subsequently performed several more focused neuropsychological</w:t>
      </w:r>
      <w:r w:rsidR="00780D23">
        <w:t xml:space="preserve"> </w:t>
      </w:r>
      <w:r w:rsidR="004B4B7E">
        <w:t>assessments. First, although we had found that verbal</w:t>
      </w:r>
      <w:r w:rsidR="00780D23">
        <w:t xml:space="preserve"> </w:t>
      </w:r>
      <w:r w:rsidR="004B4B7E">
        <w:t>abilities were moderately good predictors of social cognition, we</w:t>
      </w:r>
      <w:r w:rsidR="00780D23">
        <w:t xml:space="preserve"> </w:t>
      </w:r>
      <w:r w:rsidR="004B4B7E">
        <w:t>hypothesized that higher-order cognitive skills would be better</w:t>
      </w:r>
      <w:r w:rsidR="00780D23">
        <w:t xml:space="preserve"> </w:t>
      </w:r>
      <w:r w:rsidR="004B4B7E">
        <w:t>predictors. These are not measured directly by conventional intelligence</w:t>
      </w:r>
      <w:r w:rsidR="00780D23">
        <w:t xml:space="preserve"> </w:t>
      </w:r>
      <w:r w:rsidR="004B4B7E">
        <w:t>tests. The executive functions of the prefrontal cortex</w:t>
      </w:r>
      <w:r w:rsidR="004B4B7E" w:rsidRPr="009C5A5A">
        <w:rPr>
          <w:vertAlign w:val="superscript"/>
        </w:rPr>
        <w:t>4</w:t>
      </w:r>
      <w:r w:rsidR="004B4B7E">
        <w:t xml:space="preserve"> exert</w:t>
      </w:r>
      <w:r w:rsidR="00780D23">
        <w:t xml:space="preserve"> </w:t>
      </w:r>
      <w:r w:rsidR="004B4B7E">
        <w:t>an important influence on social interactions, and include skills that</w:t>
      </w:r>
      <w:r w:rsidR="00780D23">
        <w:t xml:space="preserve"> </w:t>
      </w:r>
      <w:r w:rsidR="004B4B7E">
        <w:t>allow for the development of strategies of action and the inhibition</w:t>
      </w:r>
      <w:r w:rsidR="00780D23">
        <w:t xml:space="preserve"> </w:t>
      </w:r>
      <w:r w:rsidR="004B4B7E">
        <w:t>of distracting impulses when striving towards a goal. Developmental</w:t>
      </w:r>
      <w:r w:rsidR="00780D23">
        <w:t xml:space="preserve"> </w:t>
      </w:r>
      <w:r w:rsidR="004B4B7E">
        <w:t>disorders of social adjustment and language are associated with</w:t>
      </w:r>
      <w:r w:rsidR="00780D23">
        <w:t xml:space="preserve"> </w:t>
      </w:r>
      <w:r w:rsidR="004B4B7E">
        <w:t>impairment in measures of executive function</w:t>
      </w:r>
      <w:r w:rsidR="004B4B7E" w:rsidRPr="009C5A5A">
        <w:rPr>
          <w:vertAlign w:val="superscript"/>
        </w:rPr>
        <w:t>19</w:t>
      </w:r>
      <w:r w:rsidR="004B4B7E">
        <w:t xml:space="preserve">. Many </w:t>
      </w:r>
      <w:proofErr w:type="spellStart"/>
      <w:r w:rsidR="004B4B7E">
        <w:t>monosomic</w:t>
      </w:r>
      <w:proofErr w:type="spellEnd"/>
      <w:r w:rsidR="00780D23">
        <w:t xml:space="preserve"> </w:t>
      </w:r>
      <w:r w:rsidR="004B4B7E">
        <w:t>Turner-syndrome subjects have executive-function deficits</w:t>
      </w:r>
      <w:r w:rsidR="004B4B7E" w:rsidRPr="009C5A5A">
        <w:rPr>
          <w:vertAlign w:val="superscript"/>
        </w:rPr>
        <w:t>2</w:t>
      </w:r>
      <w:r w:rsidR="004B4B7E">
        <w:t>. We</w:t>
      </w:r>
      <w:r w:rsidR="00780D23">
        <w:t xml:space="preserve"> </w:t>
      </w:r>
      <w:r w:rsidR="004B4B7E">
        <w:t>also predicted that 45</w:t>
      </w:r>
      <w:proofErr w:type="gramStart"/>
      <w:r w:rsidR="004B4B7E">
        <w:t>,Xp</w:t>
      </w:r>
      <w:proofErr w:type="gramEnd"/>
      <w:r w:rsidR="004B4B7E">
        <w:t xml:space="preserve"> females would perform better than</w:t>
      </w:r>
      <w:r w:rsidR="00780D23">
        <w:t xml:space="preserve"> </w:t>
      </w:r>
      <w:r w:rsidR="004B4B7E">
        <w:t>45,Xm females in tests of executive function skills. Finally, we</w:t>
      </w:r>
      <w:r w:rsidR="00780D23">
        <w:t xml:space="preserve"> </w:t>
      </w:r>
      <w:r w:rsidR="004B4B7E">
        <w:t>predicted that abilities in which 45</w:t>
      </w:r>
      <w:proofErr w:type="gramStart"/>
      <w:r w:rsidR="004B4B7E">
        <w:t>,Xp</w:t>
      </w:r>
      <w:proofErr w:type="gramEnd"/>
      <w:r w:rsidR="004B4B7E">
        <w:t xml:space="preserve"> subjects were superior to</w:t>
      </w:r>
      <w:r w:rsidR="00780D23">
        <w:t xml:space="preserve"> </w:t>
      </w:r>
      <w:r w:rsidR="004B4B7E">
        <w:t>45,Xm subjects would also distinguish normal females from males,</w:t>
      </w:r>
      <w:r w:rsidR="00780D23">
        <w:t xml:space="preserve"> </w:t>
      </w:r>
      <w:r w:rsidR="004B4B7E">
        <w:t>and in the same direction.</w:t>
      </w:r>
      <w:r w:rsidR="00780D23">
        <w:t xml:space="preserve"> </w:t>
      </w:r>
    </w:p>
    <w:p w:rsidR="009C5A5A" w:rsidRDefault="009C5A5A" w:rsidP="004B4B7E">
      <w:r>
        <w:t xml:space="preserve">We </w:t>
      </w:r>
      <w:r w:rsidR="004B4B7E">
        <w:t>chose tests of both planning ability (Tower of Hanoi) and</w:t>
      </w:r>
      <w:r w:rsidR="00780D23">
        <w:t xml:space="preserve"> </w:t>
      </w:r>
      <w:r w:rsidR="004B4B7E">
        <w:t>behavioural inhibition (Same/Opposite World). The results were</w:t>
      </w:r>
      <w:r w:rsidR="00780D23">
        <w:t xml:space="preserve"> </w:t>
      </w:r>
      <w:r w:rsidR="004B4B7E">
        <w:t>consistent with the initial hypothesis. Although the social-cognitive</w:t>
      </w:r>
      <w:r w:rsidR="00780D23">
        <w:t xml:space="preserve"> </w:t>
      </w:r>
      <w:r w:rsidR="004B4B7E">
        <w:t>impairment score correlated independently with verbal IQ and with</w:t>
      </w:r>
      <w:r w:rsidR="00780D23">
        <w:t xml:space="preserve"> </w:t>
      </w:r>
      <w:r w:rsidR="004B4B7E">
        <w:t>both measures of executive function, only planning ability</w:t>
      </w:r>
      <w:r w:rsidR="00780D23">
        <w:t xml:space="preserve"> </w:t>
      </w:r>
      <w:r w:rsidR="004B4B7E">
        <w:t xml:space="preserve">(r </w:t>
      </w:r>
      <w:r>
        <w:t>= -.4; P &lt; .</w:t>
      </w:r>
      <w:r w:rsidR="004B4B7E">
        <w:t>006) and</w:t>
      </w:r>
      <w:r>
        <w:t xml:space="preserve"> behavioural inhibition (r = -.</w:t>
      </w:r>
      <w:r w:rsidR="004B4B7E">
        <w:t>37;</w:t>
      </w:r>
      <w:r w:rsidR="00780D23">
        <w:t xml:space="preserve"> </w:t>
      </w:r>
      <w:r>
        <w:t>P &lt; .</w:t>
      </w:r>
      <w:r w:rsidR="004B4B7E">
        <w:t>015) retained significance when the three variables were</w:t>
      </w:r>
      <w:r w:rsidR="00780D23">
        <w:t xml:space="preserve"> </w:t>
      </w:r>
      <w:r w:rsidR="004B4B7E">
        <w:t>forced into a multiple regression analysis. The second prediction</w:t>
      </w:r>
      <w:r w:rsidR="00780D23">
        <w:t xml:space="preserve"> </w:t>
      </w:r>
      <w:r w:rsidR="004B4B7E">
        <w:t>was partly confirmed: there were significant differences between</w:t>
      </w:r>
      <w:r w:rsidR="00780D23">
        <w:t xml:space="preserve"> </w:t>
      </w:r>
      <w:r w:rsidR="004B4B7E">
        <w:t>45</w:t>
      </w:r>
      <w:proofErr w:type="gramStart"/>
      <w:r w:rsidR="004B4B7E">
        <w:t>,Xp</w:t>
      </w:r>
      <w:proofErr w:type="gramEnd"/>
      <w:r w:rsidR="004B4B7E">
        <w:t xml:space="preserve"> and 45,Xm subjects in terms of the behavioural inhibition task,</w:t>
      </w:r>
      <w:r w:rsidR="00780D23">
        <w:t xml:space="preserve"> </w:t>
      </w:r>
      <w:r w:rsidR="004B4B7E">
        <w:t>although not on the test of planning ability. The third prediction</w:t>
      </w:r>
      <w:r w:rsidR="00780D23">
        <w:t xml:space="preserve"> </w:t>
      </w:r>
      <w:r w:rsidR="004B4B7E">
        <w:t>was fully confirmed (Table 1): there was no significant difference in</w:t>
      </w:r>
      <w:r w:rsidR="00780D23">
        <w:t xml:space="preserve"> </w:t>
      </w:r>
      <w:r w:rsidR="004B4B7E">
        <w:t>the highest level achieved on the planning task between normal</w:t>
      </w:r>
      <w:r w:rsidR="00780D23">
        <w:t xml:space="preserve"> </w:t>
      </w:r>
      <w:r w:rsidR="004B4B7E">
        <w:t>males and females. However, on the behavioural-inhibition task,</w:t>
      </w:r>
      <w:r w:rsidR="00780D23">
        <w:t xml:space="preserve"> </w:t>
      </w:r>
      <w:r w:rsidR="004B4B7E">
        <w:t>normal females were superior to males and their mean scores were</w:t>
      </w:r>
      <w:r w:rsidR="00780D23">
        <w:t xml:space="preserve"> </w:t>
      </w:r>
      <w:r w:rsidR="004B4B7E">
        <w:t>very similar to those of the 45</w:t>
      </w:r>
      <w:proofErr w:type="gramStart"/>
      <w:r w:rsidR="004B4B7E">
        <w:t>,Xp</w:t>
      </w:r>
      <w:proofErr w:type="gramEnd"/>
      <w:r w:rsidR="004B4B7E">
        <w:t xml:space="preserve"> subjects. Previous reports have</w:t>
      </w:r>
      <w:r w:rsidR="00780D23">
        <w:t xml:space="preserve"> </w:t>
      </w:r>
      <w:r w:rsidR="004B4B7E">
        <w:t>noted gender differences on inhibition tasks, and they have been</w:t>
      </w:r>
      <w:r w:rsidR="00780D23">
        <w:t xml:space="preserve"> </w:t>
      </w:r>
      <w:r w:rsidR="004B4B7E">
        <w:t>conceptually linked to corresponding differences in social</w:t>
      </w:r>
      <w:r w:rsidR="00780D23">
        <w:t xml:space="preserve"> </w:t>
      </w:r>
      <w:r w:rsidR="004B4B7E">
        <w:t>behaviour</w:t>
      </w:r>
      <w:r w:rsidR="004B4B7E" w:rsidRPr="009C5A5A">
        <w:rPr>
          <w:vertAlign w:val="superscript"/>
        </w:rPr>
        <w:t>20</w:t>
      </w:r>
      <w:r w:rsidR="004B4B7E">
        <w:t>.</w:t>
      </w:r>
      <w:r w:rsidR="00780D23">
        <w:t xml:space="preserve"> </w:t>
      </w:r>
      <w:r w:rsidR="004B4B7E">
        <w:t>We then attempted to map the putative imprinted locus, provisionally,</w:t>
      </w:r>
      <w:r w:rsidR="00780D23">
        <w:t xml:space="preserve"> </w:t>
      </w:r>
      <w:r w:rsidR="004B4B7E">
        <w:t>by studying eight females, ascertained as part of the Turner</w:t>
      </w:r>
      <w:r>
        <w:t xml:space="preserve"> </w:t>
      </w:r>
      <w:r w:rsidR="004B4B7E">
        <w:t>syndrome</w:t>
      </w:r>
      <w:r w:rsidR="00780D23">
        <w:t xml:space="preserve"> </w:t>
      </w:r>
      <w:r w:rsidR="004B4B7E">
        <w:t>project, who had large terminal deletions of the short arm</w:t>
      </w:r>
      <w:r w:rsidR="00780D23">
        <w:t xml:space="preserve"> </w:t>
      </w:r>
      <w:r w:rsidR="004B4B7E">
        <w:t>of the paternally derived X chromosome (a 46</w:t>
      </w:r>
      <w:proofErr w:type="gramStart"/>
      <w:r w:rsidR="004B4B7E">
        <w:t>,Xm</w:t>
      </w:r>
      <w:proofErr w:type="gramEnd"/>
      <w:r w:rsidR="004B4B7E">
        <w:t xml:space="preserve"> </w:t>
      </w:r>
      <w:proofErr w:type="spellStart"/>
      <w:r w:rsidR="004B4B7E">
        <w:t>Xp</w:t>
      </w:r>
      <w:proofErr w:type="spellEnd"/>
      <w:r w:rsidR="004B4B7E">
        <w:t xml:space="preserve"> p-karyotype).</w:t>
      </w:r>
      <w:r w:rsidR="00780D23">
        <w:t xml:space="preserve"> </w:t>
      </w:r>
      <w:r w:rsidR="004B4B7E">
        <w:t>These deletions all extended to a point proximal to the MLS gene at</w:t>
      </w:r>
      <w:r w:rsidR="00780D23">
        <w:t xml:space="preserve"> </w:t>
      </w:r>
      <w:r w:rsidR="004B4B7E">
        <w:t>Xp22.3 (Table 2); the paternal X chromosome was consequently</w:t>
      </w:r>
      <w:r w:rsidR="00780D23">
        <w:t xml:space="preserve"> </w:t>
      </w:r>
      <w:r w:rsidR="004B4B7E">
        <w:t>preferentially inactivated</w:t>
      </w:r>
      <w:r w:rsidR="004B4B7E" w:rsidRPr="009C5A5A">
        <w:rPr>
          <w:vertAlign w:val="superscript"/>
        </w:rPr>
        <w:t>6</w:t>
      </w:r>
      <w:r w:rsidR="004B4B7E">
        <w:t>. On examination, no-one in this series</w:t>
      </w:r>
      <w:r w:rsidR="00780D23">
        <w:t xml:space="preserve"> </w:t>
      </w:r>
      <w:r w:rsidR="004B4B7E">
        <w:t>was found to have any significant learning difficulties. The mean</w:t>
      </w:r>
      <w:r w:rsidR="00780D23">
        <w:t xml:space="preserve"> </w:t>
      </w:r>
      <w:r w:rsidR="004B4B7E">
        <w:t>verbal intelligence score for the group was 103.4 (</w:t>
      </w:r>
      <w:proofErr w:type="spellStart"/>
      <w:r w:rsidR="004B4B7E">
        <w:t>s.d.</w:t>
      </w:r>
      <w:proofErr w:type="spellEnd"/>
      <w:r w:rsidR="004B4B7E">
        <w:t>, 13.7), and</w:t>
      </w:r>
      <w:r w:rsidR="00780D23">
        <w:t xml:space="preserve"> </w:t>
      </w:r>
      <w:r w:rsidR="004B4B7E">
        <w:t>their mean non-verbal IQ was 93 (</w:t>
      </w:r>
      <w:proofErr w:type="spellStart"/>
      <w:r w:rsidR="004B4B7E">
        <w:t>s.d.</w:t>
      </w:r>
      <w:proofErr w:type="spellEnd"/>
      <w:r w:rsidR="004B4B7E">
        <w:t>, 11.2). Their mean social</w:t>
      </w:r>
      <w:r w:rsidR="00780D23">
        <w:t xml:space="preserve"> </w:t>
      </w:r>
      <w:r w:rsidR="004B4B7E">
        <w:t>dysfunction score was 3.75 (</w:t>
      </w:r>
      <w:proofErr w:type="spellStart"/>
      <w:r w:rsidR="004B4B7E">
        <w:t>s.d.</w:t>
      </w:r>
      <w:proofErr w:type="spellEnd"/>
      <w:r w:rsidR="004B4B7E">
        <w:t>, 3.1), a value very similar to that of</w:t>
      </w:r>
      <w:r w:rsidR="00780D23">
        <w:t xml:space="preserve"> </w:t>
      </w:r>
      <w:r w:rsidR="004B4B7E">
        <w:t>the 45</w:t>
      </w:r>
      <w:proofErr w:type="gramStart"/>
      <w:r w:rsidR="004B4B7E">
        <w:t>,Xp</w:t>
      </w:r>
      <w:proofErr w:type="gramEnd"/>
      <w:r w:rsidR="004B4B7E">
        <w:t xml:space="preserve"> subjects (Fig. 1).We drew the following conclusions from</w:t>
      </w:r>
      <w:r w:rsidR="00780D23">
        <w:t xml:space="preserve"> </w:t>
      </w:r>
      <w:r w:rsidR="004B4B7E">
        <w:t>these data. First, the imprinted locus had not been deleted on the</w:t>
      </w:r>
      <w:r w:rsidR="00780D23">
        <w:t xml:space="preserve"> </w:t>
      </w:r>
      <w:r w:rsidR="004B4B7E">
        <w:t>structurally abnormal paternal X chromosome, and so it must lie on</w:t>
      </w:r>
      <w:r w:rsidR="00780D23">
        <w:t xml:space="preserve"> </w:t>
      </w:r>
      <w:proofErr w:type="spellStart"/>
      <w:r w:rsidR="004B4B7E">
        <w:t>Xq</w:t>
      </w:r>
      <w:proofErr w:type="spellEnd"/>
      <w:r w:rsidR="004B4B7E">
        <w:t xml:space="preserve"> or on </w:t>
      </w:r>
      <w:proofErr w:type="spellStart"/>
      <w:r w:rsidR="004B4B7E">
        <w:t>Xp</w:t>
      </w:r>
      <w:proofErr w:type="spellEnd"/>
      <w:r w:rsidR="004B4B7E">
        <w:t xml:space="preserve"> closer to the centromere than, UBE1 at Xp11.23.</w:t>
      </w:r>
      <w:r w:rsidR="00780D23">
        <w:t xml:space="preserve"> </w:t>
      </w:r>
      <w:r w:rsidR="004B4B7E">
        <w:t>Second, the imprinted locus was not subject to X-inactivation, or</w:t>
      </w:r>
      <w:r w:rsidR="00780D23">
        <w:t xml:space="preserve"> </w:t>
      </w:r>
      <w:r w:rsidR="004B4B7E">
        <w:t>the preferentially inactivated, partly deleted chromosome would</w:t>
      </w:r>
      <w:r w:rsidR="00780D23">
        <w:t xml:space="preserve"> </w:t>
      </w:r>
      <w:r w:rsidR="004B4B7E">
        <w:t>not have expressed it. We already know of several genes that escape</w:t>
      </w:r>
      <w:r w:rsidR="00780D23">
        <w:t xml:space="preserve"> </w:t>
      </w:r>
      <w:r w:rsidR="004B4B7E">
        <w:t>X-inactivation</w:t>
      </w:r>
      <w:r w:rsidR="004B4B7E" w:rsidRPr="009C5A5A">
        <w:rPr>
          <w:vertAlign w:val="superscript"/>
        </w:rPr>
        <w:t>21</w:t>
      </w:r>
      <w:r w:rsidR="004B4B7E">
        <w:t>.</w:t>
      </w:r>
      <w:r w:rsidR="00780D23">
        <w:t xml:space="preserve"> </w:t>
      </w:r>
    </w:p>
    <w:p w:rsidR="009C5A5A" w:rsidRDefault="009C5A5A" w:rsidP="004B4B7E">
      <w:r>
        <w:t xml:space="preserve">We </w:t>
      </w:r>
      <w:r w:rsidR="004B4B7E">
        <w:t xml:space="preserve">expected that </w:t>
      </w:r>
      <w:proofErr w:type="spellStart"/>
      <w:r w:rsidR="004B4B7E">
        <w:t>isochromosomes</w:t>
      </w:r>
      <w:proofErr w:type="spellEnd"/>
      <w:r w:rsidR="004B4B7E">
        <w:t xml:space="preserve"> of the long arm of the X</w:t>
      </w:r>
      <w:r w:rsidR="00780D23">
        <w:t xml:space="preserve"> </w:t>
      </w:r>
      <w:r w:rsidR="004B4B7E">
        <w:t>chromosome [</w:t>
      </w:r>
      <w:proofErr w:type="spellStart"/>
      <w:proofErr w:type="gramStart"/>
      <w:r w:rsidR="004B4B7E">
        <w:t>i</w:t>
      </w:r>
      <w:proofErr w:type="spellEnd"/>
      <w:r w:rsidR="004B4B7E">
        <w:t>(</w:t>
      </w:r>
      <w:proofErr w:type="spellStart"/>
      <w:proofErr w:type="gramEnd"/>
      <w:r w:rsidR="004B4B7E">
        <w:t>Xq</w:t>
      </w:r>
      <w:proofErr w:type="spellEnd"/>
      <w:r w:rsidR="004B4B7E">
        <w:t>)] would help in the mapping of the putative</w:t>
      </w:r>
      <w:r w:rsidR="00780D23">
        <w:t xml:space="preserve"> </w:t>
      </w:r>
      <w:r w:rsidR="004B4B7E">
        <w:t xml:space="preserve">imprinted locus. However, virtually all </w:t>
      </w:r>
      <w:proofErr w:type="spellStart"/>
      <w:proofErr w:type="gramStart"/>
      <w:r w:rsidR="004B4B7E">
        <w:t>i</w:t>
      </w:r>
      <w:proofErr w:type="spellEnd"/>
      <w:r w:rsidR="004B4B7E">
        <w:t>(</w:t>
      </w:r>
      <w:proofErr w:type="spellStart"/>
      <w:proofErr w:type="gramEnd"/>
      <w:r w:rsidR="004B4B7E">
        <w:t>Xq</w:t>
      </w:r>
      <w:proofErr w:type="spellEnd"/>
      <w:r w:rsidR="004B4B7E">
        <w:t>) chromosomes have</w:t>
      </w:r>
      <w:r w:rsidR="00780D23">
        <w:t xml:space="preserve"> </w:t>
      </w:r>
      <w:r w:rsidR="004B4B7E">
        <w:t xml:space="preserve">been shown to contain proximal </w:t>
      </w:r>
      <w:proofErr w:type="spellStart"/>
      <w:r w:rsidR="004B4B7E">
        <w:t>Xp</w:t>
      </w:r>
      <w:proofErr w:type="spellEnd"/>
      <w:r w:rsidR="004B4B7E">
        <w:t xml:space="preserve"> sequences</w:t>
      </w:r>
      <w:r w:rsidR="004B4B7E" w:rsidRPr="009C5A5A">
        <w:rPr>
          <w:vertAlign w:val="superscript"/>
        </w:rPr>
        <w:t>22</w:t>
      </w:r>
      <w:r w:rsidR="004B4B7E">
        <w:t>. Duplication and</w:t>
      </w:r>
      <w:r w:rsidR="00780D23">
        <w:t xml:space="preserve"> </w:t>
      </w:r>
      <w:r w:rsidR="004B4B7E">
        <w:t>consequent trisomy of the long arm of the X chromosome further</w:t>
      </w:r>
      <w:r w:rsidR="00780D23">
        <w:t xml:space="preserve"> </w:t>
      </w:r>
      <w:r w:rsidR="004B4B7E">
        <w:t>complicate the interpretation of correlations between phenotype</w:t>
      </w:r>
      <w:r w:rsidR="00780D23">
        <w:t xml:space="preserve"> </w:t>
      </w:r>
      <w:r w:rsidR="004B4B7E">
        <w:t>and genotype. Accordingly, this approach did not provide unambiguous</w:t>
      </w:r>
      <w:r w:rsidR="00780D23">
        <w:t xml:space="preserve"> </w:t>
      </w:r>
      <w:r w:rsidR="004B4B7E">
        <w:t>evidence to assist in the deletion mapping of the locus.</w:t>
      </w:r>
      <w:r w:rsidR="00780D23">
        <w:t xml:space="preserve"> </w:t>
      </w:r>
      <w:r w:rsidR="004B4B7E">
        <w:t xml:space="preserve">An imprinted locus is not the only </w:t>
      </w:r>
      <w:r w:rsidR="004B4B7E">
        <w:lastRenderedPageBreak/>
        <w:t>possible explanation for our</w:t>
      </w:r>
      <w:r w:rsidR="00780D23">
        <w:t xml:space="preserve"> </w:t>
      </w:r>
      <w:r w:rsidR="004B4B7E">
        <w:t>findings. Among the 45</w:t>
      </w:r>
      <w:proofErr w:type="gramStart"/>
      <w:r w:rsidR="004B4B7E">
        <w:t>,Xp</w:t>
      </w:r>
      <w:proofErr w:type="gramEnd"/>
      <w:r w:rsidR="004B4B7E">
        <w:t xml:space="preserve"> females, there may have been a greater</w:t>
      </w:r>
      <w:r w:rsidR="00780D23">
        <w:t xml:space="preserve"> </w:t>
      </w:r>
      <w:r w:rsidR="004B4B7E">
        <w:t>degree of cryptic mosaicism (with a normal 46,XX cell line) than</w:t>
      </w:r>
      <w:r w:rsidR="00780D23">
        <w:t xml:space="preserve"> </w:t>
      </w:r>
      <w:r w:rsidR="004B4B7E">
        <w:t>among those who were 45,Xm. Some degree of mosaicism in</w:t>
      </w:r>
      <w:r w:rsidR="00780D23">
        <w:t xml:space="preserve"> </w:t>
      </w:r>
      <w:r w:rsidR="004B4B7E">
        <w:t xml:space="preserve">apparently </w:t>
      </w:r>
      <w:proofErr w:type="spellStart"/>
      <w:r w:rsidR="004B4B7E">
        <w:t>monosomic</w:t>
      </w:r>
      <w:proofErr w:type="spellEnd"/>
      <w:r w:rsidR="004B4B7E">
        <w:t xml:space="preserve"> females may be essential for the </w:t>
      </w:r>
      <w:proofErr w:type="spellStart"/>
      <w:r w:rsidR="004B4B7E">
        <w:t>fetus</w:t>
      </w:r>
      <w:proofErr w:type="spellEnd"/>
      <w:r w:rsidR="004B4B7E">
        <w:t xml:space="preserve"> to</w:t>
      </w:r>
      <w:r w:rsidR="00780D23">
        <w:t xml:space="preserve"> </w:t>
      </w:r>
      <w:r w:rsidR="004B4B7E">
        <w:t>avoid spontaneous abortion</w:t>
      </w:r>
      <w:r w:rsidR="004B4B7E" w:rsidRPr="009C5A5A">
        <w:rPr>
          <w:vertAlign w:val="superscript"/>
        </w:rPr>
        <w:t>23</w:t>
      </w:r>
      <w:r w:rsidR="004B4B7E">
        <w:t>. We examined both blood and cheek</w:t>
      </w:r>
      <w:r w:rsidR="00780D23">
        <w:t xml:space="preserve"> </w:t>
      </w:r>
      <w:r w:rsidR="004B4B7E">
        <w:t>cells, tissues of mesodermal and ectodermal origin, respectively, and</w:t>
      </w:r>
      <w:r w:rsidR="00780D23">
        <w:t xml:space="preserve"> </w:t>
      </w:r>
      <w:r w:rsidR="004B4B7E">
        <w:t>found two cryptic mosaics, but both were from the 45</w:t>
      </w:r>
      <w:proofErr w:type="gramStart"/>
      <w:r w:rsidR="004B4B7E">
        <w:t>,Xm</w:t>
      </w:r>
      <w:proofErr w:type="gramEnd"/>
      <w:r w:rsidR="004B4B7E">
        <w:t xml:space="preserve"> group.</w:t>
      </w:r>
      <w:r w:rsidR="00780D23">
        <w:t xml:space="preserve"> </w:t>
      </w:r>
    </w:p>
    <w:p w:rsidR="009C5A5A" w:rsidRDefault="004B4B7E" w:rsidP="004B4B7E">
      <w:r>
        <w:t>Males are substantially more vulnerable to a variety of developmental</w:t>
      </w:r>
      <w:r w:rsidR="00780D23">
        <w:t xml:space="preserve"> </w:t>
      </w:r>
      <w:r>
        <w:t>disorders of speech, language impairment and reading</w:t>
      </w:r>
      <w:r w:rsidR="00780D23">
        <w:t xml:space="preserve"> </w:t>
      </w:r>
      <w:r>
        <w:t>disability, as well as more severe conditions such as autism</w:t>
      </w:r>
      <w:r w:rsidRPr="009C5A5A">
        <w:rPr>
          <w:vertAlign w:val="superscript"/>
        </w:rPr>
        <w:t>8</w:t>
      </w:r>
      <w:r>
        <w:t>. Our</w:t>
      </w:r>
      <w:r w:rsidR="00780D23">
        <w:t xml:space="preserve"> </w:t>
      </w:r>
      <w:r>
        <w:t>findings are consistent with the hypothesis that the locus described,</w:t>
      </w:r>
      <w:r w:rsidR="00780D23">
        <w:t xml:space="preserve"> </w:t>
      </w:r>
      <w:r>
        <w:t>which we propose to be silent both in males and 45</w:t>
      </w:r>
      <w:proofErr w:type="gramStart"/>
      <w:r>
        <w:t>,Xm</w:t>
      </w:r>
      <w:proofErr w:type="gramEnd"/>
      <w:r>
        <w:t xml:space="preserve"> females, acts</w:t>
      </w:r>
      <w:r w:rsidR="00780D23">
        <w:t xml:space="preserve"> </w:t>
      </w:r>
      <w:r>
        <w:t>synergistically with susceptibility loci elsewhere on the genome to</w:t>
      </w:r>
      <w:r w:rsidR="00780D23">
        <w:t xml:space="preserve"> </w:t>
      </w:r>
      <w:r>
        <w:t>increase the male-to-female prevalence ratio of such disorders. Our</w:t>
      </w:r>
      <w:r w:rsidR="00780D23">
        <w:t xml:space="preserve"> </w:t>
      </w:r>
      <w:r>
        <w:t>data on normally developing children suggest it may also exert an</w:t>
      </w:r>
      <w:r w:rsidR="00780D23">
        <w:t xml:space="preserve"> </w:t>
      </w:r>
      <w:r>
        <w:t>effect on social and cognitive abilities in the normal range. These</w:t>
      </w:r>
      <w:r w:rsidR="00780D23">
        <w:t xml:space="preserve"> </w:t>
      </w:r>
      <w:r>
        <w:t>preliminary findings could thus provide evidence for the evolution</w:t>
      </w:r>
      <w:r w:rsidR="00780D23">
        <w:t xml:space="preserve"> </w:t>
      </w:r>
      <w:r>
        <w:t>of an imprinted X-linked locus that underlies the development of</w:t>
      </w:r>
      <w:r w:rsidR="00780D23">
        <w:t xml:space="preserve"> </w:t>
      </w:r>
      <w:r>
        <w:t>sexual dimorphism in social behaviour</w:t>
      </w:r>
      <w:r w:rsidRPr="009C5A5A">
        <w:rPr>
          <w:vertAlign w:val="superscript"/>
        </w:rPr>
        <w:t>17</w:t>
      </w:r>
      <w:r>
        <w:t xml:space="preserve">. </w:t>
      </w:r>
    </w:p>
    <w:p w:rsidR="009C5A5A" w:rsidRDefault="009C5A5A" w:rsidP="004B4B7E"/>
    <w:p w:rsidR="009C5A5A" w:rsidRDefault="004B4B7E" w:rsidP="009C5A5A">
      <w:pPr>
        <w:jc w:val="center"/>
      </w:pPr>
      <w:r>
        <w:t>Method</w:t>
      </w:r>
    </w:p>
    <w:p w:rsidR="009C5A5A" w:rsidRDefault="004B4B7E" w:rsidP="004B4B7E">
      <w:r w:rsidRPr="009C5A5A">
        <w:rPr>
          <w:b/>
        </w:rPr>
        <w:t>Subjects</w:t>
      </w:r>
      <w:r>
        <w:t>. This study, which was approved by the local hospital ethics</w:t>
      </w:r>
      <w:r w:rsidR="00780D23">
        <w:t xml:space="preserve"> </w:t>
      </w:r>
      <w:r>
        <w:t xml:space="preserve">committee, involved 88 females with Turner’s syndrome (80 </w:t>
      </w:r>
      <w:proofErr w:type="spellStart"/>
      <w:r>
        <w:t>monosomic</w:t>
      </w:r>
      <w:proofErr w:type="spellEnd"/>
      <w:r>
        <w:t xml:space="preserve"> and 8</w:t>
      </w:r>
      <w:r w:rsidR="00780D23">
        <w:t xml:space="preserve"> </w:t>
      </w:r>
      <w:r>
        <w:t>partial X-chromosome deletions; age range, 6–25 years). They were selected</w:t>
      </w:r>
      <w:r w:rsidR="00780D23">
        <w:t xml:space="preserve"> </w:t>
      </w:r>
      <w:r>
        <w:t>from a national survey of Turner’s syndrome and from records of the Wessex</w:t>
      </w:r>
      <w:r w:rsidR="00780D23">
        <w:t xml:space="preserve"> </w:t>
      </w:r>
      <w:r>
        <w:t>Regional Laboratory. The mean age of the 45</w:t>
      </w:r>
      <w:proofErr w:type="gramStart"/>
      <w:r>
        <w:t>,Xm</w:t>
      </w:r>
      <w:proofErr w:type="gramEnd"/>
      <w:r>
        <w:t xml:space="preserve"> females was 162.3 months</w:t>
      </w:r>
      <w:r w:rsidR="00780D23">
        <w:t xml:space="preserve"> </w:t>
      </w:r>
      <w:r>
        <w:t>(</w:t>
      </w:r>
      <w:proofErr w:type="spellStart"/>
      <w:r>
        <w:t>s.d.</w:t>
      </w:r>
      <w:proofErr w:type="spellEnd"/>
      <w:r>
        <w:t>, 57.6), that of the 45,Xp females was 164.5 months (</w:t>
      </w:r>
      <w:proofErr w:type="spellStart"/>
      <w:r>
        <w:t>s.d.</w:t>
      </w:r>
      <w:proofErr w:type="spellEnd"/>
      <w:r>
        <w:t>, 57.7), and that of</w:t>
      </w:r>
      <w:r w:rsidR="00780D23">
        <w:t xml:space="preserve"> </w:t>
      </w:r>
      <w:r>
        <w:t xml:space="preserve">the </w:t>
      </w:r>
      <w:proofErr w:type="spellStart"/>
      <w:r>
        <w:t>Xp</w:t>
      </w:r>
      <w:proofErr w:type="spellEnd"/>
      <w:r>
        <w:t>- females was 185.8 months (</w:t>
      </w:r>
      <w:proofErr w:type="spellStart"/>
      <w:r>
        <w:t>s.d.</w:t>
      </w:r>
      <w:proofErr w:type="spellEnd"/>
      <w:r>
        <w:t>, 74.9). All subjects were healthy, with no</w:t>
      </w:r>
      <w:r w:rsidR="00780D23">
        <w:t xml:space="preserve"> </w:t>
      </w:r>
      <w:r>
        <w:t xml:space="preserve">significant neurological disease. Females with an </w:t>
      </w:r>
      <w:proofErr w:type="spellStart"/>
      <w:r>
        <w:t>Xp</w:t>
      </w:r>
      <w:proofErr w:type="spellEnd"/>
      <w:r>
        <w:t>- chromosome were all</w:t>
      </w:r>
      <w:r w:rsidR="00780D23">
        <w:t xml:space="preserve"> </w:t>
      </w:r>
      <w:r>
        <w:t>referred for investigation because of short stature in middle childhood, with</w:t>
      </w:r>
      <w:r w:rsidR="00780D23">
        <w:t xml:space="preserve"> </w:t>
      </w:r>
      <w:r>
        <w:t>one exception who was karyotyped at birth. Neuropsychological test results are</w:t>
      </w:r>
      <w:r w:rsidR="00780D23">
        <w:t xml:space="preserve"> </w:t>
      </w:r>
      <w:r>
        <w:t>presented for subjects with verbal IQs &gt; 65 (three 45</w:t>
      </w:r>
      <w:proofErr w:type="gramStart"/>
      <w:r>
        <w:t>,Xm</w:t>
      </w:r>
      <w:proofErr w:type="gramEnd"/>
      <w:r>
        <w:t xml:space="preserve"> subjects and one 45,Xp</w:t>
      </w:r>
      <w:r w:rsidR="00780D23">
        <w:t xml:space="preserve"> </w:t>
      </w:r>
      <w:r>
        <w:t>subject had verbal IQs that fell out of range). Parents rated 70 normal males and</w:t>
      </w:r>
      <w:r w:rsidR="00780D23">
        <w:t xml:space="preserve"> </w:t>
      </w:r>
      <w:r>
        <w:t>71 normal females (age range, 6–18 years) on the social-cognition scale. The</w:t>
      </w:r>
      <w:r w:rsidR="00780D23">
        <w:t xml:space="preserve"> </w:t>
      </w:r>
      <w:r>
        <w:t>neuropsychological test battery was used to assess 68 normal males and 91</w:t>
      </w:r>
      <w:r w:rsidR="00780D23">
        <w:t xml:space="preserve"> </w:t>
      </w:r>
      <w:r>
        <w:t>normal females (age range, 6–25 years). Verbal IQs were in the range 65–151.</w:t>
      </w:r>
      <w:r w:rsidR="00780D23">
        <w:t xml:space="preserve"> </w:t>
      </w:r>
      <w:r>
        <w:t>All normal comparison subjects were recruited from urban and suburban</w:t>
      </w:r>
      <w:r w:rsidR="00780D23">
        <w:t xml:space="preserve"> </w:t>
      </w:r>
      <w:r>
        <w:t>schools (6–18 years) and from hospital staff (18–25 years).</w:t>
      </w:r>
      <w:r w:rsidR="00780D23">
        <w:t xml:space="preserve"> </w:t>
      </w:r>
    </w:p>
    <w:p w:rsidR="00D124AF" w:rsidRDefault="004B4B7E" w:rsidP="004B4B7E">
      <w:r w:rsidRPr="009C5A5A">
        <w:rPr>
          <w:b/>
        </w:rPr>
        <w:t>Behavioural and cognitive measures</w:t>
      </w:r>
      <w:r>
        <w:t>. Initial screening was conducted by</w:t>
      </w:r>
      <w:r w:rsidR="00780D23">
        <w:t xml:space="preserve"> </w:t>
      </w:r>
      <w:r>
        <w:t>postal questionnaires using a well-standardized set of instruments</w:t>
      </w:r>
      <w:r w:rsidRPr="009C5A5A">
        <w:rPr>
          <w:vertAlign w:val="superscript"/>
        </w:rPr>
        <w:t>14–16</w:t>
      </w:r>
      <w:r>
        <w:t>. These</w:t>
      </w:r>
      <w:r w:rsidR="00780D23">
        <w:t xml:space="preserve"> </w:t>
      </w:r>
      <w:r>
        <w:t>were completed by parents, teachers and the Turner-syndrome subjects</w:t>
      </w:r>
      <w:r w:rsidR="00780D23">
        <w:t xml:space="preserve"> </w:t>
      </w:r>
      <w:r>
        <w:t>themselves (11 years and over). The social cognition questionnaire (Box 1)</w:t>
      </w:r>
      <w:r w:rsidR="00780D23">
        <w:t xml:space="preserve"> </w:t>
      </w:r>
      <w:r>
        <w:t>was completed by parents only. In a survey of 175 Turner-syndrome subjects for</w:t>
      </w:r>
      <w:r w:rsidR="00780D23">
        <w:t xml:space="preserve"> </w:t>
      </w:r>
      <w:r>
        <w:t>whom</w:t>
      </w:r>
      <w:r w:rsidR="009C5A5A">
        <w:t xml:space="preserve"> </w:t>
      </w:r>
      <w:r>
        <w:t>we obtained parental ratings on two occasions, a mean of 2.7 years apart,</w:t>
      </w:r>
      <w:r w:rsidR="00780D23">
        <w:t xml:space="preserve"> </w:t>
      </w:r>
      <w:r>
        <w:t xml:space="preserve">the </w:t>
      </w:r>
      <w:proofErr w:type="spellStart"/>
      <w:r>
        <w:t>intraclass</w:t>
      </w:r>
      <w:proofErr w:type="spellEnd"/>
      <w:r>
        <w:t xml:space="preserve"> corre</w:t>
      </w:r>
      <w:r w:rsidR="00D124AF">
        <w:t>lation coefficient was 0.81 (P &lt; .</w:t>
      </w:r>
      <w:r>
        <w:t>01). Scores correlate with</w:t>
      </w:r>
      <w:r w:rsidR="00780D23">
        <w:t xml:space="preserve"> </w:t>
      </w:r>
      <w:r>
        <w:t>the self-rated social problem su</w:t>
      </w:r>
      <w:r w:rsidR="00D124AF">
        <w:t>bscale of the YSR16 0.58 (P &lt; .</w:t>
      </w:r>
      <w:r>
        <w:t>002), with the</w:t>
      </w:r>
      <w:r w:rsidR="00780D23">
        <w:t xml:space="preserve"> </w:t>
      </w:r>
      <w:r>
        <w:t xml:space="preserve">teacher </w:t>
      </w:r>
      <w:r w:rsidR="00D124AF">
        <w:t>rating on the TRF</w:t>
      </w:r>
      <w:r w:rsidR="00D124AF" w:rsidRPr="00D124AF">
        <w:rPr>
          <w:vertAlign w:val="superscript"/>
        </w:rPr>
        <w:t>15</w:t>
      </w:r>
      <w:r w:rsidR="00D124AF">
        <w:t xml:space="preserve"> 0.54 (P &lt; .</w:t>
      </w:r>
      <w:r>
        <w:t>001), and with the parent-rated CBCL</w:t>
      </w:r>
      <w:r w:rsidRPr="00D124AF">
        <w:rPr>
          <w:vertAlign w:val="superscript"/>
        </w:rPr>
        <w:t>14</w:t>
      </w:r>
      <w:r w:rsidR="00780D23">
        <w:t xml:space="preserve"> </w:t>
      </w:r>
      <w:r w:rsidR="00D124AF">
        <w:t>0.69 (P &lt; .</w:t>
      </w:r>
      <w:r>
        <w:t>001). The range of scores was 0–23 in the Turner-syndrome sample</w:t>
      </w:r>
      <w:r w:rsidR="00780D23">
        <w:t xml:space="preserve"> </w:t>
      </w:r>
      <w:r>
        <w:t>and 0–21 in the normal sample (maximum score of 24). The CBCL</w:t>
      </w:r>
      <w:r w:rsidRPr="00D124AF">
        <w:rPr>
          <w:vertAlign w:val="superscript"/>
        </w:rPr>
        <w:t>14</w:t>
      </w:r>
      <w:r>
        <w:t xml:space="preserve"> was</w:t>
      </w:r>
      <w:r w:rsidR="00780D23">
        <w:t xml:space="preserve"> </w:t>
      </w:r>
      <w:r>
        <w:t>completed by 70 parents, the YSR</w:t>
      </w:r>
      <w:r w:rsidRPr="00D124AF">
        <w:rPr>
          <w:vertAlign w:val="superscript"/>
        </w:rPr>
        <w:t>16</w:t>
      </w:r>
      <w:r>
        <w:t xml:space="preserve"> was completed by 40 subjects over 11 years</w:t>
      </w:r>
      <w:r w:rsidR="00780D23">
        <w:t xml:space="preserve"> </w:t>
      </w:r>
      <w:r>
        <w:t>of age, and the TRF</w:t>
      </w:r>
      <w:r w:rsidRPr="00D124AF">
        <w:rPr>
          <w:vertAlign w:val="superscript"/>
        </w:rPr>
        <w:t>15</w:t>
      </w:r>
      <w:r>
        <w:t xml:space="preserve"> was completed by 45 teachers. Clinical significance of</w:t>
      </w:r>
      <w:r w:rsidR="00780D23">
        <w:t xml:space="preserve"> </w:t>
      </w:r>
      <w:r>
        <w:t>social problems was estimated according to clinical T scores</w:t>
      </w:r>
      <w:r w:rsidRPr="00D124AF">
        <w:rPr>
          <w:vertAlign w:val="superscript"/>
        </w:rPr>
        <w:t>14–16</w:t>
      </w:r>
      <w:r>
        <w:t xml:space="preserve">. </w:t>
      </w:r>
      <w:r>
        <w:lastRenderedPageBreak/>
        <w:t>Measures of</w:t>
      </w:r>
      <w:r w:rsidR="00780D23">
        <w:t xml:space="preserve"> </w:t>
      </w:r>
      <w:r>
        <w:t>cognition included the Wechsler Intelligence Scales for Children (WISC IIIUK)</w:t>
      </w:r>
      <w:r w:rsidR="00780D23">
        <w:t xml:space="preserve"> </w:t>
      </w:r>
      <w:r w:rsidRPr="00D124AF">
        <w:rPr>
          <w:vertAlign w:val="superscript"/>
        </w:rPr>
        <w:t>24</w:t>
      </w:r>
      <w:r>
        <w:t xml:space="preserve"> and the Wechsler Adult Intelligence Scales–Revised (WAIS-R</w:t>
      </w:r>
      <w:proofErr w:type="gramStart"/>
      <w:r>
        <w:t>)</w:t>
      </w:r>
      <w:r w:rsidRPr="00D124AF">
        <w:rPr>
          <w:vertAlign w:val="superscript"/>
        </w:rPr>
        <w:t>25</w:t>
      </w:r>
      <w:proofErr w:type="gramEnd"/>
      <w:r>
        <w:t>. The</w:t>
      </w:r>
      <w:r w:rsidR="00780D23">
        <w:t xml:space="preserve"> </w:t>
      </w:r>
      <w:r>
        <w:t>behavioural inhibition task was the Same–Opposite World subtest from the</w:t>
      </w:r>
      <w:r w:rsidR="00780D23">
        <w:t xml:space="preserve"> </w:t>
      </w:r>
      <w:r>
        <w:t>Test of Everyday Attention for Children</w:t>
      </w:r>
      <w:r w:rsidRPr="00D124AF">
        <w:rPr>
          <w:vertAlign w:val="superscript"/>
        </w:rPr>
        <w:t>26</w:t>
      </w:r>
      <w:r>
        <w:t>. This yields a time measure that</w:t>
      </w:r>
      <w:r w:rsidR="00780D23">
        <w:t xml:space="preserve"> </w:t>
      </w:r>
      <w:r>
        <w:t>ascertains the difference in latency for a subject responding to a series of stimuli</w:t>
      </w:r>
      <w:r w:rsidR="00780D23">
        <w:t xml:space="preserve"> </w:t>
      </w:r>
      <w:r>
        <w:t>on a task of sequential responses, which are named both as they appear and then</w:t>
      </w:r>
      <w:r w:rsidR="00780D23">
        <w:t xml:space="preserve"> </w:t>
      </w:r>
      <w:r>
        <w:t>opposite to their appearance. The subject reads a random series of numbers (1</w:t>
      </w:r>
      <w:r w:rsidR="00780D23">
        <w:t xml:space="preserve"> </w:t>
      </w:r>
      <w:r>
        <w:t>and 2) saying ‘one’ to 1, and ‘two’ to 2. The subjects then repeat the task on a</w:t>
      </w:r>
      <w:r w:rsidR="00780D23">
        <w:t xml:space="preserve"> </w:t>
      </w:r>
      <w:r>
        <w:t xml:space="preserve">new series, but this time they have to inhibit the </w:t>
      </w:r>
      <w:proofErr w:type="spellStart"/>
      <w:r>
        <w:t>prepotent</w:t>
      </w:r>
      <w:proofErr w:type="spellEnd"/>
      <w:r>
        <w:t xml:space="preserve"> response and instead</w:t>
      </w:r>
      <w:r w:rsidR="00780D23">
        <w:t xml:space="preserve"> </w:t>
      </w:r>
      <w:r>
        <w:t>say ‘two’ to 1, and ‘one’ to 2, correcting any errors before proceeding. Test–</w:t>
      </w:r>
      <w:r w:rsidR="00780D23">
        <w:t xml:space="preserve"> </w:t>
      </w:r>
      <w:r>
        <w:t xml:space="preserve">retest reliability on a sample of 70 normal children gave an </w:t>
      </w:r>
      <w:proofErr w:type="spellStart"/>
      <w:r>
        <w:t>intraclass</w:t>
      </w:r>
      <w:proofErr w:type="spellEnd"/>
      <w:r>
        <w:t xml:space="preserve"> correlation</w:t>
      </w:r>
      <w:r w:rsidR="00780D23">
        <w:t xml:space="preserve"> </w:t>
      </w:r>
      <w:r w:rsidR="00D124AF">
        <w:t>coefficient of 0.62 (P &lt; .</w:t>
      </w:r>
      <w:r>
        <w:t>001). The Tower of Hanoi task was based on the</w:t>
      </w:r>
      <w:r w:rsidR="00780D23">
        <w:t xml:space="preserve"> </w:t>
      </w:r>
      <w:r>
        <w:t>procedure described previously</w:t>
      </w:r>
      <w:r w:rsidRPr="00D124AF">
        <w:rPr>
          <w:vertAlign w:val="superscript"/>
        </w:rPr>
        <w:t>27</w:t>
      </w:r>
      <w:r>
        <w:t>. It was scored according to the most complex</w:t>
      </w:r>
      <w:r w:rsidR="00780D23">
        <w:t xml:space="preserve"> </w:t>
      </w:r>
      <w:r>
        <w:t>level of the problem the child could solve reliably. Test–retest reliability gave an</w:t>
      </w:r>
      <w:r w:rsidR="00780D23">
        <w:t xml:space="preserve"> </w:t>
      </w:r>
      <w:proofErr w:type="spellStart"/>
      <w:r>
        <w:t>intraclass</w:t>
      </w:r>
      <w:proofErr w:type="spellEnd"/>
      <w:r>
        <w:t xml:space="preserve"> correlation coefficient for the highest level achieved of 0.45</w:t>
      </w:r>
      <w:r w:rsidR="00780D23">
        <w:t xml:space="preserve"> </w:t>
      </w:r>
      <w:r w:rsidR="00D124AF">
        <w:t>(P &lt; .</w:t>
      </w:r>
      <w:r>
        <w:t>001), which is in line with expectations for a test that makes novel</w:t>
      </w:r>
      <w:r w:rsidR="00780D23">
        <w:t xml:space="preserve"> </w:t>
      </w:r>
      <w:r>
        <w:t>demands of this nature</w:t>
      </w:r>
      <w:r w:rsidRPr="00D124AF">
        <w:rPr>
          <w:vertAlign w:val="superscript"/>
        </w:rPr>
        <w:t>28</w:t>
      </w:r>
      <w:r>
        <w:t>.</w:t>
      </w:r>
      <w:r w:rsidR="00780D23">
        <w:t xml:space="preserve"> </w:t>
      </w:r>
    </w:p>
    <w:p w:rsidR="00D124AF" w:rsidRPr="00D124AF" w:rsidRDefault="00D124AF" w:rsidP="004B4B7E">
      <w:pPr>
        <w:rPr>
          <w:b/>
        </w:rPr>
      </w:pPr>
      <w:r w:rsidRPr="00D124AF">
        <w:rPr>
          <w:b/>
        </w:rPr>
        <w:t>References</w:t>
      </w:r>
    </w:p>
    <w:p w:rsidR="00D124AF" w:rsidRDefault="004B4B7E" w:rsidP="004B4B7E">
      <w:r>
        <w:t>1. Jacobs, P. A. et al. A cytogenetic and molecular reappraisal of a series of patients with Turner’s</w:t>
      </w:r>
      <w:r w:rsidR="00780D23">
        <w:t xml:space="preserve"> </w:t>
      </w:r>
      <w:r>
        <w:t>syndrome. Ann. Hum. Genet. 54, 209–223 (1990).</w:t>
      </w:r>
    </w:p>
    <w:p w:rsidR="00D124AF" w:rsidRDefault="00780D23" w:rsidP="004B4B7E">
      <w:r>
        <w:t xml:space="preserve"> </w:t>
      </w:r>
      <w:r w:rsidR="004B4B7E">
        <w:t>2. Pennington, B. F. et al. The neuropsychological phenotype in Turner syndrome. Cortex 21, 391–404</w:t>
      </w:r>
      <w:r>
        <w:t xml:space="preserve"> </w:t>
      </w:r>
      <w:r w:rsidR="004B4B7E">
        <w:t>(1985).</w:t>
      </w:r>
      <w:r>
        <w:t xml:space="preserve"> </w:t>
      </w:r>
    </w:p>
    <w:p w:rsidR="00D124AF" w:rsidRDefault="004B4B7E" w:rsidP="004B4B7E">
      <w:r>
        <w:t>3. McCauley, E., Ito, J. &amp; Kay, T. Psychosocial functioning in girls with the Turner syndrome and short</w:t>
      </w:r>
      <w:r w:rsidR="00780D23">
        <w:t xml:space="preserve"> </w:t>
      </w:r>
      <w:r>
        <w:t xml:space="preserve">stature. J. Am. Acad. Child </w:t>
      </w:r>
      <w:proofErr w:type="spellStart"/>
      <w:r>
        <w:t>Psychiat</w:t>
      </w:r>
      <w:proofErr w:type="spellEnd"/>
      <w:r>
        <w:t>. 25, 105–112 (1986).</w:t>
      </w:r>
      <w:r w:rsidR="00780D23">
        <w:t xml:space="preserve"> </w:t>
      </w:r>
    </w:p>
    <w:p w:rsidR="00D124AF" w:rsidRDefault="004B4B7E" w:rsidP="004B4B7E">
      <w:r>
        <w:t xml:space="preserve">4. </w:t>
      </w:r>
      <w:proofErr w:type="spellStart"/>
      <w:r>
        <w:t>Damasio</w:t>
      </w:r>
      <w:proofErr w:type="spellEnd"/>
      <w:r>
        <w:t>, A. R. On some functions of the human prefrontal cortex. Proc. N. Y. Acad. Sci. 769, 241–251</w:t>
      </w:r>
      <w:r w:rsidR="00780D23">
        <w:t xml:space="preserve"> </w:t>
      </w:r>
      <w:r>
        <w:t>(1995).</w:t>
      </w:r>
      <w:r w:rsidR="00780D23">
        <w:t xml:space="preserve"> </w:t>
      </w:r>
    </w:p>
    <w:p w:rsidR="00D124AF" w:rsidRDefault="004B4B7E" w:rsidP="004B4B7E">
      <w:r>
        <w:t xml:space="preserve">5. Barlow, D. P. </w:t>
      </w:r>
      <w:proofErr w:type="spellStart"/>
      <w:r>
        <w:t>Gametic</w:t>
      </w:r>
      <w:proofErr w:type="spellEnd"/>
      <w:r>
        <w:t xml:space="preserve"> imprinting in mammals. Science 270, 1610–1613 (1995).</w:t>
      </w:r>
      <w:r w:rsidR="00780D23">
        <w:t xml:space="preserve"> </w:t>
      </w:r>
    </w:p>
    <w:p w:rsidR="00D124AF" w:rsidRDefault="004B4B7E" w:rsidP="004B4B7E">
      <w:r>
        <w:t xml:space="preserve">6. </w:t>
      </w:r>
      <w:proofErr w:type="spellStart"/>
      <w:r>
        <w:t>Ballabio</w:t>
      </w:r>
      <w:proofErr w:type="spellEnd"/>
      <w:r>
        <w:t>, A. &amp; Andria, G. Deletions and translocations involving the distal short arm of the human X</w:t>
      </w:r>
      <w:r w:rsidR="00780D23">
        <w:t xml:space="preserve"> </w:t>
      </w:r>
      <w:r>
        <w:t>chromosome: review and hypotheses. Hum. Mol. Genet. 1, 221–227 (1995).</w:t>
      </w:r>
      <w:r w:rsidR="00780D23">
        <w:t xml:space="preserve"> </w:t>
      </w:r>
    </w:p>
    <w:p w:rsidR="00D124AF" w:rsidRDefault="004B4B7E" w:rsidP="004B4B7E">
      <w:r>
        <w:t xml:space="preserve">7. Lyon, M. F. Gene action in the X-chromosome of the mouse (Mus </w:t>
      </w:r>
      <w:proofErr w:type="spellStart"/>
      <w:r>
        <w:t>musculus</w:t>
      </w:r>
      <w:proofErr w:type="spellEnd"/>
      <w:r>
        <w:t xml:space="preserve"> L). Nature 190, 372–373</w:t>
      </w:r>
      <w:r w:rsidR="00780D23">
        <w:t xml:space="preserve"> </w:t>
      </w:r>
      <w:r>
        <w:t>(1961).</w:t>
      </w:r>
      <w:r w:rsidR="00780D23">
        <w:t xml:space="preserve"> </w:t>
      </w:r>
    </w:p>
    <w:p w:rsidR="00D124AF" w:rsidRDefault="004B4B7E" w:rsidP="004B4B7E">
      <w:r>
        <w:t xml:space="preserve">8. Bailey, A., Philips, W. &amp; Rutter, </w:t>
      </w:r>
      <w:proofErr w:type="gramStart"/>
      <w:r>
        <w:t>M</w:t>
      </w:r>
      <w:proofErr w:type="gramEnd"/>
      <w:r>
        <w:t>. Autism: towards an integration of clinical, genetic, neuropsychological</w:t>
      </w:r>
      <w:r w:rsidR="00780D23">
        <w:t xml:space="preserve"> </w:t>
      </w:r>
      <w:r>
        <w:t xml:space="preserve">and neurobiological perspectives. J. Child Psychol. </w:t>
      </w:r>
      <w:proofErr w:type="spellStart"/>
      <w:r>
        <w:t>Psychiat</w:t>
      </w:r>
      <w:proofErr w:type="spellEnd"/>
      <w:r>
        <w:t>. 37, 89–126 (1996).</w:t>
      </w:r>
      <w:r w:rsidR="00780D23">
        <w:t xml:space="preserve"> </w:t>
      </w:r>
    </w:p>
    <w:p w:rsidR="00D124AF" w:rsidRDefault="004B4B7E" w:rsidP="004B4B7E">
      <w:r>
        <w:t xml:space="preserve">9. Ledbetter, D. H. &amp; Engel, E. Uniparental </w:t>
      </w:r>
      <w:proofErr w:type="spellStart"/>
      <w:r>
        <w:t>disomy</w:t>
      </w:r>
      <w:proofErr w:type="spellEnd"/>
      <w:r>
        <w:t xml:space="preserve"> in humans: development of an imprinting map and</w:t>
      </w:r>
      <w:r w:rsidR="00780D23">
        <w:t xml:space="preserve"> </w:t>
      </w:r>
      <w:r>
        <w:t>its implications for prenatal diagnosis. Hum. Mol. Genet. 4, 1757–1764 (1995).</w:t>
      </w:r>
      <w:r w:rsidR="00780D23">
        <w:t xml:space="preserve"> </w:t>
      </w:r>
    </w:p>
    <w:p w:rsidR="00D124AF" w:rsidRDefault="004B4B7E" w:rsidP="004B4B7E">
      <w:r>
        <w:t xml:space="preserve">10. Zuccotti, M. &amp; Monk, M. Methylation of the mouse </w:t>
      </w:r>
      <w:proofErr w:type="spellStart"/>
      <w:r>
        <w:t>Xist</w:t>
      </w:r>
      <w:proofErr w:type="spellEnd"/>
      <w:r>
        <w:t xml:space="preserve"> gene in sperm and eggs correlates with</w:t>
      </w:r>
      <w:r w:rsidR="00780D23">
        <w:t xml:space="preserve"> </w:t>
      </w:r>
      <w:r>
        <w:t xml:space="preserve">imprinted </w:t>
      </w:r>
      <w:proofErr w:type="spellStart"/>
      <w:r>
        <w:t>Xist</w:t>
      </w:r>
      <w:proofErr w:type="spellEnd"/>
      <w:r>
        <w:t xml:space="preserve"> expression and paternal X-inactivation. Nature Genet. 9, 316–320 (1995).</w:t>
      </w:r>
      <w:r w:rsidR="00780D23">
        <w:t xml:space="preserve"> </w:t>
      </w:r>
    </w:p>
    <w:p w:rsidR="00D124AF" w:rsidRDefault="004B4B7E" w:rsidP="004B4B7E">
      <w:r>
        <w:t>11. McCauley, E., Kay, T., Ito, J. &amp; Trader, R. The Turner syndrome: cognitive deficits, affective</w:t>
      </w:r>
      <w:r w:rsidR="00780D23">
        <w:t xml:space="preserve"> </w:t>
      </w:r>
      <w:r>
        <w:t>discrimination and behaviour problems. Child Dev. 58, 464–473 (1987).</w:t>
      </w:r>
      <w:r w:rsidR="00780D23">
        <w:t xml:space="preserve"> </w:t>
      </w:r>
    </w:p>
    <w:p w:rsidR="00D124AF" w:rsidRDefault="004B4B7E" w:rsidP="004B4B7E">
      <w:r>
        <w:lastRenderedPageBreak/>
        <w:t xml:space="preserve">12. </w:t>
      </w:r>
      <w:proofErr w:type="spellStart"/>
      <w:r>
        <w:t>Saenger</w:t>
      </w:r>
      <w:proofErr w:type="spellEnd"/>
      <w:r>
        <w:t>, P. Clinical Review 48: The current status of diagnosis and therapeutic intervention in Turner’s</w:t>
      </w:r>
      <w:r w:rsidR="00780D23">
        <w:t xml:space="preserve"> </w:t>
      </w:r>
      <w:r>
        <w:t xml:space="preserve">syndrome. J. </w:t>
      </w:r>
      <w:proofErr w:type="spellStart"/>
      <w:r>
        <w:t>Clin</w:t>
      </w:r>
      <w:proofErr w:type="spellEnd"/>
      <w:r>
        <w:t xml:space="preserve">. </w:t>
      </w:r>
      <w:proofErr w:type="spellStart"/>
      <w:r>
        <w:t>Endocrinol</w:t>
      </w:r>
      <w:proofErr w:type="spellEnd"/>
      <w:r>
        <w:t xml:space="preserve">. </w:t>
      </w:r>
      <w:proofErr w:type="spellStart"/>
      <w:r>
        <w:t>Metabol</w:t>
      </w:r>
      <w:proofErr w:type="spellEnd"/>
      <w:r>
        <w:t>. 77, 297–301 (1993).</w:t>
      </w:r>
      <w:r w:rsidR="00780D23">
        <w:t xml:space="preserve"> </w:t>
      </w:r>
    </w:p>
    <w:p w:rsidR="00D124AF" w:rsidRDefault="004B4B7E" w:rsidP="004B4B7E">
      <w:r>
        <w:t xml:space="preserve">13. </w:t>
      </w:r>
      <w:proofErr w:type="spellStart"/>
      <w:r>
        <w:t>Skuse</w:t>
      </w:r>
      <w:proofErr w:type="spellEnd"/>
      <w:r>
        <w:t xml:space="preserve">, D., Percy, E. L. &amp; Stevenson, J. in Growth, Stature, and Adaptation. </w:t>
      </w:r>
      <w:proofErr w:type="spellStart"/>
      <w:r>
        <w:t>Behavioral</w:t>
      </w:r>
      <w:proofErr w:type="spellEnd"/>
      <w:r>
        <w:t>, Social, and</w:t>
      </w:r>
      <w:r w:rsidR="00780D23">
        <w:t xml:space="preserve"> </w:t>
      </w:r>
      <w:r>
        <w:t>Cognitive Aspects of Growth Delay (</w:t>
      </w:r>
      <w:proofErr w:type="spellStart"/>
      <w:proofErr w:type="gramStart"/>
      <w:r>
        <w:t>eds</w:t>
      </w:r>
      <w:proofErr w:type="spellEnd"/>
      <w:proofErr w:type="gramEnd"/>
      <w:r>
        <w:t xml:space="preserve"> </w:t>
      </w:r>
      <w:proofErr w:type="spellStart"/>
      <w:r>
        <w:t>Stabler</w:t>
      </w:r>
      <w:proofErr w:type="spellEnd"/>
      <w:r>
        <w:t>, B. &amp; Underwood, L.) 151–164 (UCP, Chapel Hill,</w:t>
      </w:r>
      <w:r w:rsidR="00780D23">
        <w:t xml:space="preserve"> </w:t>
      </w:r>
      <w:r>
        <w:t>1994).</w:t>
      </w:r>
      <w:r w:rsidR="00780D23">
        <w:t xml:space="preserve"> </w:t>
      </w:r>
    </w:p>
    <w:p w:rsidR="00D124AF" w:rsidRDefault="004B4B7E" w:rsidP="004B4B7E">
      <w:r>
        <w:t xml:space="preserve">14. Achenbach, T. M. Manual for the Child </w:t>
      </w:r>
      <w:proofErr w:type="spellStart"/>
      <w:r>
        <w:t>Behavior</w:t>
      </w:r>
      <w:proofErr w:type="spellEnd"/>
      <w:r>
        <w:t xml:space="preserve"> Checklist/4-18 and 1991 Profile (Department of</w:t>
      </w:r>
      <w:r w:rsidR="00780D23">
        <w:t xml:space="preserve"> </w:t>
      </w:r>
      <w:r>
        <w:t>Psychiatry, University of Vermont, Burlington, VT, 1991).</w:t>
      </w:r>
      <w:r w:rsidR="00780D23">
        <w:t xml:space="preserve"> </w:t>
      </w:r>
    </w:p>
    <w:p w:rsidR="00D124AF" w:rsidRDefault="004B4B7E" w:rsidP="004B4B7E">
      <w:r>
        <w:t>15. Achenbach, T. M. Manual for the Teacher’s Report Form and 1991 Profile (Department of Psychiatry,</w:t>
      </w:r>
      <w:r w:rsidR="00780D23">
        <w:t xml:space="preserve"> </w:t>
      </w:r>
      <w:r>
        <w:t>University of Vermont, Burlington, VT, 1991).</w:t>
      </w:r>
      <w:r w:rsidR="00780D23">
        <w:t xml:space="preserve"> </w:t>
      </w:r>
    </w:p>
    <w:p w:rsidR="00D124AF" w:rsidRDefault="004B4B7E" w:rsidP="004B4B7E">
      <w:r>
        <w:t>16. Achenbach, T. M. Manual for the Youth Self-Report Form and 1991 Profile (Department of Psychiatry,</w:t>
      </w:r>
      <w:r w:rsidR="00780D23">
        <w:t xml:space="preserve"> </w:t>
      </w:r>
      <w:r>
        <w:t>University of Vermont, Burlington, VT, 1991).</w:t>
      </w:r>
      <w:r w:rsidR="00780D23">
        <w:t xml:space="preserve"> </w:t>
      </w:r>
    </w:p>
    <w:p w:rsidR="00D124AF" w:rsidRDefault="004B4B7E" w:rsidP="004B4B7E">
      <w:r>
        <w:t xml:space="preserve">17. </w:t>
      </w:r>
      <w:proofErr w:type="spellStart"/>
      <w:r>
        <w:t>Eagley</w:t>
      </w:r>
      <w:proofErr w:type="spellEnd"/>
      <w:r>
        <w:t>, A. H. The science and politics of comparing men and women. Am. Psychol. 50, 145–158</w:t>
      </w:r>
      <w:r w:rsidR="00780D23">
        <w:t xml:space="preserve"> </w:t>
      </w:r>
      <w:r>
        <w:t>(1995).</w:t>
      </w:r>
      <w:r w:rsidR="00780D23">
        <w:t xml:space="preserve"> </w:t>
      </w:r>
    </w:p>
    <w:p w:rsidR="00D124AF" w:rsidRDefault="004B4B7E" w:rsidP="004B4B7E">
      <w:r>
        <w:t xml:space="preserve">18. World Health Organization </w:t>
      </w:r>
      <w:proofErr w:type="gramStart"/>
      <w:r>
        <w:t>The</w:t>
      </w:r>
      <w:proofErr w:type="gramEnd"/>
      <w:r>
        <w:t xml:space="preserve"> ICD-10 Classification of Mental and Behavioural Disorders: Clinical</w:t>
      </w:r>
      <w:r w:rsidR="00780D23">
        <w:t xml:space="preserve"> </w:t>
      </w:r>
      <w:r>
        <w:t xml:space="preserve">Descriptions and Diagnostic Guidelines (World Health </w:t>
      </w:r>
      <w:proofErr w:type="spellStart"/>
      <w:r>
        <w:t>Organizaiton</w:t>
      </w:r>
      <w:proofErr w:type="spellEnd"/>
      <w:r>
        <w:t>, Geneva, 1992).</w:t>
      </w:r>
      <w:r w:rsidR="00780D23">
        <w:t xml:space="preserve"> </w:t>
      </w:r>
    </w:p>
    <w:p w:rsidR="00D124AF" w:rsidRDefault="004B4B7E" w:rsidP="004B4B7E">
      <w:r>
        <w:t xml:space="preserve">19. Pennington, B. F. &amp; </w:t>
      </w:r>
      <w:proofErr w:type="spellStart"/>
      <w:r>
        <w:t>Ozonoff</w:t>
      </w:r>
      <w:proofErr w:type="spellEnd"/>
      <w:r>
        <w:t>, S. Executive functions and developmental psychopathology. J. Child</w:t>
      </w:r>
      <w:r w:rsidR="00780D23">
        <w:t xml:space="preserve"> </w:t>
      </w:r>
      <w:r>
        <w:t xml:space="preserve">Psychol. </w:t>
      </w:r>
      <w:proofErr w:type="spellStart"/>
      <w:r>
        <w:t>Psychiat</w:t>
      </w:r>
      <w:proofErr w:type="spellEnd"/>
      <w:r>
        <w:t>. 37, 51–87 (1996).</w:t>
      </w:r>
      <w:r w:rsidR="00780D23">
        <w:t xml:space="preserve"> </w:t>
      </w:r>
    </w:p>
    <w:p w:rsidR="00D124AF" w:rsidRDefault="004B4B7E" w:rsidP="004B4B7E">
      <w:r>
        <w:t xml:space="preserve">20. </w:t>
      </w:r>
      <w:proofErr w:type="spellStart"/>
      <w:r>
        <w:t>Bjorklund</w:t>
      </w:r>
      <w:proofErr w:type="spellEnd"/>
      <w:r>
        <w:t xml:space="preserve">, D. F. &amp; </w:t>
      </w:r>
      <w:proofErr w:type="spellStart"/>
      <w:r>
        <w:t>Kipp</w:t>
      </w:r>
      <w:proofErr w:type="spellEnd"/>
      <w:r>
        <w:t>, K. Parental investment theory and gender differences in the evolution of</w:t>
      </w:r>
      <w:r w:rsidR="00780D23">
        <w:t xml:space="preserve"> </w:t>
      </w:r>
      <w:r>
        <w:t>inhibition mechanisms. Psychol. Bull. 120, 163–188 (1996).</w:t>
      </w:r>
      <w:r w:rsidR="00780D23">
        <w:t xml:space="preserve"> </w:t>
      </w:r>
    </w:p>
    <w:p w:rsidR="00D124AF" w:rsidRDefault="004B4B7E" w:rsidP="004B4B7E">
      <w:r>
        <w:t xml:space="preserve">21. </w:t>
      </w:r>
      <w:proofErr w:type="spellStart"/>
      <w:r>
        <w:t>Disteche</w:t>
      </w:r>
      <w:proofErr w:type="spellEnd"/>
      <w:r>
        <w:t>, C. M. Escape from X inactivation in human and mouse. Trends Genet. 11, 17–22 (1995).</w:t>
      </w:r>
      <w:r w:rsidR="00780D23">
        <w:t xml:space="preserve"> </w:t>
      </w:r>
    </w:p>
    <w:p w:rsidR="00D124AF" w:rsidRDefault="004B4B7E" w:rsidP="004B4B7E">
      <w:r>
        <w:t>22. Wolff, D. J., Miller, A. P., Van Dyke, D. L., Schwartz, S. &amp; Willard, H. F. Molecular definition of</w:t>
      </w:r>
      <w:r w:rsidR="00780D23">
        <w:t xml:space="preserve"> </w:t>
      </w:r>
      <w:r>
        <w:t xml:space="preserve">breakpoints associated with human </w:t>
      </w:r>
      <w:proofErr w:type="spellStart"/>
      <w:r>
        <w:t>Xq</w:t>
      </w:r>
      <w:proofErr w:type="spellEnd"/>
      <w:r>
        <w:t xml:space="preserve"> </w:t>
      </w:r>
      <w:proofErr w:type="spellStart"/>
      <w:r>
        <w:t>isochromosomes</w:t>
      </w:r>
      <w:proofErr w:type="spellEnd"/>
      <w:r>
        <w:t>: implications for mechanism of formation.</w:t>
      </w:r>
      <w:r w:rsidR="00780D23">
        <w:t xml:space="preserve"> </w:t>
      </w:r>
      <w:r>
        <w:t>Am. J. Hum. Genet. 58, 154–160 (1996).</w:t>
      </w:r>
      <w:r w:rsidR="00780D23">
        <w:t xml:space="preserve"> </w:t>
      </w:r>
    </w:p>
    <w:p w:rsidR="00D124AF" w:rsidRDefault="004B4B7E" w:rsidP="004B4B7E">
      <w:r>
        <w:t xml:space="preserve">23. </w:t>
      </w:r>
      <w:proofErr w:type="spellStart"/>
      <w:r>
        <w:t>Hassold</w:t>
      </w:r>
      <w:proofErr w:type="spellEnd"/>
      <w:r>
        <w:t xml:space="preserve">, T., </w:t>
      </w:r>
      <w:proofErr w:type="spellStart"/>
      <w:r>
        <w:t>Pettay</w:t>
      </w:r>
      <w:proofErr w:type="spellEnd"/>
      <w:r>
        <w:t xml:space="preserve">, D., Robinson, A. &amp; Uchida, </w:t>
      </w:r>
      <w:proofErr w:type="spellStart"/>
      <w:r>
        <w:t>I.Molecular</w:t>
      </w:r>
      <w:proofErr w:type="spellEnd"/>
      <w:r>
        <w:t xml:space="preserve"> studies of parental origin and mosaicism</w:t>
      </w:r>
      <w:r w:rsidR="00780D23">
        <w:t xml:space="preserve"> </w:t>
      </w:r>
      <w:r>
        <w:t>in 45</w:t>
      </w:r>
      <w:proofErr w:type="gramStart"/>
      <w:r>
        <w:t>,X</w:t>
      </w:r>
      <w:proofErr w:type="gramEnd"/>
      <w:r>
        <w:t xml:space="preserve"> conceptuses. Hum. Genet. 89, 647–652 (1992).</w:t>
      </w:r>
      <w:r w:rsidR="00780D23">
        <w:t xml:space="preserve"> </w:t>
      </w:r>
    </w:p>
    <w:p w:rsidR="00D124AF" w:rsidRDefault="004B4B7E" w:rsidP="004B4B7E">
      <w:r>
        <w:t xml:space="preserve">24. Wechsler, </w:t>
      </w:r>
      <w:proofErr w:type="spellStart"/>
      <w:r>
        <w:t>D.Wechsler</w:t>
      </w:r>
      <w:proofErr w:type="spellEnd"/>
      <w:r>
        <w:t xml:space="preserve"> Intelligence Scale for Children 3rd </w:t>
      </w:r>
      <w:proofErr w:type="spellStart"/>
      <w:r>
        <w:t>UKedn</w:t>
      </w:r>
      <w:proofErr w:type="spellEnd"/>
      <w:r>
        <w:t xml:space="preserve"> (Psychological Corporation, London,</w:t>
      </w:r>
      <w:r w:rsidR="00780D23">
        <w:t xml:space="preserve"> </w:t>
      </w:r>
      <w:r>
        <w:t>1992).</w:t>
      </w:r>
      <w:r w:rsidR="00780D23">
        <w:t xml:space="preserve"> </w:t>
      </w:r>
    </w:p>
    <w:p w:rsidR="00D124AF" w:rsidRDefault="004B4B7E" w:rsidP="004B4B7E">
      <w:r>
        <w:t xml:space="preserve">25. Wechsler, </w:t>
      </w:r>
      <w:proofErr w:type="spellStart"/>
      <w:r>
        <w:t>D.Wechsler</w:t>
      </w:r>
      <w:proofErr w:type="spellEnd"/>
      <w:r>
        <w:t xml:space="preserve"> Adult Intelligence Scales-Revised (Psychological Corporation, New York, 1986).</w:t>
      </w:r>
      <w:r w:rsidR="00780D23">
        <w:t xml:space="preserve"> </w:t>
      </w:r>
    </w:p>
    <w:p w:rsidR="00D124AF" w:rsidRDefault="004B4B7E" w:rsidP="004B4B7E">
      <w:r>
        <w:t xml:space="preserve">26. </w:t>
      </w:r>
      <w:proofErr w:type="spellStart"/>
      <w:r>
        <w:t>Borys</w:t>
      </w:r>
      <w:proofErr w:type="spellEnd"/>
      <w:r>
        <w:t xml:space="preserve">, S. V., Spitz, H. H. &amp; </w:t>
      </w:r>
      <w:proofErr w:type="spellStart"/>
      <w:r>
        <w:t>Dorans</w:t>
      </w:r>
      <w:proofErr w:type="spellEnd"/>
      <w:r>
        <w:t>, B. A. Tower of Hanoi performance of retarded young adults and</w:t>
      </w:r>
      <w:r w:rsidR="00780D23">
        <w:t xml:space="preserve"> </w:t>
      </w:r>
      <w:proofErr w:type="spellStart"/>
      <w:r>
        <w:t>nonretarded</w:t>
      </w:r>
      <w:proofErr w:type="spellEnd"/>
      <w:r>
        <w:t xml:space="preserve"> children as a function of solution length and goal state. J. Exp. Child Psychol. 33, 87–110</w:t>
      </w:r>
      <w:r w:rsidR="00780D23">
        <w:t xml:space="preserve"> </w:t>
      </w:r>
      <w:r>
        <w:t>(1982).</w:t>
      </w:r>
      <w:r w:rsidR="00780D23">
        <w:t xml:space="preserve"> </w:t>
      </w:r>
    </w:p>
    <w:p w:rsidR="00D124AF" w:rsidRDefault="004B4B7E" w:rsidP="004B4B7E">
      <w:r>
        <w:t>27. Manly, T., Robertson, I. H. &amp; Anderson, V. The Test of Everyday Attention for Children (</w:t>
      </w:r>
      <w:proofErr w:type="spellStart"/>
      <w:r>
        <w:t>TEACh</w:t>
      </w:r>
      <w:proofErr w:type="spellEnd"/>
      <w:r>
        <w:t>)</w:t>
      </w:r>
      <w:r w:rsidR="00780D23">
        <w:t xml:space="preserve"> </w:t>
      </w:r>
      <w:r>
        <w:t>(Thames Valley Test Company, Bury St Edmunds, in the press).</w:t>
      </w:r>
      <w:r w:rsidR="00780D23">
        <w:t xml:space="preserve"> </w:t>
      </w:r>
    </w:p>
    <w:p w:rsidR="00D124AF" w:rsidRDefault="004B4B7E" w:rsidP="004B4B7E">
      <w:r>
        <w:t xml:space="preserve">28. </w:t>
      </w:r>
      <w:proofErr w:type="spellStart"/>
      <w:r>
        <w:t>Rabbitt</w:t>
      </w:r>
      <w:proofErr w:type="spellEnd"/>
      <w:r>
        <w:t xml:space="preserve">, P. M. A. in Methodologies of Frontal and Executive Function (ed. </w:t>
      </w:r>
      <w:proofErr w:type="spellStart"/>
      <w:r>
        <w:t>Rabbitt</w:t>
      </w:r>
      <w:proofErr w:type="spellEnd"/>
      <w:r>
        <w:t>, P. M. A.) (Psychology</w:t>
      </w:r>
      <w:r w:rsidR="00780D23">
        <w:t xml:space="preserve"> </w:t>
      </w:r>
      <w:r>
        <w:t>Press, Hove, in the press).</w:t>
      </w:r>
      <w:r w:rsidR="00780D23">
        <w:t xml:space="preserve"> </w:t>
      </w:r>
    </w:p>
    <w:p w:rsidR="00D124AF" w:rsidRDefault="004B4B7E" w:rsidP="004B4B7E">
      <w:r>
        <w:lastRenderedPageBreak/>
        <w:t>29. Temple, C. M. &amp; Carney, R. A. Patterns of spatial functioning in Turner’s syndrome. Cortex 31, 109–</w:t>
      </w:r>
      <w:r w:rsidR="00780D23">
        <w:t xml:space="preserve"> </w:t>
      </w:r>
      <w:r>
        <w:t>118 (1995).</w:t>
      </w:r>
      <w:r w:rsidR="00780D23">
        <w:t xml:space="preserve"> </w:t>
      </w:r>
    </w:p>
    <w:p w:rsidR="00D124AF" w:rsidRDefault="00D124AF" w:rsidP="004B4B7E"/>
    <w:p w:rsidR="00D124AF" w:rsidRPr="00D124AF" w:rsidRDefault="004B4B7E" w:rsidP="004B4B7E">
      <w:pPr>
        <w:rPr>
          <w:b/>
        </w:rPr>
      </w:pPr>
      <w:r w:rsidRPr="00D124AF">
        <w:rPr>
          <w:b/>
        </w:rPr>
        <w:t xml:space="preserve">Acknowledgements. </w:t>
      </w:r>
    </w:p>
    <w:p w:rsidR="00D124AF" w:rsidRDefault="004B4B7E" w:rsidP="004B4B7E">
      <w:r>
        <w:t xml:space="preserve">We thank E. Percy, S. Cave, A. </w:t>
      </w:r>
      <w:proofErr w:type="spellStart"/>
      <w:r>
        <w:t>O’Herlihy</w:t>
      </w:r>
      <w:proofErr w:type="spellEnd"/>
      <w:r>
        <w:t>, R. South, J. Smith, M. Power and</w:t>
      </w:r>
      <w:r w:rsidR="00780D23">
        <w:t xml:space="preserve"> </w:t>
      </w:r>
      <w:r>
        <w:t xml:space="preserve">D. Robinson for assistance; M. </w:t>
      </w:r>
      <w:proofErr w:type="spellStart"/>
      <w:r>
        <w:t>Pembrey</w:t>
      </w:r>
      <w:proofErr w:type="spellEnd"/>
      <w:r>
        <w:t xml:space="preserve"> for comments and discussion; many paediatric consultants for</w:t>
      </w:r>
      <w:r w:rsidR="00780D23">
        <w:t xml:space="preserve"> </w:t>
      </w:r>
      <w:r>
        <w:t>assisting with the recruitment of patients, the schools who participated, and all of the subjects of our</w:t>
      </w:r>
      <w:r w:rsidR="00780D23">
        <w:t xml:space="preserve"> </w:t>
      </w:r>
      <w:r>
        <w:t xml:space="preserve">investigation and their families for their time. This research was supported by </w:t>
      </w:r>
      <w:proofErr w:type="spellStart"/>
      <w:r>
        <w:t>theWellcome</w:t>
      </w:r>
      <w:proofErr w:type="spellEnd"/>
      <w:r>
        <w:t xml:space="preserve"> Trust and the</w:t>
      </w:r>
      <w:r w:rsidR="00780D23">
        <w:t xml:space="preserve"> </w:t>
      </w:r>
      <w:r>
        <w:t>Child Growth Foundation. Compilation of the national register of Turner syndrome was supported by the</w:t>
      </w:r>
      <w:r w:rsidR="00780D23">
        <w:t xml:space="preserve"> </w:t>
      </w:r>
      <w:r>
        <w:t>British Society for Paediatric Endocrinology and by Pharmacia.</w:t>
      </w:r>
      <w:r w:rsidR="00780D23">
        <w:t xml:space="preserve"> </w:t>
      </w:r>
    </w:p>
    <w:p w:rsidR="00D124AF" w:rsidRDefault="004B4B7E" w:rsidP="004B4B7E">
      <w:r>
        <w:t xml:space="preserve">Correspondence and requests for material should be addressed to D.H.S. (e-mail: </w:t>
      </w:r>
      <w:hyperlink r:id="rId7" w:history="1">
        <w:r w:rsidRPr="00326F0B">
          <w:rPr>
            <w:rStyle w:val="Hyperlink"/>
          </w:rPr>
          <w:t>dskuse@ich.ucl.ac.uk</w:t>
        </w:r>
      </w:hyperlink>
      <w:r>
        <w:t>).</w:t>
      </w:r>
      <w:r w:rsidR="00780D23">
        <w:t xml:space="preserve">  </w:t>
      </w:r>
    </w:p>
    <w:p w:rsidR="00D124AF" w:rsidRDefault="00D124AF">
      <w:r>
        <w:br w:type="page"/>
      </w:r>
    </w:p>
    <w:p w:rsidR="00D124AF" w:rsidRDefault="004B4B7E" w:rsidP="004B4B7E">
      <w:r>
        <w:lastRenderedPageBreak/>
        <w:t xml:space="preserve">Box 1 </w:t>
      </w:r>
    </w:p>
    <w:p w:rsidR="00D124AF" w:rsidRDefault="004B4B7E" w:rsidP="004B4B7E">
      <w:r>
        <w:t>Scale measuring social cognition</w:t>
      </w:r>
      <w:r w:rsidR="00780D23">
        <w:t xml:space="preserve"> </w:t>
      </w:r>
    </w:p>
    <w:p w:rsidR="00D124AF" w:rsidRDefault="00D124AF" w:rsidP="004B4B7E"/>
    <w:p w:rsidR="00D124AF" w:rsidRDefault="004B4B7E" w:rsidP="004B4B7E">
      <w:r>
        <w:t>Complete the following section by circling 0 if the statement is not at all</w:t>
      </w:r>
      <w:r w:rsidR="00780D23">
        <w:t xml:space="preserve"> </w:t>
      </w:r>
      <w:r>
        <w:t>true of your child</w:t>
      </w:r>
      <w:proofErr w:type="gramStart"/>
      <w:r>
        <w:t>,1</w:t>
      </w:r>
      <w:proofErr w:type="gramEnd"/>
      <w:r>
        <w:t xml:space="preserve"> if it is quite or sometimes true of your child, and 2 if it is</w:t>
      </w:r>
      <w:r w:rsidR="00780D23">
        <w:t xml:space="preserve"> </w:t>
      </w:r>
      <w:r>
        <w:t>very or often true of your child:</w:t>
      </w:r>
      <w:r w:rsidR="00780D23">
        <w:t xml:space="preserve"> 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lacking an awareness of other people’s feelings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does not realise when others are upset or angry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is oblivious to the effect of his/her behaviour on other members of the</w:t>
      </w:r>
      <w:r w:rsidR="00780D23">
        <w:t xml:space="preserve"> </w:t>
      </w:r>
      <w:r>
        <w:t>family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behaviour often disrupts normal family life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very demanding of people’s time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difficult to reason with when upset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does not seem to understand social skills: e.g., interrupts conversation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does not pick up on body language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unaware of acceptable social behaviour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unknowingly offends people with behaviour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does not respond to commands</w:t>
      </w:r>
    </w:p>
    <w:p w:rsidR="00D124AF" w:rsidRDefault="004B4B7E" w:rsidP="00D124AF">
      <w:pPr>
        <w:pStyle w:val="ListParagraph"/>
        <w:numPr>
          <w:ilvl w:val="0"/>
          <w:numId w:val="1"/>
        </w:numPr>
      </w:pPr>
      <w:r>
        <w:t>has difficulty following commands unless they are carefully worded</w:t>
      </w:r>
      <w:r w:rsidR="00780D23">
        <w:t xml:space="preserve"> </w:t>
      </w:r>
    </w:p>
    <w:p w:rsidR="00D124AF" w:rsidRDefault="004B4B7E" w:rsidP="004B4B7E">
      <w:r>
        <w:t>Internal consistency for set of 12 questions: Standardised item alpha 0.94.</w:t>
      </w:r>
      <w:r w:rsidR="00780D23">
        <w:t xml:space="preserve">   </w:t>
      </w:r>
    </w:p>
    <w:p w:rsidR="00D124AF" w:rsidRDefault="00D124AF">
      <w:r>
        <w:br w:type="page"/>
      </w:r>
    </w:p>
    <w:p w:rsidR="00D124AF" w:rsidRDefault="00D124AF" w:rsidP="004B4B7E"/>
    <w:p w:rsidR="007A1D30" w:rsidRDefault="004B4B7E" w:rsidP="004B4B7E">
      <w:r>
        <w:t>Table 1 Neuropsychological test results</w:t>
      </w:r>
      <w:r w:rsidR="00780D23">
        <w:t xml:space="preserve"> </w:t>
      </w: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738"/>
        <w:gridCol w:w="1774"/>
        <w:gridCol w:w="2062"/>
        <w:gridCol w:w="1435"/>
        <w:gridCol w:w="1370"/>
      </w:tblGrid>
      <w:tr w:rsidR="00B44FF8" w:rsidRPr="00B44FF8" w:rsidTr="00B5171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F8" w:rsidRPr="00B44FF8" w:rsidRDefault="00B44FF8" w:rsidP="00B5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Turner’s syndrome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F8" w:rsidRPr="00B44FF8" w:rsidRDefault="00B44FF8" w:rsidP="00B517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Normal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B44FF8" w:rsidRPr="00B44FF8" w:rsidTr="00B44F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45,Xm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45,Xp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46,XX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46,XY</w:t>
            </w:r>
          </w:p>
        </w:tc>
      </w:tr>
      <w:tr w:rsidR="00B44FF8" w:rsidRPr="00B44FF8" w:rsidTr="00B44F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(mean ± SD)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(mean ± SD)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(mean ± SD)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(mean ± SD)</w:t>
            </w:r>
          </w:p>
        </w:tc>
      </w:tr>
      <w:tr w:rsidR="00B44FF8" w:rsidRPr="00B44FF8" w:rsidTr="00B44F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IQ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B44FF8" w:rsidRPr="00B44FF8" w:rsidTr="00B44F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Verbal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96.2 ± 15.9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106.4 ± 14.4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100.1 ± 16.7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98.6 ± 17.1</w:t>
            </w:r>
          </w:p>
        </w:tc>
      </w:tr>
      <w:tr w:rsidR="00B44FF8" w:rsidRPr="00B44FF8" w:rsidTr="00B44F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Non-verbal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79.5 ± 18.8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82.1 ± 15.9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—</w:t>
            </w:r>
          </w:p>
        </w:tc>
      </w:tr>
      <w:tr w:rsidR="00B44FF8" w:rsidRPr="00B44FF8" w:rsidTr="00B44F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Executive function tasks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B44FF8" w:rsidRPr="00B44FF8" w:rsidTr="00B5171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Behavioural inhibition</w:t>
            </w:r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8.7 ± 7.1</w:t>
            </w:r>
          </w:p>
        </w:tc>
        <w:tc>
          <w:tcPr>
            <w:tcW w:w="2062" w:type="dxa"/>
            <w:tcBorders>
              <w:top w:val="nil"/>
              <w:left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5.7 ± 4.8</w: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5.3 ± 4.1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6.8 ± 3.4</w:t>
            </w:r>
          </w:p>
        </w:tc>
      </w:tr>
      <w:tr w:rsidR="00B44FF8" w:rsidRPr="00B44FF8" w:rsidTr="00B5171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Planning ability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6.1 ± 1.7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7.4 ± 1.7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6.6 ± 1.6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FF8" w:rsidRPr="00B44FF8" w:rsidRDefault="00B44FF8" w:rsidP="00B44F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B44FF8">
              <w:rPr>
                <w:rFonts w:cs="Times New Roman"/>
                <w:szCs w:val="24"/>
                <w:lang w:eastAsia="en-US"/>
              </w:rPr>
              <w:t>7.2 ± 1.4</w:t>
            </w:r>
          </w:p>
        </w:tc>
      </w:tr>
    </w:tbl>
    <w:p w:rsidR="007A1D30" w:rsidRDefault="007A1D30" w:rsidP="00B44FF8">
      <w:pPr>
        <w:ind w:firstLine="720"/>
      </w:pPr>
    </w:p>
    <w:p w:rsidR="006256B5" w:rsidRDefault="004B4B7E" w:rsidP="004B4B7E">
      <w:r>
        <w:t>The 45</w:t>
      </w:r>
      <w:proofErr w:type="gramStart"/>
      <w:r>
        <w:t>,Xp</w:t>
      </w:r>
      <w:proofErr w:type="gramEnd"/>
      <w:r>
        <w:t xml:space="preserve"> females have significantly higher verbal IQ than 45,Xm subjects (P </w:t>
      </w:r>
      <w:r w:rsidR="006256B5">
        <w:t xml:space="preserve">&lt;. </w:t>
      </w:r>
      <w:r>
        <w:t>02), but</w:t>
      </w:r>
      <w:r w:rsidR="00780D23">
        <w:t xml:space="preserve"> </w:t>
      </w:r>
      <w:r>
        <w:t>neither Turner group differs significantly from the normal female comparisons. Non-verbal</w:t>
      </w:r>
      <w:r w:rsidR="00780D23">
        <w:t xml:space="preserve"> </w:t>
      </w:r>
      <w:r>
        <w:t>IQ was measured only in Turner-syndrome subjects and does not significantly distinguish</w:t>
      </w:r>
      <w:r w:rsidR="00780D23">
        <w:t xml:space="preserve"> </w:t>
      </w:r>
      <w:r>
        <w:t>the subgroups; it incorporates tests of visuospatial abilities, which are known to be</w:t>
      </w:r>
      <w:r w:rsidR="00780D23">
        <w:t xml:space="preserve"> </w:t>
      </w:r>
      <w:r>
        <w:t>specifically impaired in this condition</w:t>
      </w:r>
      <w:r w:rsidRPr="006256B5">
        <w:rPr>
          <w:vertAlign w:val="superscript"/>
        </w:rPr>
        <w:t>2</w:t>
      </w:r>
      <w:proofErr w:type="gramStart"/>
      <w:r w:rsidRPr="006256B5">
        <w:rPr>
          <w:vertAlign w:val="superscript"/>
        </w:rPr>
        <w:t>,29</w:t>
      </w:r>
      <w:proofErr w:type="gramEnd"/>
      <w:r>
        <w:t>. In all analyses using the executive function</w:t>
      </w:r>
      <w:r w:rsidR="00780D23">
        <w:t xml:space="preserve"> </w:t>
      </w:r>
      <w:r>
        <w:t xml:space="preserve">measures, age has been </w:t>
      </w:r>
      <w:proofErr w:type="spellStart"/>
      <w:r>
        <w:t>covaried</w:t>
      </w:r>
      <w:proofErr w:type="spellEnd"/>
      <w:r>
        <w:t xml:space="preserve"> because, unlike conventional IQ measures, these tests</w:t>
      </w:r>
      <w:r w:rsidR="00780D23">
        <w:t xml:space="preserve"> </w:t>
      </w:r>
      <w:r>
        <w:t>are not yet standardized for age. Behavioural inhibition scores (Same–Opposite World) are</w:t>
      </w:r>
      <w:r w:rsidR="00780D23">
        <w:t xml:space="preserve"> </w:t>
      </w:r>
      <w:r>
        <w:t>measured in seconds, higher scores indicating more difficulty completing the task accurately.</w:t>
      </w:r>
      <w:r w:rsidR="00780D23">
        <w:t xml:space="preserve"> </w:t>
      </w:r>
      <w:r>
        <w:t>The 45</w:t>
      </w:r>
      <w:proofErr w:type="gramStart"/>
      <w:r>
        <w:t>,Xm</w:t>
      </w:r>
      <w:proofErr w:type="gramEnd"/>
      <w:r>
        <w:t xml:space="preserve"> females are less competent than either 45,Xp s</w:t>
      </w:r>
      <w:r w:rsidR="009C5A5A">
        <w:t>ubjects (P &lt;</w:t>
      </w:r>
      <w:r w:rsidR="006256B5">
        <w:t xml:space="preserve"> .</w:t>
      </w:r>
      <w:r>
        <w:t>02) or normal</w:t>
      </w:r>
      <w:r w:rsidR="00780D23">
        <w:t xml:space="preserve"> </w:t>
      </w:r>
      <w:r w:rsidR="006256B5">
        <w:t>females (P &lt; .</w:t>
      </w:r>
      <w:r>
        <w:t>03). Males are less co</w:t>
      </w:r>
      <w:r w:rsidR="009C5A5A">
        <w:t>mpetent than normal females (P &lt;</w:t>
      </w:r>
      <w:r w:rsidR="006256B5">
        <w:t xml:space="preserve"> .</w:t>
      </w:r>
      <w:r>
        <w:t>03). On the</w:t>
      </w:r>
      <w:r w:rsidR="00780D23">
        <w:t xml:space="preserve"> </w:t>
      </w:r>
      <w:r>
        <w:t>planning task (Tower of Hanoi), neither the two Turner subgroups nor normal males and</w:t>
      </w:r>
      <w:r w:rsidR="00780D23">
        <w:t xml:space="preserve"> </w:t>
      </w:r>
      <w:r>
        <w:t>females are significantly</w:t>
      </w:r>
      <w:r w:rsidR="006256B5">
        <w:t xml:space="preserve"> </w:t>
      </w:r>
      <w:r>
        <w:t>distinguished from one another by the mean highest level</w:t>
      </w:r>
      <w:r w:rsidR="00780D23">
        <w:t xml:space="preserve"> </w:t>
      </w:r>
      <w:r>
        <w:t>achieved.</w:t>
      </w:r>
      <w:r w:rsidR="00780D23">
        <w:t xml:space="preserve">  </w:t>
      </w:r>
    </w:p>
    <w:p w:rsidR="006256B5" w:rsidRDefault="006256B5">
      <w:r>
        <w:br w:type="page"/>
      </w:r>
      <w:r>
        <w:lastRenderedPageBreak/>
        <w:br w:type="page"/>
      </w:r>
    </w:p>
    <w:p w:rsidR="006256B5" w:rsidRDefault="006256B5">
      <w:r>
        <w:lastRenderedPageBreak/>
        <w:t>Table 2</w:t>
      </w:r>
    </w:p>
    <w:p w:rsidR="006256B5" w:rsidRDefault="00D603CA">
      <w:r>
        <w:t>Cytogenetic and molecular information</w:t>
      </w:r>
    </w:p>
    <w:p w:rsidR="006256B5" w:rsidRDefault="006256B5">
      <w:r>
        <w:rPr>
          <w:noProof/>
        </w:rPr>
        <w:drawing>
          <wp:inline distT="0" distB="0" distL="0" distR="0" wp14:anchorId="70A2BDAC" wp14:editId="637F1D0A">
            <wp:extent cx="5731510" cy="10693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CA" w:rsidRDefault="00D603CA" w:rsidP="00D603CA">
      <w:r>
        <w:t>Cytogenetic analysis was performed by standard techniques and the chromosomes were examined in a minimum of 100 cells. To map the position of t</w:t>
      </w:r>
      <w:r>
        <w:t xml:space="preserve">he breakpoints in the deleted </w:t>
      </w:r>
      <w:proofErr w:type="spellStart"/>
      <w:r>
        <w:t>X</w:t>
      </w:r>
      <w:r>
        <w:t>chromosomes</w:t>
      </w:r>
      <w:proofErr w:type="spellEnd"/>
      <w:r>
        <w:t>,</w:t>
      </w:r>
      <w:r>
        <w:t xml:space="preserve"> </w:t>
      </w:r>
      <w:r>
        <w:t>DNA</w:t>
      </w:r>
      <w:r>
        <w:t xml:space="preserve"> </w:t>
      </w:r>
      <w:r>
        <w:t>from</w:t>
      </w:r>
      <w:r>
        <w:t xml:space="preserve"> </w:t>
      </w:r>
      <w:proofErr w:type="spellStart"/>
      <w:r>
        <w:t>probands</w:t>
      </w:r>
      <w:proofErr w:type="spellEnd"/>
      <w:r>
        <w:t xml:space="preserve"> and parents was tested using</w:t>
      </w:r>
      <w:r>
        <w:t xml:space="preserve"> </w:t>
      </w:r>
      <w:r>
        <w:t>PCR amplification of polymorphic microsatellite repeat sequences located along the leng</w:t>
      </w:r>
      <w:r>
        <w:t xml:space="preserve">th of </w:t>
      </w:r>
      <w:proofErr w:type="spellStart"/>
      <w:r>
        <w:t>Xp</w:t>
      </w:r>
      <w:proofErr w:type="spellEnd"/>
      <w:r>
        <w:t>. For DXS423E and UBE1</w:t>
      </w:r>
      <w:proofErr w:type="gramStart"/>
      <w:r>
        <w:t>,</w:t>
      </w:r>
      <w:r>
        <w:t>the</w:t>
      </w:r>
      <w:proofErr w:type="gramEnd"/>
      <w:r>
        <w:t xml:space="preserve"> status of the locus in the </w:t>
      </w:r>
      <w:proofErr w:type="spellStart"/>
      <w:r>
        <w:t>proband</w:t>
      </w:r>
      <w:proofErr w:type="spellEnd"/>
      <w:r>
        <w:t xml:space="preserve"> was determined by fluorescence in situ hybridization (FISH) using metaphase chromosome spreads. The breakpoints lie bet</w:t>
      </w:r>
      <w:r>
        <w:t xml:space="preserve">ween the most distal </w:t>
      </w:r>
      <w:proofErr w:type="spellStart"/>
      <w:r>
        <w:t>nondeleted</w:t>
      </w:r>
      <w:proofErr w:type="spellEnd"/>
      <w:r>
        <w:t xml:space="preserve"> </w:t>
      </w:r>
      <w:r>
        <w:t>marker and the most proximal deleted marker.</w:t>
      </w:r>
    </w:p>
    <w:p w:rsidR="00D603CA" w:rsidRDefault="00D603CA"/>
    <w:p w:rsidR="00D603CA" w:rsidRDefault="00D603CA">
      <w:r>
        <w:br w:type="page"/>
      </w:r>
    </w:p>
    <w:p w:rsidR="006256B5" w:rsidRDefault="006256B5" w:rsidP="004B4B7E"/>
    <w:p w:rsidR="004B4B7E" w:rsidRDefault="004B4B7E" w:rsidP="004B4B7E">
      <w:r>
        <w:t xml:space="preserve">Figure 1 Subscale scores (mean </w:t>
      </w:r>
      <w:r w:rsidR="006256B5">
        <w:rPr>
          <w:rFonts w:cs="Times New Roman"/>
        </w:rPr>
        <w:t>±</w:t>
      </w:r>
      <w:r w:rsidR="006256B5">
        <w:t xml:space="preserve"> SE</w:t>
      </w:r>
      <w:r>
        <w:t>) of questionnaire on social-cognitive</w:t>
      </w:r>
      <w:r w:rsidR="00780D23">
        <w:t xml:space="preserve"> </w:t>
      </w:r>
      <w:r>
        <w:t>impairment (Box 1). Higher scores indicate poorer social cognitive skills. The</w:t>
      </w:r>
      <w:r w:rsidR="00780D23">
        <w:t xml:space="preserve"> </w:t>
      </w:r>
      <w:r>
        <w:t>45</w:t>
      </w:r>
      <w:proofErr w:type="gramStart"/>
      <w:r>
        <w:t>,Xm</w:t>
      </w:r>
      <w:proofErr w:type="gramEnd"/>
      <w:r>
        <w:t xml:space="preserve"> Turner-syndrome females score higher than 45,Xp females and both normal</w:t>
      </w:r>
      <w:r w:rsidR="00780D23">
        <w:t xml:space="preserve"> </w:t>
      </w:r>
      <w:r w:rsidR="006256B5">
        <w:t>groups (P &lt; .</w:t>
      </w:r>
      <w:r>
        <w:t>0001). Normal males score hi</w:t>
      </w:r>
      <w:r w:rsidR="006256B5">
        <w:t>gher than normal females (P &lt; .</w:t>
      </w:r>
      <w:r>
        <w:t>001);</w:t>
      </w:r>
      <w:r w:rsidR="00780D23">
        <w:t xml:space="preserve"> </w:t>
      </w:r>
      <w:r>
        <w:t>the effect size of this difference is 0.58, implying that the upper 50% of females</w:t>
      </w:r>
      <w:r w:rsidR="00780D23">
        <w:t xml:space="preserve"> </w:t>
      </w:r>
      <w:r>
        <w:t>score higher than approximately 72% of males. The ratios of mean social</w:t>
      </w:r>
      <w:r w:rsidR="006256B5">
        <w:t xml:space="preserve"> </w:t>
      </w:r>
      <w:r>
        <w:t>dysfunction</w:t>
      </w:r>
      <w:r w:rsidR="00780D23">
        <w:t xml:space="preserve"> </w:t>
      </w:r>
      <w:r>
        <w:t xml:space="preserve">scores </w:t>
      </w:r>
      <w:proofErr w:type="gramStart"/>
      <w:r>
        <w:t>male :</w:t>
      </w:r>
      <w:proofErr w:type="gramEnd"/>
      <w:r>
        <w:t xml:space="preserve"> female and 45,Xm : 45,Xp are very similar 2.2 : 1 and</w:t>
      </w:r>
      <w:r w:rsidR="00780D23">
        <w:t xml:space="preserve"> </w:t>
      </w:r>
      <w:r>
        <w:t>2.1 : 1, respectively). The overall higher scores for the Turner-syndrome subjects,</w:t>
      </w:r>
      <w:r w:rsidR="00780D23">
        <w:t xml:space="preserve"> </w:t>
      </w:r>
      <w:r>
        <w:t xml:space="preserve">compared with normal </w:t>
      </w:r>
      <w:proofErr w:type="spellStart"/>
      <w:r>
        <w:t>females</w:t>
      </w:r>
      <w:proofErr w:type="gramStart"/>
      <w:r>
        <w:t>,may</w:t>
      </w:r>
      <w:proofErr w:type="spellEnd"/>
      <w:proofErr w:type="gramEnd"/>
      <w:r w:rsidR="006256B5">
        <w:t xml:space="preserve"> </w:t>
      </w:r>
      <w:r>
        <w:t>reflect the contribution made by visuospatial</w:t>
      </w:r>
      <w:r w:rsidR="00780D23">
        <w:t xml:space="preserve"> </w:t>
      </w:r>
      <w:r>
        <w:t>abilities to social cognition</w:t>
      </w:r>
      <w:r w:rsidRPr="006256B5">
        <w:rPr>
          <w:vertAlign w:val="superscript"/>
        </w:rPr>
        <w:t>11</w:t>
      </w:r>
      <w:r>
        <w:t xml:space="preserve">. These abilities are impaired equally in both </w:t>
      </w:r>
      <w:proofErr w:type="spellStart"/>
      <w:r>
        <w:t>monosomic</w:t>
      </w:r>
      <w:proofErr w:type="spellEnd"/>
      <w:r w:rsidR="00780D23">
        <w:t xml:space="preserve"> </w:t>
      </w:r>
      <w:r>
        <w:t>groups. No information regarding parental origin of the normal X chromosome</w:t>
      </w:r>
      <w:r w:rsidR="00780D23">
        <w:t xml:space="preserve"> </w:t>
      </w:r>
      <w:r>
        <w:t>was made available to parents, their consultants, or members of the</w:t>
      </w:r>
      <w:r w:rsidR="00780D23">
        <w:t xml:space="preserve"> </w:t>
      </w:r>
      <w:r>
        <w:t>research team gathering these or other data.</w:t>
      </w:r>
      <w:r w:rsidR="00780D23">
        <w:t xml:space="preserve">  </w:t>
      </w:r>
      <w:r>
        <w:rPr>
          <w:noProof/>
        </w:rPr>
        <w:drawing>
          <wp:inline distT="0" distB="0" distL="0" distR="0" wp14:anchorId="40CE4C41" wp14:editId="5A562294">
            <wp:extent cx="470535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D23">
        <w:t xml:space="preserve">  </w:t>
      </w:r>
    </w:p>
    <w:sectPr w:rsidR="004B4B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EE" w:rsidRDefault="00A366EE" w:rsidP="00780D23">
      <w:pPr>
        <w:spacing w:after="0" w:line="240" w:lineRule="auto"/>
      </w:pPr>
      <w:r>
        <w:separator/>
      </w:r>
    </w:p>
  </w:endnote>
  <w:endnote w:type="continuationSeparator" w:id="0">
    <w:p w:rsidR="00A366EE" w:rsidRDefault="00A366EE" w:rsidP="0078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EE" w:rsidRDefault="00A366EE" w:rsidP="00780D23">
      <w:pPr>
        <w:spacing w:after="0" w:line="240" w:lineRule="auto"/>
      </w:pPr>
      <w:r>
        <w:separator/>
      </w:r>
    </w:p>
  </w:footnote>
  <w:footnote w:type="continuationSeparator" w:id="0">
    <w:p w:rsidR="00A366EE" w:rsidRDefault="00A366EE" w:rsidP="0078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6346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1D30" w:rsidRDefault="007A1D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7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A1D30" w:rsidRDefault="007A1D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92495"/>
    <w:multiLevelType w:val="hybridMultilevel"/>
    <w:tmpl w:val="46F8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7E"/>
    <w:rsid w:val="002627BA"/>
    <w:rsid w:val="004B4B7E"/>
    <w:rsid w:val="006256B5"/>
    <w:rsid w:val="00780D23"/>
    <w:rsid w:val="007A1D30"/>
    <w:rsid w:val="00884116"/>
    <w:rsid w:val="009C5A5A"/>
    <w:rsid w:val="00A366EE"/>
    <w:rsid w:val="00B2034B"/>
    <w:rsid w:val="00B44FF8"/>
    <w:rsid w:val="00B5171D"/>
    <w:rsid w:val="00D124AF"/>
    <w:rsid w:val="00D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9E501-0D61-49D1-95DB-1A50D27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16"/>
    <w:rPr>
      <w:rFonts w:ascii="Times New Roman" w:hAnsi="Times New Roman" w:cs="Calibri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4116"/>
    <w:pPr>
      <w:keepNext/>
      <w:keepLines/>
      <w:spacing w:before="240" w:after="0"/>
      <w:outlineLvl w:val="0"/>
    </w:pPr>
    <w:rPr>
      <w:b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84116"/>
    <w:pPr>
      <w:keepNext/>
      <w:keepLines/>
      <w:spacing w:before="40" w:after="0"/>
      <w:outlineLvl w:val="1"/>
    </w:pPr>
    <w:rPr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qFormat/>
    <w:rsid w:val="00884116"/>
    <w:pPr>
      <w:keepNext/>
      <w:keepLines/>
      <w:spacing w:before="40" w:after="0"/>
      <w:outlineLvl w:val="2"/>
    </w:pPr>
    <w:rPr>
      <w:color w:val="auto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116"/>
    <w:rPr>
      <w:rFonts w:ascii="Times New Roman" w:eastAsia="Calibri" w:hAnsi="Times New Roman" w:cs="Calibr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884116"/>
    <w:rPr>
      <w:rFonts w:ascii="Times New Roman" w:eastAsia="Calibri" w:hAnsi="Times New Roman" w:cs="Calibri"/>
      <w:b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884116"/>
    <w:rPr>
      <w:rFonts w:ascii="Times New Roman" w:eastAsia="Calibri" w:hAnsi="Times New Roman" w:cs="Calibri"/>
      <w:sz w:val="24"/>
      <w:szCs w:val="24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4B4B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23"/>
    <w:rPr>
      <w:rFonts w:ascii="Times New Roman" w:hAnsi="Times New Roman" w:cs="Calibri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23"/>
    <w:rPr>
      <w:rFonts w:ascii="Times New Roman" w:hAnsi="Times New Roman" w:cs="Calibri"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1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skuse@ich.ucl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dbishop</dc:creator>
  <cp:keywords/>
  <dc:description/>
  <cp:lastModifiedBy>dbishop</cp:lastModifiedBy>
  <cp:revision>6</cp:revision>
  <dcterms:created xsi:type="dcterms:W3CDTF">2016-09-01T15:40:00Z</dcterms:created>
  <dcterms:modified xsi:type="dcterms:W3CDTF">2016-09-01T15:58:00Z</dcterms:modified>
</cp:coreProperties>
</file>