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CD2D0" w14:textId="4FAD65F4" w:rsidR="00A70F79" w:rsidRPr="00A70F79" w:rsidRDefault="00A70F79" w:rsidP="00A70F79">
      <w:pPr>
        <w:keepNext/>
        <w:spacing w:before="240" w:line="240" w:lineRule="auto"/>
        <w:outlineLvl w:val="0"/>
        <w:rPr>
          <w:rFonts w:ascii="Times New Roman" w:eastAsia="Times New Roman" w:hAnsi="Times New Roman" w:cs="Times New Roman"/>
          <w:b/>
          <w:bCs/>
          <w:kern w:val="32"/>
          <w:sz w:val="28"/>
          <w:szCs w:val="28"/>
          <w14:ligatures w14:val="none"/>
        </w:rPr>
      </w:pPr>
      <w:r w:rsidRPr="00A70F79">
        <w:rPr>
          <w:rFonts w:ascii="Times New Roman" w:eastAsia="Times New Roman" w:hAnsi="Times New Roman" w:cs="Times New Roman"/>
          <w:b/>
          <w:bCs/>
          <w:kern w:val="32"/>
          <w:sz w:val="28"/>
          <w:szCs w:val="28"/>
          <w14:ligatures w14:val="none"/>
        </w:rPr>
        <w:t>Supplemental Material</w:t>
      </w:r>
    </w:p>
    <w:p w14:paraId="1F905A58" w14:textId="4A2D1316" w:rsidR="00A70F79" w:rsidRPr="00A70F79" w:rsidRDefault="00A70F79" w:rsidP="00A70F79">
      <w:pPr>
        <w:spacing w:after="120" w:line="288" w:lineRule="auto"/>
        <w:rPr>
          <w:rFonts w:ascii="Times New Roman" w:eastAsia="Times New Roman" w:hAnsi="Times New Roman" w:cs="Times New Roman"/>
          <w:kern w:val="0"/>
          <w:lang w:eastAsia="en-GB"/>
          <w14:ligatures w14:val="none"/>
        </w:rPr>
      </w:pPr>
      <w:r w:rsidRPr="00A70F79">
        <w:rPr>
          <w:rFonts w:ascii="Times New Roman" w:eastAsia="Times New Roman" w:hAnsi="Times New Roman" w:cs="Times New Roman"/>
          <w:b/>
          <w:bCs/>
          <w:kern w:val="0"/>
          <w:lang w:eastAsia="en-GB"/>
          <w14:ligatures w14:val="none"/>
        </w:rPr>
        <w:t xml:space="preserve">Research Gaps in the Generation of Child Health State Utilities Identified by This Task Force </w:t>
      </w:r>
    </w:p>
    <w:p w14:paraId="7FE6A134" w14:textId="77777777" w:rsidR="00A70F79" w:rsidRPr="00A70F79" w:rsidRDefault="00A70F79" w:rsidP="00A70F79">
      <w:pPr>
        <w:spacing w:after="180" w:line="360" w:lineRule="auto"/>
        <w:rPr>
          <w:rFonts w:ascii="Arial" w:eastAsia="Times New Roman" w:hAnsi="Arial" w:cs="Arial"/>
          <w:kern w:val="0"/>
          <w:sz w:val="20"/>
          <w:szCs w:val="20"/>
          <w:lang w:eastAsia="en-GB"/>
          <w14:ligatures w14:val="none"/>
        </w:rPr>
      </w:pPr>
      <w:r w:rsidRPr="00A70F79">
        <w:rPr>
          <w:rFonts w:ascii="Times New Roman" w:eastAsia="Times New Roman" w:hAnsi="Times New Roman" w:cs="Times New Roman"/>
          <w:kern w:val="0"/>
          <w:lang w:eastAsia="en-GB"/>
          <w14:ligatures w14:val="none"/>
        </w:rPr>
        <w:t xml:space="preserve">While conducting this Task Force, the following gaps in evidence and methods relating to child health state utilities (HSUs) were identified. These are listed by the principal issues to consider when designing and evaluating a study eliciting preferences to generate child HSUs, as summarized in </w:t>
      </w:r>
      <w:r w:rsidRPr="00A70F79">
        <w:rPr>
          <w:rFonts w:ascii="Times New Roman" w:eastAsia="Times New Roman" w:hAnsi="Times New Roman" w:cs="Times New Roman"/>
          <w:b/>
          <w:bCs/>
          <w:kern w:val="0"/>
          <w:lang w:eastAsia="en-GB"/>
          <w14:ligatures w14:val="none"/>
        </w:rPr>
        <w:t>Table 2</w:t>
      </w:r>
      <w:r w:rsidRPr="00A70F79">
        <w:rPr>
          <w:rFonts w:ascii="Times New Roman" w:eastAsia="Times New Roman" w:hAnsi="Times New Roman" w:cs="Times New Roman"/>
          <w:kern w:val="0"/>
          <w:lang w:eastAsia="en-GB"/>
          <w14:ligatures w14:val="none"/>
        </w:rPr>
        <w:t xml:space="preserve"> of the Task Force report. The order in which they appear does not imply their relative importance. These gaps were identified by Task Force members in September 2024. The field of child HSUs is rapidly evolving, and researchers consulting this list in subsequent years are encouraged to check for recent research addressing these gaps.</w:t>
      </w:r>
    </w:p>
    <w:tbl>
      <w:tblPr>
        <w:tblStyle w:val="TableGrid"/>
        <w:tblW w:w="0" w:type="auto"/>
        <w:tblLook w:val="04A0" w:firstRow="1" w:lastRow="0" w:firstColumn="1" w:lastColumn="0" w:noHBand="0" w:noVBand="1"/>
      </w:tblPr>
      <w:tblGrid>
        <w:gridCol w:w="2263"/>
        <w:gridCol w:w="6753"/>
      </w:tblGrid>
      <w:tr w:rsidR="00A70F79" w:rsidRPr="00A70F79" w14:paraId="36B31C5E" w14:textId="77777777" w:rsidTr="00FE0DEB">
        <w:tc>
          <w:tcPr>
            <w:tcW w:w="2263" w:type="dxa"/>
          </w:tcPr>
          <w:p w14:paraId="4DC353C8" w14:textId="77777777" w:rsidR="00A70F79" w:rsidRPr="00A70F79" w:rsidRDefault="00A70F79" w:rsidP="00A70F79">
            <w:pPr>
              <w:spacing w:before="60" w:after="120" w:line="264" w:lineRule="auto"/>
              <w:rPr>
                <w:b/>
                <w:bCs/>
              </w:rPr>
            </w:pPr>
            <w:r w:rsidRPr="00A70F79">
              <w:rPr>
                <w:b/>
                <w:bCs/>
              </w:rPr>
              <w:t>IIA: Whose preferences?</w:t>
            </w:r>
          </w:p>
        </w:tc>
        <w:tc>
          <w:tcPr>
            <w:tcW w:w="6753" w:type="dxa"/>
          </w:tcPr>
          <w:p w14:paraId="5971FE4A" w14:textId="77777777" w:rsidR="00A70F79" w:rsidRPr="00A70F79" w:rsidRDefault="00A70F79" w:rsidP="00A70F79">
            <w:pPr>
              <w:spacing w:before="60" w:after="120" w:line="264" w:lineRule="auto"/>
              <w:rPr>
                <w:color w:val="000000"/>
              </w:rPr>
            </w:pPr>
            <w:r w:rsidRPr="00A70F79">
              <w:rPr>
                <w:color w:val="000000"/>
              </w:rPr>
              <w:t>The choice of whose preferences to elicit for child health is related to the value judgments of those using the HSUs in decision-making.  However, the following questions are relevant to that choice and to understanding the implications:</w:t>
            </w:r>
          </w:p>
          <w:p w14:paraId="05354689" w14:textId="77777777" w:rsidR="00A70F79" w:rsidRPr="00A70F79" w:rsidRDefault="00A70F79" w:rsidP="00A70F79">
            <w:pPr>
              <w:numPr>
                <w:ilvl w:val="0"/>
                <w:numId w:val="1"/>
              </w:numPr>
              <w:spacing w:before="60" w:after="60" w:line="264" w:lineRule="auto"/>
              <w:ind w:left="576" w:hanging="288"/>
              <w:rPr>
                <w:color w:val="000000"/>
              </w:rPr>
            </w:pPr>
            <w:r w:rsidRPr="00A70F79">
              <w:rPr>
                <w:color w:val="242424"/>
              </w:rPr>
              <w:t>Does the choice of respondents for valuing child health depend on the age of the children whose health is being valued?</w:t>
            </w:r>
          </w:p>
          <w:p w14:paraId="67DFAD97"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Are preferences elicited from children/adolescents systematically different from those elicited from adults for child health states?  If so, how would that affect estimated QALY gains?</w:t>
            </w:r>
          </w:p>
          <w:p w14:paraId="0B136010"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 xml:space="preserve">How do child HSUs obtained from </w:t>
            </w:r>
            <w:r w:rsidRPr="00A70F79">
              <w:rPr>
                <w:i/>
                <w:iCs/>
                <w:color w:val="000000"/>
              </w:rPr>
              <w:t>parents</w:t>
            </w:r>
            <w:r w:rsidRPr="00A70F79">
              <w:rPr>
                <w:color w:val="000000"/>
              </w:rPr>
              <w:t xml:space="preserve"> compare with those obtained from non-parents?</w:t>
            </w:r>
          </w:p>
          <w:p w14:paraId="0158F000" w14:textId="77777777" w:rsidR="00A70F79" w:rsidRPr="00A70F79" w:rsidRDefault="00A70F79" w:rsidP="00A70F79">
            <w:pPr>
              <w:numPr>
                <w:ilvl w:val="0"/>
                <w:numId w:val="1"/>
              </w:numPr>
              <w:spacing w:before="60" w:after="60" w:line="264" w:lineRule="auto"/>
              <w:ind w:left="576" w:hanging="288"/>
              <w:rPr>
                <w:color w:val="000000"/>
              </w:rPr>
            </w:pPr>
            <w:r w:rsidRPr="00A70F79">
              <w:rPr>
                <w:color w:val="242424"/>
              </w:rPr>
              <w:t>If eliciting preferences from adults who have experience with childhood conditions, do the resulting HSUs depend on whether the adults are parents, healthcare professionals, or others?</w:t>
            </w:r>
          </w:p>
          <w:p w14:paraId="4BFBED97"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 xml:space="preserve">Are there interactions between the nature of the child health states of </w:t>
            </w:r>
            <w:r w:rsidRPr="00A70F79">
              <w:t xml:space="preserve">interest (e.g., temporary, acute, chronic, severe, life-limiting), </w:t>
            </w:r>
            <w:r w:rsidRPr="00A70F79">
              <w:rPr>
                <w:color w:val="000000"/>
              </w:rPr>
              <w:t>choice of method (e.g., TTO, DCE), and mode of administration (e.g., online TTO with an interviewer is feasible for adults, but little is known about mode of TTO administration with children)?</w:t>
            </w:r>
          </w:p>
          <w:p w14:paraId="1AD69F89"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 xml:space="preserve">If preferences are elicited from mixed samples of adults and children/adolescents, how would the data be </w:t>
            </w:r>
            <w:proofErr w:type="spellStart"/>
            <w:r w:rsidRPr="00A70F79">
              <w:rPr>
                <w:color w:val="000000"/>
              </w:rPr>
              <w:t>analyzed</w:t>
            </w:r>
            <w:proofErr w:type="spellEnd"/>
            <w:r w:rsidRPr="00A70F79">
              <w:rPr>
                <w:color w:val="000000"/>
              </w:rPr>
              <w:t>, reported, and used in cost-utility analyses?  Should the percentage of children/adolescents in the sample be targeted to match the general population?</w:t>
            </w:r>
          </w:p>
        </w:tc>
      </w:tr>
      <w:tr w:rsidR="00A70F79" w:rsidRPr="00A70F79" w14:paraId="722EA9CA" w14:textId="77777777" w:rsidTr="00FE0DEB">
        <w:trPr>
          <w:trHeight w:val="620"/>
        </w:trPr>
        <w:tc>
          <w:tcPr>
            <w:tcW w:w="2263" w:type="dxa"/>
          </w:tcPr>
          <w:p w14:paraId="10541493" w14:textId="77777777" w:rsidR="00A70F79" w:rsidRPr="00A70F79" w:rsidRDefault="00A70F79" w:rsidP="00A70F79">
            <w:pPr>
              <w:spacing w:before="60" w:after="120" w:line="264" w:lineRule="auto"/>
              <w:rPr>
                <w:b/>
                <w:bCs/>
              </w:rPr>
            </w:pPr>
            <w:r w:rsidRPr="00A70F79">
              <w:rPr>
                <w:b/>
                <w:bCs/>
              </w:rPr>
              <w:t>IIB: Whose health is imagined?</w:t>
            </w:r>
          </w:p>
        </w:tc>
        <w:tc>
          <w:tcPr>
            <w:tcW w:w="6753" w:type="dxa"/>
          </w:tcPr>
          <w:p w14:paraId="04A5F764"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Is it feasible and ethical to ask children to value health states either as themselves or by thinking about other children? What effect might this framing have on child HSUs?</w:t>
            </w:r>
          </w:p>
          <w:p w14:paraId="6E105C57"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What influence on child HSUs does the consideration of spillover effects have (e.g., on caregivers)?</w:t>
            </w:r>
          </w:p>
          <w:p w14:paraId="04B36B79"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How do the various ways of framing “whose health is imagined?” affect the resulting HSUs?  While some literature demonstrates differences between preferences elicited when adults imagine themselves experiencing a child health state compared with adults imagining a child experiencing a child health state, there is little evidence comparing other frames.</w:t>
            </w:r>
          </w:p>
        </w:tc>
      </w:tr>
      <w:tr w:rsidR="00A70F79" w:rsidRPr="00A70F79" w14:paraId="71C57EAD" w14:textId="77777777" w:rsidTr="00FE0DEB">
        <w:tc>
          <w:tcPr>
            <w:tcW w:w="2263" w:type="dxa"/>
          </w:tcPr>
          <w:p w14:paraId="0334AA5D" w14:textId="77777777" w:rsidR="00A70F79" w:rsidRPr="00A70F79" w:rsidRDefault="00A70F79" w:rsidP="00A70F79">
            <w:pPr>
              <w:spacing w:before="60" w:after="120" w:line="264" w:lineRule="auto"/>
              <w:rPr>
                <w:b/>
                <w:bCs/>
              </w:rPr>
            </w:pPr>
            <w:r w:rsidRPr="00A70F79">
              <w:rPr>
                <w:b/>
                <w:bCs/>
              </w:rPr>
              <w:lastRenderedPageBreak/>
              <w:t>IIC: Method used to elicit preference</w:t>
            </w:r>
          </w:p>
        </w:tc>
        <w:tc>
          <w:tcPr>
            <w:tcW w:w="6753" w:type="dxa"/>
          </w:tcPr>
          <w:p w14:paraId="16786E8E"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Can existing methods for eliciting preferences to generate HSUs anchored at 0 and 1 (principally developed for use in adults) be adapted (e.g., using qualitative and quantitative exploration) to be feasible and acceptable to use with children, including younger children?</w:t>
            </w:r>
          </w:p>
          <w:p w14:paraId="2535FCFB"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 xml:space="preserve">How does the feasibility of eliciting preferences differ by age (e.g., between 8 and 17 years of age)? </w:t>
            </w:r>
          </w:p>
          <w:p w14:paraId="2336E6ED"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Can new preference elicitation tasks be developed specifically for children?</w:t>
            </w:r>
          </w:p>
          <w:p w14:paraId="0C45DF5A"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Do adults apply different rates of time preference to future health scenarios when valuing child health states than when valuing adult states from a ‘self’ perspective?</w:t>
            </w:r>
          </w:p>
          <w:p w14:paraId="6F963D95"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Do children have a different rate of time preference than adults when considering future health scenarios, and how does that affect their response to tasks that include duration (e.g., TTO, DCEs that include duration attributes)?</w:t>
            </w:r>
          </w:p>
        </w:tc>
      </w:tr>
      <w:tr w:rsidR="00A70F79" w:rsidRPr="00A70F79" w14:paraId="1F1F4496" w14:textId="77777777" w:rsidTr="00FE0DEB">
        <w:trPr>
          <w:trHeight w:val="1970"/>
        </w:trPr>
        <w:tc>
          <w:tcPr>
            <w:tcW w:w="2263" w:type="dxa"/>
          </w:tcPr>
          <w:p w14:paraId="4099B54C" w14:textId="77777777" w:rsidR="00A70F79" w:rsidRPr="00A70F79" w:rsidRDefault="00A70F79" w:rsidP="00A70F79">
            <w:pPr>
              <w:spacing w:before="60" w:after="120" w:line="264" w:lineRule="auto"/>
              <w:rPr>
                <w:b/>
                <w:bCs/>
              </w:rPr>
            </w:pPr>
            <w:r w:rsidRPr="00A70F79">
              <w:rPr>
                <w:b/>
                <w:bCs/>
              </w:rPr>
              <w:t>IID: Comparability and consistency between child and adult utilities</w:t>
            </w:r>
            <w:r w:rsidRPr="00A70F79" w:rsidDel="00E701A1">
              <w:rPr>
                <w:b/>
                <w:bCs/>
              </w:rPr>
              <w:t xml:space="preserve"> </w:t>
            </w:r>
          </w:p>
        </w:tc>
        <w:tc>
          <w:tcPr>
            <w:tcW w:w="6753" w:type="dxa"/>
          </w:tcPr>
          <w:p w14:paraId="63CD0796"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 xml:space="preserve">What are HTA bodies’ views on the importance/desirability of having comparable HSUs for child and adult health states? </w:t>
            </w:r>
          </w:p>
          <w:p w14:paraId="4BA903AC"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How do differences in preference elicitation methods for child and adult health states affect the resulting HSUs and their use in QALY estimation?</w:t>
            </w:r>
          </w:p>
          <w:p w14:paraId="2DFEB2D4"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 xml:space="preserve">Should factors beyond the usual health state considerations, such as impact on future outcomes or spillover effects on caregivers, be </w:t>
            </w:r>
            <w:proofErr w:type="gramStart"/>
            <w:r w:rsidRPr="00A70F79">
              <w:rPr>
                <w:color w:val="000000"/>
              </w:rPr>
              <w:t>taken into account</w:t>
            </w:r>
            <w:proofErr w:type="gramEnd"/>
            <w:r w:rsidRPr="00A70F79">
              <w:rPr>
                <w:color w:val="000000"/>
              </w:rPr>
              <w:t xml:space="preserve"> in child HSUs?</w:t>
            </w:r>
          </w:p>
        </w:tc>
      </w:tr>
      <w:tr w:rsidR="00A70F79" w:rsidRPr="00A70F79" w14:paraId="363EF289" w14:textId="77777777" w:rsidTr="00FE0DEB">
        <w:tc>
          <w:tcPr>
            <w:tcW w:w="2263" w:type="dxa"/>
          </w:tcPr>
          <w:p w14:paraId="0D96F29B" w14:textId="77777777" w:rsidR="00A70F79" w:rsidRPr="00A70F79" w:rsidRDefault="00A70F79" w:rsidP="00A70F79">
            <w:pPr>
              <w:spacing w:before="60" w:after="120" w:line="264" w:lineRule="auto"/>
              <w:rPr>
                <w:b/>
                <w:bCs/>
              </w:rPr>
            </w:pPr>
            <w:r w:rsidRPr="00A70F79">
              <w:rPr>
                <w:b/>
                <w:bCs/>
              </w:rPr>
              <w:t>Younger age groups</w:t>
            </w:r>
          </w:p>
        </w:tc>
        <w:tc>
          <w:tcPr>
            <w:tcW w:w="6753" w:type="dxa"/>
          </w:tcPr>
          <w:p w14:paraId="72E5DC0D"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 xml:space="preserve">What are the additional considerations when generating HSUs for the youngest age groups (i.e., children under 5 years old)?  </w:t>
            </w:r>
          </w:p>
          <w:p w14:paraId="7737E451" w14:textId="77777777" w:rsidR="00A70F79" w:rsidRPr="00A70F79" w:rsidRDefault="00A70F79" w:rsidP="00A70F79">
            <w:pPr>
              <w:numPr>
                <w:ilvl w:val="0"/>
                <w:numId w:val="1"/>
              </w:numPr>
              <w:spacing w:before="60" w:after="60" w:line="264" w:lineRule="auto"/>
              <w:ind w:left="576" w:hanging="288"/>
              <w:rPr>
                <w:color w:val="000000"/>
              </w:rPr>
            </w:pPr>
            <w:r w:rsidRPr="00A70F79">
              <w:rPr>
                <w:color w:val="000000"/>
              </w:rPr>
              <w:t>What additional evidence is required to inform these methodological decisions?</w:t>
            </w:r>
          </w:p>
        </w:tc>
      </w:tr>
    </w:tbl>
    <w:p w14:paraId="27EB3608" w14:textId="77777777" w:rsidR="00A70F79" w:rsidRPr="00A70F79" w:rsidRDefault="00A70F79" w:rsidP="00A70F79">
      <w:pPr>
        <w:spacing w:before="60" w:after="80" w:line="240" w:lineRule="auto"/>
        <w:rPr>
          <w:rFonts w:ascii="Times New Roman" w:eastAsia="Times New Roman" w:hAnsi="Times New Roman" w:cs="Arial"/>
          <w:kern w:val="0"/>
          <w:sz w:val="16"/>
          <w:szCs w:val="16"/>
          <w:lang w:eastAsia="en-GB"/>
          <w14:ligatures w14:val="none"/>
        </w:rPr>
      </w:pPr>
      <w:r w:rsidRPr="00A70F79">
        <w:rPr>
          <w:rFonts w:ascii="Times New Roman" w:eastAsia="Times New Roman" w:hAnsi="Times New Roman" w:cs="Arial"/>
          <w:kern w:val="0"/>
          <w:sz w:val="16"/>
          <w:szCs w:val="16"/>
          <w:lang w:eastAsia="en-GB"/>
          <w14:ligatures w14:val="none"/>
        </w:rPr>
        <w:t>Abbreviations: DCE = discrete choice experiment; HSU = health state utility; HTA = health technology assessment; QALY = quality-adjusted life-year; TTO = time trade-off</w:t>
      </w:r>
    </w:p>
    <w:p w14:paraId="05849698" w14:textId="77777777" w:rsidR="00A70F79" w:rsidRPr="00A70F79" w:rsidRDefault="00A70F79" w:rsidP="00A70F79">
      <w:pPr>
        <w:spacing w:before="60" w:after="80" w:line="240" w:lineRule="auto"/>
        <w:rPr>
          <w:rFonts w:ascii="Times New Roman" w:eastAsia="Times New Roman" w:hAnsi="Times New Roman" w:cs="Arial"/>
          <w:kern w:val="0"/>
          <w:sz w:val="16"/>
          <w:szCs w:val="16"/>
          <w:lang w:eastAsia="en-GB"/>
          <w14:ligatures w14:val="none"/>
        </w:rPr>
      </w:pPr>
    </w:p>
    <w:p w14:paraId="4A91F5D9" w14:textId="77777777" w:rsidR="00A70F79" w:rsidRPr="00A70F79" w:rsidRDefault="00A70F79" w:rsidP="00A70F79">
      <w:pPr>
        <w:spacing w:before="60" w:after="80" w:line="240" w:lineRule="auto"/>
        <w:rPr>
          <w:rFonts w:ascii="Times New Roman" w:eastAsia="Times New Roman" w:hAnsi="Times New Roman" w:cs="Arial"/>
          <w:kern w:val="0"/>
          <w:sz w:val="16"/>
          <w:szCs w:val="16"/>
          <w:lang w:eastAsia="en-GB"/>
          <w14:ligatures w14:val="none"/>
        </w:rPr>
      </w:pPr>
    </w:p>
    <w:p w14:paraId="5C915B40" w14:textId="77777777" w:rsidR="00A70F79" w:rsidRPr="00A70F79" w:rsidRDefault="00A70F79" w:rsidP="00A70F79">
      <w:pPr>
        <w:spacing w:after="120" w:line="240" w:lineRule="auto"/>
        <w:rPr>
          <w:rFonts w:ascii="Times New Roman" w:eastAsia="Times New Roman" w:hAnsi="Times New Roman" w:cs="Arial"/>
          <w:kern w:val="0"/>
          <w:sz w:val="16"/>
          <w:szCs w:val="16"/>
          <w:lang w:eastAsia="en-GB"/>
          <w14:ligatures w14:val="none"/>
        </w:rPr>
      </w:pPr>
    </w:p>
    <w:p w14:paraId="6458A737" w14:textId="77777777" w:rsidR="00E2093C" w:rsidRDefault="00E2093C"/>
    <w:sectPr w:rsidR="00E2093C" w:rsidSect="00A70F79">
      <w:headerReference w:type="default" r:id="rId7"/>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3AA52" w14:textId="77777777" w:rsidR="00A70F79" w:rsidRDefault="00A70F79" w:rsidP="00A70F79">
      <w:pPr>
        <w:spacing w:after="0" w:line="240" w:lineRule="auto"/>
      </w:pPr>
      <w:r>
        <w:separator/>
      </w:r>
    </w:p>
  </w:endnote>
  <w:endnote w:type="continuationSeparator" w:id="0">
    <w:p w14:paraId="23081278" w14:textId="77777777" w:rsidR="00A70F79" w:rsidRDefault="00A70F79" w:rsidP="00A70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FB743" w14:textId="77777777" w:rsidR="00A70F79" w:rsidRDefault="00A70F79" w:rsidP="00A70F79">
      <w:pPr>
        <w:spacing w:after="0" w:line="240" w:lineRule="auto"/>
      </w:pPr>
      <w:r>
        <w:separator/>
      </w:r>
    </w:p>
  </w:footnote>
  <w:footnote w:type="continuationSeparator" w:id="0">
    <w:p w14:paraId="0111483D" w14:textId="77777777" w:rsidR="00A70F79" w:rsidRDefault="00A70F79" w:rsidP="00A70F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2637" w14:textId="77777777" w:rsidR="00A70F79" w:rsidRPr="00923CD5" w:rsidRDefault="00A70F79" w:rsidP="00A70F79">
    <w:pPr>
      <w:pStyle w:val="Header"/>
      <w:tabs>
        <w:tab w:val="center" w:pos="4513"/>
        <w:tab w:val="right" w:pos="9026"/>
      </w:tabs>
      <w:jc w:val="right"/>
      <w:rPr>
        <w:rFonts w:ascii="Times New Roman" w:hAnsi="Times New Roman" w:cs="Times New Roman"/>
        <w:sz w:val="20"/>
        <w:szCs w:val="20"/>
      </w:rPr>
    </w:pPr>
    <w:bookmarkStart w:id="0" w:name="_Hlk215830892"/>
    <w:bookmarkStart w:id="1" w:name="_Hlk215831075"/>
    <w:bookmarkStart w:id="2" w:name="_Hlk215831076"/>
    <w:bookmarkStart w:id="3" w:name="_Hlk215831195"/>
    <w:bookmarkStart w:id="4" w:name="_Hlk215831196"/>
    <w:r w:rsidRPr="00923CD5">
      <w:rPr>
        <w:rFonts w:ascii="Times New Roman" w:hAnsi="Times New Roman" w:cs="Times New Roman"/>
        <w:sz w:val="20"/>
        <w:szCs w:val="20"/>
      </w:rPr>
      <w:t xml:space="preserve">Valuing Child and Adolescent Health States for Use in Economic Evaluation: </w:t>
    </w:r>
  </w:p>
  <w:p w14:paraId="0339FD6D" w14:textId="77777777" w:rsidR="00A70F79" w:rsidRPr="00923CD5" w:rsidRDefault="00A70F79" w:rsidP="00A70F79">
    <w:pPr>
      <w:pStyle w:val="Header"/>
      <w:jc w:val="right"/>
      <w:rPr>
        <w:rFonts w:ascii="Times New Roman" w:hAnsi="Times New Roman" w:cs="Times New Roman"/>
        <w:sz w:val="20"/>
        <w:szCs w:val="20"/>
      </w:rPr>
    </w:pPr>
    <w:r w:rsidRPr="00923CD5">
      <w:rPr>
        <w:rFonts w:ascii="Times New Roman" w:hAnsi="Times New Roman" w:cs="Times New Roman"/>
        <w:sz w:val="20"/>
        <w:szCs w:val="20"/>
      </w:rPr>
      <w:t>A Good Practices Report of an ISPOR Task Force</w:t>
    </w:r>
    <w:bookmarkEnd w:id="0"/>
    <w:bookmarkEnd w:id="1"/>
    <w:bookmarkEnd w:id="2"/>
    <w:bookmarkEnd w:id="3"/>
    <w:bookmarkEnd w:id="4"/>
  </w:p>
  <w:p w14:paraId="06062825" w14:textId="77777777" w:rsidR="00A70F79" w:rsidRDefault="00A70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040C0"/>
    <w:multiLevelType w:val="hybridMultilevel"/>
    <w:tmpl w:val="69847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864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79"/>
    <w:rsid w:val="00A70F79"/>
    <w:rsid w:val="00AD2A7E"/>
    <w:rsid w:val="00C93976"/>
    <w:rsid w:val="00E2093C"/>
    <w:rsid w:val="00E629BC"/>
    <w:rsid w:val="00EF5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7582C"/>
  <w15:chartTrackingRefBased/>
  <w15:docId w15:val="{7ABA543C-EE2C-43C6-BB42-B25F204D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0F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0F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0F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0F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0F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0F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0F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0F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0F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F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0F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0F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0F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0F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0F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0F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0F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0F79"/>
    <w:rPr>
      <w:rFonts w:eastAsiaTheme="majorEastAsia" w:cstheme="majorBidi"/>
      <w:color w:val="272727" w:themeColor="text1" w:themeTint="D8"/>
    </w:rPr>
  </w:style>
  <w:style w:type="paragraph" w:styleId="Title">
    <w:name w:val="Title"/>
    <w:basedOn w:val="Normal"/>
    <w:next w:val="Normal"/>
    <w:link w:val="TitleChar"/>
    <w:uiPriority w:val="10"/>
    <w:qFormat/>
    <w:rsid w:val="00A70F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0F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0F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0F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0F79"/>
    <w:pPr>
      <w:spacing w:before="160"/>
      <w:jc w:val="center"/>
    </w:pPr>
    <w:rPr>
      <w:i/>
      <w:iCs/>
      <w:color w:val="404040" w:themeColor="text1" w:themeTint="BF"/>
    </w:rPr>
  </w:style>
  <w:style w:type="character" w:customStyle="1" w:styleId="QuoteChar">
    <w:name w:val="Quote Char"/>
    <w:basedOn w:val="DefaultParagraphFont"/>
    <w:link w:val="Quote"/>
    <w:uiPriority w:val="29"/>
    <w:rsid w:val="00A70F79"/>
    <w:rPr>
      <w:i/>
      <w:iCs/>
      <w:color w:val="404040" w:themeColor="text1" w:themeTint="BF"/>
    </w:rPr>
  </w:style>
  <w:style w:type="paragraph" w:styleId="ListParagraph">
    <w:name w:val="List Paragraph"/>
    <w:basedOn w:val="Normal"/>
    <w:uiPriority w:val="34"/>
    <w:qFormat/>
    <w:rsid w:val="00A70F79"/>
    <w:pPr>
      <w:ind w:left="720"/>
      <w:contextualSpacing/>
    </w:pPr>
  </w:style>
  <w:style w:type="character" w:styleId="IntenseEmphasis">
    <w:name w:val="Intense Emphasis"/>
    <w:basedOn w:val="DefaultParagraphFont"/>
    <w:uiPriority w:val="21"/>
    <w:qFormat/>
    <w:rsid w:val="00A70F79"/>
    <w:rPr>
      <w:i/>
      <w:iCs/>
      <w:color w:val="0F4761" w:themeColor="accent1" w:themeShade="BF"/>
    </w:rPr>
  </w:style>
  <w:style w:type="paragraph" w:styleId="IntenseQuote">
    <w:name w:val="Intense Quote"/>
    <w:basedOn w:val="Normal"/>
    <w:next w:val="Normal"/>
    <w:link w:val="IntenseQuoteChar"/>
    <w:uiPriority w:val="30"/>
    <w:qFormat/>
    <w:rsid w:val="00A70F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0F79"/>
    <w:rPr>
      <w:i/>
      <w:iCs/>
      <w:color w:val="0F4761" w:themeColor="accent1" w:themeShade="BF"/>
    </w:rPr>
  </w:style>
  <w:style w:type="character" w:styleId="IntenseReference">
    <w:name w:val="Intense Reference"/>
    <w:basedOn w:val="DefaultParagraphFont"/>
    <w:uiPriority w:val="32"/>
    <w:qFormat/>
    <w:rsid w:val="00A70F79"/>
    <w:rPr>
      <w:b/>
      <w:bCs/>
      <w:smallCaps/>
      <w:color w:val="0F4761" w:themeColor="accent1" w:themeShade="BF"/>
      <w:spacing w:val="5"/>
    </w:rPr>
  </w:style>
  <w:style w:type="table" w:styleId="TableGrid">
    <w:name w:val="Table Grid"/>
    <w:basedOn w:val="TableNormal"/>
    <w:uiPriority w:val="39"/>
    <w:rsid w:val="00A70F7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F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0F79"/>
  </w:style>
  <w:style w:type="paragraph" w:styleId="Footer">
    <w:name w:val="footer"/>
    <w:basedOn w:val="Normal"/>
    <w:link w:val="FooterChar"/>
    <w:uiPriority w:val="99"/>
    <w:unhideWhenUsed/>
    <w:rsid w:val="00A70F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2025-12-05T17:55:00Z</dcterms:created>
  <dcterms:modified xsi:type="dcterms:W3CDTF">2025-12-05T17:56:00Z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05136140-8518-4e55-9c6e-8a67ac80325a</vt:lpwstr>
  </property>
</Properties>
</file>