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4C6F2" w14:textId="39AB4F49" w:rsidR="0049676F" w:rsidRPr="000853FE" w:rsidRDefault="006B42A2" w:rsidP="00913E57">
      <w:pPr>
        <w:pStyle w:val="Title"/>
        <w:rPr>
          <w:rFonts w:ascii="Arial" w:hAnsi="Arial" w:cs="Arial"/>
        </w:rPr>
      </w:pPr>
      <w:r w:rsidRPr="000853FE">
        <w:rPr>
          <w:rFonts w:ascii="Arial" w:hAnsi="Arial" w:cs="Arial"/>
        </w:rPr>
        <w:t xml:space="preserve">Supplementary </w:t>
      </w:r>
      <w:r w:rsidR="008C0C32" w:rsidRPr="000853FE">
        <w:rPr>
          <w:rFonts w:ascii="Arial" w:hAnsi="Arial" w:cs="Arial"/>
        </w:rPr>
        <w:t>Information</w:t>
      </w:r>
    </w:p>
    <w:p w14:paraId="4D60E40A" w14:textId="77777777" w:rsidR="006B42A2" w:rsidRPr="000853FE" w:rsidRDefault="006B42A2" w:rsidP="00EF258D">
      <w:pPr>
        <w:spacing w:line="480" w:lineRule="auto"/>
        <w:rPr>
          <w:rFonts w:ascii="Arial" w:hAnsi="Arial" w:cs="Arial"/>
        </w:rPr>
      </w:pPr>
    </w:p>
    <w:sdt>
      <w:sdtPr>
        <w:rPr>
          <w:rFonts w:ascii="Arial" w:eastAsiaTheme="minorHAnsi" w:hAnsi="Arial" w:cs="Arial"/>
          <w:color w:val="auto"/>
          <w:sz w:val="22"/>
          <w:szCs w:val="22"/>
        </w:rPr>
        <w:id w:val="64776835"/>
        <w:docPartObj>
          <w:docPartGallery w:val="Table of Contents"/>
          <w:docPartUnique/>
        </w:docPartObj>
      </w:sdtPr>
      <w:sdtEndPr>
        <w:rPr>
          <w:rFonts w:asciiTheme="minorHAnsi" w:hAnsiTheme="minorHAnsi" w:cstheme="minorBidi"/>
          <w:b/>
          <w:bCs/>
          <w:noProof/>
        </w:rPr>
      </w:sdtEndPr>
      <w:sdtContent>
        <w:p w14:paraId="6C7423C7" w14:textId="2B33EBEC" w:rsidR="005E76D6" w:rsidRPr="000853FE" w:rsidRDefault="005E76D6">
          <w:pPr>
            <w:pStyle w:val="TOCHeading"/>
            <w:rPr>
              <w:rFonts w:ascii="Arial" w:hAnsi="Arial" w:cs="Arial"/>
            </w:rPr>
          </w:pPr>
          <w:r w:rsidRPr="000853FE">
            <w:rPr>
              <w:rFonts w:ascii="Arial" w:hAnsi="Arial" w:cs="Arial"/>
            </w:rPr>
            <w:t>Contents</w:t>
          </w:r>
        </w:p>
        <w:p w14:paraId="418723A4" w14:textId="3006085C" w:rsidR="00327867" w:rsidRPr="000853FE" w:rsidRDefault="005E76D6">
          <w:pPr>
            <w:pStyle w:val="TOC1"/>
            <w:tabs>
              <w:tab w:val="right" w:leader="dot" w:pos="9350"/>
            </w:tabs>
            <w:rPr>
              <w:rFonts w:ascii="Arial" w:eastAsiaTheme="minorEastAsia" w:hAnsi="Arial" w:cs="Arial"/>
              <w:noProof/>
            </w:rPr>
          </w:pPr>
          <w:r w:rsidRPr="000853FE">
            <w:rPr>
              <w:rFonts w:ascii="Arial" w:hAnsi="Arial" w:cs="Arial"/>
            </w:rPr>
            <w:fldChar w:fldCharType="begin"/>
          </w:r>
          <w:r w:rsidRPr="000853FE">
            <w:rPr>
              <w:rFonts w:ascii="Arial" w:hAnsi="Arial" w:cs="Arial"/>
            </w:rPr>
            <w:instrText xml:space="preserve"> TOC \o "1-3" \h \z \u </w:instrText>
          </w:r>
          <w:r w:rsidRPr="000853FE">
            <w:rPr>
              <w:rFonts w:ascii="Arial" w:hAnsi="Arial" w:cs="Arial"/>
            </w:rPr>
            <w:fldChar w:fldCharType="separate"/>
          </w:r>
          <w:hyperlink w:anchor="_Toc516066485" w:history="1">
            <w:r w:rsidR="00327867" w:rsidRPr="000853FE">
              <w:rPr>
                <w:rStyle w:val="Hyperlink"/>
                <w:rFonts w:ascii="Arial" w:hAnsi="Arial" w:cs="Arial"/>
                <w:noProof/>
              </w:rPr>
              <w:t>1.0 Data Sources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_Toc516066485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2</w:t>
            </w:r>
            <w:r w:rsidR="00327867" w:rsidRPr="000853FE">
              <w:rPr>
                <w:rFonts w:ascii="Arial" w:hAnsi="Arial" w:cs="Arial"/>
                <w:noProof/>
                <w:webHidden/>
              </w:rPr>
              <w:fldChar w:fldCharType="end"/>
            </w:r>
          </w:hyperlink>
        </w:p>
        <w:p w14:paraId="786F21B7" w14:textId="0A6A0715" w:rsidR="00327867" w:rsidRPr="000853FE" w:rsidRDefault="001B3F41">
          <w:pPr>
            <w:pStyle w:val="TOC2"/>
            <w:tabs>
              <w:tab w:val="right" w:leader="dot" w:pos="9350"/>
            </w:tabs>
            <w:rPr>
              <w:rFonts w:ascii="Arial" w:eastAsiaTheme="minorEastAsia" w:hAnsi="Arial" w:cs="Arial"/>
              <w:noProof/>
            </w:rPr>
          </w:pPr>
          <w:hyperlink w:anchor="_Toc516066486" w:history="1">
            <w:r w:rsidR="00327867" w:rsidRPr="000853FE">
              <w:rPr>
                <w:rStyle w:val="Hyperlink"/>
                <w:rFonts w:ascii="Arial" w:hAnsi="Arial" w:cs="Arial"/>
                <w:noProof/>
              </w:rPr>
              <w:t>1.1 ICD-10 codes corresponding to each mortality cause</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_Toc516066486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2</w:t>
            </w:r>
            <w:r w:rsidR="00327867" w:rsidRPr="000853FE">
              <w:rPr>
                <w:rFonts w:ascii="Arial" w:hAnsi="Arial" w:cs="Arial"/>
                <w:noProof/>
                <w:webHidden/>
              </w:rPr>
              <w:fldChar w:fldCharType="end"/>
            </w:r>
          </w:hyperlink>
        </w:p>
        <w:p w14:paraId="5A6D7333" w14:textId="7A6A0F56" w:rsidR="00327867" w:rsidRPr="000853FE" w:rsidRDefault="001B3F41">
          <w:pPr>
            <w:pStyle w:val="TOC2"/>
            <w:tabs>
              <w:tab w:val="right" w:leader="dot" w:pos="9350"/>
            </w:tabs>
            <w:rPr>
              <w:rFonts w:ascii="Arial" w:eastAsiaTheme="minorEastAsia" w:hAnsi="Arial" w:cs="Arial"/>
              <w:noProof/>
            </w:rPr>
          </w:pPr>
          <w:hyperlink w:anchor="_Toc516066487" w:history="1">
            <w:r w:rsidR="00327867" w:rsidRPr="000853FE">
              <w:rPr>
                <w:rStyle w:val="Hyperlink"/>
                <w:rFonts w:ascii="Arial" w:hAnsi="Arial" w:cs="Arial"/>
                <w:noProof/>
              </w:rPr>
              <w:t>1.2 Mortality and notifications outcome data citations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_Toc516066487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2</w:t>
            </w:r>
            <w:r w:rsidR="00327867" w:rsidRPr="000853FE">
              <w:rPr>
                <w:rFonts w:ascii="Arial" w:hAnsi="Arial" w:cs="Arial"/>
                <w:noProof/>
                <w:webHidden/>
              </w:rPr>
              <w:fldChar w:fldCharType="end"/>
            </w:r>
          </w:hyperlink>
        </w:p>
        <w:p w14:paraId="33E93FF9" w14:textId="646DFDBB" w:rsidR="00327867" w:rsidRPr="000853FE" w:rsidRDefault="001B3F41">
          <w:pPr>
            <w:pStyle w:val="TOC2"/>
            <w:tabs>
              <w:tab w:val="right" w:leader="dot" w:pos="9350"/>
            </w:tabs>
            <w:rPr>
              <w:rFonts w:ascii="Arial" w:eastAsiaTheme="minorEastAsia" w:hAnsi="Arial" w:cs="Arial"/>
              <w:noProof/>
            </w:rPr>
          </w:pPr>
          <w:hyperlink w:anchor="_Toc516066488" w:history="1">
            <w:r w:rsidR="00327867" w:rsidRPr="000853FE">
              <w:rPr>
                <w:rStyle w:val="Hyperlink"/>
                <w:rFonts w:ascii="Arial" w:hAnsi="Arial" w:cs="Arial"/>
                <w:noProof/>
              </w:rPr>
              <w:t>1.3 Covariate data sources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_Toc516066488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3</w:t>
            </w:r>
            <w:r w:rsidR="00327867" w:rsidRPr="000853FE">
              <w:rPr>
                <w:rFonts w:ascii="Arial" w:hAnsi="Arial" w:cs="Arial"/>
                <w:noProof/>
                <w:webHidden/>
              </w:rPr>
              <w:fldChar w:fldCharType="end"/>
            </w:r>
          </w:hyperlink>
        </w:p>
        <w:p w14:paraId="16480222" w14:textId="5E97DF31" w:rsidR="00327867" w:rsidRPr="000853FE" w:rsidRDefault="001B3F41">
          <w:pPr>
            <w:pStyle w:val="TOC2"/>
            <w:tabs>
              <w:tab w:val="right" w:leader="dot" w:pos="9350"/>
            </w:tabs>
            <w:rPr>
              <w:rFonts w:ascii="Arial" w:eastAsiaTheme="minorEastAsia" w:hAnsi="Arial" w:cs="Arial"/>
              <w:noProof/>
            </w:rPr>
          </w:pPr>
          <w:hyperlink w:anchor="_Toc516066489" w:history="1">
            <w:r w:rsidR="00327867" w:rsidRPr="000853FE">
              <w:rPr>
                <w:rStyle w:val="Hyperlink"/>
                <w:rFonts w:ascii="Arial" w:hAnsi="Arial" w:cs="Arial"/>
                <w:noProof/>
              </w:rPr>
              <w:t>1.4 Model comparison using different sets of covariates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_Toc516066489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4</w:t>
            </w:r>
            <w:r w:rsidR="00327867" w:rsidRPr="000853FE">
              <w:rPr>
                <w:rFonts w:ascii="Arial" w:hAnsi="Arial" w:cs="Arial"/>
                <w:noProof/>
                <w:webHidden/>
              </w:rPr>
              <w:fldChar w:fldCharType="end"/>
            </w:r>
          </w:hyperlink>
        </w:p>
        <w:p w14:paraId="6386A18D" w14:textId="371DE3B1" w:rsidR="00327867" w:rsidRPr="000853FE" w:rsidRDefault="001B3F41">
          <w:pPr>
            <w:pStyle w:val="TOC2"/>
            <w:tabs>
              <w:tab w:val="right" w:leader="dot" w:pos="9350"/>
            </w:tabs>
            <w:rPr>
              <w:rFonts w:ascii="Arial" w:eastAsiaTheme="minorEastAsia" w:hAnsi="Arial" w:cs="Arial"/>
              <w:noProof/>
            </w:rPr>
          </w:pPr>
          <w:hyperlink w:anchor="_Toc516066490" w:history="1">
            <w:r w:rsidR="00327867" w:rsidRPr="000853FE">
              <w:rPr>
                <w:rStyle w:val="Hyperlink"/>
                <w:rFonts w:ascii="Arial" w:hAnsi="Arial" w:cs="Arial"/>
                <w:noProof/>
              </w:rPr>
              <w:t>1.5 Model geographies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_Toc516066490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5</w:t>
            </w:r>
            <w:r w:rsidR="00327867" w:rsidRPr="000853FE">
              <w:rPr>
                <w:rFonts w:ascii="Arial" w:hAnsi="Arial" w:cs="Arial"/>
                <w:noProof/>
                <w:webHidden/>
              </w:rPr>
              <w:fldChar w:fldCharType="end"/>
            </w:r>
          </w:hyperlink>
        </w:p>
        <w:p w14:paraId="3EF077D6" w14:textId="010DDB87" w:rsidR="00327867" w:rsidRPr="000853FE" w:rsidRDefault="001B3F41">
          <w:pPr>
            <w:pStyle w:val="TOC1"/>
            <w:tabs>
              <w:tab w:val="right" w:leader="dot" w:pos="9350"/>
            </w:tabs>
            <w:rPr>
              <w:rFonts w:ascii="Arial" w:eastAsiaTheme="minorEastAsia" w:hAnsi="Arial" w:cs="Arial"/>
              <w:noProof/>
            </w:rPr>
          </w:pPr>
          <w:hyperlink w:anchor="_Toc516066491" w:history="1">
            <w:r w:rsidR="00327867" w:rsidRPr="000853FE">
              <w:rPr>
                <w:rStyle w:val="Hyperlink"/>
                <w:rFonts w:ascii="Arial" w:hAnsi="Arial" w:cs="Arial"/>
                <w:noProof/>
              </w:rPr>
              <w:t>2.0 Supplementary Methods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_Toc516066491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5</w:t>
            </w:r>
            <w:r w:rsidR="00327867" w:rsidRPr="000853FE">
              <w:rPr>
                <w:rFonts w:ascii="Arial" w:hAnsi="Arial" w:cs="Arial"/>
                <w:noProof/>
                <w:webHidden/>
              </w:rPr>
              <w:fldChar w:fldCharType="end"/>
            </w:r>
          </w:hyperlink>
        </w:p>
        <w:p w14:paraId="2A322FE0" w14:textId="4B2C5DCF" w:rsidR="00327867" w:rsidRPr="000853FE" w:rsidRDefault="001B3F41">
          <w:pPr>
            <w:pStyle w:val="TOC2"/>
            <w:tabs>
              <w:tab w:val="right" w:leader="dot" w:pos="9350"/>
            </w:tabs>
            <w:rPr>
              <w:rFonts w:ascii="Arial" w:eastAsiaTheme="minorEastAsia" w:hAnsi="Arial" w:cs="Arial"/>
              <w:noProof/>
            </w:rPr>
          </w:pPr>
          <w:hyperlink w:anchor="_Toc516066492" w:history="1">
            <w:r w:rsidR="00327867" w:rsidRPr="000853FE">
              <w:rPr>
                <w:rStyle w:val="Hyperlink"/>
                <w:rFonts w:ascii="Arial" w:hAnsi="Arial" w:cs="Arial"/>
                <w:noProof/>
              </w:rPr>
              <w:t>2.1 Redistribution of deaths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_Toc516066492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5</w:t>
            </w:r>
            <w:r w:rsidR="00327867" w:rsidRPr="000853FE">
              <w:rPr>
                <w:rFonts w:ascii="Arial" w:hAnsi="Arial" w:cs="Arial"/>
                <w:noProof/>
                <w:webHidden/>
              </w:rPr>
              <w:fldChar w:fldCharType="end"/>
            </w:r>
          </w:hyperlink>
        </w:p>
        <w:p w14:paraId="626363C3" w14:textId="29F062AA" w:rsidR="00327867" w:rsidRPr="000853FE" w:rsidRDefault="001B3F41">
          <w:pPr>
            <w:pStyle w:val="TOC2"/>
            <w:tabs>
              <w:tab w:val="right" w:leader="dot" w:pos="9350"/>
            </w:tabs>
            <w:rPr>
              <w:rFonts w:ascii="Arial" w:eastAsiaTheme="minorEastAsia" w:hAnsi="Arial" w:cs="Arial"/>
              <w:noProof/>
            </w:rPr>
          </w:pPr>
          <w:hyperlink w:anchor="_Toc516066493" w:history="1">
            <w:r w:rsidR="00327867" w:rsidRPr="000853FE">
              <w:rPr>
                <w:rStyle w:val="Hyperlink"/>
                <w:rFonts w:ascii="Arial" w:hAnsi="Arial" w:cs="Arial"/>
                <w:noProof/>
              </w:rPr>
              <w:t>2.2 Formation of stable geographic units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_Toc516066493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8</w:t>
            </w:r>
            <w:r w:rsidR="00327867" w:rsidRPr="000853FE">
              <w:rPr>
                <w:rFonts w:ascii="Arial" w:hAnsi="Arial" w:cs="Arial"/>
                <w:noProof/>
                <w:webHidden/>
              </w:rPr>
              <w:fldChar w:fldCharType="end"/>
            </w:r>
          </w:hyperlink>
        </w:p>
        <w:p w14:paraId="19F7234F" w14:textId="2B81B104" w:rsidR="00327867" w:rsidRPr="000853FE" w:rsidRDefault="001B3F41">
          <w:pPr>
            <w:pStyle w:val="TOC2"/>
            <w:tabs>
              <w:tab w:val="right" w:leader="dot" w:pos="9350"/>
            </w:tabs>
            <w:rPr>
              <w:rFonts w:ascii="Arial" w:eastAsiaTheme="minorEastAsia" w:hAnsi="Arial" w:cs="Arial"/>
              <w:noProof/>
            </w:rPr>
          </w:pPr>
          <w:hyperlink w:anchor="_Toc516066494" w:history="1">
            <w:r w:rsidR="00327867" w:rsidRPr="000853FE">
              <w:rPr>
                <w:rStyle w:val="Hyperlink"/>
                <w:rFonts w:ascii="Arial" w:hAnsi="Arial" w:cs="Arial"/>
                <w:noProof/>
              </w:rPr>
              <w:t>2.3 Small area estimation model description</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_Toc516066494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10</w:t>
            </w:r>
            <w:r w:rsidR="00327867" w:rsidRPr="000853FE">
              <w:rPr>
                <w:rFonts w:ascii="Arial" w:hAnsi="Arial" w:cs="Arial"/>
                <w:noProof/>
                <w:webHidden/>
              </w:rPr>
              <w:fldChar w:fldCharType="end"/>
            </w:r>
          </w:hyperlink>
        </w:p>
        <w:p w14:paraId="39123DA7" w14:textId="6171BE40" w:rsidR="00327867" w:rsidRPr="000853FE" w:rsidRDefault="001B3F41">
          <w:pPr>
            <w:pStyle w:val="TOC1"/>
            <w:tabs>
              <w:tab w:val="right" w:leader="dot" w:pos="9350"/>
            </w:tabs>
            <w:rPr>
              <w:rFonts w:ascii="Arial" w:eastAsiaTheme="minorEastAsia" w:hAnsi="Arial" w:cs="Arial"/>
              <w:noProof/>
            </w:rPr>
          </w:pPr>
          <w:hyperlink w:anchor="_Toc516066495" w:history="1">
            <w:r w:rsidR="00327867" w:rsidRPr="000853FE">
              <w:rPr>
                <w:rStyle w:val="Hyperlink"/>
                <w:rFonts w:ascii="Arial" w:hAnsi="Arial" w:cs="Arial"/>
                <w:noProof/>
              </w:rPr>
              <w:t>3.0 Model validation</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_Toc516066495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11</w:t>
            </w:r>
            <w:r w:rsidR="00327867" w:rsidRPr="000853FE">
              <w:rPr>
                <w:rFonts w:ascii="Arial" w:hAnsi="Arial" w:cs="Arial"/>
                <w:noProof/>
                <w:webHidden/>
              </w:rPr>
              <w:fldChar w:fldCharType="end"/>
            </w:r>
          </w:hyperlink>
        </w:p>
        <w:p w14:paraId="0BD4131A" w14:textId="0651EADB" w:rsidR="00327867" w:rsidRPr="000853FE" w:rsidRDefault="001B3F41">
          <w:pPr>
            <w:pStyle w:val="TOC1"/>
            <w:tabs>
              <w:tab w:val="right" w:leader="dot" w:pos="9350"/>
            </w:tabs>
            <w:rPr>
              <w:rFonts w:ascii="Arial" w:eastAsiaTheme="minorEastAsia" w:hAnsi="Arial" w:cs="Arial"/>
              <w:noProof/>
            </w:rPr>
          </w:pPr>
          <w:hyperlink w:anchor="_Toc516066496" w:history="1">
            <w:r w:rsidR="00327867" w:rsidRPr="000853FE">
              <w:rPr>
                <w:rStyle w:val="Hyperlink"/>
                <w:rFonts w:ascii="Arial" w:hAnsi="Arial" w:cs="Arial"/>
                <w:noProof/>
              </w:rPr>
              <w:t>4.0 Supplementary Results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_Toc516066496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12</w:t>
            </w:r>
            <w:r w:rsidR="00327867" w:rsidRPr="000853FE">
              <w:rPr>
                <w:rFonts w:ascii="Arial" w:hAnsi="Arial" w:cs="Arial"/>
                <w:noProof/>
                <w:webHidden/>
              </w:rPr>
              <w:fldChar w:fldCharType="end"/>
            </w:r>
          </w:hyperlink>
        </w:p>
        <w:p w14:paraId="61ED8158" w14:textId="43BB66AE" w:rsidR="00327867" w:rsidRPr="000853FE" w:rsidRDefault="001B3F41">
          <w:pPr>
            <w:pStyle w:val="TOC2"/>
            <w:tabs>
              <w:tab w:val="right" w:leader="dot" w:pos="9350"/>
            </w:tabs>
            <w:rPr>
              <w:rFonts w:ascii="Arial" w:eastAsiaTheme="minorEastAsia" w:hAnsi="Arial" w:cs="Arial"/>
              <w:noProof/>
            </w:rPr>
          </w:pPr>
          <w:hyperlink w:anchor="_Toc516066497" w:history="1">
            <w:r w:rsidR="00327867" w:rsidRPr="000853FE">
              <w:rPr>
                <w:rStyle w:val="Hyperlink"/>
                <w:rFonts w:ascii="Arial" w:hAnsi="Arial" w:cs="Arial"/>
                <w:noProof/>
              </w:rPr>
              <w:t>4.1 TB and HIV mortality rates, 90</w:t>
            </w:r>
            <w:r w:rsidR="00327867" w:rsidRPr="000853FE">
              <w:rPr>
                <w:rStyle w:val="Hyperlink"/>
                <w:rFonts w:ascii="Arial" w:hAnsi="Arial" w:cs="Arial"/>
                <w:noProof/>
                <w:vertAlign w:val="superscript"/>
              </w:rPr>
              <w:t>th</w:t>
            </w:r>
            <w:r w:rsidR="00327867" w:rsidRPr="000853FE">
              <w:rPr>
                <w:rStyle w:val="Hyperlink"/>
                <w:rFonts w:ascii="Arial" w:hAnsi="Arial" w:cs="Arial"/>
                <w:noProof/>
              </w:rPr>
              <w:t xml:space="preserve"> and 10</w:t>
            </w:r>
            <w:r w:rsidR="00327867" w:rsidRPr="000853FE">
              <w:rPr>
                <w:rStyle w:val="Hyperlink"/>
                <w:rFonts w:ascii="Arial" w:hAnsi="Arial" w:cs="Arial"/>
                <w:noProof/>
                <w:vertAlign w:val="superscript"/>
              </w:rPr>
              <w:t>th</w:t>
            </w:r>
            <w:r w:rsidR="00327867" w:rsidRPr="000853FE">
              <w:rPr>
                <w:rStyle w:val="Hyperlink"/>
                <w:rFonts w:ascii="Arial" w:hAnsi="Arial" w:cs="Arial"/>
                <w:noProof/>
              </w:rPr>
              <w:t xml:space="preserve"> percentiles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_Toc516066497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12</w:t>
            </w:r>
            <w:r w:rsidR="00327867" w:rsidRPr="000853FE">
              <w:rPr>
                <w:rFonts w:ascii="Arial" w:hAnsi="Arial" w:cs="Arial"/>
                <w:noProof/>
                <w:webHidden/>
              </w:rPr>
              <w:fldChar w:fldCharType="end"/>
            </w:r>
          </w:hyperlink>
        </w:p>
        <w:p w14:paraId="6F87EFF2" w14:textId="639DDEB3" w:rsidR="00327867" w:rsidRPr="000853FE" w:rsidRDefault="001B3F41">
          <w:pPr>
            <w:pStyle w:val="TOC2"/>
            <w:tabs>
              <w:tab w:val="right" w:leader="dot" w:pos="9350"/>
            </w:tabs>
            <w:rPr>
              <w:rFonts w:ascii="Arial" w:eastAsiaTheme="minorEastAsia" w:hAnsi="Arial" w:cs="Arial"/>
              <w:noProof/>
            </w:rPr>
          </w:pPr>
          <w:hyperlink w:anchor="_Toc516066498" w:history="1">
            <w:r w:rsidR="00327867" w:rsidRPr="000853FE">
              <w:rPr>
                <w:rStyle w:val="Hyperlink"/>
                <w:rFonts w:ascii="Arial" w:hAnsi="Arial" w:cs="Arial"/>
                <w:noProof/>
              </w:rPr>
              <w:t>4.2 Mortality relationships with covariates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_Toc516066498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13</w:t>
            </w:r>
            <w:r w:rsidR="00327867" w:rsidRPr="000853FE">
              <w:rPr>
                <w:rFonts w:ascii="Arial" w:hAnsi="Arial" w:cs="Arial"/>
                <w:noProof/>
                <w:webHidden/>
              </w:rPr>
              <w:fldChar w:fldCharType="end"/>
            </w:r>
          </w:hyperlink>
        </w:p>
        <w:p w14:paraId="4D0D1518" w14:textId="46936B4C" w:rsidR="00327867" w:rsidRPr="000853FE" w:rsidRDefault="001B3F41">
          <w:pPr>
            <w:pStyle w:val="TOC2"/>
            <w:tabs>
              <w:tab w:val="right" w:leader="dot" w:pos="9350"/>
            </w:tabs>
            <w:rPr>
              <w:rFonts w:ascii="Arial" w:eastAsiaTheme="minorEastAsia" w:hAnsi="Arial" w:cs="Arial"/>
              <w:noProof/>
            </w:rPr>
          </w:pPr>
          <w:hyperlink w:anchor="_Toc516066499" w:history="1">
            <w:r w:rsidR="00327867" w:rsidRPr="000853FE">
              <w:rPr>
                <w:rStyle w:val="Hyperlink"/>
                <w:rFonts w:ascii="Arial" w:hAnsi="Arial" w:cs="Arial"/>
                <w:noProof/>
              </w:rPr>
              <w:t>4.3 TB all forms (with and without HIV) mortality, incidence, and case fatality</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_Toc516066499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13</w:t>
            </w:r>
            <w:r w:rsidR="00327867" w:rsidRPr="000853FE">
              <w:rPr>
                <w:rFonts w:ascii="Arial" w:hAnsi="Arial" w:cs="Arial"/>
                <w:noProof/>
                <w:webHidden/>
              </w:rPr>
              <w:fldChar w:fldCharType="end"/>
            </w:r>
          </w:hyperlink>
        </w:p>
        <w:p w14:paraId="09EF0F11" w14:textId="2067BD13" w:rsidR="00327867" w:rsidRPr="000853FE" w:rsidRDefault="001B3F41">
          <w:pPr>
            <w:pStyle w:val="TOC1"/>
            <w:tabs>
              <w:tab w:val="right" w:leader="dot" w:pos="9350"/>
            </w:tabs>
            <w:rPr>
              <w:rFonts w:ascii="Arial" w:eastAsiaTheme="minorEastAsia" w:hAnsi="Arial" w:cs="Arial"/>
              <w:noProof/>
            </w:rPr>
          </w:pPr>
          <w:hyperlink w:anchor="_Toc516066500" w:history="1">
            <w:r w:rsidR="00327867" w:rsidRPr="000853FE">
              <w:rPr>
                <w:rStyle w:val="Hyperlink"/>
                <w:rFonts w:ascii="Arial" w:hAnsi="Arial" w:cs="Arial"/>
                <w:noProof/>
              </w:rPr>
              <w:t>5.0 Supplementary References</w:t>
            </w:r>
            <w:r w:rsidR="00327867" w:rsidRPr="000853FE">
              <w:rPr>
                <w:rFonts w:ascii="Arial" w:hAnsi="Arial" w:cs="Arial"/>
                <w:noProof/>
                <w:webHidden/>
              </w:rPr>
              <w:tab/>
            </w:r>
            <w:r w:rsidR="00327867" w:rsidRPr="000853FE">
              <w:rPr>
                <w:rFonts w:ascii="Arial" w:hAnsi="Arial" w:cs="Arial"/>
                <w:noProof/>
                <w:webHidden/>
              </w:rPr>
              <w:fldChar w:fldCharType="begin"/>
            </w:r>
            <w:r w:rsidR="00327867" w:rsidRPr="000853FE">
              <w:rPr>
                <w:rFonts w:ascii="Arial" w:hAnsi="Arial" w:cs="Arial"/>
                <w:noProof/>
                <w:webHidden/>
              </w:rPr>
              <w:instrText xml:space="preserve"> PAGEREF _Toc516066500 \h </w:instrText>
            </w:r>
            <w:r w:rsidR="00327867" w:rsidRPr="000853FE">
              <w:rPr>
                <w:rFonts w:ascii="Arial" w:hAnsi="Arial" w:cs="Arial"/>
                <w:noProof/>
                <w:webHidden/>
              </w:rPr>
            </w:r>
            <w:r w:rsidR="00327867" w:rsidRPr="000853FE">
              <w:rPr>
                <w:rFonts w:ascii="Arial" w:hAnsi="Arial" w:cs="Arial"/>
                <w:noProof/>
                <w:webHidden/>
              </w:rPr>
              <w:fldChar w:fldCharType="separate"/>
            </w:r>
            <w:r w:rsidR="000F4C64">
              <w:rPr>
                <w:rFonts w:ascii="Arial" w:hAnsi="Arial" w:cs="Arial"/>
                <w:noProof/>
                <w:webHidden/>
              </w:rPr>
              <w:t>16</w:t>
            </w:r>
            <w:r w:rsidR="00327867" w:rsidRPr="000853FE">
              <w:rPr>
                <w:rFonts w:ascii="Arial" w:hAnsi="Arial" w:cs="Arial"/>
                <w:noProof/>
                <w:webHidden/>
              </w:rPr>
              <w:fldChar w:fldCharType="end"/>
            </w:r>
          </w:hyperlink>
        </w:p>
        <w:p w14:paraId="3E8D68FA" w14:textId="33269762" w:rsidR="005E76D6" w:rsidRDefault="005E76D6">
          <w:r w:rsidRPr="000853FE">
            <w:rPr>
              <w:rFonts w:ascii="Arial" w:hAnsi="Arial" w:cs="Arial"/>
              <w:b/>
              <w:bCs/>
              <w:noProof/>
            </w:rPr>
            <w:fldChar w:fldCharType="end"/>
          </w:r>
        </w:p>
      </w:sdtContent>
    </w:sdt>
    <w:p w14:paraId="7F4E2BE8" w14:textId="4F397A55" w:rsidR="006B42A2" w:rsidRPr="006B42A2" w:rsidRDefault="006B42A2" w:rsidP="005E4867">
      <w:pPr>
        <w:spacing w:line="480" w:lineRule="auto"/>
        <w:rPr>
          <w:rFonts w:ascii="Arial" w:hAnsi="Arial" w:cs="Arial"/>
        </w:rPr>
      </w:pPr>
    </w:p>
    <w:p w14:paraId="74F75F0F" w14:textId="77777777" w:rsidR="009218B2" w:rsidRPr="009A4BF8" w:rsidRDefault="009218B2" w:rsidP="00EF258D">
      <w:pPr>
        <w:spacing w:line="480" w:lineRule="auto"/>
        <w:rPr>
          <w:rFonts w:ascii="Arial" w:hAnsi="Arial" w:cs="Arial"/>
        </w:rPr>
      </w:pPr>
      <w:r>
        <w:rPr>
          <w:rFonts w:ascii="Arial" w:hAnsi="Arial" w:cs="Arial"/>
        </w:rPr>
        <w:br w:type="page"/>
      </w:r>
    </w:p>
    <w:p w14:paraId="5106C559" w14:textId="77777777" w:rsidR="009A4BF8" w:rsidRDefault="009A4BF8" w:rsidP="009A4BF8">
      <w:pPr>
        <w:pStyle w:val="NoSpacing"/>
        <w:rPr>
          <w:rFonts w:ascii="Arial" w:hAnsi="Arial" w:cs="Arial"/>
        </w:rPr>
      </w:pPr>
    </w:p>
    <w:p w14:paraId="7FD785CE" w14:textId="533B6648" w:rsidR="00CD0D2B" w:rsidRPr="0050663F" w:rsidRDefault="00866315" w:rsidP="00D06F40">
      <w:pPr>
        <w:pStyle w:val="Heading1"/>
        <w:rPr>
          <w:rFonts w:ascii="Arial" w:hAnsi="Arial" w:cs="Arial"/>
        </w:rPr>
      </w:pPr>
      <w:bookmarkStart w:id="0" w:name="_Toc507589366"/>
      <w:bookmarkStart w:id="1" w:name="_Toc516066485"/>
      <w:r w:rsidRPr="0050663F">
        <w:rPr>
          <w:rFonts w:ascii="Arial" w:hAnsi="Arial" w:cs="Arial"/>
        </w:rPr>
        <w:t>1</w:t>
      </w:r>
      <w:r w:rsidR="00D06F40" w:rsidRPr="0050663F">
        <w:rPr>
          <w:rFonts w:ascii="Arial" w:hAnsi="Arial" w:cs="Arial"/>
        </w:rPr>
        <w:t xml:space="preserve">.0 </w:t>
      </w:r>
      <w:r w:rsidR="006B42A2" w:rsidRPr="0050663F">
        <w:rPr>
          <w:rFonts w:ascii="Arial" w:hAnsi="Arial" w:cs="Arial"/>
        </w:rPr>
        <w:t>D</w:t>
      </w:r>
      <w:r w:rsidR="009E4A1F" w:rsidRPr="0050663F">
        <w:rPr>
          <w:rFonts w:ascii="Arial" w:hAnsi="Arial" w:cs="Arial"/>
        </w:rPr>
        <w:t xml:space="preserve">ata </w:t>
      </w:r>
      <w:r w:rsidR="00D06F40" w:rsidRPr="0050663F">
        <w:rPr>
          <w:rFonts w:ascii="Arial" w:hAnsi="Arial" w:cs="Arial"/>
        </w:rPr>
        <w:t>S</w:t>
      </w:r>
      <w:r w:rsidR="009E4A1F" w:rsidRPr="0050663F">
        <w:rPr>
          <w:rFonts w:ascii="Arial" w:hAnsi="Arial" w:cs="Arial"/>
        </w:rPr>
        <w:t>ources</w:t>
      </w:r>
      <w:bookmarkEnd w:id="0"/>
      <w:bookmarkEnd w:id="1"/>
      <w:r w:rsidR="009E4A1F" w:rsidRPr="0050663F">
        <w:rPr>
          <w:rFonts w:ascii="Arial" w:hAnsi="Arial" w:cs="Arial"/>
        </w:rPr>
        <w:t xml:space="preserve"> </w:t>
      </w:r>
    </w:p>
    <w:p w14:paraId="2776A9A6" w14:textId="77777777" w:rsidR="000F7B9F" w:rsidRPr="0050663F" w:rsidRDefault="000F7B9F" w:rsidP="000F7B9F">
      <w:pPr>
        <w:rPr>
          <w:rFonts w:ascii="Arial" w:hAnsi="Arial" w:cs="Arial"/>
        </w:rPr>
      </w:pPr>
    </w:p>
    <w:p w14:paraId="0A3533B7" w14:textId="2060617D" w:rsidR="00D06F40" w:rsidRDefault="00D06F40" w:rsidP="0050663F">
      <w:pPr>
        <w:pStyle w:val="Heading2"/>
        <w:numPr>
          <w:ilvl w:val="1"/>
          <w:numId w:val="5"/>
        </w:numPr>
        <w:rPr>
          <w:rFonts w:ascii="Arial" w:hAnsi="Arial" w:cs="Arial"/>
        </w:rPr>
      </w:pPr>
      <w:bookmarkStart w:id="2" w:name="_Toc507589367"/>
      <w:bookmarkStart w:id="3" w:name="_Toc516066486"/>
      <w:r w:rsidRPr="0050663F">
        <w:rPr>
          <w:rFonts w:ascii="Arial" w:hAnsi="Arial" w:cs="Arial"/>
        </w:rPr>
        <w:t xml:space="preserve">ICD-10 codes corresponding to each </w:t>
      </w:r>
      <w:r w:rsidR="005F41A3" w:rsidRPr="0050663F">
        <w:rPr>
          <w:rFonts w:ascii="Arial" w:hAnsi="Arial" w:cs="Arial"/>
        </w:rPr>
        <w:t xml:space="preserve">mortality </w:t>
      </w:r>
      <w:r w:rsidRPr="0050663F">
        <w:rPr>
          <w:rFonts w:ascii="Arial" w:hAnsi="Arial" w:cs="Arial"/>
        </w:rPr>
        <w:t>cause</w:t>
      </w:r>
      <w:bookmarkEnd w:id="2"/>
      <w:bookmarkEnd w:id="3"/>
    </w:p>
    <w:p w14:paraId="79D83506" w14:textId="77777777" w:rsidR="0050663F" w:rsidRPr="0050663F" w:rsidRDefault="0050663F" w:rsidP="0050663F"/>
    <w:p w14:paraId="360D9AF8" w14:textId="2CAE4A4D" w:rsidR="00D06F40" w:rsidRPr="000371AA" w:rsidRDefault="00D06F40" w:rsidP="00D06F40">
      <w:pPr>
        <w:pStyle w:val="NoSpacing"/>
        <w:rPr>
          <w:rFonts w:ascii="Arial" w:hAnsi="Arial" w:cs="Arial"/>
        </w:rPr>
      </w:pPr>
      <w:r w:rsidRPr="000371AA">
        <w:rPr>
          <w:rFonts w:ascii="Arial" w:hAnsi="Arial" w:cs="Arial"/>
        </w:rPr>
        <w:t xml:space="preserve">Table </w:t>
      </w:r>
      <w:r w:rsidR="000371AA" w:rsidRPr="000371AA">
        <w:rPr>
          <w:rFonts w:ascii="Arial" w:hAnsi="Arial" w:cs="Arial"/>
        </w:rPr>
        <w:t>S</w:t>
      </w:r>
      <w:r w:rsidR="000371AA" w:rsidRPr="00AD32BC">
        <w:rPr>
          <w:rFonts w:ascii="Arial" w:hAnsi="Arial" w:cs="Arial"/>
        </w:rPr>
        <w:t>1</w:t>
      </w:r>
      <w:r w:rsidRPr="00AD32BC">
        <w:rPr>
          <w:rFonts w:ascii="Arial" w:hAnsi="Arial" w:cs="Arial"/>
        </w:rPr>
        <w:t>: ICD-10 codes corresponding to each cause</w:t>
      </w:r>
    </w:p>
    <w:tbl>
      <w:tblPr>
        <w:tblStyle w:val="TableGrid"/>
        <w:tblW w:w="9445" w:type="dxa"/>
        <w:tblLayout w:type="fixed"/>
        <w:tblLook w:val="04A0" w:firstRow="1" w:lastRow="0" w:firstColumn="1" w:lastColumn="0" w:noHBand="0" w:noVBand="1"/>
      </w:tblPr>
      <w:tblGrid>
        <w:gridCol w:w="3145"/>
        <w:gridCol w:w="6300"/>
      </w:tblGrid>
      <w:tr w:rsidR="006557A5" w:rsidRPr="0050663F" w14:paraId="1A5AC00E" w14:textId="77777777" w:rsidTr="006557A5">
        <w:tc>
          <w:tcPr>
            <w:tcW w:w="3145" w:type="dxa"/>
            <w:shd w:val="clear" w:color="auto" w:fill="BFBFBF" w:themeFill="background1" w:themeFillShade="BF"/>
            <w:vAlign w:val="center"/>
          </w:tcPr>
          <w:p w14:paraId="5FD566C6" w14:textId="159E728A" w:rsidR="006557A5" w:rsidRPr="001F783A" w:rsidRDefault="006557A5" w:rsidP="006557A5">
            <w:pPr>
              <w:jc w:val="center"/>
              <w:rPr>
                <w:rFonts w:ascii="Arial" w:hAnsi="Arial" w:cs="Arial"/>
                <w:b/>
                <w:bCs/>
              </w:rPr>
            </w:pPr>
            <w:r w:rsidRPr="001F783A">
              <w:rPr>
                <w:rFonts w:ascii="Arial" w:hAnsi="Arial" w:cs="Arial"/>
                <w:b/>
                <w:bCs/>
              </w:rPr>
              <w:t>Cause</w:t>
            </w:r>
          </w:p>
        </w:tc>
        <w:tc>
          <w:tcPr>
            <w:tcW w:w="6300" w:type="dxa"/>
            <w:shd w:val="clear" w:color="auto" w:fill="BFBFBF" w:themeFill="background1" w:themeFillShade="BF"/>
            <w:vAlign w:val="center"/>
          </w:tcPr>
          <w:p w14:paraId="3CA829DC" w14:textId="1A8CCE93" w:rsidR="006557A5" w:rsidRPr="0050663F" w:rsidRDefault="006557A5" w:rsidP="00E035CA">
            <w:pPr>
              <w:jc w:val="center"/>
              <w:rPr>
                <w:rFonts w:ascii="Arial" w:hAnsi="Arial" w:cs="Arial"/>
                <w:b/>
                <w:bCs/>
              </w:rPr>
            </w:pPr>
            <w:r w:rsidRPr="0050663F">
              <w:rPr>
                <w:rFonts w:ascii="Arial" w:hAnsi="Arial" w:cs="Arial"/>
                <w:b/>
                <w:bCs/>
              </w:rPr>
              <w:t>ICD-10 Codes</w:t>
            </w:r>
          </w:p>
        </w:tc>
      </w:tr>
      <w:tr w:rsidR="006557A5" w:rsidRPr="0050663F" w14:paraId="2EA0C3EF" w14:textId="77777777" w:rsidTr="006557A5">
        <w:tc>
          <w:tcPr>
            <w:tcW w:w="3145" w:type="dxa"/>
            <w:tcBorders>
              <w:top w:val="single" w:sz="4" w:space="0" w:color="auto"/>
              <w:left w:val="single" w:sz="4" w:space="0" w:color="auto"/>
              <w:bottom w:val="single" w:sz="4" w:space="0" w:color="auto"/>
              <w:right w:val="single" w:sz="4" w:space="0" w:color="auto"/>
            </w:tcBorders>
            <w:vAlign w:val="center"/>
          </w:tcPr>
          <w:p w14:paraId="2686987A" w14:textId="10F030AB" w:rsidR="006557A5" w:rsidRPr="000371AA" w:rsidRDefault="006557A5" w:rsidP="006557A5">
            <w:pPr>
              <w:rPr>
                <w:rFonts w:ascii="Arial" w:hAnsi="Arial" w:cs="Arial"/>
              </w:rPr>
            </w:pPr>
            <w:r w:rsidRPr="000371AA">
              <w:rPr>
                <w:rFonts w:ascii="Arial" w:hAnsi="Arial" w:cs="Arial"/>
              </w:rPr>
              <w:t>Tuberculosis</w:t>
            </w:r>
          </w:p>
        </w:tc>
        <w:tc>
          <w:tcPr>
            <w:tcW w:w="6300" w:type="dxa"/>
            <w:tcBorders>
              <w:top w:val="single" w:sz="4" w:space="0" w:color="auto"/>
              <w:left w:val="single" w:sz="4" w:space="0" w:color="auto"/>
              <w:bottom w:val="single" w:sz="4" w:space="0" w:color="auto"/>
              <w:right w:val="single" w:sz="4" w:space="0" w:color="auto"/>
            </w:tcBorders>
          </w:tcPr>
          <w:p w14:paraId="5BB44AA7" w14:textId="17B7F7F1" w:rsidR="006557A5" w:rsidRPr="001F783A" w:rsidRDefault="006557A5" w:rsidP="00E035CA">
            <w:pPr>
              <w:rPr>
                <w:rFonts w:ascii="Arial" w:hAnsi="Arial" w:cs="Arial"/>
              </w:rPr>
            </w:pPr>
            <w:r w:rsidRPr="001F783A">
              <w:rPr>
                <w:rFonts w:ascii="Arial" w:hAnsi="Arial" w:cs="Arial"/>
              </w:rPr>
              <w:t>A10 - A19, B90, K67.3, K93.0, M49.0, P37.0, U84.3</w:t>
            </w:r>
          </w:p>
        </w:tc>
      </w:tr>
      <w:tr w:rsidR="006557A5" w:rsidRPr="0050663F" w14:paraId="5FE2CFB3" w14:textId="77777777" w:rsidTr="006557A5">
        <w:tc>
          <w:tcPr>
            <w:tcW w:w="3145" w:type="dxa"/>
            <w:tcBorders>
              <w:top w:val="single" w:sz="4" w:space="0" w:color="auto"/>
              <w:left w:val="single" w:sz="4" w:space="0" w:color="auto"/>
              <w:bottom w:val="single" w:sz="4" w:space="0" w:color="auto"/>
              <w:right w:val="single" w:sz="4" w:space="0" w:color="auto"/>
            </w:tcBorders>
            <w:vAlign w:val="center"/>
          </w:tcPr>
          <w:p w14:paraId="68896470" w14:textId="02FCF30F" w:rsidR="006557A5" w:rsidRPr="000371AA" w:rsidRDefault="006557A5" w:rsidP="006557A5">
            <w:pPr>
              <w:rPr>
                <w:rFonts w:ascii="Arial" w:hAnsi="Arial" w:cs="Arial"/>
                <w:b/>
                <w:bCs/>
              </w:rPr>
            </w:pPr>
            <w:r w:rsidRPr="000371AA">
              <w:rPr>
                <w:rFonts w:ascii="Arial" w:hAnsi="Arial" w:cs="Arial"/>
              </w:rPr>
              <w:t>HIV/AIDS</w:t>
            </w:r>
          </w:p>
        </w:tc>
        <w:tc>
          <w:tcPr>
            <w:tcW w:w="6300" w:type="dxa"/>
            <w:tcBorders>
              <w:top w:val="single" w:sz="4" w:space="0" w:color="auto"/>
              <w:left w:val="single" w:sz="4" w:space="0" w:color="auto"/>
              <w:bottom w:val="single" w:sz="4" w:space="0" w:color="auto"/>
              <w:right w:val="single" w:sz="4" w:space="0" w:color="auto"/>
            </w:tcBorders>
          </w:tcPr>
          <w:p w14:paraId="0DED33A4" w14:textId="27BD34B3" w:rsidR="006557A5" w:rsidRPr="001F783A" w:rsidRDefault="006557A5" w:rsidP="00E035CA">
            <w:pPr>
              <w:rPr>
                <w:rFonts w:ascii="Arial" w:hAnsi="Arial" w:cs="Arial"/>
                <w:bCs/>
              </w:rPr>
            </w:pPr>
            <w:r w:rsidRPr="001F783A">
              <w:rPr>
                <w:rFonts w:ascii="Arial" w:hAnsi="Arial" w:cs="Arial"/>
                <w:bCs/>
              </w:rPr>
              <w:t>B20 - B24</w:t>
            </w:r>
          </w:p>
        </w:tc>
      </w:tr>
      <w:tr w:rsidR="006557A5" w:rsidRPr="0050663F" w14:paraId="6D7A42DC" w14:textId="77777777" w:rsidTr="006557A5">
        <w:tc>
          <w:tcPr>
            <w:tcW w:w="3145" w:type="dxa"/>
            <w:tcBorders>
              <w:top w:val="single" w:sz="4" w:space="0" w:color="auto"/>
              <w:left w:val="single" w:sz="4" w:space="0" w:color="auto"/>
              <w:bottom w:val="single" w:sz="4" w:space="0" w:color="auto"/>
              <w:right w:val="single" w:sz="4" w:space="0" w:color="auto"/>
            </w:tcBorders>
            <w:vAlign w:val="center"/>
            <w:hideMark/>
          </w:tcPr>
          <w:p w14:paraId="1B46FDEA" w14:textId="1758D5A6" w:rsidR="006557A5" w:rsidRPr="000371AA" w:rsidRDefault="006557A5" w:rsidP="006557A5">
            <w:pPr>
              <w:pStyle w:val="ListParagraph"/>
              <w:numPr>
                <w:ilvl w:val="0"/>
                <w:numId w:val="4"/>
              </w:numPr>
              <w:ind w:left="420" w:hanging="270"/>
              <w:rPr>
                <w:rFonts w:ascii="Arial" w:hAnsi="Arial" w:cs="Arial"/>
                <w:i/>
              </w:rPr>
            </w:pPr>
            <w:r w:rsidRPr="000371AA">
              <w:rPr>
                <w:rFonts w:ascii="Arial" w:hAnsi="Arial" w:cs="Arial"/>
                <w:i/>
              </w:rPr>
              <w:t>HIV/AIDS - Tuberculosis</w:t>
            </w:r>
          </w:p>
        </w:tc>
        <w:tc>
          <w:tcPr>
            <w:tcW w:w="6300" w:type="dxa"/>
            <w:tcBorders>
              <w:top w:val="single" w:sz="4" w:space="0" w:color="auto"/>
              <w:left w:val="single" w:sz="4" w:space="0" w:color="auto"/>
              <w:bottom w:val="single" w:sz="4" w:space="0" w:color="auto"/>
              <w:right w:val="single" w:sz="4" w:space="0" w:color="auto"/>
            </w:tcBorders>
          </w:tcPr>
          <w:p w14:paraId="19730B03" w14:textId="54B25448" w:rsidR="006557A5" w:rsidRPr="001F783A" w:rsidRDefault="006557A5" w:rsidP="00E035CA">
            <w:pPr>
              <w:rPr>
                <w:rFonts w:ascii="Arial" w:hAnsi="Arial" w:cs="Arial"/>
              </w:rPr>
            </w:pPr>
            <w:r w:rsidRPr="001F783A">
              <w:rPr>
                <w:rFonts w:ascii="Arial" w:hAnsi="Arial" w:cs="Arial"/>
              </w:rPr>
              <w:t>B20.0</w:t>
            </w:r>
          </w:p>
        </w:tc>
      </w:tr>
    </w:tbl>
    <w:p w14:paraId="42FEEB5E" w14:textId="77777777" w:rsidR="00D06F40" w:rsidRPr="000371AA" w:rsidRDefault="00D06F40" w:rsidP="009A4BF8">
      <w:pPr>
        <w:pStyle w:val="NoSpacing"/>
        <w:rPr>
          <w:rFonts w:ascii="Arial" w:hAnsi="Arial" w:cs="Arial"/>
        </w:rPr>
      </w:pPr>
    </w:p>
    <w:p w14:paraId="489855BB" w14:textId="2873822D" w:rsidR="00D06F40" w:rsidRPr="0050663F" w:rsidRDefault="00866315" w:rsidP="005E76D6">
      <w:pPr>
        <w:pStyle w:val="Heading2"/>
        <w:rPr>
          <w:rFonts w:ascii="Arial" w:hAnsi="Arial" w:cs="Arial"/>
        </w:rPr>
      </w:pPr>
      <w:bookmarkStart w:id="4" w:name="_Toc507589368"/>
      <w:bookmarkStart w:id="5" w:name="_Toc516066487"/>
      <w:r w:rsidRPr="0050663F">
        <w:rPr>
          <w:rFonts w:ascii="Arial" w:hAnsi="Arial" w:cs="Arial"/>
        </w:rPr>
        <w:t>1</w:t>
      </w:r>
      <w:r w:rsidR="005F41A3" w:rsidRPr="0050663F">
        <w:rPr>
          <w:rFonts w:ascii="Arial" w:hAnsi="Arial" w:cs="Arial"/>
        </w:rPr>
        <w:t xml:space="preserve">.2 </w:t>
      </w:r>
      <w:r w:rsidR="00D06F40" w:rsidRPr="0050663F">
        <w:rPr>
          <w:rFonts w:ascii="Arial" w:hAnsi="Arial" w:cs="Arial"/>
        </w:rPr>
        <w:t xml:space="preserve">Mortality and </w:t>
      </w:r>
      <w:r w:rsidR="005F41A3" w:rsidRPr="0050663F">
        <w:rPr>
          <w:rFonts w:ascii="Arial" w:hAnsi="Arial" w:cs="Arial"/>
        </w:rPr>
        <w:t>n</w:t>
      </w:r>
      <w:r w:rsidR="00D06F40" w:rsidRPr="0050663F">
        <w:rPr>
          <w:rFonts w:ascii="Arial" w:hAnsi="Arial" w:cs="Arial"/>
        </w:rPr>
        <w:t xml:space="preserve">otifications </w:t>
      </w:r>
      <w:r w:rsidR="005F41A3" w:rsidRPr="0050663F">
        <w:rPr>
          <w:rFonts w:ascii="Arial" w:hAnsi="Arial" w:cs="Arial"/>
        </w:rPr>
        <w:t>o</w:t>
      </w:r>
      <w:r w:rsidR="00D06F40" w:rsidRPr="0050663F">
        <w:rPr>
          <w:rFonts w:ascii="Arial" w:hAnsi="Arial" w:cs="Arial"/>
        </w:rPr>
        <w:t>utcome data</w:t>
      </w:r>
      <w:r w:rsidR="005F41A3" w:rsidRPr="0050663F">
        <w:rPr>
          <w:rFonts w:ascii="Arial" w:hAnsi="Arial" w:cs="Arial"/>
        </w:rPr>
        <w:t xml:space="preserve"> citations</w:t>
      </w:r>
      <w:bookmarkEnd w:id="4"/>
      <w:bookmarkEnd w:id="5"/>
    </w:p>
    <w:p w14:paraId="24D3917B" w14:textId="77777777" w:rsidR="00237CAA" w:rsidRPr="000371AA" w:rsidRDefault="00237CAA" w:rsidP="009A4BF8">
      <w:pPr>
        <w:pStyle w:val="NoSpacing"/>
        <w:rPr>
          <w:rFonts w:ascii="Arial" w:hAnsi="Arial" w:cs="Arial"/>
        </w:rPr>
      </w:pPr>
    </w:p>
    <w:p w14:paraId="6C3F94AD" w14:textId="48ECBB30" w:rsidR="009E4A1F" w:rsidRPr="0050663F" w:rsidRDefault="00DC34EA" w:rsidP="003A0939">
      <w:pPr>
        <w:pStyle w:val="NoSpacing"/>
        <w:spacing w:line="480" w:lineRule="auto"/>
        <w:ind w:firstLine="720"/>
        <w:rPr>
          <w:rFonts w:ascii="Arial" w:hAnsi="Arial" w:cs="Arial"/>
        </w:rPr>
      </w:pPr>
      <w:r w:rsidRPr="001F783A">
        <w:rPr>
          <w:rFonts w:ascii="Arial" w:hAnsi="Arial" w:cs="Arial"/>
        </w:rPr>
        <w:t xml:space="preserve">TB and HIV mortality and TB case notification data are cited in the Global Health Data Exchange </w:t>
      </w:r>
      <w:r w:rsidR="003A0939" w:rsidRPr="0050663F">
        <w:rPr>
          <w:rFonts w:ascii="Arial" w:hAnsi="Arial" w:cs="Arial"/>
        </w:rPr>
        <w:t xml:space="preserve">(ghdx.healthdata.org) </w:t>
      </w:r>
      <w:r w:rsidRPr="0050663F">
        <w:rPr>
          <w:rFonts w:ascii="Arial" w:hAnsi="Arial" w:cs="Arial"/>
        </w:rPr>
        <w:t>and are catalog</w:t>
      </w:r>
      <w:r w:rsidR="003702A6" w:rsidRPr="0050663F">
        <w:rPr>
          <w:rFonts w:ascii="Arial" w:hAnsi="Arial" w:cs="Arial"/>
        </w:rPr>
        <w:t>u</w:t>
      </w:r>
      <w:r w:rsidRPr="0050663F">
        <w:rPr>
          <w:rFonts w:ascii="Arial" w:hAnsi="Arial" w:cs="Arial"/>
        </w:rPr>
        <w:t>ed independently by year.</w:t>
      </w:r>
    </w:p>
    <w:p w14:paraId="491FEB37" w14:textId="778D3FA1" w:rsidR="0021268E" w:rsidRPr="0050663F" w:rsidRDefault="0021268E" w:rsidP="009A4BF8">
      <w:pPr>
        <w:pStyle w:val="NoSpacing"/>
        <w:rPr>
          <w:rFonts w:ascii="Arial" w:hAnsi="Arial" w:cs="Arial"/>
        </w:rPr>
      </w:pPr>
      <w:r w:rsidRPr="0050663F">
        <w:rPr>
          <w:rFonts w:ascii="Arial" w:hAnsi="Arial" w:cs="Arial"/>
        </w:rPr>
        <w:t>Example mortality data citation</w:t>
      </w:r>
      <w:r w:rsidR="00B9483F" w:rsidRPr="0050663F">
        <w:rPr>
          <w:rFonts w:ascii="Arial" w:hAnsi="Arial" w:cs="Arial"/>
        </w:rPr>
        <w:t>:</w:t>
      </w:r>
    </w:p>
    <w:p w14:paraId="70D35594" w14:textId="77777777" w:rsidR="0021268E" w:rsidRPr="0050663F" w:rsidRDefault="0021268E" w:rsidP="009A4BF8">
      <w:pPr>
        <w:pStyle w:val="NoSpacing"/>
        <w:rPr>
          <w:rFonts w:ascii="Arial" w:hAnsi="Arial" w:cs="Arial"/>
        </w:rPr>
      </w:pPr>
    </w:p>
    <w:p w14:paraId="7FD33606" w14:textId="6BAA1643" w:rsidR="0021268E" w:rsidRPr="0050663F" w:rsidRDefault="0021268E" w:rsidP="009A4BF8">
      <w:pPr>
        <w:pStyle w:val="NoSpacing"/>
        <w:rPr>
          <w:rFonts w:ascii="Arial" w:hAnsi="Arial" w:cs="Arial"/>
        </w:rPr>
      </w:pPr>
      <w:r w:rsidRPr="0050663F">
        <w:rPr>
          <w:rFonts w:ascii="Arial" w:hAnsi="Arial" w:cs="Arial"/>
        </w:rPr>
        <w:t>ghdx.healthdata.org/record/brazil-mortality-information-system-deaths-2001</w:t>
      </w:r>
    </w:p>
    <w:p w14:paraId="6CA5154E" w14:textId="77777777" w:rsidR="0021268E" w:rsidRPr="0050663F" w:rsidRDefault="0021268E" w:rsidP="009A4BF8">
      <w:pPr>
        <w:pStyle w:val="NoSpacing"/>
        <w:rPr>
          <w:rFonts w:ascii="Arial" w:hAnsi="Arial" w:cs="Arial"/>
        </w:rPr>
      </w:pPr>
    </w:p>
    <w:p w14:paraId="6EAB4EAA" w14:textId="245BB0E5" w:rsidR="00DC34EA" w:rsidRPr="0050663F" w:rsidRDefault="003702A6" w:rsidP="009A4BF8">
      <w:pPr>
        <w:pStyle w:val="NoSpacing"/>
        <w:rPr>
          <w:rFonts w:ascii="Arial" w:hAnsi="Arial" w:cs="Arial"/>
        </w:rPr>
      </w:pPr>
      <w:r w:rsidRPr="0050663F">
        <w:rPr>
          <w:rFonts w:ascii="Arial" w:hAnsi="Arial" w:cs="Arial"/>
        </w:rPr>
        <w:t xml:space="preserve">Example </w:t>
      </w:r>
      <w:r w:rsidR="003A0939" w:rsidRPr="0050663F">
        <w:rPr>
          <w:rFonts w:ascii="Arial" w:hAnsi="Arial" w:cs="Arial"/>
        </w:rPr>
        <w:t>case notification data citation</w:t>
      </w:r>
      <w:r w:rsidR="00B9483F" w:rsidRPr="0050663F">
        <w:rPr>
          <w:rFonts w:ascii="Arial" w:hAnsi="Arial" w:cs="Arial"/>
        </w:rPr>
        <w:t>:</w:t>
      </w:r>
    </w:p>
    <w:p w14:paraId="72CC056D" w14:textId="77777777" w:rsidR="0021268E" w:rsidRPr="0050663F" w:rsidRDefault="0021268E" w:rsidP="009A4BF8">
      <w:pPr>
        <w:pStyle w:val="NoSpacing"/>
        <w:rPr>
          <w:rFonts w:ascii="Arial" w:hAnsi="Arial" w:cs="Arial"/>
        </w:rPr>
      </w:pPr>
    </w:p>
    <w:p w14:paraId="442F1FDE" w14:textId="5807A27A" w:rsidR="00DC3FE9" w:rsidRPr="0050663F" w:rsidRDefault="00DC3FE9" w:rsidP="009A4BF8">
      <w:pPr>
        <w:pStyle w:val="NoSpacing"/>
        <w:rPr>
          <w:rFonts w:ascii="Arial" w:hAnsi="Arial" w:cs="Arial"/>
        </w:rPr>
      </w:pPr>
      <w:r w:rsidRPr="0050663F">
        <w:rPr>
          <w:rFonts w:ascii="Arial" w:hAnsi="Arial" w:cs="Arial"/>
        </w:rPr>
        <w:t>http://ghdx.healthdata.org/record/brazil-information-system-notifiable-diseases-2001</w:t>
      </w:r>
    </w:p>
    <w:p w14:paraId="7505B595" w14:textId="70A348B4" w:rsidR="002F5AD3" w:rsidRPr="002F5AD3" w:rsidRDefault="002F5AD3" w:rsidP="002F5AD3">
      <w:pPr>
        <w:rPr>
          <w:rFonts w:ascii="Arial" w:eastAsiaTheme="majorEastAsia" w:hAnsi="Arial" w:cs="Arial"/>
          <w:color w:val="2E74B5" w:themeColor="accent1" w:themeShade="BF"/>
          <w:sz w:val="26"/>
          <w:szCs w:val="26"/>
        </w:rPr>
      </w:pPr>
    </w:p>
    <w:p w14:paraId="5FEA34CF" w14:textId="7C11B7F7" w:rsidR="008103FA" w:rsidRPr="002F5AD3" w:rsidRDefault="002F5AD3" w:rsidP="002F5AD3">
      <w:pPr>
        <w:tabs>
          <w:tab w:val="center" w:pos="4680"/>
        </w:tabs>
        <w:sectPr w:rsidR="008103FA" w:rsidRPr="002F5AD3" w:rsidSect="00270CF5">
          <w:footerReference w:type="default" r:id="rId8"/>
          <w:pgSz w:w="12240" w:h="15840"/>
          <w:pgMar w:top="1440" w:right="1440" w:bottom="1440" w:left="1440" w:header="720" w:footer="720" w:gutter="0"/>
          <w:lnNumType w:countBy="1" w:restart="continuous"/>
          <w:cols w:space="720"/>
          <w:docGrid w:linePitch="360"/>
        </w:sectPr>
      </w:pPr>
      <w:r>
        <w:tab/>
      </w:r>
    </w:p>
    <w:p w14:paraId="4D4E268C" w14:textId="36E96A1D" w:rsidR="009E4A1F" w:rsidRPr="004A724E" w:rsidRDefault="00866315" w:rsidP="005E76D6">
      <w:pPr>
        <w:pStyle w:val="Heading2"/>
        <w:rPr>
          <w:rFonts w:ascii="Arial" w:hAnsi="Arial" w:cs="Arial"/>
        </w:rPr>
      </w:pPr>
      <w:bookmarkStart w:id="6" w:name="_Toc507589369"/>
      <w:bookmarkStart w:id="7" w:name="_Toc516066488"/>
      <w:r w:rsidRPr="004A724E">
        <w:rPr>
          <w:rFonts w:ascii="Arial" w:hAnsi="Arial" w:cs="Arial"/>
        </w:rPr>
        <w:lastRenderedPageBreak/>
        <w:t>1</w:t>
      </w:r>
      <w:r w:rsidR="005F41A3" w:rsidRPr="004A724E">
        <w:rPr>
          <w:rFonts w:ascii="Arial" w:hAnsi="Arial" w:cs="Arial"/>
        </w:rPr>
        <w:t xml:space="preserve">.3 </w:t>
      </w:r>
      <w:r w:rsidR="00D06F40" w:rsidRPr="004A724E">
        <w:rPr>
          <w:rFonts w:ascii="Arial" w:hAnsi="Arial" w:cs="Arial"/>
        </w:rPr>
        <w:t>Covariate data</w:t>
      </w:r>
      <w:r w:rsidR="005F41A3" w:rsidRPr="004A724E">
        <w:rPr>
          <w:rFonts w:ascii="Arial" w:hAnsi="Arial" w:cs="Arial"/>
        </w:rPr>
        <w:t xml:space="preserve"> sources</w:t>
      </w:r>
      <w:bookmarkEnd w:id="6"/>
      <w:bookmarkEnd w:id="7"/>
    </w:p>
    <w:p w14:paraId="047474A9" w14:textId="38EE4C40" w:rsidR="008F5F27" w:rsidRPr="000371AA" w:rsidRDefault="008F5F27" w:rsidP="009A4BF8">
      <w:pPr>
        <w:pStyle w:val="NoSpacing"/>
        <w:rPr>
          <w:rFonts w:ascii="Arial" w:hAnsi="Arial" w:cs="Arial"/>
        </w:rPr>
      </w:pPr>
      <w:r w:rsidRPr="000371AA">
        <w:rPr>
          <w:rFonts w:ascii="Arial" w:hAnsi="Arial" w:cs="Arial"/>
        </w:rPr>
        <w:t xml:space="preserve">Table </w:t>
      </w:r>
      <w:r w:rsidR="000371AA" w:rsidRPr="000371AA">
        <w:rPr>
          <w:rFonts w:ascii="Arial" w:hAnsi="Arial" w:cs="Arial"/>
        </w:rPr>
        <w:t>S2</w:t>
      </w:r>
      <w:r w:rsidRPr="000371AA">
        <w:rPr>
          <w:rFonts w:ascii="Arial" w:hAnsi="Arial" w:cs="Arial"/>
        </w:rPr>
        <w:t>: Covariates and data sources</w:t>
      </w:r>
    </w:p>
    <w:tbl>
      <w:tblPr>
        <w:tblStyle w:val="TableGrid"/>
        <w:tblW w:w="12595" w:type="dxa"/>
        <w:tblLayout w:type="fixed"/>
        <w:tblLook w:val="04A0" w:firstRow="1" w:lastRow="0" w:firstColumn="1" w:lastColumn="0" w:noHBand="0" w:noVBand="1"/>
      </w:tblPr>
      <w:tblGrid>
        <w:gridCol w:w="1885"/>
        <w:gridCol w:w="1440"/>
        <w:gridCol w:w="1530"/>
        <w:gridCol w:w="1530"/>
        <w:gridCol w:w="6210"/>
      </w:tblGrid>
      <w:tr w:rsidR="00E035CA" w:rsidRPr="002F5AD3" w14:paraId="762A2CDE" w14:textId="77777777" w:rsidTr="00DD2F73">
        <w:tc>
          <w:tcPr>
            <w:tcW w:w="1885" w:type="dxa"/>
            <w:shd w:val="clear" w:color="auto" w:fill="BFBFBF" w:themeFill="background1" w:themeFillShade="BF"/>
            <w:vAlign w:val="center"/>
          </w:tcPr>
          <w:p w14:paraId="2EA61F7E" w14:textId="475EC762" w:rsidR="00E035CA" w:rsidRPr="002F5AD3" w:rsidRDefault="00E035CA" w:rsidP="00E035CA">
            <w:pPr>
              <w:jc w:val="center"/>
              <w:rPr>
                <w:rFonts w:ascii="Arial" w:hAnsi="Arial" w:cs="Arial"/>
                <w:b/>
                <w:bCs/>
              </w:rPr>
            </w:pPr>
            <w:r w:rsidRPr="002F5AD3">
              <w:rPr>
                <w:rFonts w:ascii="Arial" w:hAnsi="Arial" w:cs="Arial"/>
                <w:b/>
                <w:bCs/>
              </w:rPr>
              <w:t>Covariate</w:t>
            </w:r>
          </w:p>
        </w:tc>
        <w:tc>
          <w:tcPr>
            <w:tcW w:w="1440" w:type="dxa"/>
            <w:shd w:val="clear" w:color="auto" w:fill="BFBFBF" w:themeFill="background1" w:themeFillShade="BF"/>
          </w:tcPr>
          <w:p w14:paraId="32777816" w14:textId="7A58E55A" w:rsidR="00E035CA" w:rsidRPr="002F5AD3" w:rsidRDefault="00E035CA" w:rsidP="00E035CA">
            <w:pPr>
              <w:jc w:val="center"/>
              <w:rPr>
                <w:rFonts w:ascii="Arial" w:hAnsi="Arial" w:cs="Arial"/>
                <w:b/>
                <w:bCs/>
              </w:rPr>
            </w:pPr>
            <w:r w:rsidRPr="002F5AD3">
              <w:rPr>
                <w:rFonts w:ascii="Arial" w:hAnsi="Arial" w:cs="Arial"/>
                <w:b/>
                <w:bCs/>
              </w:rPr>
              <w:t>Spatial resolution</w:t>
            </w:r>
          </w:p>
        </w:tc>
        <w:tc>
          <w:tcPr>
            <w:tcW w:w="1530" w:type="dxa"/>
            <w:shd w:val="clear" w:color="auto" w:fill="BFBFBF" w:themeFill="background1" w:themeFillShade="BF"/>
            <w:vAlign w:val="center"/>
          </w:tcPr>
          <w:p w14:paraId="3612FEB0" w14:textId="65060194" w:rsidR="00E035CA" w:rsidRPr="002F5AD3" w:rsidRDefault="00E035CA" w:rsidP="00E035CA">
            <w:pPr>
              <w:jc w:val="center"/>
              <w:rPr>
                <w:rFonts w:ascii="Arial" w:hAnsi="Arial" w:cs="Arial"/>
                <w:b/>
                <w:bCs/>
              </w:rPr>
            </w:pPr>
            <w:r w:rsidRPr="002F5AD3">
              <w:rPr>
                <w:rFonts w:ascii="Arial" w:hAnsi="Arial" w:cs="Arial"/>
                <w:b/>
                <w:bCs/>
              </w:rPr>
              <w:t>Temporal resolution</w:t>
            </w:r>
          </w:p>
        </w:tc>
        <w:tc>
          <w:tcPr>
            <w:tcW w:w="1530" w:type="dxa"/>
            <w:shd w:val="clear" w:color="auto" w:fill="BFBFBF" w:themeFill="background1" w:themeFillShade="BF"/>
            <w:vAlign w:val="center"/>
          </w:tcPr>
          <w:p w14:paraId="11C17E95" w14:textId="77777777" w:rsidR="00E035CA" w:rsidRPr="002F5AD3" w:rsidDel="00395030" w:rsidRDefault="00E035CA" w:rsidP="00E035CA">
            <w:pPr>
              <w:jc w:val="center"/>
              <w:rPr>
                <w:rFonts w:ascii="Arial" w:hAnsi="Arial" w:cs="Arial"/>
                <w:b/>
                <w:bCs/>
              </w:rPr>
            </w:pPr>
            <w:r w:rsidRPr="002F5AD3">
              <w:rPr>
                <w:rFonts w:ascii="Arial" w:hAnsi="Arial" w:cs="Arial"/>
                <w:b/>
                <w:bCs/>
              </w:rPr>
              <w:t>Source</w:t>
            </w:r>
          </w:p>
        </w:tc>
        <w:tc>
          <w:tcPr>
            <w:tcW w:w="6210" w:type="dxa"/>
            <w:shd w:val="clear" w:color="auto" w:fill="BFBFBF" w:themeFill="background1" w:themeFillShade="BF"/>
            <w:vAlign w:val="center"/>
          </w:tcPr>
          <w:p w14:paraId="4721C909" w14:textId="7CBBB013" w:rsidR="00E035CA" w:rsidRPr="002F5AD3" w:rsidRDefault="00E035CA" w:rsidP="00E035CA">
            <w:pPr>
              <w:jc w:val="center"/>
              <w:rPr>
                <w:rFonts w:ascii="Arial" w:hAnsi="Arial" w:cs="Arial"/>
                <w:b/>
                <w:bCs/>
              </w:rPr>
            </w:pPr>
            <w:r w:rsidRPr="002F5AD3">
              <w:rPr>
                <w:rFonts w:ascii="Arial" w:hAnsi="Arial" w:cs="Arial"/>
                <w:b/>
                <w:bCs/>
              </w:rPr>
              <w:t>Reference</w:t>
            </w:r>
          </w:p>
        </w:tc>
      </w:tr>
      <w:tr w:rsidR="00E035CA" w:rsidRPr="002F5AD3" w14:paraId="01A83A1E" w14:textId="77777777" w:rsidTr="00DD2F73">
        <w:tc>
          <w:tcPr>
            <w:tcW w:w="1885" w:type="dxa"/>
            <w:tcBorders>
              <w:top w:val="single" w:sz="4" w:space="0" w:color="auto"/>
              <w:left w:val="single" w:sz="4" w:space="0" w:color="auto"/>
              <w:bottom w:val="single" w:sz="4" w:space="0" w:color="auto"/>
              <w:right w:val="single" w:sz="4" w:space="0" w:color="auto"/>
            </w:tcBorders>
            <w:vAlign w:val="center"/>
          </w:tcPr>
          <w:p w14:paraId="0E0376AC" w14:textId="316A4B41" w:rsidR="00E035CA" w:rsidRPr="002F5AD3" w:rsidRDefault="00E035CA" w:rsidP="00E035CA">
            <w:pPr>
              <w:jc w:val="center"/>
              <w:rPr>
                <w:rFonts w:ascii="Arial" w:hAnsi="Arial" w:cs="Arial"/>
              </w:rPr>
            </w:pPr>
            <w:r w:rsidRPr="002F5AD3">
              <w:rPr>
                <w:rFonts w:ascii="Arial" w:hAnsi="Arial" w:cs="Arial"/>
              </w:rPr>
              <w:t>Ambient Air Pollution</w:t>
            </w:r>
          </w:p>
        </w:tc>
        <w:tc>
          <w:tcPr>
            <w:tcW w:w="1440" w:type="dxa"/>
            <w:tcBorders>
              <w:top w:val="single" w:sz="4" w:space="0" w:color="auto"/>
              <w:left w:val="single" w:sz="4" w:space="0" w:color="auto"/>
              <w:bottom w:val="single" w:sz="4" w:space="0" w:color="auto"/>
              <w:right w:val="single" w:sz="4" w:space="0" w:color="auto"/>
            </w:tcBorders>
            <w:vAlign w:val="center"/>
          </w:tcPr>
          <w:p w14:paraId="01828A2F" w14:textId="080B0A5D" w:rsidR="00E035CA" w:rsidRPr="002F5AD3" w:rsidRDefault="00E035CA" w:rsidP="00E035CA">
            <w:pPr>
              <w:jc w:val="center"/>
              <w:rPr>
                <w:rFonts w:ascii="Arial" w:hAnsi="Arial" w:cs="Arial"/>
              </w:rPr>
            </w:pPr>
            <w:r w:rsidRPr="002F5AD3">
              <w:rPr>
                <w:rFonts w:ascii="Arial" w:hAnsi="Arial" w:cs="Arial"/>
              </w:rPr>
              <w:t>Municipality</w:t>
            </w:r>
          </w:p>
        </w:tc>
        <w:tc>
          <w:tcPr>
            <w:tcW w:w="1530" w:type="dxa"/>
            <w:tcBorders>
              <w:top w:val="single" w:sz="4" w:space="0" w:color="auto"/>
              <w:left w:val="single" w:sz="4" w:space="0" w:color="auto"/>
              <w:bottom w:val="single" w:sz="4" w:space="0" w:color="auto"/>
              <w:right w:val="single" w:sz="4" w:space="0" w:color="auto"/>
            </w:tcBorders>
            <w:vAlign w:val="center"/>
          </w:tcPr>
          <w:p w14:paraId="35EC605A" w14:textId="225DBF59" w:rsidR="00E035CA" w:rsidRPr="002F5AD3" w:rsidRDefault="00E035CA" w:rsidP="00E035CA">
            <w:pPr>
              <w:jc w:val="center"/>
              <w:rPr>
                <w:rFonts w:ascii="Arial" w:hAnsi="Arial" w:cs="Arial"/>
              </w:rPr>
            </w:pPr>
            <w:r w:rsidRPr="002F5AD3">
              <w:rPr>
                <w:rFonts w:ascii="Arial" w:hAnsi="Arial" w:cs="Arial"/>
              </w:rPr>
              <w:t>Annual</w:t>
            </w:r>
          </w:p>
        </w:tc>
        <w:tc>
          <w:tcPr>
            <w:tcW w:w="1530" w:type="dxa"/>
            <w:tcBorders>
              <w:top w:val="single" w:sz="4" w:space="0" w:color="auto"/>
              <w:left w:val="single" w:sz="4" w:space="0" w:color="auto"/>
              <w:bottom w:val="single" w:sz="4" w:space="0" w:color="auto"/>
              <w:right w:val="single" w:sz="4" w:space="0" w:color="auto"/>
            </w:tcBorders>
            <w:vAlign w:val="center"/>
          </w:tcPr>
          <w:p w14:paraId="48393B8E" w14:textId="0A940B64" w:rsidR="00E035CA" w:rsidRPr="002F5AD3" w:rsidRDefault="00E035CA" w:rsidP="00E035CA">
            <w:pPr>
              <w:jc w:val="center"/>
              <w:rPr>
                <w:rFonts w:ascii="Arial" w:hAnsi="Arial" w:cs="Arial"/>
              </w:rPr>
            </w:pPr>
            <w:r w:rsidRPr="002F5AD3">
              <w:rPr>
                <w:rFonts w:ascii="Arial" w:hAnsi="Arial" w:cs="Arial"/>
              </w:rPr>
              <w:t>Cornell University</w:t>
            </w:r>
          </w:p>
        </w:tc>
        <w:tc>
          <w:tcPr>
            <w:tcW w:w="6210" w:type="dxa"/>
            <w:tcBorders>
              <w:top w:val="single" w:sz="4" w:space="0" w:color="auto"/>
              <w:left w:val="single" w:sz="4" w:space="0" w:color="auto"/>
              <w:bottom w:val="single" w:sz="4" w:space="0" w:color="auto"/>
              <w:right w:val="single" w:sz="4" w:space="0" w:color="auto"/>
            </w:tcBorders>
            <w:vAlign w:val="center"/>
          </w:tcPr>
          <w:p w14:paraId="56AE8EC7" w14:textId="692A1466" w:rsidR="00E035CA" w:rsidRPr="002F5AD3" w:rsidRDefault="00E035CA" w:rsidP="00185451">
            <w:pPr>
              <w:rPr>
                <w:rFonts w:ascii="Arial" w:hAnsi="Arial" w:cs="Arial"/>
                <w:i/>
              </w:rPr>
            </w:pPr>
            <w:r w:rsidRPr="002F5AD3">
              <w:rPr>
                <w:rFonts w:ascii="Arial" w:hAnsi="Arial" w:cs="Arial"/>
              </w:rPr>
              <w:t xml:space="preserve">Shaddick et al. Data Integration Model for Air Quality: A Hierarchical Approach to the Global Estimation of Exposures to Ambient Air Pollution. </w:t>
            </w:r>
            <w:r w:rsidRPr="002F5AD3">
              <w:rPr>
                <w:rFonts w:ascii="Arial" w:hAnsi="Arial" w:cs="Arial"/>
                <w:i/>
              </w:rPr>
              <w:t>Stat AP</w:t>
            </w:r>
            <w:r w:rsidRPr="002F5AD3">
              <w:rPr>
                <w:rFonts w:ascii="Arial" w:hAnsi="Arial" w:cs="Arial"/>
              </w:rPr>
              <w:t>. (2016)</w:t>
            </w:r>
          </w:p>
        </w:tc>
      </w:tr>
      <w:tr w:rsidR="00E035CA" w:rsidRPr="002F5AD3" w14:paraId="06B5DF9F" w14:textId="77777777" w:rsidTr="00DD2F73">
        <w:tc>
          <w:tcPr>
            <w:tcW w:w="1885" w:type="dxa"/>
            <w:tcBorders>
              <w:top w:val="single" w:sz="4" w:space="0" w:color="auto"/>
              <w:left w:val="single" w:sz="4" w:space="0" w:color="auto"/>
              <w:bottom w:val="single" w:sz="4" w:space="0" w:color="auto"/>
              <w:right w:val="single" w:sz="4" w:space="0" w:color="auto"/>
            </w:tcBorders>
            <w:vAlign w:val="center"/>
          </w:tcPr>
          <w:p w14:paraId="5B7ECB1B" w14:textId="2100D9AE" w:rsidR="00E035CA" w:rsidRPr="002F5AD3" w:rsidRDefault="00E035CA" w:rsidP="00E035CA">
            <w:pPr>
              <w:jc w:val="center"/>
              <w:rPr>
                <w:rFonts w:ascii="Arial" w:hAnsi="Arial" w:cs="Arial"/>
                <w:b/>
                <w:bCs/>
              </w:rPr>
            </w:pPr>
            <w:r w:rsidRPr="002F5AD3">
              <w:rPr>
                <w:rFonts w:ascii="Arial" w:hAnsi="Arial" w:cs="Arial"/>
              </w:rPr>
              <w:t>Average daily mean temperature</w:t>
            </w:r>
          </w:p>
        </w:tc>
        <w:tc>
          <w:tcPr>
            <w:tcW w:w="1440" w:type="dxa"/>
            <w:tcBorders>
              <w:top w:val="single" w:sz="4" w:space="0" w:color="auto"/>
              <w:left w:val="single" w:sz="4" w:space="0" w:color="auto"/>
              <w:bottom w:val="single" w:sz="4" w:space="0" w:color="auto"/>
              <w:right w:val="single" w:sz="4" w:space="0" w:color="auto"/>
            </w:tcBorders>
            <w:vAlign w:val="center"/>
          </w:tcPr>
          <w:p w14:paraId="66F97173" w14:textId="425EEC4C" w:rsidR="00E035CA" w:rsidRPr="002F5AD3" w:rsidRDefault="00E035CA" w:rsidP="00E035CA">
            <w:pPr>
              <w:jc w:val="center"/>
              <w:rPr>
                <w:rFonts w:ascii="Arial" w:hAnsi="Arial" w:cs="Arial"/>
              </w:rPr>
            </w:pPr>
            <w:r w:rsidRPr="002F5AD3">
              <w:rPr>
                <w:rFonts w:ascii="Arial" w:hAnsi="Arial" w:cs="Arial"/>
              </w:rPr>
              <w:t>Municipality</w:t>
            </w:r>
          </w:p>
        </w:tc>
        <w:tc>
          <w:tcPr>
            <w:tcW w:w="1530" w:type="dxa"/>
            <w:tcBorders>
              <w:top w:val="single" w:sz="4" w:space="0" w:color="auto"/>
              <w:left w:val="single" w:sz="4" w:space="0" w:color="auto"/>
              <w:bottom w:val="single" w:sz="4" w:space="0" w:color="auto"/>
              <w:right w:val="single" w:sz="4" w:space="0" w:color="auto"/>
            </w:tcBorders>
            <w:vAlign w:val="center"/>
          </w:tcPr>
          <w:p w14:paraId="2A42A95F" w14:textId="3232EEA1" w:rsidR="00E035CA" w:rsidRPr="002F5AD3" w:rsidRDefault="00E035CA" w:rsidP="00E035CA">
            <w:pPr>
              <w:jc w:val="center"/>
              <w:rPr>
                <w:rFonts w:ascii="Arial" w:hAnsi="Arial" w:cs="Arial"/>
                <w:b/>
                <w:bCs/>
              </w:rPr>
            </w:pPr>
            <w:r w:rsidRPr="002F5AD3">
              <w:rPr>
                <w:rFonts w:ascii="Arial" w:hAnsi="Arial" w:cs="Arial"/>
              </w:rPr>
              <w:t>Annual</w:t>
            </w:r>
          </w:p>
        </w:tc>
        <w:tc>
          <w:tcPr>
            <w:tcW w:w="1530" w:type="dxa"/>
            <w:tcBorders>
              <w:top w:val="single" w:sz="4" w:space="0" w:color="auto"/>
              <w:left w:val="single" w:sz="4" w:space="0" w:color="auto"/>
              <w:bottom w:val="single" w:sz="4" w:space="0" w:color="auto"/>
              <w:right w:val="single" w:sz="4" w:space="0" w:color="auto"/>
            </w:tcBorders>
            <w:vAlign w:val="center"/>
          </w:tcPr>
          <w:p w14:paraId="5A685DD4" w14:textId="41605D4E" w:rsidR="00E035CA" w:rsidRPr="002F5AD3" w:rsidRDefault="00E035CA" w:rsidP="00E035CA">
            <w:pPr>
              <w:jc w:val="center"/>
              <w:rPr>
                <w:rFonts w:ascii="Arial" w:hAnsi="Arial" w:cs="Arial"/>
                <w:b/>
                <w:bCs/>
              </w:rPr>
            </w:pPr>
            <w:r w:rsidRPr="002F5AD3">
              <w:rPr>
                <w:rFonts w:ascii="Arial" w:hAnsi="Arial" w:cs="Arial"/>
              </w:rPr>
              <w:t>CRUTS</w:t>
            </w:r>
          </w:p>
        </w:tc>
        <w:tc>
          <w:tcPr>
            <w:tcW w:w="6210" w:type="dxa"/>
            <w:tcBorders>
              <w:top w:val="single" w:sz="4" w:space="0" w:color="auto"/>
              <w:left w:val="single" w:sz="4" w:space="0" w:color="auto"/>
              <w:bottom w:val="single" w:sz="4" w:space="0" w:color="auto"/>
              <w:right w:val="single" w:sz="4" w:space="0" w:color="auto"/>
            </w:tcBorders>
            <w:vAlign w:val="center"/>
          </w:tcPr>
          <w:p w14:paraId="28E83FB2" w14:textId="77777777" w:rsidR="00E035CA" w:rsidRPr="002F5AD3" w:rsidRDefault="00E035CA" w:rsidP="00185451">
            <w:pPr>
              <w:rPr>
                <w:rFonts w:ascii="Arial" w:hAnsi="Arial" w:cs="Arial"/>
              </w:rPr>
            </w:pPr>
            <w:r w:rsidRPr="002F5AD3">
              <w:rPr>
                <w:rFonts w:ascii="Arial" w:hAnsi="Arial" w:cs="Arial"/>
              </w:rPr>
              <w:t xml:space="preserve">Harris, I., Jones, P. d., Osborn, T. j. &amp; Lister, D. h. Updated high-resolution grids of monthly climatic observations – the CRU TS3.10 dataset. </w:t>
            </w:r>
            <w:r w:rsidRPr="002F5AD3">
              <w:rPr>
                <w:rFonts w:ascii="Arial" w:hAnsi="Arial" w:cs="Arial"/>
                <w:i/>
                <w:iCs/>
              </w:rPr>
              <w:t>Int. J. Climatol</w:t>
            </w:r>
            <w:r w:rsidRPr="002F5AD3">
              <w:rPr>
                <w:rFonts w:ascii="Arial" w:hAnsi="Arial" w:cs="Arial"/>
              </w:rPr>
              <w:t xml:space="preserve">. </w:t>
            </w:r>
            <w:r w:rsidRPr="002F5AD3">
              <w:rPr>
                <w:rFonts w:ascii="Arial" w:hAnsi="Arial" w:cs="Arial"/>
                <w:b/>
                <w:bCs/>
              </w:rPr>
              <w:t>34</w:t>
            </w:r>
            <w:r w:rsidRPr="002F5AD3">
              <w:rPr>
                <w:rFonts w:ascii="Arial" w:hAnsi="Arial" w:cs="Arial"/>
              </w:rPr>
              <w:t>, 623–642 (2014).</w:t>
            </w:r>
          </w:p>
          <w:p w14:paraId="70E058A4" w14:textId="77777777" w:rsidR="00E035CA" w:rsidRPr="002F5AD3" w:rsidRDefault="00E035CA" w:rsidP="00185451">
            <w:pPr>
              <w:rPr>
                <w:rFonts w:ascii="Arial" w:hAnsi="Arial" w:cs="Arial"/>
              </w:rPr>
            </w:pPr>
          </w:p>
          <w:p w14:paraId="70E47052" w14:textId="37CBD03F" w:rsidR="00E035CA" w:rsidRPr="002F5AD3" w:rsidRDefault="00E035CA" w:rsidP="00185451">
            <w:pPr>
              <w:rPr>
                <w:rFonts w:ascii="Arial" w:hAnsi="Arial" w:cs="Arial"/>
                <w:b/>
                <w:bCs/>
              </w:rPr>
            </w:pPr>
            <w:r w:rsidRPr="002F5AD3">
              <w:rPr>
                <w:rFonts w:ascii="Arial" w:hAnsi="Arial" w:cs="Arial"/>
              </w:rPr>
              <w:t>University of East Anglia. Climatic Research Unit TS v. 3.24 dataset. Available at: https://crudata.uea.ac.uk/cru/data/hrg/cru_ts_3.24.01/. (Accessed: 24th July 2017).</w:t>
            </w:r>
          </w:p>
        </w:tc>
      </w:tr>
      <w:tr w:rsidR="00E035CA" w:rsidRPr="002F5AD3" w14:paraId="0C3E8042" w14:textId="77777777" w:rsidTr="00DD2F73">
        <w:tc>
          <w:tcPr>
            <w:tcW w:w="1885" w:type="dxa"/>
            <w:tcBorders>
              <w:top w:val="single" w:sz="4" w:space="0" w:color="auto"/>
              <w:left w:val="single" w:sz="4" w:space="0" w:color="auto"/>
              <w:bottom w:val="single" w:sz="4" w:space="0" w:color="auto"/>
              <w:right w:val="single" w:sz="4" w:space="0" w:color="auto"/>
            </w:tcBorders>
            <w:vAlign w:val="center"/>
          </w:tcPr>
          <w:p w14:paraId="1BCB4B08" w14:textId="6B38D966" w:rsidR="00E035CA" w:rsidRPr="002F5AD3" w:rsidRDefault="00E035CA" w:rsidP="00E035CA">
            <w:pPr>
              <w:jc w:val="center"/>
              <w:rPr>
                <w:rFonts w:ascii="Arial" w:hAnsi="Arial" w:cs="Arial"/>
              </w:rPr>
            </w:pPr>
            <w:r w:rsidRPr="002F5AD3">
              <w:rPr>
                <w:rFonts w:ascii="Arial" w:hAnsi="Arial" w:cs="Arial"/>
              </w:rPr>
              <w:t>Population density</w:t>
            </w:r>
          </w:p>
        </w:tc>
        <w:tc>
          <w:tcPr>
            <w:tcW w:w="1440" w:type="dxa"/>
            <w:tcBorders>
              <w:top w:val="single" w:sz="4" w:space="0" w:color="auto"/>
              <w:left w:val="single" w:sz="4" w:space="0" w:color="auto"/>
              <w:bottom w:val="single" w:sz="4" w:space="0" w:color="auto"/>
              <w:right w:val="single" w:sz="4" w:space="0" w:color="auto"/>
            </w:tcBorders>
            <w:vAlign w:val="center"/>
          </w:tcPr>
          <w:p w14:paraId="610A43F3" w14:textId="3E00EA56" w:rsidR="00E035CA" w:rsidRPr="002F5AD3" w:rsidRDefault="00E035CA" w:rsidP="00E035CA">
            <w:pPr>
              <w:jc w:val="center"/>
              <w:rPr>
                <w:rFonts w:ascii="Arial" w:hAnsi="Arial" w:cs="Arial"/>
              </w:rPr>
            </w:pPr>
            <w:r w:rsidRPr="002F5AD3">
              <w:rPr>
                <w:rFonts w:ascii="Arial" w:hAnsi="Arial" w:cs="Arial"/>
              </w:rPr>
              <w:t>Municipality</w:t>
            </w:r>
          </w:p>
        </w:tc>
        <w:tc>
          <w:tcPr>
            <w:tcW w:w="1530" w:type="dxa"/>
            <w:tcBorders>
              <w:top w:val="single" w:sz="4" w:space="0" w:color="auto"/>
              <w:left w:val="single" w:sz="4" w:space="0" w:color="auto"/>
              <w:bottom w:val="single" w:sz="4" w:space="0" w:color="auto"/>
              <w:right w:val="single" w:sz="4" w:space="0" w:color="auto"/>
            </w:tcBorders>
            <w:vAlign w:val="center"/>
          </w:tcPr>
          <w:p w14:paraId="61DDBD82" w14:textId="05D10715" w:rsidR="00E035CA" w:rsidRPr="002F5AD3" w:rsidRDefault="00E035CA" w:rsidP="00E035CA">
            <w:pPr>
              <w:jc w:val="center"/>
              <w:rPr>
                <w:rFonts w:ascii="Arial" w:hAnsi="Arial" w:cs="Arial"/>
              </w:rPr>
            </w:pPr>
            <w:r w:rsidRPr="002F5AD3">
              <w:rPr>
                <w:rFonts w:ascii="Arial" w:hAnsi="Arial" w:cs="Arial"/>
              </w:rPr>
              <w:t>Annual</w:t>
            </w:r>
          </w:p>
        </w:tc>
        <w:tc>
          <w:tcPr>
            <w:tcW w:w="1530" w:type="dxa"/>
            <w:tcBorders>
              <w:top w:val="single" w:sz="4" w:space="0" w:color="auto"/>
              <w:left w:val="single" w:sz="4" w:space="0" w:color="auto"/>
              <w:bottom w:val="single" w:sz="4" w:space="0" w:color="auto"/>
              <w:right w:val="single" w:sz="4" w:space="0" w:color="auto"/>
            </w:tcBorders>
            <w:vAlign w:val="center"/>
          </w:tcPr>
          <w:p w14:paraId="12BC0436" w14:textId="2B4B5BAF" w:rsidR="00E035CA" w:rsidRPr="002F5AD3" w:rsidRDefault="000C43FA" w:rsidP="00E035CA">
            <w:pPr>
              <w:jc w:val="center"/>
              <w:rPr>
                <w:rFonts w:ascii="Arial" w:hAnsi="Arial" w:cs="Arial"/>
              </w:rPr>
            </w:pPr>
            <w:r w:rsidRPr="002F5AD3">
              <w:rPr>
                <w:rFonts w:ascii="Arial" w:hAnsi="Arial" w:cs="Arial"/>
              </w:rPr>
              <w:t>Brazil Ministry of Health (derived)</w:t>
            </w:r>
          </w:p>
        </w:tc>
        <w:tc>
          <w:tcPr>
            <w:tcW w:w="6210" w:type="dxa"/>
            <w:tcBorders>
              <w:top w:val="single" w:sz="4" w:space="0" w:color="auto"/>
              <w:left w:val="single" w:sz="4" w:space="0" w:color="auto"/>
              <w:bottom w:val="single" w:sz="4" w:space="0" w:color="auto"/>
              <w:right w:val="single" w:sz="4" w:space="0" w:color="auto"/>
            </w:tcBorders>
            <w:vAlign w:val="center"/>
          </w:tcPr>
          <w:p w14:paraId="51FA593E" w14:textId="0143A22F" w:rsidR="00E035CA" w:rsidRPr="002F5AD3" w:rsidRDefault="000C43FA" w:rsidP="00185451">
            <w:pPr>
              <w:rPr>
                <w:rFonts w:ascii="Arial" w:hAnsi="Arial" w:cs="Arial"/>
              </w:rPr>
            </w:pPr>
            <w:r w:rsidRPr="002F5AD3">
              <w:rPr>
                <w:rFonts w:ascii="Arial" w:hAnsi="Arial" w:cs="Arial"/>
              </w:rPr>
              <w:t>Brazil Ministry of Health. DataSUS Tabnet web portal. Available at: http://tabnet.datasus.gov.br/cgi/deftohtm.exe?ibge/cnv/popbr.def. (Accessed: 7 June 2017)</w:t>
            </w:r>
          </w:p>
        </w:tc>
      </w:tr>
      <w:tr w:rsidR="004A4B93" w:rsidRPr="002F5AD3" w14:paraId="578E5745" w14:textId="77777777" w:rsidTr="00DD2F73">
        <w:tc>
          <w:tcPr>
            <w:tcW w:w="1885" w:type="dxa"/>
            <w:tcBorders>
              <w:top w:val="single" w:sz="4" w:space="0" w:color="auto"/>
              <w:left w:val="single" w:sz="4" w:space="0" w:color="auto"/>
              <w:bottom w:val="single" w:sz="4" w:space="0" w:color="auto"/>
              <w:right w:val="single" w:sz="4" w:space="0" w:color="auto"/>
            </w:tcBorders>
            <w:vAlign w:val="center"/>
          </w:tcPr>
          <w:p w14:paraId="55B8B129" w14:textId="57671AC4" w:rsidR="004A4B93" w:rsidRPr="004A4B93" w:rsidRDefault="004A4B93" w:rsidP="00B23A1B">
            <w:pPr>
              <w:jc w:val="center"/>
              <w:rPr>
                <w:rFonts w:ascii="Arial" w:hAnsi="Arial" w:cs="Arial"/>
              </w:rPr>
            </w:pPr>
            <w:r>
              <w:rPr>
                <w:rFonts w:ascii="Arial" w:hAnsi="Arial" w:cs="Arial"/>
              </w:rPr>
              <w:t>Nighttime lights</w:t>
            </w:r>
          </w:p>
        </w:tc>
        <w:tc>
          <w:tcPr>
            <w:tcW w:w="1440" w:type="dxa"/>
            <w:tcBorders>
              <w:top w:val="single" w:sz="4" w:space="0" w:color="auto"/>
              <w:left w:val="single" w:sz="4" w:space="0" w:color="auto"/>
              <w:bottom w:val="single" w:sz="4" w:space="0" w:color="auto"/>
              <w:right w:val="single" w:sz="4" w:space="0" w:color="auto"/>
            </w:tcBorders>
            <w:vAlign w:val="center"/>
          </w:tcPr>
          <w:p w14:paraId="29716835" w14:textId="5E7556C6" w:rsidR="004A4B93" w:rsidRPr="00D21A94" w:rsidRDefault="002F5AD3" w:rsidP="00B23A1B">
            <w:pPr>
              <w:jc w:val="center"/>
              <w:rPr>
                <w:rFonts w:ascii="Arial" w:hAnsi="Arial" w:cs="Arial"/>
              </w:rPr>
            </w:pPr>
            <w:r>
              <w:rPr>
                <w:rFonts w:ascii="Arial" w:hAnsi="Arial" w:cs="Arial"/>
              </w:rPr>
              <w:t>Municipality</w:t>
            </w:r>
          </w:p>
        </w:tc>
        <w:tc>
          <w:tcPr>
            <w:tcW w:w="1530" w:type="dxa"/>
            <w:tcBorders>
              <w:top w:val="single" w:sz="4" w:space="0" w:color="auto"/>
              <w:left w:val="single" w:sz="4" w:space="0" w:color="auto"/>
              <w:bottom w:val="single" w:sz="4" w:space="0" w:color="auto"/>
              <w:right w:val="single" w:sz="4" w:space="0" w:color="auto"/>
            </w:tcBorders>
            <w:vAlign w:val="center"/>
          </w:tcPr>
          <w:p w14:paraId="7EB78BD2" w14:textId="60602894" w:rsidR="004A4B93" w:rsidRPr="00D21A94" w:rsidRDefault="002F5AD3" w:rsidP="00B23A1B">
            <w:pPr>
              <w:jc w:val="center"/>
              <w:rPr>
                <w:rFonts w:ascii="Arial" w:hAnsi="Arial" w:cs="Arial"/>
              </w:rPr>
            </w:pPr>
            <w:r>
              <w:rPr>
                <w:rFonts w:ascii="Arial" w:hAnsi="Arial" w:cs="Arial"/>
              </w:rPr>
              <w:t>Annual</w:t>
            </w:r>
          </w:p>
        </w:tc>
        <w:tc>
          <w:tcPr>
            <w:tcW w:w="1530" w:type="dxa"/>
            <w:tcBorders>
              <w:top w:val="single" w:sz="4" w:space="0" w:color="auto"/>
              <w:left w:val="single" w:sz="4" w:space="0" w:color="auto"/>
              <w:bottom w:val="single" w:sz="4" w:space="0" w:color="auto"/>
              <w:right w:val="single" w:sz="4" w:space="0" w:color="auto"/>
            </w:tcBorders>
            <w:vAlign w:val="center"/>
          </w:tcPr>
          <w:p w14:paraId="627BFDEF" w14:textId="5A7FCFAD" w:rsidR="004A4B93" w:rsidRPr="002F5AD3" w:rsidRDefault="002F5AD3" w:rsidP="00B23A1B">
            <w:pPr>
              <w:jc w:val="center"/>
              <w:rPr>
                <w:rFonts w:ascii="Arial" w:hAnsi="Arial" w:cs="Arial"/>
              </w:rPr>
            </w:pPr>
            <w:r>
              <w:rPr>
                <w:rFonts w:ascii="Arial" w:hAnsi="Arial" w:cs="Arial"/>
              </w:rPr>
              <w:t>NOAA DMSP</w:t>
            </w:r>
          </w:p>
        </w:tc>
        <w:tc>
          <w:tcPr>
            <w:tcW w:w="6210" w:type="dxa"/>
            <w:tcBorders>
              <w:top w:val="single" w:sz="4" w:space="0" w:color="auto"/>
              <w:left w:val="single" w:sz="4" w:space="0" w:color="auto"/>
              <w:bottom w:val="single" w:sz="4" w:space="0" w:color="auto"/>
              <w:right w:val="single" w:sz="4" w:space="0" w:color="auto"/>
            </w:tcBorders>
            <w:vAlign w:val="center"/>
          </w:tcPr>
          <w:p w14:paraId="49C9A366" w14:textId="17386EB9" w:rsidR="004A4B93" w:rsidRPr="002F5AD3" w:rsidRDefault="002F5AD3" w:rsidP="00B23A1B">
            <w:pPr>
              <w:rPr>
                <w:rFonts w:ascii="Arial" w:hAnsi="Arial" w:cs="Arial"/>
              </w:rPr>
            </w:pPr>
            <w:r w:rsidRPr="002F5AD3">
              <w:rPr>
                <w:rFonts w:ascii="Arial" w:eastAsia="Times New Roman" w:hAnsi="Arial" w:cs="Arial"/>
                <w:color w:val="000000" w:themeColor="text1"/>
              </w:rPr>
              <w:t>Savory et al. Intercalibration and Gaussian Process Modeling of Nighttime Lights Imagery for Measuring Urbanization Trends in Africa 2000– 2013. Remote Sens. 9, (2017).</w:t>
            </w:r>
          </w:p>
        </w:tc>
      </w:tr>
      <w:tr w:rsidR="005D1AF3" w:rsidRPr="002F5AD3" w14:paraId="3E6FA929" w14:textId="77777777" w:rsidTr="00DD2F73">
        <w:tc>
          <w:tcPr>
            <w:tcW w:w="1885" w:type="dxa"/>
            <w:tcBorders>
              <w:top w:val="single" w:sz="4" w:space="0" w:color="auto"/>
              <w:left w:val="single" w:sz="4" w:space="0" w:color="auto"/>
              <w:bottom w:val="single" w:sz="4" w:space="0" w:color="auto"/>
              <w:right w:val="single" w:sz="4" w:space="0" w:color="auto"/>
            </w:tcBorders>
            <w:vAlign w:val="center"/>
          </w:tcPr>
          <w:p w14:paraId="42CBC76C" w14:textId="77777777" w:rsidR="005D1AF3" w:rsidRPr="002F5AD3" w:rsidRDefault="005D1AF3" w:rsidP="00B23A1B">
            <w:pPr>
              <w:jc w:val="center"/>
              <w:rPr>
                <w:rFonts w:ascii="Arial" w:hAnsi="Arial" w:cs="Arial"/>
              </w:rPr>
            </w:pPr>
            <w:r w:rsidRPr="002F5AD3">
              <w:rPr>
                <w:rFonts w:ascii="Arial" w:hAnsi="Arial" w:cs="Arial"/>
              </w:rPr>
              <w:t>Proportion of Population Incarcerated</w:t>
            </w:r>
          </w:p>
        </w:tc>
        <w:tc>
          <w:tcPr>
            <w:tcW w:w="1440" w:type="dxa"/>
            <w:tcBorders>
              <w:top w:val="single" w:sz="4" w:space="0" w:color="auto"/>
              <w:left w:val="single" w:sz="4" w:space="0" w:color="auto"/>
              <w:bottom w:val="single" w:sz="4" w:space="0" w:color="auto"/>
              <w:right w:val="single" w:sz="4" w:space="0" w:color="auto"/>
            </w:tcBorders>
            <w:vAlign w:val="center"/>
          </w:tcPr>
          <w:p w14:paraId="1EAE51AE" w14:textId="77777777" w:rsidR="005D1AF3" w:rsidRPr="002F5AD3" w:rsidRDefault="005D1AF3" w:rsidP="00B23A1B">
            <w:pPr>
              <w:jc w:val="center"/>
              <w:rPr>
                <w:rFonts w:ascii="Arial" w:hAnsi="Arial" w:cs="Arial"/>
              </w:rPr>
            </w:pPr>
            <w:r w:rsidRPr="002F5AD3">
              <w:rPr>
                <w:rFonts w:ascii="Arial" w:hAnsi="Arial" w:cs="Arial"/>
              </w:rPr>
              <w:t>Municipality</w:t>
            </w:r>
          </w:p>
        </w:tc>
        <w:tc>
          <w:tcPr>
            <w:tcW w:w="1530" w:type="dxa"/>
            <w:tcBorders>
              <w:top w:val="single" w:sz="4" w:space="0" w:color="auto"/>
              <w:left w:val="single" w:sz="4" w:space="0" w:color="auto"/>
              <w:bottom w:val="single" w:sz="4" w:space="0" w:color="auto"/>
              <w:right w:val="single" w:sz="4" w:space="0" w:color="auto"/>
            </w:tcBorders>
            <w:vAlign w:val="center"/>
          </w:tcPr>
          <w:p w14:paraId="208032B7" w14:textId="77777777" w:rsidR="005D1AF3" w:rsidRPr="002F5AD3" w:rsidRDefault="005D1AF3" w:rsidP="00B23A1B">
            <w:pPr>
              <w:jc w:val="center"/>
              <w:rPr>
                <w:rFonts w:ascii="Arial" w:hAnsi="Arial" w:cs="Arial"/>
              </w:rPr>
            </w:pPr>
            <w:r w:rsidRPr="002F5AD3">
              <w:rPr>
                <w:rFonts w:ascii="Arial" w:hAnsi="Arial" w:cs="Arial"/>
              </w:rPr>
              <w:t>Annual</w:t>
            </w:r>
          </w:p>
        </w:tc>
        <w:tc>
          <w:tcPr>
            <w:tcW w:w="1530" w:type="dxa"/>
            <w:tcBorders>
              <w:top w:val="single" w:sz="4" w:space="0" w:color="auto"/>
              <w:left w:val="single" w:sz="4" w:space="0" w:color="auto"/>
              <w:bottom w:val="single" w:sz="4" w:space="0" w:color="auto"/>
              <w:right w:val="single" w:sz="4" w:space="0" w:color="auto"/>
            </w:tcBorders>
            <w:vAlign w:val="center"/>
          </w:tcPr>
          <w:p w14:paraId="71265A4A" w14:textId="77777777" w:rsidR="005D1AF3" w:rsidRPr="002F5AD3" w:rsidRDefault="005D1AF3" w:rsidP="00B23A1B">
            <w:pPr>
              <w:jc w:val="center"/>
              <w:rPr>
                <w:rFonts w:ascii="Arial" w:hAnsi="Arial" w:cs="Arial"/>
              </w:rPr>
            </w:pPr>
            <w:r w:rsidRPr="002F5AD3">
              <w:rPr>
                <w:rFonts w:ascii="Arial" w:hAnsi="Arial" w:cs="Arial"/>
              </w:rPr>
              <w:t xml:space="preserve">National </w:t>
            </w:r>
          </w:p>
        </w:tc>
        <w:tc>
          <w:tcPr>
            <w:tcW w:w="6210" w:type="dxa"/>
            <w:tcBorders>
              <w:top w:val="single" w:sz="4" w:space="0" w:color="auto"/>
              <w:left w:val="single" w:sz="4" w:space="0" w:color="auto"/>
              <w:bottom w:val="single" w:sz="4" w:space="0" w:color="auto"/>
              <w:right w:val="single" w:sz="4" w:space="0" w:color="auto"/>
            </w:tcBorders>
            <w:vAlign w:val="center"/>
          </w:tcPr>
          <w:p w14:paraId="6762B17B" w14:textId="77777777" w:rsidR="005D1AF3" w:rsidRPr="002F5AD3" w:rsidRDefault="005D1AF3" w:rsidP="00B23A1B">
            <w:pPr>
              <w:rPr>
                <w:rFonts w:ascii="Arial" w:hAnsi="Arial" w:cs="Arial"/>
              </w:rPr>
            </w:pPr>
            <w:r w:rsidRPr="002F5AD3">
              <w:rPr>
                <w:rFonts w:ascii="Arial" w:hAnsi="Arial" w:cs="Arial"/>
              </w:rPr>
              <w:t>National Council of Justice (CNJ). National Registry of Inspections in Penal Establishments (CNIEP). Available at: http://www.cnj.jus.br/inspecao_penal/mapa.php. (Accessed: 14</w:t>
            </w:r>
            <w:r w:rsidRPr="002F5AD3">
              <w:rPr>
                <w:rFonts w:ascii="Arial" w:hAnsi="Arial" w:cs="Arial"/>
                <w:vertAlign w:val="superscript"/>
              </w:rPr>
              <w:t>th</w:t>
            </w:r>
            <w:r w:rsidRPr="002F5AD3">
              <w:rPr>
                <w:rFonts w:ascii="Arial" w:hAnsi="Arial" w:cs="Arial"/>
              </w:rPr>
              <w:t xml:space="preserve"> August 2017)</w:t>
            </w:r>
          </w:p>
          <w:p w14:paraId="503FAB67" w14:textId="77777777" w:rsidR="005D1AF3" w:rsidRPr="002F5AD3" w:rsidRDefault="005D1AF3" w:rsidP="00B23A1B">
            <w:pPr>
              <w:rPr>
                <w:rFonts w:ascii="Arial" w:hAnsi="Arial" w:cs="Arial"/>
              </w:rPr>
            </w:pPr>
          </w:p>
          <w:p w14:paraId="359F6197" w14:textId="106D5A6A" w:rsidR="005D1AF3" w:rsidRPr="002F5AD3" w:rsidRDefault="000C43FA" w:rsidP="00B23A1B">
            <w:pPr>
              <w:rPr>
                <w:rFonts w:ascii="Arial" w:hAnsi="Arial" w:cs="Arial"/>
              </w:rPr>
            </w:pPr>
            <w:r w:rsidRPr="002F5AD3">
              <w:rPr>
                <w:rFonts w:ascii="Arial" w:hAnsi="Arial" w:cs="Arial"/>
              </w:rPr>
              <w:t>Brazil Ministry of Health. DataSUS Tabnet web portal. Available at: http://tabnet.datasus.gov.br/cgi/deftohtm.exe?ibge/cnv/popbr.def. (Accessed: 7 June 2017)</w:t>
            </w:r>
          </w:p>
        </w:tc>
      </w:tr>
      <w:tr w:rsidR="00FD3E73" w:rsidRPr="002F5AD3" w14:paraId="01FFA380" w14:textId="77777777" w:rsidTr="00DD2F73">
        <w:tc>
          <w:tcPr>
            <w:tcW w:w="1885" w:type="dxa"/>
            <w:tcBorders>
              <w:top w:val="single" w:sz="4" w:space="0" w:color="auto"/>
              <w:left w:val="single" w:sz="4" w:space="0" w:color="auto"/>
              <w:bottom w:val="single" w:sz="4" w:space="0" w:color="auto"/>
              <w:right w:val="single" w:sz="4" w:space="0" w:color="auto"/>
            </w:tcBorders>
            <w:vAlign w:val="center"/>
          </w:tcPr>
          <w:p w14:paraId="1A8F0F2D" w14:textId="40AEBEF6" w:rsidR="00FD3E73" w:rsidRPr="002F5AD3" w:rsidRDefault="00FD3E73" w:rsidP="00E035CA">
            <w:pPr>
              <w:jc w:val="center"/>
              <w:rPr>
                <w:rFonts w:ascii="Arial" w:hAnsi="Arial" w:cs="Arial"/>
              </w:rPr>
            </w:pPr>
            <w:r w:rsidRPr="002F5AD3">
              <w:rPr>
                <w:rFonts w:ascii="Arial" w:hAnsi="Arial" w:cs="Arial"/>
              </w:rPr>
              <w:t>Adjusted monthly income</w:t>
            </w:r>
          </w:p>
        </w:tc>
        <w:tc>
          <w:tcPr>
            <w:tcW w:w="1440" w:type="dxa"/>
            <w:tcBorders>
              <w:top w:val="single" w:sz="4" w:space="0" w:color="auto"/>
              <w:left w:val="single" w:sz="4" w:space="0" w:color="auto"/>
              <w:bottom w:val="single" w:sz="4" w:space="0" w:color="auto"/>
              <w:right w:val="single" w:sz="4" w:space="0" w:color="auto"/>
            </w:tcBorders>
            <w:vAlign w:val="center"/>
          </w:tcPr>
          <w:p w14:paraId="7D45E738" w14:textId="6B45FF77" w:rsidR="00FD3E73" w:rsidRPr="002F5AD3" w:rsidRDefault="00FD3E73" w:rsidP="00E035CA">
            <w:pPr>
              <w:jc w:val="center"/>
              <w:rPr>
                <w:rFonts w:ascii="Arial" w:hAnsi="Arial" w:cs="Arial"/>
              </w:rPr>
            </w:pPr>
            <w:r w:rsidRPr="002F5AD3">
              <w:rPr>
                <w:rFonts w:ascii="Arial" w:hAnsi="Arial" w:cs="Arial"/>
              </w:rPr>
              <w:t>Municipality</w:t>
            </w:r>
          </w:p>
        </w:tc>
        <w:tc>
          <w:tcPr>
            <w:tcW w:w="1530" w:type="dxa"/>
            <w:tcBorders>
              <w:top w:val="single" w:sz="4" w:space="0" w:color="auto"/>
              <w:left w:val="single" w:sz="4" w:space="0" w:color="auto"/>
              <w:bottom w:val="single" w:sz="4" w:space="0" w:color="auto"/>
              <w:right w:val="single" w:sz="4" w:space="0" w:color="auto"/>
            </w:tcBorders>
            <w:vAlign w:val="center"/>
          </w:tcPr>
          <w:p w14:paraId="7DC4402F" w14:textId="44D764CC" w:rsidR="00FD3E73" w:rsidRPr="002F5AD3" w:rsidRDefault="00FD3E73" w:rsidP="00E035CA">
            <w:pPr>
              <w:jc w:val="center"/>
              <w:rPr>
                <w:rFonts w:ascii="Arial" w:hAnsi="Arial" w:cs="Arial"/>
              </w:rPr>
            </w:pPr>
            <w:r w:rsidRPr="002F5AD3">
              <w:rPr>
                <w:rFonts w:ascii="Arial" w:hAnsi="Arial" w:cs="Arial"/>
              </w:rPr>
              <w:t>2000, 2010 (interpolated)</w:t>
            </w:r>
          </w:p>
        </w:tc>
        <w:tc>
          <w:tcPr>
            <w:tcW w:w="1530" w:type="dxa"/>
            <w:tcBorders>
              <w:top w:val="single" w:sz="4" w:space="0" w:color="auto"/>
              <w:left w:val="single" w:sz="4" w:space="0" w:color="auto"/>
              <w:bottom w:val="single" w:sz="4" w:space="0" w:color="auto"/>
              <w:right w:val="single" w:sz="4" w:space="0" w:color="auto"/>
            </w:tcBorders>
            <w:vAlign w:val="center"/>
          </w:tcPr>
          <w:p w14:paraId="6CDF3A31" w14:textId="4BF5086C" w:rsidR="00FD3E73" w:rsidRPr="002F5AD3" w:rsidRDefault="00FD3E73" w:rsidP="00E035CA">
            <w:pPr>
              <w:jc w:val="center"/>
              <w:rPr>
                <w:rFonts w:ascii="Arial" w:hAnsi="Arial" w:cs="Arial"/>
              </w:rPr>
            </w:pPr>
            <w:r w:rsidRPr="002F5AD3">
              <w:rPr>
                <w:rFonts w:ascii="Arial" w:hAnsi="Arial" w:cs="Arial"/>
              </w:rPr>
              <w:t>IPUMS (derived)</w:t>
            </w:r>
          </w:p>
        </w:tc>
        <w:tc>
          <w:tcPr>
            <w:tcW w:w="6210" w:type="dxa"/>
            <w:vMerge w:val="restart"/>
            <w:tcBorders>
              <w:top w:val="single" w:sz="4" w:space="0" w:color="auto"/>
              <w:left w:val="single" w:sz="4" w:space="0" w:color="auto"/>
              <w:right w:val="single" w:sz="4" w:space="0" w:color="auto"/>
            </w:tcBorders>
            <w:vAlign w:val="center"/>
          </w:tcPr>
          <w:p w14:paraId="0C677F81" w14:textId="22F66C71" w:rsidR="00FD3E73" w:rsidRPr="002F5AD3" w:rsidRDefault="00FD3E73" w:rsidP="00185451">
            <w:pPr>
              <w:rPr>
                <w:rFonts w:ascii="Arial" w:hAnsi="Arial" w:cs="Arial"/>
              </w:rPr>
            </w:pPr>
            <w:r w:rsidRPr="002F5AD3">
              <w:rPr>
                <w:rFonts w:ascii="Arial" w:hAnsi="Arial" w:cs="Arial"/>
              </w:rPr>
              <w:t>Minnesota Population Center. </w:t>
            </w:r>
            <w:r w:rsidRPr="002F5AD3">
              <w:rPr>
                <w:rFonts w:ascii="Arial" w:hAnsi="Arial" w:cs="Arial"/>
                <w:i/>
                <w:iCs/>
              </w:rPr>
              <w:t>Integrated Public Use Microdata Series, International: Version 6.5</w:t>
            </w:r>
            <w:r w:rsidRPr="002F5AD3">
              <w:rPr>
                <w:rFonts w:ascii="Arial" w:hAnsi="Arial" w:cs="Arial"/>
              </w:rPr>
              <w:t> [dataset]. Minneapolis: University of Minnesota, 2017. http://doi.org/10.18128/D020.V6.5.</w:t>
            </w:r>
          </w:p>
          <w:p w14:paraId="62AAF0BC" w14:textId="1E16E7DB" w:rsidR="00FD3E73" w:rsidRPr="002F5AD3" w:rsidRDefault="00FD3E73" w:rsidP="00185451">
            <w:pPr>
              <w:rPr>
                <w:rFonts w:ascii="Arial" w:hAnsi="Arial" w:cs="Arial"/>
              </w:rPr>
            </w:pPr>
          </w:p>
          <w:p w14:paraId="610A8697" w14:textId="77777777" w:rsidR="00FD3E73" w:rsidRPr="002F5AD3" w:rsidRDefault="00FD3E73" w:rsidP="00185451">
            <w:pPr>
              <w:rPr>
                <w:rFonts w:ascii="Arial" w:hAnsi="Arial" w:cs="Arial"/>
              </w:rPr>
            </w:pPr>
            <w:r w:rsidRPr="002F5AD3">
              <w:rPr>
                <w:rFonts w:ascii="Arial" w:hAnsi="Arial" w:cs="Arial"/>
              </w:rPr>
              <w:t>Brazilian Institute of Geography and Statistics (IBGE). Brasilia, Brazil.</w:t>
            </w:r>
          </w:p>
          <w:p w14:paraId="4AC85207" w14:textId="754D575D" w:rsidR="00FD3E73" w:rsidRPr="002F5AD3" w:rsidRDefault="00FD3E73" w:rsidP="00185451">
            <w:pPr>
              <w:rPr>
                <w:rFonts w:ascii="Arial" w:hAnsi="Arial" w:cs="Arial"/>
              </w:rPr>
            </w:pPr>
          </w:p>
        </w:tc>
      </w:tr>
      <w:tr w:rsidR="00FD3E73" w:rsidRPr="002F5AD3" w14:paraId="4505D95A" w14:textId="77777777" w:rsidTr="00DD2F73">
        <w:tc>
          <w:tcPr>
            <w:tcW w:w="1885" w:type="dxa"/>
            <w:tcBorders>
              <w:top w:val="single" w:sz="4" w:space="0" w:color="auto"/>
              <w:left w:val="single" w:sz="4" w:space="0" w:color="auto"/>
              <w:bottom w:val="single" w:sz="4" w:space="0" w:color="auto"/>
              <w:right w:val="single" w:sz="4" w:space="0" w:color="auto"/>
            </w:tcBorders>
            <w:vAlign w:val="center"/>
          </w:tcPr>
          <w:p w14:paraId="1F675184" w14:textId="6C2819C7" w:rsidR="00FD3E73" w:rsidRPr="002F5AD3" w:rsidRDefault="00FD3E73" w:rsidP="00944B95">
            <w:pPr>
              <w:jc w:val="center"/>
              <w:rPr>
                <w:rFonts w:ascii="Arial" w:hAnsi="Arial" w:cs="Arial"/>
              </w:rPr>
            </w:pPr>
            <w:r w:rsidRPr="002F5AD3">
              <w:rPr>
                <w:rFonts w:ascii="Arial" w:hAnsi="Arial" w:cs="Arial"/>
              </w:rPr>
              <w:t>Literacy rate</w:t>
            </w:r>
          </w:p>
        </w:tc>
        <w:tc>
          <w:tcPr>
            <w:tcW w:w="1440" w:type="dxa"/>
            <w:tcBorders>
              <w:top w:val="single" w:sz="4" w:space="0" w:color="auto"/>
              <w:left w:val="single" w:sz="4" w:space="0" w:color="auto"/>
              <w:bottom w:val="single" w:sz="4" w:space="0" w:color="auto"/>
              <w:right w:val="single" w:sz="4" w:space="0" w:color="auto"/>
            </w:tcBorders>
            <w:vAlign w:val="center"/>
          </w:tcPr>
          <w:p w14:paraId="59AEF6D0" w14:textId="5089FF0E" w:rsidR="00FD3E73" w:rsidRPr="002F5AD3" w:rsidRDefault="00FD3E73" w:rsidP="00944B95">
            <w:pPr>
              <w:jc w:val="center"/>
              <w:rPr>
                <w:rFonts w:ascii="Arial" w:hAnsi="Arial" w:cs="Arial"/>
              </w:rPr>
            </w:pPr>
            <w:r w:rsidRPr="002F5AD3">
              <w:rPr>
                <w:rFonts w:ascii="Arial" w:hAnsi="Arial" w:cs="Arial"/>
              </w:rPr>
              <w:t>Municipality</w:t>
            </w:r>
          </w:p>
        </w:tc>
        <w:tc>
          <w:tcPr>
            <w:tcW w:w="1530" w:type="dxa"/>
            <w:tcBorders>
              <w:top w:val="single" w:sz="4" w:space="0" w:color="auto"/>
              <w:left w:val="single" w:sz="4" w:space="0" w:color="auto"/>
              <w:bottom w:val="single" w:sz="4" w:space="0" w:color="auto"/>
              <w:right w:val="single" w:sz="4" w:space="0" w:color="auto"/>
            </w:tcBorders>
            <w:vAlign w:val="center"/>
          </w:tcPr>
          <w:p w14:paraId="283F7CCE" w14:textId="59D6DB1B" w:rsidR="00FD3E73" w:rsidRPr="002F5AD3" w:rsidRDefault="00FD3E73" w:rsidP="00944B95">
            <w:pPr>
              <w:jc w:val="center"/>
              <w:rPr>
                <w:rFonts w:ascii="Arial" w:hAnsi="Arial" w:cs="Arial"/>
              </w:rPr>
            </w:pPr>
            <w:r w:rsidRPr="002F5AD3">
              <w:rPr>
                <w:rFonts w:ascii="Arial" w:hAnsi="Arial" w:cs="Arial"/>
              </w:rPr>
              <w:t>2000, 2010 (interpolated)</w:t>
            </w:r>
          </w:p>
        </w:tc>
        <w:tc>
          <w:tcPr>
            <w:tcW w:w="1530" w:type="dxa"/>
            <w:tcBorders>
              <w:top w:val="single" w:sz="4" w:space="0" w:color="auto"/>
              <w:left w:val="single" w:sz="4" w:space="0" w:color="auto"/>
              <w:bottom w:val="single" w:sz="4" w:space="0" w:color="auto"/>
              <w:right w:val="single" w:sz="4" w:space="0" w:color="auto"/>
            </w:tcBorders>
            <w:vAlign w:val="center"/>
          </w:tcPr>
          <w:p w14:paraId="26A3AC40" w14:textId="188B5B0E" w:rsidR="00FD3E73" w:rsidRPr="002F5AD3" w:rsidRDefault="00FD3E73" w:rsidP="00944B95">
            <w:pPr>
              <w:jc w:val="center"/>
              <w:rPr>
                <w:rFonts w:ascii="Arial" w:hAnsi="Arial" w:cs="Arial"/>
              </w:rPr>
            </w:pPr>
            <w:r w:rsidRPr="002F5AD3">
              <w:rPr>
                <w:rFonts w:ascii="Arial" w:hAnsi="Arial" w:cs="Arial"/>
              </w:rPr>
              <w:t>IPUMS (derived)</w:t>
            </w:r>
          </w:p>
        </w:tc>
        <w:tc>
          <w:tcPr>
            <w:tcW w:w="6210" w:type="dxa"/>
            <w:vMerge/>
            <w:tcBorders>
              <w:left w:val="single" w:sz="4" w:space="0" w:color="auto"/>
              <w:right w:val="single" w:sz="4" w:space="0" w:color="auto"/>
            </w:tcBorders>
            <w:vAlign w:val="center"/>
          </w:tcPr>
          <w:p w14:paraId="7013DCAD" w14:textId="44F17D2B" w:rsidR="00FD3E73" w:rsidRPr="002F5AD3" w:rsidRDefault="00FD3E73" w:rsidP="00185451">
            <w:pPr>
              <w:rPr>
                <w:rFonts w:ascii="Arial" w:hAnsi="Arial" w:cs="Arial"/>
              </w:rPr>
            </w:pPr>
          </w:p>
        </w:tc>
      </w:tr>
      <w:tr w:rsidR="00FD3E73" w:rsidRPr="004A724E" w14:paraId="43EC2F9A" w14:textId="77777777" w:rsidTr="00DD2F73">
        <w:tc>
          <w:tcPr>
            <w:tcW w:w="1885" w:type="dxa"/>
            <w:tcBorders>
              <w:top w:val="single" w:sz="4" w:space="0" w:color="auto"/>
              <w:left w:val="single" w:sz="4" w:space="0" w:color="auto"/>
              <w:bottom w:val="single" w:sz="4" w:space="0" w:color="auto"/>
              <w:right w:val="single" w:sz="4" w:space="0" w:color="auto"/>
            </w:tcBorders>
            <w:vAlign w:val="center"/>
          </w:tcPr>
          <w:p w14:paraId="6444030E" w14:textId="734E6858" w:rsidR="00FD3E73" w:rsidRPr="004A724E" w:rsidRDefault="00FD3E73" w:rsidP="00944B95">
            <w:pPr>
              <w:jc w:val="center"/>
              <w:rPr>
                <w:rFonts w:ascii="Arial" w:hAnsi="Arial" w:cs="Arial"/>
              </w:rPr>
            </w:pPr>
            <w:r w:rsidRPr="004A724E">
              <w:rPr>
                <w:rFonts w:ascii="Arial" w:hAnsi="Arial" w:cs="Arial"/>
              </w:rPr>
              <w:lastRenderedPageBreak/>
              <w:t>Household crowding</w:t>
            </w:r>
          </w:p>
        </w:tc>
        <w:tc>
          <w:tcPr>
            <w:tcW w:w="1440" w:type="dxa"/>
            <w:tcBorders>
              <w:top w:val="single" w:sz="4" w:space="0" w:color="auto"/>
              <w:left w:val="single" w:sz="4" w:space="0" w:color="auto"/>
              <w:bottom w:val="single" w:sz="4" w:space="0" w:color="auto"/>
              <w:right w:val="single" w:sz="4" w:space="0" w:color="auto"/>
            </w:tcBorders>
            <w:vAlign w:val="center"/>
          </w:tcPr>
          <w:p w14:paraId="20362BB8" w14:textId="4C37A611" w:rsidR="00FD3E73" w:rsidRPr="004A724E" w:rsidRDefault="00FD3E73" w:rsidP="00944B95">
            <w:pPr>
              <w:jc w:val="center"/>
              <w:rPr>
                <w:rFonts w:ascii="Arial" w:hAnsi="Arial" w:cs="Arial"/>
              </w:rPr>
            </w:pPr>
            <w:r w:rsidRPr="004A724E">
              <w:rPr>
                <w:rFonts w:ascii="Arial" w:hAnsi="Arial" w:cs="Arial"/>
              </w:rPr>
              <w:t>Municipality</w:t>
            </w:r>
          </w:p>
        </w:tc>
        <w:tc>
          <w:tcPr>
            <w:tcW w:w="1530" w:type="dxa"/>
            <w:tcBorders>
              <w:top w:val="single" w:sz="4" w:space="0" w:color="auto"/>
              <w:left w:val="single" w:sz="4" w:space="0" w:color="auto"/>
              <w:bottom w:val="single" w:sz="4" w:space="0" w:color="auto"/>
              <w:right w:val="single" w:sz="4" w:space="0" w:color="auto"/>
            </w:tcBorders>
            <w:vAlign w:val="center"/>
          </w:tcPr>
          <w:p w14:paraId="59380071" w14:textId="66B71851" w:rsidR="00FD3E73" w:rsidRPr="004A724E" w:rsidRDefault="00FD3E73" w:rsidP="00944B95">
            <w:pPr>
              <w:jc w:val="center"/>
              <w:rPr>
                <w:rFonts w:ascii="Arial" w:hAnsi="Arial" w:cs="Arial"/>
              </w:rPr>
            </w:pPr>
            <w:r w:rsidRPr="004A724E">
              <w:rPr>
                <w:rFonts w:ascii="Arial" w:hAnsi="Arial" w:cs="Arial"/>
              </w:rPr>
              <w:t>2000, 2010 (interpolated)</w:t>
            </w:r>
          </w:p>
        </w:tc>
        <w:tc>
          <w:tcPr>
            <w:tcW w:w="1530" w:type="dxa"/>
            <w:tcBorders>
              <w:top w:val="single" w:sz="4" w:space="0" w:color="auto"/>
              <w:left w:val="single" w:sz="4" w:space="0" w:color="auto"/>
              <w:bottom w:val="single" w:sz="4" w:space="0" w:color="auto"/>
              <w:right w:val="single" w:sz="4" w:space="0" w:color="auto"/>
            </w:tcBorders>
            <w:vAlign w:val="center"/>
          </w:tcPr>
          <w:p w14:paraId="5475DDA5" w14:textId="2A0A9F59" w:rsidR="00FD3E73" w:rsidRPr="004A724E" w:rsidRDefault="00FD3E73" w:rsidP="00944B95">
            <w:pPr>
              <w:jc w:val="center"/>
              <w:rPr>
                <w:rFonts w:ascii="Arial" w:hAnsi="Arial" w:cs="Arial"/>
              </w:rPr>
            </w:pPr>
            <w:r w:rsidRPr="004A724E">
              <w:rPr>
                <w:rFonts w:ascii="Arial" w:hAnsi="Arial" w:cs="Arial"/>
              </w:rPr>
              <w:t>IPUMS (derived)</w:t>
            </w:r>
          </w:p>
        </w:tc>
        <w:tc>
          <w:tcPr>
            <w:tcW w:w="6210" w:type="dxa"/>
            <w:vMerge/>
            <w:tcBorders>
              <w:left w:val="single" w:sz="4" w:space="0" w:color="auto"/>
              <w:bottom w:val="single" w:sz="4" w:space="0" w:color="auto"/>
              <w:right w:val="single" w:sz="4" w:space="0" w:color="auto"/>
            </w:tcBorders>
            <w:vAlign w:val="center"/>
          </w:tcPr>
          <w:p w14:paraId="48C4E0AD" w14:textId="35C13CD9" w:rsidR="00FD3E73" w:rsidRPr="004A724E" w:rsidRDefault="00FD3E73" w:rsidP="00185451">
            <w:pPr>
              <w:rPr>
                <w:rFonts w:ascii="Arial" w:hAnsi="Arial" w:cs="Arial"/>
              </w:rPr>
            </w:pPr>
          </w:p>
        </w:tc>
      </w:tr>
      <w:tr w:rsidR="00185451" w:rsidRPr="004A724E" w14:paraId="1104C68F" w14:textId="77777777" w:rsidTr="00DD2F73">
        <w:tc>
          <w:tcPr>
            <w:tcW w:w="1885" w:type="dxa"/>
            <w:tcBorders>
              <w:top w:val="single" w:sz="4" w:space="0" w:color="auto"/>
              <w:left w:val="single" w:sz="4" w:space="0" w:color="auto"/>
              <w:bottom w:val="single" w:sz="4" w:space="0" w:color="auto"/>
              <w:right w:val="single" w:sz="4" w:space="0" w:color="auto"/>
            </w:tcBorders>
            <w:vAlign w:val="center"/>
          </w:tcPr>
          <w:p w14:paraId="0435F3A0" w14:textId="6D691268" w:rsidR="00185451" w:rsidRPr="004A724E" w:rsidRDefault="00FD3E73" w:rsidP="00FD3E73">
            <w:pPr>
              <w:jc w:val="center"/>
              <w:rPr>
                <w:rFonts w:ascii="Arial" w:hAnsi="Arial" w:cs="Arial"/>
              </w:rPr>
            </w:pPr>
            <w:r w:rsidRPr="004A724E">
              <w:rPr>
                <w:rFonts w:ascii="Arial" w:hAnsi="Arial" w:cs="Arial"/>
              </w:rPr>
              <w:t>Coverage of family health teams</w:t>
            </w:r>
          </w:p>
        </w:tc>
        <w:tc>
          <w:tcPr>
            <w:tcW w:w="1440" w:type="dxa"/>
            <w:tcBorders>
              <w:top w:val="single" w:sz="4" w:space="0" w:color="auto"/>
              <w:left w:val="single" w:sz="4" w:space="0" w:color="auto"/>
              <w:bottom w:val="single" w:sz="4" w:space="0" w:color="auto"/>
              <w:right w:val="single" w:sz="4" w:space="0" w:color="auto"/>
            </w:tcBorders>
            <w:vAlign w:val="center"/>
          </w:tcPr>
          <w:p w14:paraId="24D005B0" w14:textId="1DCBFC70" w:rsidR="00185451" w:rsidRPr="004A724E" w:rsidRDefault="00FD3E73" w:rsidP="00185451">
            <w:pPr>
              <w:jc w:val="center"/>
              <w:rPr>
                <w:rFonts w:ascii="Arial" w:hAnsi="Arial" w:cs="Arial"/>
              </w:rPr>
            </w:pPr>
            <w:r w:rsidRPr="004A724E">
              <w:rPr>
                <w:rFonts w:ascii="Arial" w:hAnsi="Arial" w:cs="Arial"/>
              </w:rPr>
              <w:t>Municipality</w:t>
            </w:r>
          </w:p>
        </w:tc>
        <w:tc>
          <w:tcPr>
            <w:tcW w:w="1530" w:type="dxa"/>
            <w:tcBorders>
              <w:top w:val="single" w:sz="4" w:space="0" w:color="auto"/>
              <w:left w:val="single" w:sz="4" w:space="0" w:color="auto"/>
              <w:bottom w:val="single" w:sz="4" w:space="0" w:color="auto"/>
              <w:right w:val="single" w:sz="4" w:space="0" w:color="auto"/>
            </w:tcBorders>
            <w:vAlign w:val="center"/>
          </w:tcPr>
          <w:p w14:paraId="5B76EC21" w14:textId="5E52556B" w:rsidR="00185451" w:rsidRPr="004A724E" w:rsidRDefault="00185451" w:rsidP="00185451">
            <w:pPr>
              <w:jc w:val="center"/>
              <w:rPr>
                <w:rFonts w:ascii="Arial" w:hAnsi="Arial" w:cs="Arial"/>
              </w:rPr>
            </w:pPr>
            <w:r w:rsidRPr="004A724E">
              <w:rPr>
                <w:rFonts w:ascii="Arial" w:hAnsi="Arial" w:cs="Arial"/>
              </w:rPr>
              <w:t>Annual</w:t>
            </w:r>
          </w:p>
        </w:tc>
        <w:tc>
          <w:tcPr>
            <w:tcW w:w="1530" w:type="dxa"/>
            <w:tcBorders>
              <w:top w:val="single" w:sz="4" w:space="0" w:color="auto"/>
              <w:left w:val="single" w:sz="4" w:space="0" w:color="auto"/>
              <w:bottom w:val="single" w:sz="4" w:space="0" w:color="auto"/>
              <w:right w:val="single" w:sz="4" w:space="0" w:color="auto"/>
            </w:tcBorders>
            <w:vAlign w:val="center"/>
          </w:tcPr>
          <w:p w14:paraId="7C4D9ADB" w14:textId="3EF4AB19" w:rsidR="00185451" w:rsidRPr="004A724E" w:rsidRDefault="00FD3E73" w:rsidP="00185451">
            <w:pPr>
              <w:jc w:val="center"/>
              <w:rPr>
                <w:rFonts w:ascii="Arial" w:hAnsi="Arial" w:cs="Arial"/>
              </w:rPr>
            </w:pPr>
            <w:r w:rsidRPr="004A724E">
              <w:rPr>
                <w:rFonts w:ascii="Arial" w:hAnsi="Arial" w:cs="Arial"/>
              </w:rPr>
              <w:t>Brazil Ministry of Health</w:t>
            </w:r>
          </w:p>
        </w:tc>
        <w:tc>
          <w:tcPr>
            <w:tcW w:w="6210" w:type="dxa"/>
            <w:tcBorders>
              <w:top w:val="single" w:sz="4" w:space="0" w:color="auto"/>
              <w:left w:val="single" w:sz="4" w:space="0" w:color="auto"/>
              <w:bottom w:val="single" w:sz="4" w:space="0" w:color="auto"/>
              <w:right w:val="single" w:sz="4" w:space="0" w:color="auto"/>
            </w:tcBorders>
            <w:vAlign w:val="center"/>
          </w:tcPr>
          <w:p w14:paraId="483AC0D7" w14:textId="178244CC" w:rsidR="00185451" w:rsidRPr="004A724E" w:rsidRDefault="009C0B84" w:rsidP="00185451">
            <w:pPr>
              <w:rPr>
                <w:rFonts w:ascii="Arial" w:hAnsi="Arial" w:cs="Arial"/>
              </w:rPr>
            </w:pPr>
            <w:r w:rsidRPr="004A724E">
              <w:rPr>
                <w:rFonts w:ascii="Arial" w:hAnsi="Arial" w:cs="Arial"/>
              </w:rPr>
              <w:t xml:space="preserve">Brazil Ministry of Health. </w:t>
            </w:r>
            <w:r w:rsidR="001E3586" w:rsidRPr="004A724E">
              <w:rPr>
                <w:rFonts w:ascii="Arial" w:hAnsi="Arial" w:cs="Arial"/>
              </w:rPr>
              <w:t xml:space="preserve">Department of Basic Attention. </w:t>
            </w:r>
            <w:r w:rsidRPr="004A724E">
              <w:rPr>
                <w:rFonts w:ascii="Arial" w:hAnsi="Arial" w:cs="Arial"/>
              </w:rPr>
              <w:t xml:space="preserve">Available at: </w:t>
            </w:r>
            <w:hyperlink r:id="rId9" w:history="1">
              <w:r w:rsidRPr="004A724E">
                <w:rPr>
                  <w:rStyle w:val="Hyperlink"/>
                  <w:rFonts w:ascii="Arial" w:hAnsi="Arial" w:cs="Arial"/>
                  <w:color w:val="auto"/>
                </w:rPr>
                <w:t>http://dab.saude.gov.br/portaldab/historico_cobertura_sf.php</w:t>
              </w:r>
            </w:hyperlink>
            <w:r w:rsidRPr="004A724E">
              <w:rPr>
                <w:rStyle w:val="Hyperlink"/>
                <w:rFonts w:ascii="Arial" w:hAnsi="Arial" w:cs="Arial"/>
                <w:color w:val="auto"/>
              </w:rPr>
              <w:t>. (Accessed: 21</w:t>
            </w:r>
            <w:r w:rsidRPr="004A724E">
              <w:rPr>
                <w:rStyle w:val="Hyperlink"/>
                <w:rFonts w:ascii="Arial" w:hAnsi="Arial" w:cs="Arial"/>
                <w:color w:val="auto"/>
                <w:vertAlign w:val="superscript"/>
              </w:rPr>
              <w:t>st</w:t>
            </w:r>
            <w:r w:rsidRPr="004A724E">
              <w:rPr>
                <w:rStyle w:val="Hyperlink"/>
                <w:rFonts w:ascii="Arial" w:hAnsi="Arial" w:cs="Arial"/>
                <w:color w:val="auto"/>
              </w:rPr>
              <w:t xml:space="preserve"> December 2017)</w:t>
            </w:r>
          </w:p>
        </w:tc>
      </w:tr>
    </w:tbl>
    <w:p w14:paraId="20A77C3C" w14:textId="77777777" w:rsidR="008F5F27" w:rsidRPr="000371AA" w:rsidRDefault="008F5F27" w:rsidP="009A4BF8">
      <w:pPr>
        <w:pStyle w:val="NoSpacing"/>
        <w:rPr>
          <w:rFonts w:ascii="Arial" w:hAnsi="Arial" w:cs="Arial"/>
        </w:rPr>
      </w:pPr>
    </w:p>
    <w:p w14:paraId="5DC63DC5" w14:textId="6BEF009D" w:rsidR="000F090D" w:rsidRPr="00D21A94" w:rsidRDefault="00CD0D2B" w:rsidP="00313D37">
      <w:pPr>
        <w:pStyle w:val="Header"/>
        <w:spacing w:line="480" w:lineRule="auto"/>
        <w:rPr>
          <w:rFonts w:ascii="Arial" w:hAnsi="Arial" w:cs="Arial"/>
        </w:rPr>
      </w:pPr>
      <w:r w:rsidRPr="001F783A">
        <w:rPr>
          <w:rFonts w:ascii="Arial" w:hAnsi="Arial" w:cs="Arial"/>
        </w:rPr>
        <w:t>Covariates initially present in raster format were aggregated to the municipal level using the mean value weighted by a population raster</w:t>
      </w:r>
      <w:r w:rsidR="00BD0013" w:rsidRPr="001F783A">
        <w:rPr>
          <w:rFonts w:ascii="Arial" w:hAnsi="Arial" w:cs="Arial"/>
        </w:rPr>
        <w:t xml:space="preserve"> </w:t>
      </w:r>
      <w:r w:rsidR="00BD0013" w:rsidRPr="000371AA">
        <w:rPr>
          <w:rFonts w:ascii="Arial" w:hAnsi="Arial" w:cs="Arial"/>
        </w:rPr>
        <w:fldChar w:fldCharType="begin"/>
      </w:r>
      <w:r w:rsidR="00BD0013" w:rsidRPr="004A724E">
        <w:rPr>
          <w:rFonts w:ascii="Arial" w:hAnsi="Arial" w:cs="Arial"/>
        </w:rPr>
        <w:instrText xml:space="preserve"> ADDIN ZOTERO_ITEM CSL_CITATION {"citationID":"a6felk636b","properties":{"formattedCitation":"[1]","plainCitation":"[1]"},"citationItems":[{"id":284,"uris":["http://zotero.org/users/3759969/items/S8GFCZGF"],"uri":["http://zotero.org/users/3759969/items/S8GFCZGF"],"itemData":{"id":284,"type":"article-journal","title":"WorldPop, open data for spatial demography","container-title":"Scientific Data","page":"170004","volume":"4","source":"PubMed","abstract":"High resolution, contemporary data on human population distributions, their characteristics and changes over time are a prerequisite for the accurate measurement of the impacts of population growth, for monitoring changes and for planning interventions. WorldPop aims to meet these needs through the provision of detailed and open access spatial demographic datasets built using transparent approaches. The Scientific Data WorldPop collection brings together descriptor papers on these datasets and is introduced here.","DOI":"10.1038/sdata.2017.4","ISSN":"2052-4463","note":"PMID: 28140397\nPMCID: PMC5283060","journalAbbreviation":"Sci Data","language":"eng","author":[{"family":"Tatem","given":"Andrew J."}],"issued":{"date-parts":[["2017"]],"season":"31"}}}],"schema":"https://github.com/citation-style-language/schema/raw/master/csl-citation.json"} </w:instrText>
      </w:r>
      <w:r w:rsidR="00BD0013" w:rsidRPr="000371AA">
        <w:rPr>
          <w:rFonts w:ascii="Arial" w:hAnsi="Arial" w:cs="Arial"/>
        </w:rPr>
        <w:fldChar w:fldCharType="separate"/>
      </w:r>
      <w:r w:rsidR="00BD0013" w:rsidRPr="000371AA">
        <w:rPr>
          <w:rFonts w:ascii="Arial" w:hAnsi="Arial" w:cs="Arial"/>
        </w:rPr>
        <w:t>[1]</w:t>
      </w:r>
      <w:r w:rsidR="00BD0013" w:rsidRPr="000371AA">
        <w:rPr>
          <w:rFonts w:ascii="Arial" w:hAnsi="Arial" w:cs="Arial"/>
        </w:rPr>
        <w:fldChar w:fldCharType="end"/>
      </w:r>
      <w:r w:rsidRPr="000371AA">
        <w:rPr>
          <w:rFonts w:ascii="Arial" w:hAnsi="Arial" w:cs="Arial"/>
        </w:rPr>
        <w:t>. Linear interpolation was performed for values between census 2000 and census 2010</w:t>
      </w:r>
      <w:r w:rsidR="00A34921" w:rsidRPr="000371AA">
        <w:rPr>
          <w:rFonts w:ascii="Arial" w:hAnsi="Arial" w:cs="Arial"/>
        </w:rPr>
        <w:t xml:space="preserve"> and linear trends continued for years </w:t>
      </w:r>
      <w:r w:rsidR="0007697C" w:rsidRPr="001F783A">
        <w:rPr>
          <w:rFonts w:ascii="Arial" w:hAnsi="Arial" w:cs="Arial"/>
        </w:rPr>
        <w:t>2011-2015</w:t>
      </w:r>
      <w:r w:rsidRPr="001F783A">
        <w:rPr>
          <w:rFonts w:ascii="Arial" w:hAnsi="Arial" w:cs="Arial"/>
        </w:rPr>
        <w:t>.</w:t>
      </w:r>
    </w:p>
    <w:p w14:paraId="12926056" w14:textId="7D8EAC8C" w:rsidR="000F090D" w:rsidRPr="004C33E0" w:rsidRDefault="00E93D47" w:rsidP="004C33E0">
      <w:pPr>
        <w:pStyle w:val="Heading2"/>
        <w:rPr>
          <w:rFonts w:ascii="Arial" w:hAnsi="Arial" w:cs="Arial"/>
        </w:rPr>
      </w:pPr>
      <w:bookmarkStart w:id="8" w:name="_Toc516066489"/>
      <w:r w:rsidRPr="004C33E0">
        <w:rPr>
          <w:rFonts w:ascii="Arial" w:hAnsi="Arial" w:cs="Arial"/>
        </w:rPr>
        <w:t xml:space="preserve">1.4 </w:t>
      </w:r>
      <w:r w:rsidR="000F090D" w:rsidRPr="004C33E0">
        <w:rPr>
          <w:rFonts w:ascii="Arial" w:hAnsi="Arial" w:cs="Arial"/>
        </w:rPr>
        <w:t>Model comparison using different sets of covariates</w:t>
      </w:r>
      <w:bookmarkEnd w:id="8"/>
    </w:p>
    <w:p w14:paraId="43060514" w14:textId="534104BC" w:rsidR="00E15EA7" w:rsidRPr="004A724E" w:rsidRDefault="000371AA" w:rsidP="00E15EA7">
      <w:pPr>
        <w:pStyle w:val="NoSpacing"/>
        <w:rPr>
          <w:rFonts w:ascii="Arial" w:hAnsi="Arial" w:cs="Arial"/>
        </w:rPr>
      </w:pPr>
      <w:r w:rsidRPr="004A724E">
        <w:rPr>
          <w:rFonts w:ascii="Arial" w:hAnsi="Arial" w:cs="Arial"/>
        </w:rPr>
        <w:t>Table S3</w:t>
      </w:r>
    </w:p>
    <w:tbl>
      <w:tblPr>
        <w:tblStyle w:val="TableGrid"/>
        <w:tblW w:w="0" w:type="auto"/>
        <w:tblLook w:val="04A0" w:firstRow="1" w:lastRow="0" w:firstColumn="1" w:lastColumn="0" w:noHBand="0" w:noVBand="1"/>
      </w:tblPr>
      <w:tblGrid>
        <w:gridCol w:w="1705"/>
        <w:gridCol w:w="5940"/>
        <w:gridCol w:w="938"/>
        <w:gridCol w:w="2572"/>
        <w:gridCol w:w="1388"/>
      </w:tblGrid>
      <w:tr w:rsidR="009A6D9C" w:rsidRPr="004A724E" w14:paraId="55453CF1" w14:textId="77777777" w:rsidTr="009A6D9C">
        <w:tc>
          <w:tcPr>
            <w:tcW w:w="1705" w:type="dxa"/>
          </w:tcPr>
          <w:p w14:paraId="58FD9E7D" w14:textId="7E3D1554" w:rsidR="009A6D9C" w:rsidRPr="004A724E" w:rsidRDefault="009A6D9C" w:rsidP="009A6D9C">
            <w:pPr>
              <w:pStyle w:val="NoSpacing"/>
              <w:rPr>
                <w:rFonts w:ascii="Arial" w:hAnsi="Arial" w:cs="Arial"/>
              </w:rPr>
            </w:pPr>
            <w:r>
              <w:rPr>
                <w:rFonts w:ascii="Arial" w:hAnsi="Arial" w:cs="Arial"/>
              </w:rPr>
              <w:t>Outcome</w:t>
            </w:r>
          </w:p>
        </w:tc>
        <w:tc>
          <w:tcPr>
            <w:tcW w:w="5940" w:type="dxa"/>
          </w:tcPr>
          <w:p w14:paraId="14B61387" w14:textId="667F9B00" w:rsidR="009A6D9C" w:rsidRPr="004A724E" w:rsidRDefault="009A6D9C" w:rsidP="00A74610">
            <w:pPr>
              <w:pStyle w:val="NoSpacing"/>
              <w:rPr>
                <w:rFonts w:ascii="Arial" w:hAnsi="Arial" w:cs="Arial"/>
              </w:rPr>
            </w:pPr>
            <w:r>
              <w:rPr>
                <w:rFonts w:ascii="Arial" w:hAnsi="Arial" w:cs="Arial"/>
              </w:rPr>
              <w:t>Comparison</w:t>
            </w:r>
          </w:p>
        </w:tc>
        <w:tc>
          <w:tcPr>
            <w:tcW w:w="938" w:type="dxa"/>
          </w:tcPr>
          <w:p w14:paraId="391316B3" w14:textId="77777777" w:rsidR="009A6D9C" w:rsidRPr="004A724E" w:rsidRDefault="009A6D9C" w:rsidP="00A74610">
            <w:pPr>
              <w:pStyle w:val="NoSpacing"/>
              <w:rPr>
                <w:rFonts w:ascii="Arial" w:hAnsi="Arial" w:cs="Arial"/>
              </w:rPr>
            </w:pPr>
            <w:r w:rsidRPr="004A724E">
              <w:rPr>
                <w:rFonts w:ascii="Arial" w:hAnsi="Arial" w:cs="Arial"/>
              </w:rPr>
              <w:t>CI overlap</w:t>
            </w:r>
          </w:p>
        </w:tc>
        <w:tc>
          <w:tcPr>
            <w:tcW w:w="2572" w:type="dxa"/>
          </w:tcPr>
          <w:p w14:paraId="2C5AA58C" w14:textId="23608425" w:rsidR="009A6D9C" w:rsidRPr="004A724E" w:rsidRDefault="009A6D9C" w:rsidP="009A6D9C">
            <w:pPr>
              <w:pStyle w:val="NoSpacing"/>
              <w:rPr>
                <w:rFonts w:ascii="Arial" w:hAnsi="Arial" w:cs="Arial"/>
              </w:rPr>
            </w:pPr>
            <w:r>
              <w:rPr>
                <w:rFonts w:ascii="Arial" w:hAnsi="Arial" w:cs="Arial"/>
              </w:rPr>
              <w:t>Mean relative difference in point estimates</w:t>
            </w:r>
          </w:p>
        </w:tc>
        <w:tc>
          <w:tcPr>
            <w:tcW w:w="1388" w:type="dxa"/>
          </w:tcPr>
          <w:p w14:paraId="2C8DC181" w14:textId="77777777" w:rsidR="009A6D9C" w:rsidRPr="004A724E" w:rsidRDefault="009A6D9C" w:rsidP="00A74610">
            <w:pPr>
              <w:pStyle w:val="NoSpacing"/>
              <w:rPr>
                <w:rFonts w:ascii="Arial" w:hAnsi="Arial" w:cs="Arial"/>
              </w:rPr>
            </w:pPr>
            <w:r w:rsidRPr="004A724E">
              <w:rPr>
                <w:rFonts w:ascii="Arial" w:hAnsi="Arial" w:cs="Arial"/>
              </w:rPr>
              <w:t>Correlation</w:t>
            </w:r>
          </w:p>
        </w:tc>
      </w:tr>
      <w:tr w:rsidR="009A6D9C" w:rsidRPr="004A724E" w14:paraId="06C080A8" w14:textId="77777777" w:rsidTr="009A6D9C">
        <w:tc>
          <w:tcPr>
            <w:tcW w:w="1705" w:type="dxa"/>
          </w:tcPr>
          <w:p w14:paraId="5C3FC38A" w14:textId="7552FAFD" w:rsidR="009A6D9C" w:rsidRPr="004A724E" w:rsidRDefault="009A6D9C" w:rsidP="00A74610">
            <w:pPr>
              <w:pStyle w:val="NoSpacing"/>
              <w:rPr>
                <w:rFonts w:ascii="Arial" w:hAnsi="Arial" w:cs="Arial"/>
              </w:rPr>
            </w:pPr>
            <w:r>
              <w:rPr>
                <w:rFonts w:ascii="Arial" w:hAnsi="Arial" w:cs="Arial"/>
              </w:rPr>
              <w:t>TB mortality</w:t>
            </w:r>
          </w:p>
        </w:tc>
        <w:tc>
          <w:tcPr>
            <w:tcW w:w="5940" w:type="dxa"/>
          </w:tcPr>
          <w:p w14:paraId="6F4E9E2B" w14:textId="49D33E32" w:rsidR="009A6D9C" w:rsidRPr="004A724E" w:rsidRDefault="009A6D9C" w:rsidP="009A6D9C">
            <w:pPr>
              <w:pStyle w:val="NoSpacing"/>
              <w:rPr>
                <w:rFonts w:ascii="Arial" w:hAnsi="Arial" w:cs="Arial"/>
              </w:rPr>
            </w:pPr>
            <w:r>
              <w:rPr>
                <w:rFonts w:ascii="Arial" w:hAnsi="Arial" w:cs="Arial"/>
              </w:rPr>
              <w:t>Municipal-level covariates only or municipal and state-level covariates</w:t>
            </w:r>
          </w:p>
        </w:tc>
        <w:tc>
          <w:tcPr>
            <w:tcW w:w="938" w:type="dxa"/>
          </w:tcPr>
          <w:p w14:paraId="5AAB8E23" w14:textId="77777777" w:rsidR="009A6D9C" w:rsidRPr="004A724E" w:rsidRDefault="009A6D9C" w:rsidP="00A74610">
            <w:pPr>
              <w:pStyle w:val="NoSpacing"/>
              <w:rPr>
                <w:rFonts w:ascii="Arial" w:hAnsi="Arial" w:cs="Arial"/>
              </w:rPr>
            </w:pPr>
            <w:r w:rsidRPr="004A724E">
              <w:rPr>
                <w:rFonts w:ascii="Arial" w:hAnsi="Arial" w:cs="Arial"/>
              </w:rPr>
              <w:t>all</w:t>
            </w:r>
          </w:p>
        </w:tc>
        <w:tc>
          <w:tcPr>
            <w:tcW w:w="2572" w:type="dxa"/>
          </w:tcPr>
          <w:p w14:paraId="0278B11B" w14:textId="77777777" w:rsidR="009A6D9C" w:rsidRPr="004A724E" w:rsidRDefault="009A6D9C" w:rsidP="00A74610">
            <w:pPr>
              <w:pStyle w:val="NoSpacing"/>
              <w:rPr>
                <w:rFonts w:ascii="Arial" w:hAnsi="Arial" w:cs="Arial"/>
              </w:rPr>
            </w:pPr>
            <w:r w:rsidRPr="004A724E">
              <w:rPr>
                <w:rFonts w:ascii="Arial" w:hAnsi="Arial" w:cs="Arial"/>
              </w:rPr>
              <w:t>0.0076</w:t>
            </w:r>
          </w:p>
        </w:tc>
        <w:tc>
          <w:tcPr>
            <w:tcW w:w="1388" w:type="dxa"/>
          </w:tcPr>
          <w:p w14:paraId="6B2F0ADC" w14:textId="77777777" w:rsidR="009A6D9C" w:rsidRPr="004A724E" w:rsidRDefault="009A6D9C" w:rsidP="00A74610">
            <w:pPr>
              <w:pStyle w:val="NoSpacing"/>
              <w:rPr>
                <w:rFonts w:ascii="Arial" w:hAnsi="Arial" w:cs="Arial"/>
              </w:rPr>
            </w:pPr>
            <w:r w:rsidRPr="004A724E">
              <w:rPr>
                <w:rFonts w:ascii="Arial" w:hAnsi="Arial" w:cs="Arial"/>
              </w:rPr>
              <w:t>0.99903</w:t>
            </w:r>
          </w:p>
        </w:tc>
      </w:tr>
      <w:tr w:rsidR="009A6D9C" w:rsidRPr="004A724E" w14:paraId="3AA9500D" w14:textId="77777777" w:rsidTr="009A6D9C">
        <w:tc>
          <w:tcPr>
            <w:tcW w:w="1705" w:type="dxa"/>
          </w:tcPr>
          <w:p w14:paraId="22145246" w14:textId="4361C3DC" w:rsidR="009A6D9C" w:rsidRPr="004A724E" w:rsidRDefault="009A6D9C" w:rsidP="009A6D9C">
            <w:pPr>
              <w:pStyle w:val="NoSpacing"/>
              <w:rPr>
                <w:rFonts w:ascii="Arial" w:hAnsi="Arial" w:cs="Arial"/>
              </w:rPr>
            </w:pPr>
            <w:r>
              <w:rPr>
                <w:rFonts w:ascii="Arial" w:hAnsi="Arial" w:cs="Arial"/>
              </w:rPr>
              <w:t>HIV mortality</w:t>
            </w:r>
          </w:p>
        </w:tc>
        <w:tc>
          <w:tcPr>
            <w:tcW w:w="5940" w:type="dxa"/>
          </w:tcPr>
          <w:p w14:paraId="55CFB5B8" w14:textId="346558D5" w:rsidR="009A6D9C" w:rsidRPr="004A724E" w:rsidRDefault="009A6D9C" w:rsidP="009A6D9C">
            <w:pPr>
              <w:pStyle w:val="NoSpacing"/>
              <w:rPr>
                <w:rFonts w:ascii="Arial" w:hAnsi="Arial" w:cs="Arial"/>
              </w:rPr>
            </w:pPr>
            <w:r>
              <w:rPr>
                <w:rFonts w:ascii="Arial" w:hAnsi="Arial" w:cs="Arial"/>
              </w:rPr>
              <w:t>Municipal-level covariates only or municipal and state-level covariates</w:t>
            </w:r>
          </w:p>
        </w:tc>
        <w:tc>
          <w:tcPr>
            <w:tcW w:w="938" w:type="dxa"/>
          </w:tcPr>
          <w:p w14:paraId="4146E959" w14:textId="354D93E4" w:rsidR="009A6D9C" w:rsidRPr="004A724E" w:rsidRDefault="009A6D9C" w:rsidP="009A6D9C">
            <w:pPr>
              <w:pStyle w:val="NoSpacing"/>
              <w:rPr>
                <w:rFonts w:ascii="Arial" w:hAnsi="Arial" w:cs="Arial"/>
              </w:rPr>
            </w:pPr>
            <w:r w:rsidRPr="004A724E">
              <w:rPr>
                <w:rFonts w:ascii="Arial" w:hAnsi="Arial" w:cs="Arial"/>
              </w:rPr>
              <w:t>all</w:t>
            </w:r>
          </w:p>
        </w:tc>
        <w:tc>
          <w:tcPr>
            <w:tcW w:w="2572" w:type="dxa"/>
          </w:tcPr>
          <w:p w14:paraId="5872C0DD" w14:textId="503DE9AA" w:rsidR="009A6D9C" w:rsidRPr="004A724E" w:rsidRDefault="009A6D9C" w:rsidP="009A6D9C">
            <w:pPr>
              <w:pStyle w:val="NoSpacing"/>
              <w:rPr>
                <w:rFonts w:ascii="Arial" w:hAnsi="Arial" w:cs="Arial"/>
              </w:rPr>
            </w:pPr>
            <w:r w:rsidRPr="004A724E">
              <w:rPr>
                <w:rFonts w:ascii="Arial" w:hAnsi="Arial" w:cs="Arial"/>
              </w:rPr>
              <w:t>&lt;0.001</w:t>
            </w:r>
          </w:p>
        </w:tc>
        <w:tc>
          <w:tcPr>
            <w:tcW w:w="1388" w:type="dxa"/>
          </w:tcPr>
          <w:p w14:paraId="455DCDB4" w14:textId="2E3E1813" w:rsidR="009A6D9C" w:rsidRPr="004A724E" w:rsidRDefault="009A6D9C" w:rsidP="009A6D9C">
            <w:pPr>
              <w:pStyle w:val="NoSpacing"/>
              <w:rPr>
                <w:rFonts w:ascii="Arial" w:hAnsi="Arial" w:cs="Arial"/>
              </w:rPr>
            </w:pPr>
            <w:r w:rsidRPr="004A724E">
              <w:rPr>
                <w:rFonts w:ascii="Arial" w:hAnsi="Arial" w:cs="Arial"/>
              </w:rPr>
              <w:t>0.99968</w:t>
            </w:r>
          </w:p>
        </w:tc>
      </w:tr>
      <w:tr w:rsidR="009A6D9C" w:rsidRPr="004A724E" w14:paraId="1FE00078" w14:textId="77777777" w:rsidTr="009A6D9C">
        <w:tc>
          <w:tcPr>
            <w:tcW w:w="1705" w:type="dxa"/>
          </w:tcPr>
          <w:p w14:paraId="0C70DE83" w14:textId="7A87379B" w:rsidR="009A6D9C" w:rsidRPr="004A724E" w:rsidRDefault="009A6D9C" w:rsidP="009A6D9C">
            <w:pPr>
              <w:pStyle w:val="NoSpacing"/>
              <w:rPr>
                <w:rFonts w:ascii="Arial" w:hAnsi="Arial" w:cs="Arial"/>
              </w:rPr>
            </w:pPr>
            <w:r>
              <w:rPr>
                <w:rFonts w:ascii="Arial" w:hAnsi="Arial" w:cs="Arial"/>
              </w:rPr>
              <w:t>TB mortality</w:t>
            </w:r>
          </w:p>
        </w:tc>
        <w:tc>
          <w:tcPr>
            <w:tcW w:w="5940" w:type="dxa"/>
          </w:tcPr>
          <w:p w14:paraId="7FDECB17" w14:textId="085EB6E6" w:rsidR="009A6D9C" w:rsidRPr="004A724E" w:rsidRDefault="009A6D9C" w:rsidP="009A6D9C">
            <w:pPr>
              <w:pStyle w:val="NoSpacing"/>
              <w:rPr>
                <w:rFonts w:ascii="Arial" w:hAnsi="Arial" w:cs="Arial"/>
              </w:rPr>
            </w:pPr>
            <w:r>
              <w:rPr>
                <w:rFonts w:ascii="Arial" w:hAnsi="Arial" w:cs="Arial"/>
              </w:rPr>
              <w:t>Prison covariate measured as proportion of population incarcerated versus presence/absence of a prison</w:t>
            </w:r>
          </w:p>
        </w:tc>
        <w:tc>
          <w:tcPr>
            <w:tcW w:w="938" w:type="dxa"/>
          </w:tcPr>
          <w:p w14:paraId="181A71A1" w14:textId="670FFE7B" w:rsidR="009A6D9C" w:rsidRPr="004A724E" w:rsidRDefault="009A6D9C" w:rsidP="009A6D9C">
            <w:pPr>
              <w:pStyle w:val="NoSpacing"/>
              <w:rPr>
                <w:rFonts w:ascii="Arial" w:hAnsi="Arial" w:cs="Arial"/>
              </w:rPr>
            </w:pPr>
            <w:r>
              <w:rPr>
                <w:rFonts w:ascii="Arial" w:hAnsi="Arial" w:cs="Arial"/>
              </w:rPr>
              <w:t>all</w:t>
            </w:r>
          </w:p>
        </w:tc>
        <w:tc>
          <w:tcPr>
            <w:tcW w:w="2572" w:type="dxa"/>
          </w:tcPr>
          <w:p w14:paraId="4985EA1B" w14:textId="1EE642CC" w:rsidR="009A6D9C" w:rsidRPr="004A724E" w:rsidRDefault="009A6D9C" w:rsidP="009A6D9C">
            <w:pPr>
              <w:pStyle w:val="NoSpacing"/>
              <w:rPr>
                <w:rFonts w:ascii="Arial" w:hAnsi="Arial" w:cs="Arial"/>
              </w:rPr>
            </w:pPr>
            <w:r>
              <w:rPr>
                <w:rFonts w:ascii="Arial" w:hAnsi="Arial" w:cs="Arial"/>
              </w:rPr>
              <w:t>0.038</w:t>
            </w:r>
          </w:p>
        </w:tc>
        <w:tc>
          <w:tcPr>
            <w:tcW w:w="1388" w:type="dxa"/>
          </w:tcPr>
          <w:p w14:paraId="3172E5A0" w14:textId="12628F3F" w:rsidR="009A6D9C" w:rsidRPr="004A724E" w:rsidRDefault="009A6D9C" w:rsidP="009A6D9C">
            <w:pPr>
              <w:pStyle w:val="NoSpacing"/>
              <w:rPr>
                <w:rFonts w:ascii="Arial" w:hAnsi="Arial" w:cs="Arial"/>
              </w:rPr>
            </w:pPr>
            <w:r>
              <w:rPr>
                <w:rFonts w:ascii="Arial" w:hAnsi="Arial" w:cs="Arial"/>
              </w:rPr>
              <w:t>0.99931</w:t>
            </w:r>
          </w:p>
        </w:tc>
      </w:tr>
      <w:tr w:rsidR="009A6D9C" w:rsidRPr="004A724E" w14:paraId="7A8DE9B4" w14:textId="77777777" w:rsidTr="009A6D9C">
        <w:tc>
          <w:tcPr>
            <w:tcW w:w="1705" w:type="dxa"/>
          </w:tcPr>
          <w:p w14:paraId="6F7ED129" w14:textId="6CAB0572" w:rsidR="009A6D9C" w:rsidRPr="004A724E" w:rsidRDefault="009A6D9C" w:rsidP="009A6D9C">
            <w:pPr>
              <w:pStyle w:val="NoSpacing"/>
              <w:rPr>
                <w:rFonts w:ascii="Arial" w:hAnsi="Arial" w:cs="Arial"/>
              </w:rPr>
            </w:pPr>
            <w:r>
              <w:rPr>
                <w:rFonts w:ascii="Arial" w:hAnsi="Arial" w:cs="Arial"/>
              </w:rPr>
              <w:t>HIV mortality</w:t>
            </w:r>
          </w:p>
        </w:tc>
        <w:tc>
          <w:tcPr>
            <w:tcW w:w="5940" w:type="dxa"/>
          </w:tcPr>
          <w:p w14:paraId="5F208055" w14:textId="574E4452" w:rsidR="009A6D9C" w:rsidRPr="004A724E" w:rsidRDefault="009A6D9C" w:rsidP="009A6D9C">
            <w:pPr>
              <w:pStyle w:val="NoSpacing"/>
              <w:rPr>
                <w:rFonts w:ascii="Arial" w:hAnsi="Arial" w:cs="Arial"/>
              </w:rPr>
            </w:pPr>
            <w:r>
              <w:rPr>
                <w:rFonts w:ascii="Arial" w:hAnsi="Arial" w:cs="Arial"/>
              </w:rPr>
              <w:t>Prison covariate measured as proportion of population incarcerated versus presence/absence of a prison</w:t>
            </w:r>
          </w:p>
        </w:tc>
        <w:tc>
          <w:tcPr>
            <w:tcW w:w="938" w:type="dxa"/>
          </w:tcPr>
          <w:p w14:paraId="4DC4E531" w14:textId="520564DC" w:rsidR="009A6D9C" w:rsidRPr="004A724E" w:rsidRDefault="009A6D9C" w:rsidP="009A6D9C">
            <w:pPr>
              <w:pStyle w:val="NoSpacing"/>
              <w:rPr>
                <w:rFonts w:ascii="Arial" w:hAnsi="Arial" w:cs="Arial"/>
              </w:rPr>
            </w:pPr>
            <w:r w:rsidRPr="004A724E">
              <w:rPr>
                <w:rFonts w:ascii="Arial" w:hAnsi="Arial" w:cs="Arial"/>
              </w:rPr>
              <w:t>all</w:t>
            </w:r>
          </w:p>
        </w:tc>
        <w:tc>
          <w:tcPr>
            <w:tcW w:w="2572" w:type="dxa"/>
          </w:tcPr>
          <w:p w14:paraId="15996EEE" w14:textId="1757537C" w:rsidR="009A6D9C" w:rsidRPr="004A724E" w:rsidRDefault="009A6D9C" w:rsidP="009A6D9C">
            <w:pPr>
              <w:pStyle w:val="NoSpacing"/>
              <w:rPr>
                <w:rFonts w:ascii="Arial" w:hAnsi="Arial" w:cs="Arial"/>
              </w:rPr>
            </w:pPr>
            <w:r w:rsidRPr="004A724E">
              <w:rPr>
                <w:rFonts w:ascii="Arial" w:hAnsi="Arial" w:cs="Arial"/>
              </w:rPr>
              <w:t>0</w:t>
            </w:r>
            <w:r>
              <w:rPr>
                <w:rFonts w:ascii="Arial" w:hAnsi="Arial" w:cs="Arial"/>
              </w:rPr>
              <w:t>.151</w:t>
            </w:r>
          </w:p>
        </w:tc>
        <w:tc>
          <w:tcPr>
            <w:tcW w:w="1388" w:type="dxa"/>
          </w:tcPr>
          <w:p w14:paraId="3A416A0B" w14:textId="784F3BBE" w:rsidR="009A6D9C" w:rsidRPr="004A724E" w:rsidRDefault="009A6D9C" w:rsidP="009A6D9C">
            <w:pPr>
              <w:pStyle w:val="NoSpacing"/>
              <w:rPr>
                <w:rFonts w:ascii="Arial" w:hAnsi="Arial" w:cs="Arial"/>
              </w:rPr>
            </w:pPr>
            <w:r>
              <w:rPr>
                <w:rFonts w:ascii="Arial" w:hAnsi="Arial" w:cs="Arial"/>
              </w:rPr>
              <w:t>0.99697</w:t>
            </w:r>
          </w:p>
        </w:tc>
      </w:tr>
      <w:tr w:rsidR="009A6D9C" w:rsidRPr="004A724E" w14:paraId="56C71916" w14:textId="77777777" w:rsidTr="009A6D9C">
        <w:tc>
          <w:tcPr>
            <w:tcW w:w="1705" w:type="dxa"/>
          </w:tcPr>
          <w:p w14:paraId="314BAA0F" w14:textId="336502E2" w:rsidR="009A6D9C" w:rsidRPr="004A724E" w:rsidRDefault="009A6D9C" w:rsidP="009A6D9C">
            <w:pPr>
              <w:pStyle w:val="NoSpacing"/>
              <w:rPr>
                <w:rFonts w:ascii="Arial" w:hAnsi="Arial" w:cs="Arial"/>
              </w:rPr>
            </w:pPr>
            <w:r>
              <w:rPr>
                <w:rFonts w:ascii="Arial" w:hAnsi="Arial" w:cs="Arial"/>
              </w:rPr>
              <w:t>TB mortality</w:t>
            </w:r>
          </w:p>
        </w:tc>
        <w:tc>
          <w:tcPr>
            <w:tcW w:w="5940" w:type="dxa"/>
          </w:tcPr>
          <w:p w14:paraId="11C7937E" w14:textId="033E70D5" w:rsidR="009A6D9C" w:rsidRPr="004A724E" w:rsidRDefault="009A6D9C" w:rsidP="009A6D9C">
            <w:pPr>
              <w:pStyle w:val="NoSpacing"/>
              <w:rPr>
                <w:rFonts w:ascii="Arial" w:hAnsi="Arial" w:cs="Arial"/>
              </w:rPr>
            </w:pPr>
            <w:r>
              <w:rPr>
                <w:rFonts w:ascii="Arial" w:hAnsi="Arial" w:cs="Arial"/>
              </w:rPr>
              <w:t>Municipal level covariates including population density versus municipal-level covariates with household crowding</w:t>
            </w:r>
          </w:p>
        </w:tc>
        <w:tc>
          <w:tcPr>
            <w:tcW w:w="938" w:type="dxa"/>
          </w:tcPr>
          <w:p w14:paraId="31436469" w14:textId="2F258AAA" w:rsidR="009A6D9C" w:rsidRPr="004A724E" w:rsidRDefault="009A6D9C" w:rsidP="009A6D9C">
            <w:pPr>
              <w:pStyle w:val="NoSpacing"/>
              <w:rPr>
                <w:rFonts w:ascii="Arial" w:hAnsi="Arial" w:cs="Arial"/>
              </w:rPr>
            </w:pPr>
            <w:r w:rsidRPr="004A724E">
              <w:rPr>
                <w:rFonts w:ascii="Arial" w:hAnsi="Arial" w:cs="Arial"/>
              </w:rPr>
              <w:t>all</w:t>
            </w:r>
          </w:p>
        </w:tc>
        <w:tc>
          <w:tcPr>
            <w:tcW w:w="2572" w:type="dxa"/>
          </w:tcPr>
          <w:p w14:paraId="016FDCBA" w14:textId="5E5EACB3" w:rsidR="009A6D9C" w:rsidRPr="004A724E" w:rsidRDefault="009A6D9C" w:rsidP="009A6D9C">
            <w:pPr>
              <w:pStyle w:val="NoSpacing"/>
              <w:rPr>
                <w:rFonts w:ascii="Arial" w:hAnsi="Arial" w:cs="Arial"/>
              </w:rPr>
            </w:pPr>
            <w:r w:rsidRPr="004A724E">
              <w:rPr>
                <w:rFonts w:ascii="Arial" w:hAnsi="Arial" w:cs="Arial"/>
              </w:rPr>
              <w:t>-0.0053</w:t>
            </w:r>
          </w:p>
        </w:tc>
        <w:tc>
          <w:tcPr>
            <w:tcW w:w="1388" w:type="dxa"/>
          </w:tcPr>
          <w:p w14:paraId="3B73711C" w14:textId="460CA60F" w:rsidR="009A6D9C" w:rsidRPr="004A724E" w:rsidRDefault="009A6D9C" w:rsidP="009A6D9C">
            <w:pPr>
              <w:pStyle w:val="NoSpacing"/>
              <w:rPr>
                <w:rFonts w:ascii="Arial" w:hAnsi="Arial" w:cs="Arial"/>
              </w:rPr>
            </w:pPr>
            <w:r w:rsidRPr="004A724E">
              <w:rPr>
                <w:rFonts w:ascii="Arial" w:hAnsi="Arial" w:cs="Arial"/>
              </w:rPr>
              <w:t>0.99757</w:t>
            </w:r>
          </w:p>
        </w:tc>
      </w:tr>
      <w:tr w:rsidR="009A6D9C" w:rsidRPr="004A724E" w14:paraId="6637E093" w14:textId="77777777" w:rsidTr="009A6D9C">
        <w:tc>
          <w:tcPr>
            <w:tcW w:w="1705" w:type="dxa"/>
          </w:tcPr>
          <w:p w14:paraId="2F1A4519" w14:textId="52F5D98C" w:rsidR="009A6D9C" w:rsidRPr="004A724E" w:rsidRDefault="009A6D9C" w:rsidP="009A6D9C">
            <w:pPr>
              <w:pStyle w:val="NoSpacing"/>
              <w:rPr>
                <w:rFonts w:ascii="Arial" w:hAnsi="Arial" w:cs="Arial"/>
              </w:rPr>
            </w:pPr>
            <w:r>
              <w:rPr>
                <w:rFonts w:ascii="Arial" w:hAnsi="Arial" w:cs="Arial"/>
              </w:rPr>
              <w:t>HIV mortality</w:t>
            </w:r>
          </w:p>
        </w:tc>
        <w:tc>
          <w:tcPr>
            <w:tcW w:w="5940" w:type="dxa"/>
          </w:tcPr>
          <w:p w14:paraId="4075AA22" w14:textId="52D5E828" w:rsidR="009A6D9C" w:rsidRPr="004A724E" w:rsidRDefault="009A6D9C" w:rsidP="009A6D9C">
            <w:pPr>
              <w:pStyle w:val="NoSpacing"/>
              <w:rPr>
                <w:rFonts w:ascii="Arial" w:hAnsi="Arial" w:cs="Arial"/>
              </w:rPr>
            </w:pPr>
            <w:r>
              <w:rPr>
                <w:rFonts w:ascii="Arial" w:hAnsi="Arial" w:cs="Arial"/>
              </w:rPr>
              <w:t>Municipal level covariates including population density versus municipal-level covariates with household crowding</w:t>
            </w:r>
          </w:p>
        </w:tc>
        <w:tc>
          <w:tcPr>
            <w:tcW w:w="938" w:type="dxa"/>
          </w:tcPr>
          <w:p w14:paraId="0C58A662" w14:textId="0D2104D6" w:rsidR="009A6D9C" w:rsidRPr="004A724E" w:rsidRDefault="009A6D9C" w:rsidP="009A6D9C">
            <w:pPr>
              <w:pStyle w:val="NoSpacing"/>
              <w:rPr>
                <w:rFonts w:ascii="Arial" w:hAnsi="Arial" w:cs="Arial"/>
              </w:rPr>
            </w:pPr>
            <w:r w:rsidRPr="004A724E">
              <w:rPr>
                <w:rFonts w:ascii="Arial" w:hAnsi="Arial" w:cs="Arial"/>
              </w:rPr>
              <w:t>all</w:t>
            </w:r>
          </w:p>
        </w:tc>
        <w:tc>
          <w:tcPr>
            <w:tcW w:w="2572" w:type="dxa"/>
          </w:tcPr>
          <w:p w14:paraId="3FF3AC48" w14:textId="101B4D2C" w:rsidR="009A6D9C" w:rsidRPr="004A724E" w:rsidRDefault="009A6D9C" w:rsidP="009A6D9C">
            <w:pPr>
              <w:pStyle w:val="NoSpacing"/>
              <w:rPr>
                <w:rFonts w:ascii="Arial" w:hAnsi="Arial" w:cs="Arial"/>
              </w:rPr>
            </w:pPr>
            <w:r w:rsidRPr="004A724E">
              <w:rPr>
                <w:rFonts w:ascii="Arial" w:hAnsi="Arial" w:cs="Arial"/>
              </w:rPr>
              <w:t>0.0174</w:t>
            </w:r>
          </w:p>
        </w:tc>
        <w:tc>
          <w:tcPr>
            <w:tcW w:w="1388" w:type="dxa"/>
          </w:tcPr>
          <w:p w14:paraId="02252638" w14:textId="5C9B0DD7" w:rsidR="009A6D9C" w:rsidRPr="004A724E" w:rsidRDefault="009A6D9C" w:rsidP="009A6D9C">
            <w:pPr>
              <w:pStyle w:val="NoSpacing"/>
              <w:rPr>
                <w:rFonts w:ascii="Arial" w:hAnsi="Arial" w:cs="Arial"/>
              </w:rPr>
            </w:pPr>
            <w:r w:rsidRPr="004A724E">
              <w:rPr>
                <w:rFonts w:ascii="Arial" w:hAnsi="Arial" w:cs="Arial"/>
              </w:rPr>
              <w:t>0.99762</w:t>
            </w:r>
          </w:p>
        </w:tc>
      </w:tr>
    </w:tbl>
    <w:p w14:paraId="2973BB0D" w14:textId="4144A78D" w:rsidR="000F090D" w:rsidRPr="000371AA" w:rsidRDefault="000F090D" w:rsidP="00313D37">
      <w:pPr>
        <w:pStyle w:val="Header"/>
        <w:spacing w:line="480" w:lineRule="auto"/>
        <w:rPr>
          <w:rFonts w:ascii="Arial" w:hAnsi="Arial" w:cs="Arial"/>
        </w:rPr>
      </w:pPr>
    </w:p>
    <w:p w14:paraId="01DC9D60" w14:textId="77777777" w:rsidR="00E15EA7" w:rsidRPr="000371AA" w:rsidRDefault="00E15EA7" w:rsidP="00313D37">
      <w:pPr>
        <w:pStyle w:val="Header"/>
        <w:spacing w:line="480" w:lineRule="auto"/>
        <w:rPr>
          <w:rFonts w:ascii="Arial" w:hAnsi="Arial" w:cs="Arial"/>
        </w:rPr>
        <w:sectPr w:rsidR="00E15EA7" w:rsidRPr="000371AA" w:rsidSect="00313D37">
          <w:pgSz w:w="15840" w:h="12240" w:orient="landscape"/>
          <w:pgMar w:top="1440" w:right="1440" w:bottom="1440" w:left="1440" w:header="720" w:footer="720" w:gutter="0"/>
          <w:lnNumType w:countBy="1" w:restart="continuous"/>
          <w:cols w:space="720"/>
          <w:docGrid w:linePitch="360"/>
        </w:sectPr>
      </w:pPr>
    </w:p>
    <w:p w14:paraId="6401C597" w14:textId="0495FC05" w:rsidR="00313D37" w:rsidRPr="004C33E0" w:rsidRDefault="00313D37">
      <w:pPr>
        <w:rPr>
          <w:rFonts w:ascii="Arial" w:eastAsiaTheme="majorEastAsia" w:hAnsi="Arial" w:cs="Arial"/>
          <w:color w:val="2E74B5" w:themeColor="accent1" w:themeShade="BF"/>
          <w:sz w:val="26"/>
          <w:szCs w:val="26"/>
        </w:rPr>
      </w:pPr>
    </w:p>
    <w:p w14:paraId="2DFBEA23" w14:textId="33FD147F" w:rsidR="00EB1D71" w:rsidRPr="004C33E0" w:rsidRDefault="00866315" w:rsidP="005E76D6">
      <w:pPr>
        <w:pStyle w:val="Heading2"/>
        <w:rPr>
          <w:rFonts w:ascii="Arial" w:hAnsi="Arial" w:cs="Arial"/>
        </w:rPr>
      </w:pPr>
      <w:bookmarkStart w:id="9" w:name="_Toc507589370"/>
      <w:bookmarkStart w:id="10" w:name="_Toc516066490"/>
      <w:r w:rsidRPr="004C33E0">
        <w:rPr>
          <w:rFonts w:ascii="Arial" w:hAnsi="Arial" w:cs="Arial"/>
        </w:rPr>
        <w:t>1</w:t>
      </w:r>
      <w:r w:rsidR="00EB1D71" w:rsidRPr="004C33E0">
        <w:rPr>
          <w:rFonts w:ascii="Arial" w:hAnsi="Arial" w:cs="Arial"/>
        </w:rPr>
        <w:t>.</w:t>
      </w:r>
      <w:r w:rsidR="004758C4" w:rsidRPr="004C33E0">
        <w:rPr>
          <w:rFonts w:ascii="Arial" w:hAnsi="Arial" w:cs="Arial"/>
        </w:rPr>
        <w:t>5</w:t>
      </w:r>
      <w:r w:rsidR="00EB1D71" w:rsidRPr="004C33E0">
        <w:rPr>
          <w:rFonts w:ascii="Arial" w:hAnsi="Arial" w:cs="Arial"/>
        </w:rPr>
        <w:t xml:space="preserve"> Model geographies</w:t>
      </w:r>
      <w:bookmarkEnd w:id="9"/>
      <w:bookmarkEnd w:id="10"/>
    </w:p>
    <w:p w14:paraId="3BF05328" w14:textId="3AE717CA" w:rsidR="00EB1D71" w:rsidRPr="000371AA" w:rsidRDefault="00EB1D71" w:rsidP="00EB1D71">
      <w:pPr>
        <w:rPr>
          <w:rFonts w:ascii="Arial" w:hAnsi="Arial" w:cs="Arial"/>
        </w:rPr>
      </w:pPr>
      <w:r w:rsidRPr="000371AA">
        <w:rPr>
          <w:rFonts w:ascii="Arial" w:hAnsi="Arial" w:cs="Arial"/>
        </w:rPr>
        <w:t xml:space="preserve">Fig </w:t>
      </w:r>
      <w:r w:rsidR="00763EB1" w:rsidRPr="00AD32BC">
        <w:rPr>
          <w:rFonts w:ascii="Arial" w:hAnsi="Arial" w:cs="Arial"/>
        </w:rPr>
        <w:t>S1</w:t>
      </w:r>
      <w:r w:rsidRPr="001F783A">
        <w:rPr>
          <w:rFonts w:ascii="Arial" w:hAnsi="Arial" w:cs="Arial"/>
        </w:rPr>
        <w:t>: Map of Brazilian states (n=26) and Federal District (Distrito Federal)</w:t>
      </w:r>
      <w:r w:rsidR="00900791" w:rsidRPr="000371AA">
        <w:rPr>
          <w:rFonts w:ascii="Arial" w:hAnsi="Arial" w:cs="Arial"/>
        </w:rPr>
        <w:fldChar w:fldCharType="begin"/>
      </w:r>
      <w:r w:rsidR="00900791" w:rsidRPr="004C33E0">
        <w:rPr>
          <w:rFonts w:ascii="Arial" w:hAnsi="Arial" w:cs="Arial"/>
        </w:rPr>
        <w:instrText xml:space="preserve"> ADDIN ZOTERO_ITEM CSL_CITATION {"citationID":"ac2a8tp5ve","properties":{"formattedCitation":"[2]","plainCitation":"[2]"},"citationItems":[{"id":287,"uris":["http://zotero.org/users/3759969/items/FSBI449E"],"uri":["http://zotero.org/users/3759969/items/FSBI449E"],"itemData":{"id":287,"type":"book","title":"Global Administrative Unit Layers (GAUL) (GeoLayer).","URL":"http://data.fao.org/ref/f7e7adb0-88fd-11da-a88f-000d939bc5d8.html?version=1.0","author":[{"family":"Food and Agriculture Organization of the United Nations","given":""}],"issued":{"date-parts":[["2015",6,4]]}}}],"schema":"https://github.com/citation-style-language/schema/raw/master/csl-citation.json"} </w:instrText>
      </w:r>
      <w:r w:rsidR="00900791" w:rsidRPr="000371AA">
        <w:rPr>
          <w:rFonts w:ascii="Arial" w:hAnsi="Arial" w:cs="Arial"/>
        </w:rPr>
        <w:fldChar w:fldCharType="separate"/>
      </w:r>
      <w:r w:rsidR="00900791" w:rsidRPr="000371AA">
        <w:rPr>
          <w:rFonts w:ascii="Arial" w:hAnsi="Arial" w:cs="Arial"/>
        </w:rPr>
        <w:t>[2]</w:t>
      </w:r>
      <w:r w:rsidR="00900791" w:rsidRPr="000371AA">
        <w:rPr>
          <w:rFonts w:ascii="Arial" w:hAnsi="Arial" w:cs="Arial"/>
        </w:rPr>
        <w:fldChar w:fldCharType="end"/>
      </w:r>
    </w:p>
    <w:p w14:paraId="4C30E159" w14:textId="4052D5C3" w:rsidR="000957A1" w:rsidRPr="000371AA" w:rsidRDefault="000D509F" w:rsidP="008F5F27">
      <w:pPr>
        <w:rPr>
          <w:rFonts w:ascii="Arial" w:hAnsi="Arial" w:cs="Arial"/>
        </w:rPr>
      </w:pPr>
      <w:r w:rsidRPr="004C33E0">
        <w:rPr>
          <w:rFonts w:ascii="Arial" w:hAnsi="Arial" w:cs="Arial"/>
          <w:noProof/>
          <w:vertAlign w:val="subscript"/>
        </w:rPr>
        <w:drawing>
          <wp:inline distT="0" distB="0" distL="0" distR="0" wp14:anchorId="44DF5FD3" wp14:editId="7D3DC437">
            <wp:extent cx="5472112" cy="4861560"/>
            <wp:effectExtent l="19050" t="19050" r="1460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33"/>
                    <a:stretch/>
                  </pic:blipFill>
                  <pic:spPr bwMode="auto">
                    <a:xfrm>
                      <a:off x="0" y="0"/>
                      <a:ext cx="5472112" cy="48615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596214" w14:textId="3FD05B94" w:rsidR="00D06F40" w:rsidRPr="004C33E0" w:rsidRDefault="00866315" w:rsidP="009E4A1F">
      <w:pPr>
        <w:pStyle w:val="Heading1"/>
        <w:rPr>
          <w:rFonts w:ascii="Arial" w:hAnsi="Arial" w:cs="Arial"/>
        </w:rPr>
      </w:pPr>
      <w:bookmarkStart w:id="11" w:name="_Toc507589371"/>
      <w:bookmarkStart w:id="12" w:name="_Toc516066491"/>
      <w:r w:rsidRPr="004C33E0">
        <w:rPr>
          <w:rFonts w:ascii="Arial" w:hAnsi="Arial" w:cs="Arial"/>
        </w:rPr>
        <w:t>2</w:t>
      </w:r>
      <w:r w:rsidR="00D06F40" w:rsidRPr="004C33E0">
        <w:rPr>
          <w:rFonts w:ascii="Arial" w:hAnsi="Arial" w:cs="Arial"/>
        </w:rPr>
        <w:t>.0 Supplementary Methods</w:t>
      </w:r>
      <w:bookmarkEnd w:id="11"/>
      <w:bookmarkEnd w:id="12"/>
    </w:p>
    <w:p w14:paraId="1A5E88E2" w14:textId="77777777" w:rsidR="0013533B" w:rsidRDefault="0013533B" w:rsidP="005E76D6">
      <w:pPr>
        <w:pStyle w:val="Heading2"/>
        <w:rPr>
          <w:rFonts w:ascii="Arial" w:hAnsi="Arial" w:cs="Arial"/>
          <w:color w:val="auto"/>
          <w:sz w:val="22"/>
          <w:szCs w:val="22"/>
        </w:rPr>
      </w:pPr>
      <w:bookmarkStart w:id="13" w:name="_Toc507589372"/>
      <w:bookmarkStart w:id="14" w:name="_Toc516066492"/>
    </w:p>
    <w:p w14:paraId="175AEC30" w14:textId="42E305B3" w:rsidR="0013533B" w:rsidRPr="0013533B" w:rsidRDefault="0013533B" w:rsidP="005E76D6">
      <w:pPr>
        <w:pStyle w:val="Heading2"/>
        <w:rPr>
          <w:rFonts w:ascii="Arial" w:hAnsi="Arial" w:cs="Arial"/>
          <w:color w:val="auto"/>
          <w:sz w:val="22"/>
          <w:szCs w:val="22"/>
        </w:rPr>
      </w:pPr>
      <w:r w:rsidRPr="0013533B">
        <w:rPr>
          <w:rFonts w:ascii="Arial" w:hAnsi="Arial" w:cs="Arial"/>
          <w:color w:val="auto"/>
          <w:sz w:val="22"/>
          <w:szCs w:val="22"/>
        </w:rPr>
        <w:t>Analysis code will be made available upon request.</w:t>
      </w:r>
    </w:p>
    <w:p w14:paraId="7413C70D" w14:textId="77777777" w:rsidR="0013533B" w:rsidRDefault="0013533B" w:rsidP="005E76D6">
      <w:pPr>
        <w:pStyle w:val="Heading2"/>
        <w:rPr>
          <w:rFonts w:ascii="Arial" w:hAnsi="Arial" w:cs="Arial"/>
        </w:rPr>
      </w:pPr>
    </w:p>
    <w:p w14:paraId="331486D0" w14:textId="379F4480" w:rsidR="00D06F40" w:rsidRPr="004C33E0" w:rsidRDefault="00866315" w:rsidP="005E76D6">
      <w:pPr>
        <w:pStyle w:val="Heading2"/>
        <w:rPr>
          <w:rFonts w:ascii="Arial" w:hAnsi="Arial" w:cs="Arial"/>
        </w:rPr>
      </w:pPr>
      <w:r w:rsidRPr="004C33E0">
        <w:rPr>
          <w:rFonts w:ascii="Arial" w:hAnsi="Arial" w:cs="Arial"/>
        </w:rPr>
        <w:t>2</w:t>
      </w:r>
      <w:r w:rsidR="00A148AF" w:rsidRPr="004C33E0">
        <w:rPr>
          <w:rFonts w:ascii="Arial" w:hAnsi="Arial" w:cs="Arial"/>
        </w:rPr>
        <w:t xml:space="preserve">.1 </w:t>
      </w:r>
      <w:r w:rsidR="00D06F40" w:rsidRPr="004C33E0">
        <w:rPr>
          <w:rFonts w:ascii="Arial" w:hAnsi="Arial" w:cs="Arial"/>
        </w:rPr>
        <w:t xml:space="preserve">Redistribution of </w:t>
      </w:r>
      <w:r w:rsidR="00A148AF" w:rsidRPr="004C33E0">
        <w:rPr>
          <w:rFonts w:ascii="Arial" w:hAnsi="Arial" w:cs="Arial"/>
        </w:rPr>
        <w:t>deaths</w:t>
      </w:r>
      <w:bookmarkEnd w:id="13"/>
      <w:bookmarkEnd w:id="14"/>
    </w:p>
    <w:p w14:paraId="3584A278" w14:textId="2083EE25" w:rsidR="00D06F40" w:rsidRPr="004C33E0" w:rsidRDefault="00A34921" w:rsidP="005176A1">
      <w:pPr>
        <w:spacing w:line="480" w:lineRule="auto"/>
        <w:rPr>
          <w:rFonts w:ascii="Arial" w:hAnsi="Arial" w:cs="Arial"/>
        </w:rPr>
      </w:pPr>
      <w:r w:rsidRPr="000371AA">
        <w:rPr>
          <w:rFonts w:ascii="Arial" w:hAnsi="Arial" w:cs="Arial"/>
        </w:rPr>
        <w:tab/>
        <w:t>Deaths were redistributed to th</w:t>
      </w:r>
      <w:r w:rsidRPr="00AD32BC">
        <w:rPr>
          <w:rFonts w:ascii="Arial" w:hAnsi="Arial" w:cs="Arial"/>
        </w:rPr>
        <w:t xml:space="preserve">e causes of </w:t>
      </w:r>
      <w:r w:rsidR="007E52AE" w:rsidRPr="00AD32BC">
        <w:rPr>
          <w:rFonts w:ascii="Arial" w:hAnsi="Arial" w:cs="Arial"/>
        </w:rPr>
        <w:t>T</w:t>
      </w:r>
      <w:r w:rsidRPr="001F783A">
        <w:rPr>
          <w:rFonts w:ascii="Arial" w:hAnsi="Arial" w:cs="Arial"/>
        </w:rPr>
        <w:t xml:space="preserve">uberculosis and HIV/AIDS according to the methods of the Global Burden of Diseases Study 2016 </w:t>
      </w:r>
      <w:r w:rsidRPr="000371AA">
        <w:rPr>
          <w:rFonts w:ascii="Arial" w:hAnsi="Arial" w:cs="Arial"/>
        </w:rPr>
        <w:fldChar w:fldCharType="begin"/>
      </w:r>
      <w:r w:rsidR="00900791" w:rsidRPr="004C33E0">
        <w:rPr>
          <w:rFonts w:ascii="Arial" w:hAnsi="Arial" w:cs="Arial"/>
        </w:rPr>
        <w:instrText xml:space="preserve"> ADDIN ZOTERO_ITEM CSL_CITATION {"citationID":"a1f1pckhnj8","properties":{"formattedCitation":"[3]","plainCitation":"[3]"},"citationItems":[{"id":143,"uris":["http://zotero.org/users/3759969/items/ICIA64GZ"],"uri":["http://zotero.org/users/3759969/items/ICIA64GZ"],"itemData":{"id":143,"type":"article-journal","title":"Global, regional, and national age-sex specific mortality for 264 causes of death, 1980-2016: a systematic analysis for the Global Burden of Disease Study 2016","container-title":"Lancet (London, England)","page":"1151-1210","volume":"390","issue":"10100","source":"PubMed","abstract":"BACKGROUND: Monitoring levels and trends in premature mortality is crucial to understanding how societies can address prominent sources of early death. The Global Burden of Disease 2016 Study (GBD 2016) provides a comprehensive assessment of cause-specific mortality for 264 causes in 195 locations from 1980 to 2016. This assessment includes evaluation of the expected epidemiological transition with changes in development and where local patterns deviate from these trends.\nMETHODS: We estimated cause-specific deaths and years of life lost (YLLs) by age, sex, geography, and year. YLLs were calculated from the sum of each death multiplied by the standard life expectancy at each age. We used the GBD cause of death database composed of: vital registration (VR) data corrected for under-registration and garbage coding; national and subnational verbal autopsy (VA) studies corrected for garbage coding; and other sources including surveys and surveillance systems for specific causes such as maternal mortality. To facilitate assessment of quality, we reported on the fraction of deaths assigned to GBD Level 1 or Level 2 causes that cannot be underlying causes of death (major garbage codes) by location and year. Based on completeness, garbage coding, cause list detail, and time periods covered, we provided an overall data quality rating for each location with scores ranging from 0 stars (worst) to 5 stars (best). We used robust statistical methods including the Cause of Death Ensemble model (CODEm) to generate estimates for each location, year, age, and sex. We assessed observed and expected levels and trends of cause-specific deaths in relation to the Socio-demographic Index (SDI), a summary indicator derived from measures of average income per capita, educational attainment, and total fertility, with locations grouped into quintiles by SDI. Relative to GBD 2015, we expanded the GBD cause hierarchy by 18 causes of death for GBD 2016.\nFINDINGS: The quality of available data varied by location. Data quality in 25 countries rated in the highest category (5 stars), while 48, 30, 21, and 44 countries were rated at each of the succeeding data quality levels. Vital registration or verbal autopsy data were not available in 27 countries, resulting in the assignment of a zero value for data quality. Deaths from non-communicable diseases (NCDs) represented 72·3% (95% uncertainty interval [UI] 71·2-73·2) of deaths in 2016 with 19·3% (18·5-20·4) of deaths in that year occurring from communicable, maternal, neonatal, and nutritional (CMNN) diseases and a further 8·43% (8·00-8·67) from injuries. Although age-standardised rates of death from NCDs decreased globally between 2006 and 2016, total numbers of these deaths increased; both numbers and age-standardised rates of death from CMNN causes decreased in the decade 2006-16-age-standardised rates of deaths from injuries decreased but total numbers varied little. In 2016, the three leading global causes of death in children under-5 were lower respiratory infections, neonatal preterm birth complications, and neonatal encephalopathy due to birth asphyxia and trauma, combined resulting in 1·80 million deaths (95% UI 1·59 million to 1·89 million). Between 1990 and 2016, a profound shift toward deaths at older ages occurred with a 178% (95% UI 176-181) increase in deaths in ages 90-94 years and a 210% (208-212) increase in deaths older than age 95 years. The ten leading causes by rates of age-standardised YLL significantly decreased from 2006 to 2016 (median annualised rate of change was a decrease of 2·89%); the median annualised rate of change for all other causes was lower (a decrease of 1·59%) during the same interval. Globally, the five leading causes of total YLLs in 2016 were cardiovascular diseases; diarrhoea, lower respiratory infections, and other common infectious diseases; neoplasms; neonatal disorders; and HIV/AIDS and tuberculosis. At a finer level of disaggregation within cause groupings, the ten leading causes of total YLLs in 2016 were ischaemic heart disease, cerebrovascular disease, lower respiratory infections, diarrhoeal diseases, road injuries, malaria, neonatal preterm birth complications, HIV/AIDS, chronic obstructive pulmonary disease, and neonatal encephalopathy due to birth asphyxia and trauma. Ischaemic heart disease was the leading cause of total YLLs in 113 countries for men and 97 countries for women. Comparisons of observed levels of YLLs by countries, relative to the level of YLLs expected on the basis of SDI alone, highlighted distinct regional patterns including the greater than expected level of YLLs from malaria and from HIV/AIDS across sub-Saharan Africa; diabetes mellitus, especially in Oceania; interpersonal violence, notably within Latin America and the Caribbean; and cardiomyopathy and myocarditis, particularly in eastern and central Europe. The level of YLLs from ischaemic heart disease was less than expected in 117 of 195 locations. Other leading causes of YLLs for which YLLs were notably lower than expected included neonatal preterm birth complications in many locations in both south Asia and southeast Asia, and cerebrovascular disease in western Europe.\nINTERPRETATION: The past 37 years have featured declining rates of communicable, maternal, neonatal, and nutritional diseases across all quintiles of SDI, with faster than expected gains for many locations relative to their SDI. A global shift towards deaths at older ages suggests success in reducing many causes of early death. YLLs have increased globally for causes such as diabetes mellitus or some neoplasms, and in some locations for causes such as drug use disorders, and conflict and terrorism. Increasing levels of YLLs might reflect outcomes from conditions that required high levels of care but for which effective treatments remain elusive, potentially increasing costs to health systems.\nFUNDING: Bill &amp; Melinda Gates Foundation.","DOI":"10.1016/S0140-6736(17)32152-9","ISSN":"1474-547X","note":"PMID: 28919116\nPMCID: PMC5605883","shortTitle":"Global, regional, and national age-sex specific mortality for 264 causes of death, 1980-2016","journalAbbreviation":"Lancet","language":"eng","author":[{"literal":"GBD 2016 Causes of Death Collaborators"}],"issued":{"date-parts":[["2017",9,16]]}}}],"schema":"https://github.com/citation-style-language/schema/raw/master/csl-citation.json"} </w:instrText>
      </w:r>
      <w:r w:rsidRPr="000371AA">
        <w:rPr>
          <w:rFonts w:ascii="Arial" w:hAnsi="Arial" w:cs="Arial"/>
        </w:rPr>
        <w:fldChar w:fldCharType="separate"/>
      </w:r>
      <w:r w:rsidR="00900791" w:rsidRPr="000371AA">
        <w:rPr>
          <w:rFonts w:ascii="Arial" w:hAnsi="Arial" w:cs="Arial"/>
        </w:rPr>
        <w:t>[3]</w:t>
      </w:r>
      <w:r w:rsidRPr="000371AA">
        <w:rPr>
          <w:rFonts w:ascii="Arial" w:hAnsi="Arial" w:cs="Arial"/>
        </w:rPr>
        <w:fldChar w:fldCharType="end"/>
      </w:r>
      <w:r w:rsidRPr="000371AA">
        <w:rPr>
          <w:rFonts w:ascii="Arial" w:hAnsi="Arial" w:cs="Arial"/>
        </w:rPr>
        <w:t xml:space="preserve">. </w:t>
      </w:r>
      <w:r w:rsidR="001F10CD" w:rsidRPr="00AD32BC">
        <w:rPr>
          <w:rFonts w:ascii="Arial" w:hAnsi="Arial" w:cs="Arial"/>
        </w:rPr>
        <w:t xml:space="preserve">A defining feature of this process is the re-assignment of deaths originally assigned </w:t>
      </w:r>
      <w:r w:rsidR="00286E66" w:rsidRPr="001F783A">
        <w:rPr>
          <w:rFonts w:ascii="Arial" w:hAnsi="Arial" w:cs="Arial"/>
        </w:rPr>
        <w:t>to so-called</w:t>
      </w:r>
      <w:r w:rsidR="001F10CD" w:rsidRPr="001F783A">
        <w:rPr>
          <w:rFonts w:ascii="Arial" w:hAnsi="Arial" w:cs="Arial"/>
        </w:rPr>
        <w:t xml:space="preserve"> “garbage codes”, which are ICD codes that </w:t>
      </w:r>
      <w:r w:rsidR="00060797" w:rsidRPr="00D21A94">
        <w:rPr>
          <w:rFonts w:ascii="Arial" w:hAnsi="Arial" w:cs="Arial"/>
        </w:rPr>
        <w:t>that canno</w:t>
      </w:r>
      <w:r w:rsidR="00162AC3" w:rsidRPr="000853FE">
        <w:rPr>
          <w:rFonts w:ascii="Arial" w:hAnsi="Arial" w:cs="Arial"/>
        </w:rPr>
        <w:t>t be underlying causes of death,</w:t>
      </w:r>
      <w:r w:rsidR="00060797" w:rsidRPr="000853FE">
        <w:rPr>
          <w:rFonts w:ascii="Arial" w:hAnsi="Arial" w:cs="Arial"/>
        </w:rPr>
        <w:t xml:space="preserve"> are intermediate causes of death rather </w:t>
      </w:r>
      <w:r w:rsidR="00060797" w:rsidRPr="000853FE">
        <w:rPr>
          <w:rFonts w:ascii="Arial" w:hAnsi="Arial" w:cs="Arial"/>
        </w:rPr>
        <w:lastRenderedPageBreak/>
        <w:t xml:space="preserve">than the underlying </w:t>
      </w:r>
      <w:r w:rsidR="00162AC3" w:rsidRPr="004C33E0">
        <w:rPr>
          <w:rFonts w:ascii="Arial" w:hAnsi="Arial" w:cs="Arial"/>
        </w:rPr>
        <w:t>cause,</w:t>
      </w:r>
      <w:r w:rsidR="00060797" w:rsidRPr="004C33E0">
        <w:rPr>
          <w:rFonts w:ascii="Arial" w:hAnsi="Arial" w:cs="Arial"/>
        </w:rPr>
        <w:t xml:space="preserve"> or lack specificity in coding.</w:t>
      </w:r>
      <w:r w:rsidRPr="004C33E0">
        <w:rPr>
          <w:rFonts w:ascii="Arial" w:hAnsi="Arial" w:cs="Arial"/>
        </w:rPr>
        <w:t xml:space="preserve"> </w:t>
      </w:r>
      <w:r w:rsidR="005176A1" w:rsidRPr="004C33E0">
        <w:rPr>
          <w:rFonts w:ascii="Arial" w:hAnsi="Arial" w:cs="Arial"/>
        </w:rPr>
        <w:t>The diagrams below show the proportion of deaths attributed to tuberculosis (Fig. S</w:t>
      </w:r>
      <w:r w:rsidR="000F4C64">
        <w:rPr>
          <w:rFonts w:ascii="Arial" w:hAnsi="Arial" w:cs="Arial"/>
        </w:rPr>
        <w:t>2</w:t>
      </w:r>
      <w:r w:rsidR="005176A1" w:rsidRPr="004C33E0">
        <w:rPr>
          <w:rFonts w:ascii="Arial" w:hAnsi="Arial" w:cs="Arial"/>
        </w:rPr>
        <w:t>) and HIV/AIDS (Fig. S</w:t>
      </w:r>
      <w:r w:rsidR="000F4C64">
        <w:rPr>
          <w:rFonts w:ascii="Arial" w:hAnsi="Arial" w:cs="Arial"/>
        </w:rPr>
        <w:t>3</w:t>
      </w:r>
      <w:r w:rsidR="005176A1" w:rsidRPr="004C33E0">
        <w:rPr>
          <w:rFonts w:ascii="Arial" w:hAnsi="Arial" w:cs="Arial"/>
        </w:rPr>
        <w:t>) which w</w:t>
      </w:r>
      <w:r w:rsidR="005176A1" w:rsidRPr="000E5CB6">
        <w:rPr>
          <w:rFonts w:ascii="Arial" w:hAnsi="Arial" w:cs="Arial"/>
        </w:rPr>
        <w:t>ere redistributed from other causes.</w:t>
      </w:r>
    </w:p>
    <w:p w14:paraId="427D59B8" w14:textId="6208C952" w:rsidR="0056638A" w:rsidRPr="004C33E0" w:rsidRDefault="00D06F40" w:rsidP="00D06F40">
      <w:pPr>
        <w:pStyle w:val="NoSpacing"/>
        <w:rPr>
          <w:rFonts w:ascii="Arial" w:hAnsi="Arial" w:cs="Arial"/>
        </w:rPr>
      </w:pPr>
      <w:r w:rsidRPr="004C33E0">
        <w:rPr>
          <w:rFonts w:ascii="Arial" w:hAnsi="Arial" w:cs="Arial"/>
        </w:rPr>
        <w:t>Fig</w:t>
      </w:r>
      <w:r w:rsidR="0018241E" w:rsidRPr="004C33E0">
        <w:rPr>
          <w:rFonts w:ascii="Arial" w:hAnsi="Arial" w:cs="Arial"/>
        </w:rPr>
        <w:t>.</w:t>
      </w:r>
      <w:r w:rsidRPr="004C33E0">
        <w:rPr>
          <w:rFonts w:ascii="Arial" w:hAnsi="Arial" w:cs="Arial"/>
        </w:rPr>
        <w:t xml:space="preserve"> </w:t>
      </w:r>
      <w:r w:rsidR="00763EB1" w:rsidRPr="004C33E0">
        <w:rPr>
          <w:rFonts w:ascii="Arial" w:hAnsi="Arial" w:cs="Arial"/>
        </w:rPr>
        <w:t>S2</w:t>
      </w:r>
      <w:r w:rsidRPr="004C33E0">
        <w:rPr>
          <w:rFonts w:ascii="Arial" w:hAnsi="Arial" w:cs="Arial"/>
        </w:rPr>
        <w:t xml:space="preserve">: </w:t>
      </w:r>
      <w:r w:rsidR="00A34921" w:rsidRPr="004C33E0">
        <w:rPr>
          <w:rFonts w:ascii="Arial" w:hAnsi="Arial" w:cs="Arial"/>
        </w:rPr>
        <w:t>Redistribution</w:t>
      </w:r>
      <w:r w:rsidRPr="004C33E0">
        <w:rPr>
          <w:rFonts w:ascii="Arial" w:hAnsi="Arial" w:cs="Arial"/>
        </w:rPr>
        <w:t xml:space="preserve"> </w:t>
      </w:r>
      <w:r w:rsidR="00F277A2" w:rsidRPr="004C33E0">
        <w:rPr>
          <w:rFonts w:ascii="Arial" w:hAnsi="Arial" w:cs="Arial"/>
        </w:rPr>
        <w:t>diagram</w:t>
      </w:r>
      <w:r w:rsidRPr="004C33E0">
        <w:rPr>
          <w:rFonts w:ascii="Arial" w:hAnsi="Arial" w:cs="Arial"/>
        </w:rPr>
        <w:t xml:space="preserve"> for </w:t>
      </w:r>
      <w:r w:rsidR="00F277A2" w:rsidRPr="004C33E0">
        <w:rPr>
          <w:rFonts w:ascii="Arial" w:hAnsi="Arial" w:cs="Arial"/>
        </w:rPr>
        <w:t xml:space="preserve">deaths </w:t>
      </w:r>
      <w:r w:rsidR="00A34921" w:rsidRPr="004C33E0">
        <w:rPr>
          <w:rFonts w:ascii="Arial" w:hAnsi="Arial" w:cs="Arial"/>
        </w:rPr>
        <w:t>due to</w:t>
      </w:r>
      <w:r w:rsidR="00F277A2" w:rsidRPr="000E5CB6">
        <w:rPr>
          <w:rFonts w:ascii="Arial" w:hAnsi="Arial" w:cs="Arial"/>
        </w:rPr>
        <w:t xml:space="preserve"> tuberculosis</w:t>
      </w:r>
      <w:r w:rsidR="00A34921" w:rsidRPr="000E5CB6">
        <w:rPr>
          <w:rFonts w:ascii="Arial" w:hAnsi="Arial" w:cs="Arial"/>
        </w:rPr>
        <w:t xml:space="preserve"> in persons without HIV</w:t>
      </w:r>
      <w:r w:rsidR="005176A1" w:rsidRPr="0050663F">
        <w:rPr>
          <w:rFonts w:ascii="Arial" w:hAnsi="Arial" w:cs="Arial"/>
        </w:rPr>
        <w:t xml:space="preserve"> infection</w:t>
      </w:r>
      <w:r w:rsidR="006C17A1" w:rsidRPr="0050663F">
        <w:rPr>
          <w:rFonts w:ascii="Arial" w:hAnsi="Arial" w:cs="Arial"/>
        </w:rPr>
        <w:t xml:space="preserve">. </w:t>
      </w:r>
      <w:r w:rsidR="0087062F" w:rsidRPr="0013533B">
        <w:rPr>
          <w:rFonts w:ascii="Arial" w:hAnsi="Arial" w:cs="Arial"/>
        </w:rPr>
        <w:t xml:space="preserve">Categories on the left-hand side show the contribution of </w:t>
      </w:r>
      <w:r w:rsidR="00195C8F" w:rsidRPr="0013533B">
        <w:rPr>
          <w:rFonts w:ascii="Arial" w:hAnsi="Arial" w:cs="Arial"/>
        </w:rPr>
        <w:t>deaths within various ICD-10 codings to the final analysis dataset, re</w:t>
      </w:r>
      <w:r w:rsidR="00195C8F" w:rsidRPr="000371AA">
        <w:rPr>
          <w:rFonts w:ascii="Arial" w:hAnsi="Arial" w:cs="Arial"/>
        </w:rPr>
        <w:t xml:space="preserve">presented on the right-hand side. The “Original” category on the left-hand side represents </w:t>
      </w:r>
      <w:r w:rsidR="00130F7F" w:rsidRPr="000371AA">
        <w:rPr>
          <w:rFonts w:ascii="Arial" w:hAnsi="Arial" w:cs="Arial"/>
        </w:rPr>
        <w:t xml:space="preserve">deaths </w:t>
      </w:r>
      <w:r w:rsidR="00BF0FFE" w:rsidRPr="000371AA">
        <w:rPr>
          <w:rFonts w:ascii="Arial" w:hAnsi="Arial" w:cs="Arial"/>
        </w:rPr>
        <w:t>already</w:t>
      </w:r>
      <w:r w:rsidR="00130F7F" w:rsidRPr="000371AA">
        <w:rPr>
          <w:rFonts w:ascii="Arial" w:hAnsi="Arial" w:cs="Arial"/>
        </w:rPr>
        <w:t xml:space="preserve"> coded to tuberculosis before redistribution.</w:t>
      </w:r>
    </w:p>
    <w:p w14:paraId="5C213522" w14:textId="564F4D39" w:rsidR="000C43FA" w:rsidRPr="000371AA" w:rsidRDefault="000C43FA" w:rsidP="00D06F40">
      <w:pPr>
        <w:pStyle w:val="NoSpacing"/>
        <w:rPr>
          <w:rFonts w:ascii="Arial" w:hAnsi="Arial" w:cs="Arial"/>
        </w:rPr>
      </w:pPr>
      <w:r w:rsidRPr="000371AA">
        <w:rPr>
          <w:rFonts w:ascii="Arial" w:hAnsi="Arial" w:cs="Arial"/>
          <w:noProof/>
        </w:rPr>
        <w:drawing>
          <wp:inline distT="0" distB="0" distL="0" distR="0" wp14:anchorId="11EBA400" wp14:editId="6C06E7A0">
            <wp:extent cx="5852104" cy="4457700"/>
            <wp:effectExtent l="19050" t="19050" r="15875" b="19050"/>
            <wp:docPr id="6" name="Picture 6" descr="J:\temp\nathenry\tb\bra_hiv_tb\supplementary_appendix\sankeys\TB_2015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temp\nathenry\tb\bra_hiv_tb\supplementary_appendix\sankeys\TB_2015_cropp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8034" cy="4462217"/>
                    </a:xfrm>
                    <a:prstGeom prst="rect">
                      <a:avLst/>
                    </a:prstGeom>
                    <a:noFill/>
                    <a:ln>
                      <a:solidFill>
                        <a:schemeClr val="tx1"/>
                      </a:solidFill>
                    </a:ln>
                  </pic:spPr>
                </pic:pic>
              </a:graphicData>
            </a:graphic>
          </wp:inline>
        </w:drawing>
      </w:r>
    </w:p>
    <w:p w14:paraId="3B3CAE75" w14:textId="77777777" w:rsidR="006C17A1" w:rsidRPr="001F783A" w:rsidRDefault="006C17A1" w:rsidP="00D06F40">
      <w:pPr>
        <w:pStyle w:val="NoSpacing"/>
        <w:rPr>
          <w:rFonts w:ascii="Arial" w:hAnsi="Arial" w:cs="Arial"/>
        </w:rPr>
      </w:pPr>
    </w:p>
    <w:p w14:paraId="7FEBE005" w14:textId="77777777" w:rsidR="00B86F00" w:rsidRPr="001F783A" w:rsidRDefault="00B86F00">
      <w:pPr>
        <w:rPr>
          <w:rFonts w:ascii="Arial" w:hAnsi="Arial" w:cs="Arial"/>
        </w:rPr>
      </w:pPr>
      <w:r w:rsidRPr="001F783A">
        <w:rPr>
          <w:rFonts w:ascii="Arial" w:hAnsi="Arial" w:cs="Arial"/>
        </w:rPr>
        <w:br w:type="page"/>
      </w:r>
    </w:p>
    <w:p w14:paraId="1F022FF4" w14:textId="1055DEFF" w:rsidR="00337316" w:rsidRPr="000371AA" w:rsidRDefault="0018241E" w:rsidP="00337316">
      <w:pPr>
        <w:pStyle w:val="NoSpacing"/>
        <w:rPr>
          <w:rFonts w:ascii="Arial" w:hAnsi="Arial" w:cs="Arial"/>
        </w:rPr>
      </w:pPr>
      <w:r w:rsidRPr="00D21A94">
        <w:rPr>
          <w:rFonts w:ascii="Arial" w:hAnsi="Arial" w:cs="Arial"/>
        </w:rPr>
        <w:lastRenderedPageBreak/>
        <w:t xml:space="preserve">Fig. </w:t>
      </w:r>
      <w:r w:rsidR="00763EB1" w:rsidRPr="000853FE">
        <w:rPr>
          <w:rFonts w:ascii="Arial" w:hAnsi="Arial" w:cs="Arial"/>
        </w:rPr>
        <w:t>S3</w:t>
      </w:r>
      <w:r w:rsidR="006C17A1" w:rsidRPr="000853FE">
        <w:rPr>
          <w:rFonts w:ascii="Arial" w:hAnsi="Arial" w:cs="Arial"/>
        </w:rPr>
        <w:t xml:space="preserve">: </w:t>
      </w:r>
      <w:r w:rsidR="005176A1" w:rsidRPr="000853FE">
        <w:rPr>
          <w:rFonts w:ascii="Arial" w:hAnsi="Arial" w:cs="Arial"/>
        </w:rPr>
        <w:t>Redistribution diagram for deaths due to HIV/AIDS</w:t>
      </w:r>
      <w:r w:rsidR="006C17A1" w:rsidRPr="000853FE">
        <w:rPr>
          <w:rFonts w:ascii="Arial" w:hAnsi="Arial" w:cs="Arial"/>
        </w:rPr>
        <w:t>.</w:t>
      </w:r>
      <w:r w:rsidR="00CC0A08" w:rsidRPr="00EE168D">
        <w:rPr>
          <w:rFonts w:ascii="Arial" w:hAnsi="Arial" w:cs="Arial"/>
        </w:rPr>
        <w:t xml:space="preserve"> Categories on the left-hand side show the contribution of deaths </w:t>
      </w:r>
      <w:r w:rsidR="00EA44D9" w:rsidRPr="004C33E0">
        <w:rPr>
          <w:rFonts w:ascii="Arial" w:hAnsi="Arial" w:cs="Arial"/>
        </w:rPr>
        <w:t>coded</w:t>
      </w:r>
      <w:r w:rsidR="00CC0A08" w:rsidRPr="004C33E0">
        <w:rPr>
          <w:rFonts w:ascii="Arial" w:hAnsi="Arial" w:cs="Arial"/>
        </w:rPr>
        <w:t xml:space="preserve"> ICD-10 codings to the final analysis dataset, represented on the right-hand side. The “Original” category on the left-hand side represents deaths </w:t>
      </w:r>
      <w:r w:rsidR="00BF0FFE" w:rsidRPr="000E5CB6">
        <w:rPr>
          <w:rFonts w:ascii="Arial" w:hAnsi="Arial" w:cs="Arial"/>
        </w:rPr>
        <w:t>already</w:t>
      </w:r>
      <w:r w:rsidR="00CC0A08" w:rsidRPr="0050663F">
        <w:rPr>
          <w:rFonts w:ascii="Arial" w:hAnsi="Arial" w:cs="Arial"/>
        </w:rPr>
        <w:t xml:space="preserve"> coded to </w:t>
      </w:r>
      <w:r w:rsidR="00BF0FFE" w:rsidRPr="0050663F">
        <w:rPr>
          <w:rFonts w:ascii="Arial" w:hAnsi="Arial" w:cs="Arial"/>
        </w:rPr>
        <w:t>HIV/AIDS</w:t>
      </w:r>
      <w:r w:rsidR="00CC0A08" w:rsidRPr="0050663F">
        <w:rPr>
          <w:rFonts w:ascii="Arial" w:hAnsi="Arial" w:cs="Arial"/>
        </w:rPr>
        <w:t xml:space="preserve"> before redistribution.</w:t>
      </w:r>
      <w:r w:rsidR="000C43FA" w:rsidRPr="000371AA">
        <w:rPr>
          <w:rFonts w:ascii="Arial" w:hAnsi="Arial" w:cs="Arial"/>
          <w:noProof/>
        </w:rPr>
        <w:drawing>
          <wp:inline distT="0" distB="0" distL="0" distR="0" wp14:anchorId="3B42E028" wp14:editId="345E4990">
            <wp:extent cx="5943600" cy="4486222"/>
            <wp:effectExtent l="19050" t="19050" r="19050" b="10160"/>
            <wp:docPr id="7" name="Picture 7" descr="J:\temp\nathenry\tb\bra_hiv_tb\supplementary_appendix\sankeys\HIV_2015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temp\nathenry\tb\bra_hiv_tb\supplementary_appendix\sankeys\HIV_2015_cropp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86222"/>
                    </a:xfrm>
                    <a:prstGeom prst="rect">
                      <a:avLst/>
                    </a:prstGeom>
                    <a:noFill/>
                    <a:ln>
                      <a:solidFill>
                        <a:schemeClr val="tx1"/>
                      </a:solidFill>
                    </a:ln>
                  </pic:spPr>
                </pic:pic>
              </a:graphicData>
            </a:graphic>
          </wp:inline>
        </w:drawing>
      </w:r>
    </w:p>
    <w:p w14:paraId="3F94490D" w14:textId="77777777" w:rsidR="00C66FA4" w:rsidRPr="001F783A" w:rsidRDefault="00C66FA4" w:rsidP="00D06F40">
      <w:pPr>
        <w:pStyle w:val="NoSpacing"/>
        <w:rPr>
          <w:rFonts w:ascii="Arial" w:hAnsi="Arial" w:cs="Arial"/>
        </w:rPr>
      </w:pPr>
    </w:p>
    <w:p w14:paraId="51758C4D" w14:textId="77777777" w:rsidR="00DE40A6" w:rsidRPr="0013533B" w:rsidRDefault="00DE40A6">
      <w:pPr>
        <w:rPr>
          <w:rFonts w:ascii="Arial" w:eastAsiaTheme="majorEastAsia" w:hAnsi="Arial" w:cs="Arial"/>
          <w:color w:val="2E74B5" w:themeColor="accent1" w:themeShade="BF"/>
          <w:sz w:val="32"/>
          <w:szCs w:val="32"/>
        </w:rPr>
      </w:pPr>
      <w:r w:rsidRPr="0013533B">
        <w:rPr>
          <w:rFonts w:ascii="Arial" w:hAnsi="Arial" w:cs="Arial"/>
        </w:rPr>
        <w:br w:type="page"/>
      </w:r>
    </w:p>
    <w:p w14:paraId="5627F874" w14:textId="3819A5D4" w:rsidR="009E4A1F" w:rsidRPr="000E5CB6" w:rsidRDefault="00866315" w:rsidP="005E76D6">
      <w:pPr>
        <w:pStyle w:val="Heading2"/>
        <w:rPr>
          <w:rFonts w:ascii="Arial" w:hAnsi="Arial" w:cs="Arial"/>
        </w:rPr>
      </w:pPr>
      <w:bookmarkStart w:id="15" w:name="_Toc507589373"/>
      <w:bookmarkStart w:id="16" w:name="_Toc516066493"/>
      <w:r w:rsidRPr="000E5CB6">
        <w:rPr>
          <w:rFonts w:ascii="Arial" w:hAnsi="Arial" w:cs="Arial"/>
        </w:rPr>
        <w:lastRenderedPageBreak/>
        <w:t>2</w:t>
      </w:r>
      <w:r w:rsidR="00EB6658" w:rsidRPr="000E5CB6">
        <w:rPr>
          <w:rFonts w:ascii="Arial" w:hAnsi="Arial" w:cs="Arial"/>
        </w:rPr>
        <w:t xml:space="preserve">.2 </w:t>
      </w:r>
      <w:r w:rsidR="009E4A1F" w:rsidRPr="000E5CB6">
        <w:rPr>
          <w:rFonts w:ascii="Arial" w:hAnsi="Arial" w:cs="Arial"/>
        </w:rPr>
        <w:t xml:space="preserve">Formation of stable </w:t>
      </w:r>
      <w:r w:rsidR="00EB6658" w:rsidRPr="000E5CB6">
        <w:rPr>
          <w:rFonts w:ascii="Arial" w:hAnsi="Arial" w:cs="Arial"/>
        </w:rPr>
        <w:t>geographic</w:t>
      </w:r>
      <w:r w:rsidR="009E4A1F" w:rsidRPr="000E5CB6">
        <w:rPr>
          <w:rFonts w:ascii="Arial" w:hAnsi="Arial" w:cs="Arial"/>
        </w:rPr>
        <w:t xml:space="preserve"> units</w:t>
      </w:r>
      <w:bookmarkEnd w:id="15"/>
      <w:bookmarkEnd w:id="16"/>
    </w:p>
    <w:p w14:paraId="0ED99993" w14:textId="70A38B45" w:rsidR="00E07393" w:rsidRPr="000371AA" w:rsidRDefault="00E07393" w:rsidP="00E07393">
      <w:pPr>
        <w:spacing w:line="480" w:lineRule="auto"/>
        <w:rPr>
          <w:rFonts w:ascii="Arial" w:hAnsi="Arial" w:cs="Arial"/>
        </w:rPr>
      </w:pPr>
      <w:r w:rsidRPr="000371AA">
        <w:rPr>
          <w:rFonts w:ascii="Arial" w:hAnsi="Arial" w:cs="Arial"/>
        </w:rPr>
        <w:tab/>
        <w:t>Boundary changes required merging a small number of municipalities to create stable geographic units for analysis. Details of these merges are given in Table S</w:t>
      </w:r>
      <w:r w:rsidR="000F4C64">
        <w:rPr>
          <w:rFonts w:ascii="Arial" w:hAnsi="Arial" w:cs="Arial"/>
        </w:rPr>
        <w:t>4</w:t>
      </w:r>
      <w:r w:rsidRPr="000371AA">
        <w:rPr>
          <w:rFonts w:ascii="Arial" w:hAnsi="Arial" w:cs="Arial"/>
        </w:rPr>
        <w:t>.</w:t>
      </w:r>
    </w:p>
    <w:p w14:paraId="36728684" w14:textId="0056827F" w:rsidR="00E07393" w:rsidRPr="001F783A" w:rsidRDefault="00E07393" w:rsidP="00E07393">
      <w:pPr>
        <w:rPr>
          <w:rFonts w:ascii="Arial" w:hAnsi="Arial" w:cs="Arial"/>
        </w:rPr>
      </w:pPr>
      <w:r w:rsidRPr="001F783A">
        <w:rPr>
          <w:rFonts w:ascii="Arial" w:hAnsi="Arial" w:cs="Arial"/>
        </w:rPr>
        <w:t>Table S</w:t>
      </w:r>
      <w:r w:rsidR="002315CE">
        <w:rPr>
          <w:rFonts w:ascii="Arial" w:hAnsi="Arial" w:cs="Arial"/>
        </w:rPr>
        <w:t>4</w:t>
      </w:r>
      <w:r w:rsidRPr="001F783A">
        <w:rPr>
          <w:rFonts w:ascii="Arial" w:hAnsi="Arial" w:cs="Arial"/>
        </w:rPr>
        <w:t>: Municipalities merged to form stable geographic units of analysis</w:t>
      </w:r>
    </w:p>
    <w:tbl>
      <w:tblPr>
        <w:tblW w:w="10420" w:type="dxa"/>
        <w:tblLook w:val="04A0" w:firstRow="1" w:lastRow="0" w:firstColumn="1" w:lastColumn="0" w:noHBand="0" w:noVBand="1"/>
      </w:tblPr>
      <w:tblGrid>
        <w:gridCol w:w="2160"/>
        <w:gridCol w:w="1060"/>
        <w:gridCol w:w="7200"/>
      </w:tblGrid>
      <w:tr w:rsidR="00E07393" w:rsidRPr="000E5CB6" w14:paraId="151F7E1B" w14:textId="77777777" w:rsidTr="00E07393">
        <w:trPr>
          <w:trHeight w:val="293"/>
        </w:trPr>
        <w:tc>
          <w:tcPr>
            <w:tcW w:w="2160" w:type="dxa"/>
            <w:tcBorders>
              <w:top w:val="single" w:sz="4" w:space="0" w:color="auto"/>
              <w:left w:val="single" w:sz="4" w:space="0" w:color="auto"/>
              <w:bottom w:val="single" w:sz="8" w:space="0" w:color="auto"/>
              <w:right w:val="nil"/>
            </w:tcBorders>
            <w:shd w:val="clear" w:color="auto" w:fill="auto"/>
            <w:noWrap/>
            <w:hideMark/>
          </w:tcPr>
          <w:p w14:paraId="26092499" w14:textId="77777777" w:rsidR="00E07393" w:rsidRPr="00D21A94" w:rsidRDefault="00E07393" w:rsidP="00E07393">
            <w:pPr>
              <w:spacing w:after="0" w:line="240" w:lineRule="auto"/>
              <w:rPr>
                <w:rFonts w:ascii="Arial" w:eastAsia="Times New Roman" w:hAnsi="Arial" w:cs="Arial"/>
                <w:b/>
                <w:bCs/>
              </w:rPr>
            </w:pPr>
            <w:r w:rsidRPr="00D21A94">
              <w:rPr>
                <w:rFonts w:ascii="Arial" w:eastAsia="Times New Roman" w:hAnsi="Arial" w:cs="Arial"/>
                <w:b/>
                <w:bCs/>
              </w:rPr>
              <w:t>State</w:t>
            </w:r>
          </w:p>
        </w:tc>
        <w:tc>
          <w:tcPr>
            <w:tcW w:w="1060" w:type="dxa"/>
            <w:tcBorders>
              <w:top w:val="single" w:sz="4" w:space="0" w:color="auto"/>
              <w:left w:val="nil"/>
              <w:bottom w:val="single" w:sz="8" w:space="0" w:color="auto"/>
              <w:right w:val="nil"/>
            </w:tcBorders>
            <w:shd w:val="clear" w:color="auto" w:fill="auto"/>
            <w:noWrap/>
            <w:hideMark/>
          </w:tcPr>
          <w:p w14:paraId="47CDCCBC" w14:textId="77777777" w:rsidR="00E07393" w:rsidRPr="000E5CB6" w:rsidRDefault="00E07393" w:rsidP="00E07393">
            <w:pPr>
              <w:spacing w:after="0" w:line="240" w:lineRule="auto"/>
              <w:rPr>
                <w:rFonts w:ascii="Arial" w:eastAsia="Times New Roman" w:hAnsi="Arial" w:cs="Arial"/>
                <w:b/>
                <w:bCs/>
              </w:rPr>
            </w:pPr>
            <w:r w:rsidRPr="000E5CB6">
              <w:rPr>
                <w:rFonts w:ascii="Arial" w:eastAsia="Times New Roman" w:hAnsi="Arial" w:cs="Arial"/>
                <w:b/>
                <w:bCs/>
              </w:rPr>
              <w:t>Group</w:t>
            </w:r>
          </w:p>
        </w:tc>
        <w:tc>
          <w:tcPr>
            <w:tcW w:w="7200" w:type="dxa"/>
            <w:tcBorders>
              <w:top w:val="single" w:sz="4" w:space="0" w:color="auto"/>
              <w:left w:val="nil"/>
              <w:bottom w:val="single" w:sz="8" w:space="0" w:color="auto"/>
              <w:right w:val="single" w:sz="4" w:space="0" w:color="auto"/>
            </w:tcBorders>
            <w:shd w:val="clear" w:color="auto" w:fill="auto"/>
            <w:hideMark/>
          </w:tcPr>
          <w:p w14:paraId="3D342941" w14:textId="77777777" w:rsidR="00E07393" w:rsidRPr="000E5CB6" w:rsidRDefault="00E07393" w:rsidP="00E07393">
            <w:pPr>
              <w:spacing w:after="0" w:line="240" w:lineRule="auto"/>
              <w:rPr>
                <w:rFonts w:ascii="Arial" w:eastAsia="Times New Roman" w:hAnsi="Arial" w:cs="Arial"/>
                <w:b/>
                <w:bCs/>
              </w:rPr>
            </w:pPr>
            <w:r w:rsidRPr="000E5CB6">
              <w:rPr>
                <w:rFonts w:ascii="Arial" w:eastAsia="Times New Roman" w:hAnsi="Arial" w:cs="Arial"/>
                <w:b/>
                <w:bCs/>
              </w:rPr>
              <w:t>Areas</w:t>
            </w:r>
          </w:p>
        </w:tc>
      </w:tr>
      <w:tr w:rsidR="00E07393" w:rsidRPr="000E5CB6" w14:paraId="4470F764"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74357CF7"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Alagoas</w:t>
            </w:r>
          </w:p>
        </w:tc>
        <w:tc>
          <w:tcPr>
            <w:tcW w:w="1060" w:type="dxa"/>
            <w:tcBorders>
              <w:top w:val="nil"/>
              <w:left w:val="nil"/>
              <w:bottom w:val="single" w:sz="4" w:space="0" w:color="auto"/>
              <w:right w:val="nil"/>
            </w:tcBorders>
            <w:shd w:val="clear" w:color="auto" w:fill="auto"/>
            <w:noWrap/>
            <w:vAlign w:val="bottom"/>
            <w:hideMark/>
          </w:tcPr>
          <w:p w14:paraId="4308018C"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single" w:sz="4" w:space="0" w:color="auto"/>
              <w:right w:val="single" w:sz="4" w:space="0" w:color="auto"/>
            </w:tcBorders>
            <w:shd w:val="clear" w:color="auto" w:fill="auto"/>
            <w:vAlign w:val="bottom"/>
            <w:hideMark/>
          </w:tcPr>
          <w:p w14:paraId="25302E67"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Coruripe (270230), Jequia da Praia (270375), Sao Miguel dos Campos (270860)</w:t>
            </w:r>
          </w:p>
        </w:tc>
      </w:tr>
      <w:tr w:rsidR="00E07393" w:rsidRPr="000E5CB6" w14:paraId="788FEBD6"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3CCF863A"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Bahia</w:t>
            </w:r>
          </w:p>
        </w:tc>
        <w:tc>
          <w:tcPr>
            <w:tcW w:w="1060" w:type="dxa"/>
            <w:tcBorders>
              <w:top w:val="nil"/>
              <w:left w:val="nil"/>
              <w:bottom w:val="nil"/>
              <w:right w:val="nil"/>
            </w:tcBorders>
            <w:shd w:val="clear" w:color="auto" w:fill="auto"/>
            <w:noWrap/>
            <w:vAlign w:val="bottom"/>
            <w:hideMark/>
          </w:tcPr>
          <w:p w14:paraId="005D432E"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nil"/>
              <w:right w:val="single" w:sz="4" w:space="0" w:color="auto"/>
            </w:tcBorders>
            <w:shd w:val="clear" w:color="auto" w:fill="auto"/>
            <w:vAlign w:val="bottom"/>
            <w:hideMark/>
          </w:tcPr>
          <w:p w14:paraId="14E6E29A"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Barreiras (290320), Luis Eduardo Magalhaes (291955)</w:t>
            </w:r>
          </w:p>
        </w:tc>
      </w:tr>
      <w:tr w:rsidR="00E07393" w:rsidRPr="000E5CB6" w14:paraId="024D6984"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44575A4C"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Bahia</w:t>
            </w:r>
          </w:p>
        </w:tc>
        <w:tc>
          <w:tcPr>
            <w:tcW w:w="1060" w:type="dxa"/>
            <w:tcBorders>
              <w:top w:val="nil"/>
              <w:left w:val="nil"/>
              <w:bottom w:val="single" w:sz="4" w:space="0" w:color="auto"/>
              <w:right w:val="nil"/>
            </w:tcBorders>
            <w:shd w:val="clear" w:color="auto" w:fill="auto"/>
            <w:noWrap/>
            <w:vAlign w:val="bottom"/>
            <w:hideMark/>
          </w:tcPr>
          <w:p w14:paraId="662FF4B1"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w:t>
            </w:r>
          </w:p>
        </w:tc>
        <w:tc>
          <w:tcPr>
            <w:tcW w:w="7200" w:type="dxa"/>
            <w:tcBorders>
              <w:top w:val="nil"/>
              <w:left w:val="nil"/>
              <w:bottom w:val="single" w:sz="4" w:space="0" w:color="auto"/>
              <w:right w:val="single" w:sz="4" w:space="0" w:color="auto"/>
            </w:tcBorders>
            <w:shd w:val="clear" w:color="auto" w:fill="auto"/>
            <w:vAlign w:val="bottom"/>
            <w:hideMark/>
          </w:tcPr>
          <w:p w14:paraId="58CB1765"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Barrocas (290327), Serrinha (293050)</w:t>
            </w:r>
          </w:p>
        </w:tc>
      </w:tr>
      <w:tr w:rsidR="00E07393" w:rsidRPr="000E5CB6" w14:paraId="4EECDD96"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6ED5AF0A"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Espirito Santo</w:t>
            </w:r>
          </w:p>
        </w:tc>
        <w:tc>
          <w:tcPr>
            <w:tcW w:w="1060" w:type="dxa"/>
            <w:tcBorders>
              <w:top w:val="nil"/>
              <w:left w:val="nil"/>
              <w:bottom w:val="single" w:sz="4" w:space="0" w:color="auto"/>
              <w:right w:val="nil"/>
            </w:tcBorders>
            <w:shd w:val="clear" w:color="auto" w:fill="auto"/>
            <w:noWrap/>
            <w:vAlign w:val="bottom"/>
            <w:hideMark/>
          </w:tcPr>
          <w:p w14:paraId="16A8F46B"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single" w:sz="4" w:space="0" w:color="auto"/>
              <w:right w:val="single" w:sz="4" w:space="0" w:color="auto"/>
            </w:tcBorders>
            <w:shd w:val="clear" w:color="auto" w:fill="auto"/>
            <w:vAlign w:val="bottom"/>
            <w:hideMark/>
          </w:tcPr>
          <w:p w14:paraId="6AB578EC"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Colatina (320150), Governador Lindenberg (320225)</w:t>
            </w:r>
          </w:p>
        </w:tc>
      </w:tr>
      <w:tr w:rsidR="00E07393" w:rsidRPr="000E5CB6" w14:paraId="328B3CCA"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6FFD93E3"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Goias</w:t>
            </w:r>
          </w:p>
        </w:tc>
        <w:tc>
          <w:tcPr>
            <w:tcW w:w="1060" w:type="dxa"/>
            <w:tcBorders>
              <w:top w:val="nil"/>
              <w:left w:val="nil"/>
              <w:bottom w:val="nil"/>
              <w:right w:val="nil"/>
            </w:tcBorders>
            <w:shd w:val="clear" w:color="auto" w:fill="auto"/>
            <w:noWrap/>
            <w:vAlign w:val="bottom"/>
            <w:hideMark/>
          </w:tcPr>
          <w:p w14:paraId="6E1F67D8"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nil"/>
              <w:right w:val="single" w:sz="4" w:space="0" w:color="auto"/>
            </w:tcBorders>
            <w:shd w:val="clear" w:color="auto" w:fill="auto"/>
            <w:vAlign w:val="bottom"/>
            <w:hideMark/>
          </w:tcPr>
          <w:p w14:paraId="45DFB763"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Anapolis (520110), Campo Limpo de Goias (520485)</w:t>
            </w:r>
          </w:p>
        </w:tc>
      </w:tr>
      <w:tr w:rsidR="00E07393" w:rsidRPr="000E5CB6" w14:paraId="29B50B70"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22A7D379"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Goias</w:t>
            </w:r>
          </w:p>
        </w:tc>
        <w:tc>
          <w:tcPr>
            <w:tcW w:w="1060" w:type="dxa"/>
            <w:tcBorders>
              <w:top w:val="nil"/>
              <w:left w:val="nil"/>
              <w:bottom w:val="nil"/>
              <w:right w:val="nil"/>
            </w:tcBorders>
            <w:shd w:val="clear" w:color="auto" w:fill="auto"/>
            <w:noWrap/>
            <w:vAlign w:val="bottom"/>
            <w:hideMark/>
          </w:tcPr>
          <w:p w14:paraId="1B688461"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w:t>
            </w:r>
          </w:p>
        </w:tc>
        <w:tc>
          <w:tcPr>
            <w:tcW w:w="7200" w:type="dxa"/>
            <w:tcBorders>
              <w:top w:val="nil"/>
              <w:left w:val="nil"/>
              <w:bottom w:val="nil"/>
              <w:right w:val="single" w:sz="4" w:space="0" w:color="auto"/>
            </w:tcBorders>
            <w:shd w:val="clear" w:color="auto" w:fill="auto"/>
            <w:vAlign w:val="bottom"/>
            <w:hideMark/>
          </w:tcPr>
          <w:p w14:paraId="13AB324A"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Ceres (520540), Ipiranga de Goias (521015)</w:t>
            </w:r>
          </w:p>
        </w:tc>
      </w:tr>
      <w:tr w:rsidR="00E07393" w:rsidRPr="000E5CB6" w14:paraId="4E63EF75"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21849743"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Goias</w:t>
            </w:r>
          </w:p>
        </w:tc>
        <w:tc>
          <w:tcPr>
            <w:tcW w:w="1060" w:type="dxa"/>
            <w:tcBorders>
              <w:top w:val="nil"/>
              <w:left w:val="nil"/>
              <w:bottom w:val="nil"/>
              <w:right w:val="nil"/>
            </w:tcBorders>
            <w:shd w:val="clear" w:color="auto" w:fill="auto"/>
            <w:noWrap/>
            <w:vAlign w:val="bottom"/>
            <w:hideMark/>
          </w:tcPr>
          <w:p w14:paraId="76ABBB6E"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3</w:t>
            </w:r>
          </w:p>
        </w:tc>
        <w:tc>
          <w:tcPr>
            <w:tcW w:w="7200" w:type="dxa"/>
            <w:tcBorders>
              <w:top w:val="nil"/>
              <w:left w:val="nil"/>
              <w:bottom w:val="nil"/>
              <w:right w:val="single" w:sz="4" w:space="0" w:color="auto"/>
            </w:tcBorders>
            <w:shd w:val="clear" w:color="auto" w:fill="auto"/>
            <w:vAlign w:val="bottom"/>
            <w:hideMark/>
          </w:tcPr>
          <w:p w14:paraId="35425FDA"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Gameleira de Goias (520815), Silvania (522060)</w:t>
            </w:r>
          </w:p>
        </w:tc>
      </w:tr>
      <w:tr w:rsidR="00E07393" w:rsidRPr="000E5CB6" w14:paraId="3EC96BE3"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6AE63D5C"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Goias</w:t>
            </w:r>
          </w:p>
        </w:tc>
        <w:tc>
          <w:tcPr>
            <w:tcW w:w="1060" w:type="dxa"/>
            <w:tcBorders>
              <w:top w:val="nil"/>
              <w:left w:val="nil"/>
              <w:bottom w:val="single" w:sz="4" w:space="0" w:color="auto"/>
              <w:right w:val="nil"/>
            </w:tcBorders>
            <w:shd w:val="clear" w:color="auto" w:fill="auto"/>
            <w:noWrap/>
            <w:vAlign w:val="bottom"/>
            <w:hideMark/>
          </w:tcPr>
          <w:p w14:paraId="1DCCD4CE"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4</w:t>
            </w:r>
          </w:p>
        </w:tc>
        <w:tc>
          <w:tcPr>
            <w:tcW w:w="7200" w:type="dxa"/>
            <w:tcBorders>
              <w:top w:val="nil"/>
              <w:left w:val="nil"/>
              <w:bottom w:val="single" w:sz="4" w:space="0" w:color="auto"/>
              <w:right w:val="single" w:sz="4" w:space="0" w:color="auto"/>
            </w:tcBorders>
            <w:shd w:val="clear" w:color="auto" w:fill="auto"/>
            <w:vAlign w:val="bottom"/>
            <w:hideMark/>
          </w:tcPr>
          <w:p w14:paraId="560CA958"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Itaja (521080), Lagoa Santa (521225)</w:t>
            </w:r>
          </w:p>
        </w:tc>
      </w:tr>
      <w:tr w:rsidR="00E07393" w:rsidRPr="000E5CB6" w14:paraId="153C3F4E"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503CB1EA"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w:t>
            </w:r>
          </w:p>
        </w:tc>
        <w:tc>
          <w:tcPr>
            <w:tcW w:w="1060" w:type="dxa"/>
            <w:tcBorders>
              <w:top w:val="nil"/>
              <w:left w:val="nil"/>
              <w:bottom w:val="nil"/>
              <w:right w:val="nil"/>
            </w:tcBorders>
            <w:shd w:val="clear" w:color="auto" w:fill="auto"/>
            <w:noWrap/>
            <w:vAlign w:val="bottom"/>
            <w:hideMark/>
          </w:tcPr>
          <w:p w14:paraId="43823EAA"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nil"/>
              <w:right w:val="single" w:sz="4" w:space="0" w:color="auto"/>
            </w:tcBorders>
            <w:shd w:val="clear" w:color="auto" w:fill="auto"/>
            <w:vAlign w:val="bottom"/>
            <w:hideMark/>
          </w:tcPr>
          <w:p w14:paraId="76AAE5BB"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Agua Boa (510020), Nova Nazare (510617)</w:t>
            </w:r>
          </w:p>
        </w:tc>
      </w:tr>
      <w:tr w:rsidR="00E07393" w:rsidRPr="000E5CB6" w14:paraId="41081A7E" w14:textId="77777777" w:rsidTr="00E07393">
        <w:trPr>
          <w:trHeight w:val="855"/>
        </w:trPr>
        <w:tc>
          <w:tcPr>
            <w:tcW w:w="2160" w:type="dxa"/>
            <w:tcBorders>
              <w:top w:val="nil"/>
              <w:left w:val="single" w:sz="4" w:space="0" w:color="auto"/>
              <w:bottom w:val="nil"/>
              <w:right w:val="nil"/>
            </w:tcBorders>
            <w:shd w:val="clear" w:color="auto" w:fill="auto"/>
            <w:noWrap/>
            <w:vAlign w:val="bottom"/>
            <w:hideMark/>
          </w:tcPr>
          <w:p w14:paraId="43555D4A"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w:t>
            </w:r>
          </w:p>
        </w:tc>
        <w:tc>
          <w:tcPr>
            <w:tcW w:w="1060" w:type="dxa"/>
            <w:tcBorders>
              <w:top w:val="nil"/>
              <w:left w:val="nil"/>
              <w:bottom w:val="nil"/>
              <w:right w:val="nil"/>
            </w:tcBorders>
            <w:shd w:val="clear" w:color="auto" w:fill="auto"/>
            <w:noWrap/>
            <w:vAlign w:val="bottom"/>
            <w:hideMark/>
          </w:tcPr>
          <w:p w14:paraId="3CE8C470"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w:t>
            </w:r>
          </w:p>
        </w:tc>
        <w:tc>
          <w:tcPr>
            <w:tcW w:w="7200" w:type="dxa"/>
            <w:tcBorders>
              <w:top w:val="nil"/>
              <w:left w:val="nil"/>
              <w:bottom w:val="nil"/>
              <w:right w:val="single" w:sz="4" w:space="0" w:color="auto"/>
            </w:tcBorders>
            <w:shd w:val="clear" w:color="auto" w:fill="auto"/>
            <w:vAlign w:val="bottom"/>
            <w:hideMark/>
          </w:tcPr>
          <w:p w14:paraId="48C4CD63"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Alto Boa Vista (510035), Bom Jesus do Araguaia (510185), Cocalinho (510310), Novo Santo Antonio (510631), Ribeirao Cascalheira (510718), Sao Felix do Araguaia (510785), Serra Nova Dourada (510788)</w:t>
            </w:r>
          </w:p>
        </w:tc>
      </w:tr>
      <w:tr w:rsidR="00E07393" w:rsidRPr="000E5CB6" w14:paraId="5F2D9124"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6EED3135"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w:t>
            </w:r>
          </w:p>
        </w:tc>
        <w:tc>
          <w:tcPr>
            <w:tcW w:w="1060" w:type="dxa"/>
            <w:tcBorders>
              <w:top w:val="nil"/>
              <w:left w:val="nil"/>
              <w:bottom w:val="nil"/>
              <w:right w:val="nil"/>
            </w:tcBorders>
            <w:shd w:val="clear" w:color="auto" w:fill="auto"/>
            <w:noWrap/>
            <w:vAlign w:val="bottom"/>
            <w:hideMark/>
          </w:tcPr>
          <w:p w14:paraId="1C85AB80"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3</w:t>
            </w:r>
          </w:p>
        </w:tc>
        <w:tc>
          <w:tcPr>
            <w:tcW w:w="7200" w:type="dxa"/>
            <w:tcBorders>
              <w:top w:val="nil"/>
              <w:left w:val="nil"/>
              <w:bottom w:val="nil"/>
              <w:right w:val="single" w:sz="4" w:space="0" w:color="auto"/>
            </w:tcBorders>
            <w:shd w:val="clear" w:color="auto" w:fill="auto"/>
            <w:vAlign w:val="bottom"/>
            <w:hideMark/>
          </w:tcPr>
          <w:p w14:paraId="4F11210B"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Aripuana (510140), Colniza (510325), Rondolandia (510757)</w:t>
            </w:r>
          </w:p>
        </w:tc>
      </w:tr>
      <w:tr w:rsidR="00E07393" w:rsidRPr="000E5CB6" w14:paraId="3BB55068" w14:textId="77777777" w:rsidTr="00E07393">
        <w:trPr>
          <w:trHeight w:val="570"/>
        </w:trPr>
        <w:tc>
          <w:tcPr>
            <w:tcW w:w="2160" w:type="dxa"/>
            <w:tcBorders>
              <w:top w:val="nil"/>
              <w:left w:val="single" w:sz="4" w:space="0" w:color="auto"/>
              <w:bottom w:val="nil"/>
              <w:right w:val="nil"/>
            </w:tcBorders>
            <w:shd w:val="clear" w:color="auto" w:fill="auto"/>
            <w:noWrap/>
            <w:vAlign w:val="bottom"/>
            <w:hideMark/>
          </w:tcPr>
          <w:p w14:paraId="7225EC5D"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w:t>
            </w:r>
          </w:p>
        </w:tc>
        <w:tc>
          <w:tcPr>
            <w:tcW w:w="1060" w:type="dxa"/>
            <w:tcBorders>
              <w:top w:val="nil"/>
              <w:left w:val="nil"/>
              <w:bottom w:val="nil"/>
              <w:right w:val="nil"/>
            </w:tcBorders>
            <w:shd w:val="clear" w:color="auto" w:fill="auto"/>
            <w:noWrap/>
            <w:vAlign w:val="bottom"/>
            <w:hideMark/>
          </w:tcPr>
          <w:p w14:paraId="33E9A745"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4</w:t>
            </w:r>
          </w:p>
        </w:tc>
        <w:tc>
          <w:tcPr>
            <w:tcW w:w="7200" w:type="dxa"/>
            <w:tcBorders>
              <w:top w:val="nil"/>
              <w:left w:val="nil"/>
              <w:bottom w:val="nil"/>
              <w:right w:val="single" w:sz="4" w:space="0" w:color="auto"/>
            </w:tcBorders>
            <w:shd w:val="clear" w:color="auto" w:fill="auto"/>
            <w:vAlign w:val="bottom"/>
            <w:hideMark/>
          </w:tcPr>
          <w:p w14:paraId="25C2C2BB"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Caceres (510250), Curvelandia (510343), Lambari d'Oeste (510523), Mirassol d'Oeste (510562)</w:t>
            </w:r>
          </w:p>
        </w:tc>
      </w:tr>
      <w:tr w:rsidR="00E07393" w:rsidRPr="000E5CB6" w14:paraId="45B81A39"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35DA82C5"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w:t>
            </w:r>
          </w:p>
        </w:tc>
        <w:tc>
          <w:tcPr>
            <w:tcW w:w="1060" w:type="dxa"/>
            <w:tcBorders>
              <w:top w:val="nil"/>
              <w:left w:val="nil"/>
              <w:bottom w:val="nil"/>
              <w:right w:val="nil"/>
            </w:tcBorders>
            <w:shd w:val="clear" w:color="auto" w:fill="auto"/>
            <w:noWrap/>
            <w:vAlign w:val="bottom"/>
            <w:hideMark/>
          </w:tcPr>
          <w:p w14:paraId="1AD78301"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5</w:t>
            </w:r>
          </w:p>
        </w:tc>
        <w:tc>
          <w:tcPr>
            <w:tcW w:w="7200" w:type="dxa"/>
            <w:tcBorders>
              <w:top w:val="nil"/>
              <w:left w:val="nil"/>
              <w:bottom w:val="nil"/>
              <w:right w:val="single" w:sz="4" w:space="0" w:color="auto"/>
            </w:tcBorders>
            <w:shd w:val="clear" w:color="auto" w:fill="auto"/>
            <w:vAlign w:val="bottom"/>
            <w:hideMark/>
          </w:tcPr>
          <w:p w14:paraId="58C9831F"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Claudia (510305), Itauba (510455), Nova Santa Helena (510619)</w:t>
            </w:r>
          </w:p>
        </w:tc>
      </w:tr>
      <w:tr w:rsidR="00E07393" w:rsidRPr="000E5CB6" w14:paraId="49511538" w14:textId="77777777" w:rsidTr="00E07393">
        <w:trPr>
          <w:trHeight w:val="570"/>
        </w:trPr>
        <w:tc>
          <w:tcPr>
            <w:tcW w:w="2160" w:type="dxa"/>
            <w:tcBorders>
              <w:top w:val="nil"/>
              <w:left w:val="single" w:sz="4" w:space="0" w:color="auto"/>
              <w:bottom w:val="nil"/>
              <w:right w:val="nil"/>
            </w:tcBorders>
            <w:shd w:val="clear" w:color="auto" w:fill="auto"/>
            <w:noWrap/>
            <w:vAlign w:val="bottom"/>
            <w:hideMark/>
          </w:tcPr>
          <w:p w14:paraId="42D2CE01"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w:t>
            </w:r>
          </w:p>
        </w:tc>
        <w:tc>
          <w:tcPr>
            <w:tcW w:w="1060" w:type="dxa"/>
            <w:tcBorders>
              <w:top w:val="nil"/>
              <w:left w:val="nil"/>
              <w:bottom w:val="nil"/>
              <w:right w:val="nil"/>
            </w:tcBorders>
            <w:shd w:val="clear" w:color="auto" w:fill="auto"/>
            <w:noWrap/>
            <w:vAlign w:val="bottom"/>
            <w:hideMark/>
          </w:tcPr>
          <w:p w14:paraId="2C35D947"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6</w:t>
            </w:r>
          </w:p>
        </w:tc>
        <w:tc>
          <w:tcPr>
            <w:tcW w:w="7200" w:type="dxa"/>
            <w:tcBorders>
              <w:top w:val="nil"/>
              <w:left w:val="nil"/>
              <w:bottom w:val="nil"/>
              <w:right w:val="single" w:sz="4" w:space="0" w:color="auto"/>
            </w:tcBorders>
            <w:shd w:val="clear" w:color="auto" w:fill="auto"/>
            <w:vAlign w:val="bottom"/>
            <w:hideMark/>
          </w:tcPr>
          <w:p w14:paraId="28DD3543"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Conquista d'Oeste (510336), Pontes e Lacerda (510675), Vale de Sao Domingos (510835)</w:t>
            </w:r>
          </w:p>
        </w:tc>
      </w:tr>
      <w:tr w:rsidR="00E07393" w:rsidRPr="000E5CB6" w14:paraId="2A75F9A8"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46A7E2EE"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w:t>
            </w:r>
          </w:p>
        </w:tc>
        <w:tc>
          <w:tcPr>
            <w:tcW w:w="1060" w:type="dxa"/>
            <w:tcBorders>
              <w:top w:val="nil"/>
              <w:left w:val="nil"/>
              <w:bottom w:val="nil"/>
              <w:right w:val="nil"/>
            </w:tcBorders>
            <w:shd w:val="clear" w:color="auto" w:fill="auto"/>
            <w:noWrap/>
            <w:vAlign w:val="bottom"/>
            <w:hideMark/>
          </w:tcPr>
          <w:p w14:paraId="31B99948"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7</w:t>
            </w:r>
          </w:p>
        </w:tc>
        <w:tc>
          <w:tcPr>
            <w:tcW w:w="7200" w:type="dxa"/>
            <w:tcBorders>
              <w:top w:val="nil"/>
              <w:left w:val="nil"/>
              <w:bottom w:val="nil"/>
              <w:right w:val="single" w:sz="4" w:space="0" w:color="auto"/>
            </w:tcBorders>
            <w:shd w:val="clear" w:color="auto" w:fill="auto"/>
            <w:vAlign w:val="bottom"/>
            <w:hideMark/>
          </w:tcPr>
          <w:p w14:paraId="383A2A4F"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Ipiranga do Norte (510452), Itanhanga (510454), Tapurah (510800)</w:t>
            </w:r>
          </w:p>
        </w:tc>
      </w:tr>
      <w:tr w:rsidR="00E07393" w:rsidRPr="000E5CB6" w14:paraId="3B24C36B"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0AF77D86"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w:t>
            </w:r>
          </w:p>
        </w:tc>
        <w:tc>
          <w:tcPr>
            <w:tcW w:w="1060" w:type="dxa"/>
            <w:tcBorders>
              <w:top w:val="nil"/>
              <w:left w:val="nil"/>
              <w:bottom w:val="nil"/>
              <w:right w:val="nil"/>
            </w:tcBorders>
            <w:shd w:val="clear" w:color="auto" w:fill="auto"/>
            <w:noWrap/>
            <w:vAlign w:val="bottom"/>
            <w:hideMark/>
          </w:tcPr>
          <w:p w14:paraId="539728D6"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8</w:t>
            </w:r>
          </w:p>
        </w:tc>
        <w:tc>
          <w:tcPr>
            <w:tcW w:w="7200" w:type="dxa"/>
            <w:tcBorders>
              <w:top w:val="nil"/>
              <w:left w:val="nil"/>
              <w:bottom w:val="nil"/>
              <w:right w:val="single" w:sz="4" w:space="0" w:color="auto"/>
            </w:tcBorders>
            <w:shd w:val="clear" w:color="auto" w:fill="auto"/>
            <w:vAlign w:val="bottom"/>
            <w:hideMark/>
          </w:tcPr>
          <w:p w14:paraId="69068B8E"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Nova Mutum (510622), Santa Rita do Trivelato (510776)</w:t>
            </w:r>
          </w:p>
        </w:tc>
      </w:tr>
      <w:tr w:rsidR="00E07393" w:rsidRPr="000E5CB6" w14:paraId="39500402"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0C69AAE1"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w:t>
            </w:r>
          </w:p>
        </w:tc>
        <w:tc>
          <w:tcPr>
            <w:tcW w:w="1060" w:type="dxa"/>
            <w:tcBorders>
              <w:top w:val="nil"/>
              <w:left w:val="nil"/>
              <w:bottom w:val="nil"/>
              <w:right w:val="nil"/>
            </w:tcBorders>
            <w:shd w:val="clear" w:color="auto" w:fill="auto"/>
            <w:noWrap/>
            <w:vAlign w:val="bottom"/>
            <w:hideMark/>
          </w:tcPr>
          <w:p w14:paraId="4CCD2665"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9</w:t>
            </w:r>
          </w:p>
        </w:tc>
        <w:tc>
          <w:tcPr>
            <w:tcW w:w="7200" w:type="dxa"/>
            <w:tcBorders>
              <w:top w:val="nil"/>
              <w:left w:val="nil"/>
              <w:bottom w:val="nil"/>
              <w:right w:val="single" w:sz="4" w:space="0" w:color="auto"/>
            </w:tcBorders>
            <w:shd w:val="clear" w:color="auto" w:fill="auto"/>
            <w:vAlign w:val="bottom"/>
            <w:hideMark/>
          </w:tcPr>
          <w:p w14:paraId="7546D46B"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Novo Sao Joaquim (510628), Santo Antonio do Leste (510779)</w:t>
            </w:r>
          </w:p>
        </w:tc>
      </w:tr>
      <w:tr w:rsidR="00E07393" w:rsidRPr="000E5CB6" w14:paraId="7864750A"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4DB6935F"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w:t>
            </w:r>
          </w:p>
        </w:tc>
        <w:tc>
          <w:tcPr>
            <w:tcW w:w="1060" w:type="dxa"/>
            <w:tcBorders>
              <w:top w:val="nil"/>
              <w:left w:val="nil"/>
              <w:bottom w:val="single" w:sz="4" w:space="0" w:color="auto"/>
              <w:right w:val="nil"/>
            </w:tcBorders>
            <w:shd w:val="clear" w:color="auto" w:fill="auto"/>
            <w:noWrap/>
            <w:vAlign w:val="bottom"/>
            <w:hideMark/>
          </w:tcPr>
          <w:p w14:paraId="70408AC3"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10</w:t>
            </w:r>
          </w:p>
        </w:tc>
        <w:tc>
          <w:tcPr>
            <w:tcW w:w="7200" w:type="dxa"/>
            <w:tcBorders>
              <w:top w:val="nil"/>
              <w:left w:val="nil"/>
              <w:bottom w:val="single" w:sz="4" w:space="0" w:color="auto"/>
              <w:right w:val="single" w:sz="4" w:space="0" w:color="auto"/>
            </w:tcBorders>
            <w:shd w:val="clear" w:color="auto" w:fill="auto"/>
            <w:vAlign w:val="bottom"/>
            <w:hideMark/>
          </w:tcPr>
          <w:p w14:paraId="77184037"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Santa Cruz do Xingu (510774), Sao Jose do Xingu (510735)</w:t>
            </w:r>
          </w:p>
        </w:tc>
      </w:tr>
      <w:tr w:rsidR="00E07393" w:rsidRPr="000E5CB6" w14:paraId="67705325" w14:textId="77777777" w:rsidTr="00E07393">
        <w:trPr>
          <w:trHeight w:val="570"/>
        </w:trPr>
        <w:tc>
          <w:tcPr>
            <w:tcW w:w="2160" w:type="dxa"/>
            <w:tcBorders>
              <w:top w:val="nil"/>
              <w:left w:val="single" w:sz="4" w:space="0" w:color="auto"/>
              <w:bottom w:val="single" w:sz="4" w:space="0" w:color="auto"/>
              <w:right w:val="nil"/>
            </w:tcBorders>
            <w:shd w:val="clear" w:color="auto" w:fill="auto"/>
            <w:noWrap/>
            <w:vAlign w:val="bottom"/>
            <w:hideMark/>
          </w:tcPr>
          <w:p w14:paraId="40EAF299"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Mato Grosso do Sul</w:t>
            </w:r>
          </w:p>
        </w:tc>
        <w:tc>
          <w:tcPr>
            <w:tcW w:w="1060" w:type="dxa"/>
            <w:tcBorders>
              <w:top w:val="nil"/>
              <w:left w:val="nil"/>
              <w:bottom w:val="single" w:sz="4" w:space="0" w:color="auto"/>
              <w:right w:val="nil"/>
            </w:tcBorders>
            <w:shd w:val="clear" w:color="auto" w:fill="auto"/>
            <w:noWrap/>
            <w:vAlign w:val="bottom"/>
            <w:hideMark/>
          </w:tcPr>
          <w:p w14:paraId="1069BC10"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single" w:sz="4" w:space="0" w:color="auto"/>
              <w:right w:val="single" w:sz="4" w:space="0" w:color="auto"/>
            </w:tcBorders>
            <w:shd w:val="clear" w:color="auto" w:fill="auto"/>
            <w:vAlign w:val="bottom"/>
            <w:hideMark/>
          </w:tcPr>
          <w:p w14:paraId="43607B8B"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Agua Clara (500020), Camapua (500260), Chapadao do Sul (500295), Costa Rica (500325), Figueirao (500390), Paraiso das Aguas (500627)</w:t>
            </w:r>
          </w:p>
        </w:tc>
      </w:tr>
      <w:tr w:rsidR="00E07393" w:rsidRPr="000E5CB6" w14:paraId="28EBB1BA"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5B328F80"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Para</w:t>
            </w:r>
          </w:p>
        </w:tc>
        <w:tc>
          <w:tcPr>
            <w:tcW w:w="1060" w:type="dxa"/>
            <w:tcBorders>
              <w:top w:val="nil"/>
              <w:left w:val="nil"/>
              <w:bottom w:val="single" w:sz="4" w:space="0" w:color="auto"/>
              <w:right w:val="nil"/>
            </w:tcBorders>
            <w:shd w:val="clear" w:color="auto" w:fill="auto"/>
            <w:noWrap/>
            <w:vAlign w:val="bottom"/>
            <w:hideMark/>
          </w:tcPr>
          <w:p w14:paraId="3DB81244"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single" w:sz="4" w:space="0" w:color="auto"/>
              <w:right w:val="single" w:sz="4" w:space="0" w:color="auto"/>
            </w:tcBorders>
            <w:shd w:val="clear" w:color="auto" w:fill="auto"/>
            <w:vAlign w:val="bottom"/>
            <w:hideMark/>
          </w:tcPr>
          <w:p w14:paraId="59A1A2B4"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Mojui dos Campos (150475), Santarem (150680)</w:t>
            </w:r>
          </w:p>
        </w:tc>
      </w:tr>
      <w:tr w:rsidR="00E07393" w:rsidRPr="000E5CB6" w14:paraId="3604D2E1"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750DFA58"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Piaui</w:t>
            </w:r>
          </w:p>
        </w:tc>
        <w:tc>
          <w:tcPr>
            <w:tcW w:w="1060" w:type="dxa"/>
            <w:tcBorders>
              <w:top w:val="nil"/>
              <w:left w:val="nil"/>
              <w:bottom w:val="nil"/>
              <w:right w:val="nil"/>
            </w:tcBorders>
            <w:shd w:val="clear" w:color="auto" w:fill="auto"/>
            <w:noWrap/>
            <w:vAlign w:val="bottom"/>
            <w:hideMark/>
          </w:tcPr>
          <w:p w14:paraId="3449F0A4"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nil"/>
              <w:right w:val="single" w:sz="4" w:space="0" w:color="auto"/>
            </w:tcBorders>
            <w:shd w:val="clear" w:color="auto" w:fill="auto"/>
            <w:vAlign w:val="bottom"/>
            <w:hideMark/>
          </w:tcPr>
          <w:p w14:paraId="13A181FF"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Altos (220040), Pau d'Arco do Piaui (220779)</w:t>
            </w:r>
          </w:p>
        </w:tc>
      </w:tr>
      <w:tr w:rsidR="00E07393" w:rsidRPr="000E5CB6" w14:paraId="61215D0C"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721AC0E6"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Piaui</w:t>
            </w:r>
          </w:p>
        </w:tc>
        <w:tc>
          <w:tcPr>
            <w:tcW w:w="1060" w:type="dxa"/>
            <w:tcBorders>
              <w:top w:val="nil"/>
              <w:left w:val="nil"/>
              <w:bottom w:val="nil"/>
              <w:right w:val="nil"/>
            </w:tcBorders>
            <w:shd w:val="clear" w:color="auto" w:fill="auto"/>
            <w:noWrap/>
            <w:vAlign w:val="bottom"/>
            <w:hideMark/>
          </w:tcPr>
          <w:p w14:paraId="07673C7B"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w:t>
            </w:r>
          </w:p>
        </w:tc>
        <w:tc>
          <w:tcPr>
            <w:tcW w:w="7200" w:type="dxa"/>
            <w:tcBorders>
              <w:top w:val="nil"/>
              <w:left w:val="nil"/>
              <w:bottom w:val="nil"/>
              <w:right w:val="single" w:sz="4" w:space="0" w:color="auto"/>
            </w:tcBorders>
            <w:shd w:val="clear" w:color="auto" w:fill="auto"/>
            <w:vAlign w:val="bottom"/>
            <w:hideMark/>
          </w:tcPr>
          <w:p w14:paraId="1E87F727"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Aroeiras do Itaim (220095), Picos (220800)</w:t>
            </w:r>
          </w:p>
        </w:tc>
      </w:tr>
      <w:tr w:rsidR="00E07393" w:rsidRPr="000E5CB6" w14:paraId="2CE6E9BC"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57FB72F2"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Piaui</w:t>
            </w:r>
          </w:p>
        </w:tc>
        <w:tc>
          <w:tcPr>
            <w:tcW w:w="1060" w:type="dxa"/>
            <w:tcBorders>
              <w:top w:val="nil"/>
              <w:left w:val="nil"/>
              <w:bottom w:val="single" w:sz="4" w:space="0" w:color="auto"/>
              <w:right w:val="nil"/>
            </w:tcBorders>
            <w:shd w:val="clear" w:color="auto" w:fill="auto"/>
            <w:noWrap/>
            <w:vAlign w:val="bottom"/>
            <w:hideMark/>
          </w:tcPr>
          <w:p w14:paraId="647582BB"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3</w:t>
            </w:r>
          </w:p>
        </w:tc>
        <w:tc>
          <w:tcPr>
            <w:tcW w:w="7200" w:type="dxa"/>
            <w:tcBorders>
              <w:top w:val="nil"/>
              <w:left w:val="nil"/>
              <w:bottom w:val="single" w:sz="4" w:space="0" w:color="auto"/>
              <w:right w:val="single" w:sz="4" w:space="0" w:color="auto"/>
            </w:tcBorders>
            <w:shd w:val="clear" w:color="auto" w:fill="auto"/>
            <w:vAlign w:val="bottom"/>
            <w:hideMark/>
          </w:tcPr>
          <w:p w14:paraId="0B253174"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Nazaria (220672), Teresina (221100)</w:t>
            </w:r>
          </w:p>
        </w:tc>
      </w:tr>
      <w:tr w:rsidR="00E07393" w:rsidRPr="000E5CB6" w14:paraId="1670CFBF"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31A1ACC9"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Norte</w:t>
            </w:r>
          </w:p>
        </w:tc>
        <w:tc>
          <w:tcPr>
            <w:tcW w:w="1060" w:type="dxa"/>
            <w:tcBorders>
              <w:top w:val="nil"/>
              <w:left w:val="nil"/>
              <w:bottom w:val="single" w:sz="4" w:space="0" w:color="auto"/>
              <w:right w:val="nil"/>
            </w:tcBorders>
            <w:shd w:val="clear" w:color="auto" w:fill="auto"/>
            <w:noWrap/>
            <w:vAlign w:val="bottom"/>
            <w:hideMark/>
          </w:tcPr>
          <w:p w14:paraId="226E6C8B"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single" w:sz="4" w:space="0" w:color="auto"/>
              <w:right w:val="single" w:sz="4" w:space="0" w:color="auto"/>
            </w:tcBorders>
            <w:shd w:val="clear" w:color="auto" w:fill="auto"/>
            <w:vAlign w:val="bottom"/>
            <w:hideMark/>
          </w:tcPr>
          <w:p w14:paraId="0146DBF4"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Jundia (240615), Varzea (241470)</w:t>
            </w:r>
          </w:p>
        </w:tc>
      </w:tr>
      <w:tr w:rsidR="00E07393" w:rsidRPr="000E5CB6" w14:paraId="0F146A4F"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00DE9D65"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7748E3D9"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nil"/>
              <w:right w:val="single" w:sz="4" w:space="0" w:color="auto"/>
            </w:tcBorders>
            <w:shd w:val="clear" w:color="auto" w:fill="auto"/>
            <w:vAlign w:val="bottom"/>
            <w:hideMark/>
          </w:tcPr>
          <w:p w14:paraId="4259EE36"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Acegua (430003), Bage (430160)</w:t>
            </w:r>
          </w:p>
        </w:tc>
      </w:tr>
      <w:tr w:rsidR="00E07393" w:rsidRPr="000E5CB6" w14:paraId="429CD03D" w14:textId="77777777" w:rsidTr="00E07393">
        <w:trPr>
          <w:trHeight w:val="570"/>
        </w:trPr>
        <w:tc>
          <w:tcPr>
            <w:tcW w:w="2160" w:type="dxa"/>
            <w:tcBorders>
              <w:top w:val="nil"/>
              <w:left w:val="single" w:sz="4" w:space="0" w:color="auto"/>
              <w:bottom w:val="nil"/>
              <w:right w:val="nil"/>
            </w:tcBorders>
            <w:shd w:val="clear" w:color="auto" w:fill="auto"/>
            <w:noWrap/>
            <w:vAlign w:val="bottom"/>
            <w:hideMark/>
          </w:tcPr>
          <w:p w14:paraId="1D3F0044"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14F9E096"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w:t>
            </w:r>
          </w:p>
        </w:tc>
        <w:tc>
          <w:tcPr>
            <w:tcW w:w="7200" w:type="dxa"/>
            <w:tcBorders>
              <w:top w:val="nil"/>
              <w:left w:val="nil"/>
              <w:bottom w:val="nil"/>
              <w:right w:val="single" w:sz="4" w:space="0" w:color="auto"/>
            </w:tcBorders>
            <w:shd w:val="clear" w:color="auto" w:fill="auto"/>
            <w:vAlign w:val="bottom"/>
            <w:hideMark/>
          </w:tcPr>
          <w:p w14:paraId="51299097"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Agua Santa (430005), Caseiros (430495), Ibiaca (430980), Santa Cecilia do Sul (431673), Tapejara (432090)</w:t>
            </w:r>
          </w:p>
        </w:tc>
      </w:tr>
      <w:tr w:rsidR="00E07393" w:rsidRPr="000E5CB6" w14:paraId="61A1A979"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14ED96C5"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79BDB88A"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3</w:t>
            </w:r>
          </w:p>
        </w:tc>
        <w:tc>
          <w:tcPr>
            <w:tcW w:w="7200" w:type="dxa"/>
            <w:tcBorders>
              <w:top w:val="nil"/>
              <w:left w:val="nil"/>
              <w:bottom w:val="nil"/>
              <w:right w:val="single" w:sz="4" w:space="0" w:color="auto"/>
            </w:tcBorders>
            <w:shd w:val="clear" w:color="auto" w:fill="auto"/>
            <w:vAlign w:val="bottom"/>
            <w:hideMark/>
          </w:tcPr>
          <w:p w14:paraId="7E5D7014"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Almirante Tamandare do Sul (430047), Carazinho (430470)</w:t>
            </w:r>
          </w:p>
        </w:tc>
      </w:tr>
      <w:tr w:rsidR="00E07393" w:rsidRPr="000E5CB6" w14:paraId="3EF6DA5A"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11EF6AB1"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28DCB2B6"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4</w:t>
            </w:r>
          </w:p>
        </w:tc>
        <w:tc>
          <w:tcPr>
            <w:tcW w:w="7200" w:type="dxa"/>
            <w:tcBorders>
              <w:top w:val="nil"/>
              <w:left w:val="nil"/>
              <w:bottom w:val="nil"/>
              <w:right w:val="single" w:sz="4" w:space="0" w:color="auto"/>
            </w:tcBorders>
            <w:shd w:val="clear" w:color="auto" w:fill="auto"/>
            <w:vAlign w:val="bottom"/>
            <w:hideMark/>
          </w:tcPr>
          <w:p w14:paraId="35C0C29D"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Arroio do Padre (430107), Pelotas (431440)</w:t>
            </w:r>
          </w:p>
        </w:tc>
      </w:tr>
      <w:tr w:rsidR="00E07393" w:rsidRPr="000E5CB6" w14:paraId="77873BFD" w14:textId="77777777" w:rsidTr="00E07393">
        <w:trPr>
          <w:trHeight w:val="855"/>
        </w:trPr>
        <w:tc>
          <w:tcPr>
            <w:tcW w:w="2160" w:type="dxa"/>
            <w:tcBorders>
              <w:top w:val="nil"/>
              <w:left w:val="single" w:sz="4" w:space="0" w:color="auto"/>
              <w:bottom w:val="nil"/>
              <w:right w:val="nil"/>
            </w:tcBorders>
            <w:shd w:val="clear" w:color="auto" w:fill="auto"/>
            <w:noWrap/>
            <w:vAlign w:val="bottom"/>
            <w:hideMark/>
          </w:tcPr>
          <w:p w14:paraId="1F2375F4"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lastRenderedPageBreak/>
              <w:t>Rio Grande do Sul</w:t>
            </w:r>
          </w:p>
        </w:tc>
        <w:tc>
          <w:tcPr>
            <w:tcW w:w="1060" w:type="dxa"/>
            <w:tcBorders>
              <w:top w:val="nil"/>
              <w:left w:val="nil"/>
              <w:bottom w:val="nil"/>
              <w:right w:val="nil"/>
            </w:tcBorders>
            <w:shd w:val="clear" w:color="auto" w:fill="auto"/>
            <w:noWrap/>
            <w:vAlign w:val="bottom"/>
            <w:hideMark/>
          </w:tcPr>
          <w:p w14:paraId="2E70E184"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5</w:t>
            </w:r>
          </w:p>
        </w:tc>
        <w:tc>
          <w:tcPr>
            <w:tcW w:w="7200" w:type="dxa"/>
            <w:tcBorders>
              <w:top w:val="nil"/>
              <w:left w:val="nil"/>
              <w:bottom w:val="nil"/>
              <w:right w:val="single" w:sz="4" w:space="0" w:color="auto"/>
            </w:tcBorders>
            <w:shd w:val="clear" w:color="auto" w:fill="auto"/>
            <w:vAlign w:val="bottom"/>
            <w:hideMark/>
          </w:tcPr>
          <w:p w14:paraId="3B88508E"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Augusto Pestana (430150), Boa Vista do Cadeado (430222), Boa Vista do Incra (430223), Bozano (430258), Cruz Alta (430610), Fortaleza dos Valos (430845), Ijui (431020)</w:t>
            </w:r>
          </w:p>
        </w:tc>
      </w:tr>
      <w:tr w:rsidR="00E07393" w:rsidRPr="000E5CB6" w14:paraId="4B938C9B" w14:textId="77777777" w:rsidTr="00E07393">
        <w:trPr>
          <w:trHeight w:val="570"/>
        </w:trPr>
        <w:tc>
          <w:tcPr>
            <w:tcW w:w="2160" w:type="dxa"/>
            <w:tcBorders>
              <w:top w:val="nil"/>
              <w:left w:val="single" w:sz="4" w:space="0" w:color="auto"/>
              <w:bottom w:val="nil"/>
              <w:right w:val="nil"/>
            </w:tcBorders>
            <w:shd w:val="clear" w:color="auto" w:fill="auto"/>
            <w:noWrap/>
            <w:vAlign w:val="bottom"/>
            <w:hideMark/>
          </w:tcPr>
          <w:p w14:paraId="1A15420A"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3C93271D"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6</w:t>
            </w:r>
          </w:p>
        </w:tc>
        <w:tc>
          <w:tcPr>
            <w:tcW w:w="7200" w:type="dxa"/>
            <w:tcBorders>
              <w:top w:val="nil"/>
              <w:left w:val="nil"/>
              <w:bottom w:val="nil"/>
              <w:right w:val="single" w:sz="4" w:space="0" w:color="auto"/>
            </w:tcBorders>
            <w:shd w:val="clear" w:color="auto" w:fill="auto"/>
            <w:vAlign w:val="bottom"/>
            <w:hideMark/>
          </w:tcPr>
          <w:p w14:paraId="74506730"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Barao de Cotegipe (430170), Erechim (430700), Jacutinga (431090), Paulo Bento (431413), Ponte Preta (431478), Quatro Irmaos (431531)</w:t>
            </w:r>
          </w:p>
        </w:tc>
      </w:tr>
      <w:tr w:rsidR="00E07393" w:rsidRPr="000E5CB6" w14:paraId="773573D3"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7685ECFF"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0AE1F8E9"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7</w:t>
            </w:r>
          </w:p>
        </w:tc>
        <w:tc>
          <w:tcPr>
            <w:tcW w:w="7200" w:type="dxa"/>
            <w:tcBorders>
              <w:top w:val="nil"/>
              <w:left w:val="nil"/>
              <w:bottom w:val="nil"/>
              <w:right w:val="single" w:sz="4" w:space="0" w:color="auto"/>
            </w:tcBorders>
            <w:shd w:val="clear" w:color="auto" w:fill="auto"/>
            <w:vAlign w:val="bottom"/>
            <w:hideMark/>
          </w:tcPr>
          <w:p w14:paraId="1A16C94E"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Bento Goncalves (430210), Pinto Bandeira (431453), Pinto Bandeira (431454)</w:t>
            </w:r>
          </w:p>
        </w:tc>
      </w:tr>
      <w:tr w:rsidR="00E07393" w:rsidRPr="000E5CB6" w14:paraId="2EBCA5A5"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58A95239"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72C43630"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8</w:t>
            </w:r>
          </w:p>
        </w:tc>
        <w:tc>
          <w:tcPr>
            <w:tcW w:w="7200" w:type="dxa"/>
            <w:tcBorders>
              <w:top w:val="nil"/>
              <w:left w:val="nil"/>
              <w:bottom w:val="nil"/>
              <w:right w:val="single" w:sz="4" w:space="0" w:color="auto"/>
            </w:tcBorders>
            <w:shd w:val="clear" w:color="auto" w:fill="auto"/>
            <w:vAlign w:val="bottom"/>
            <w:hideMark/>
          </w:tcPr>
          <w:p w14:paraId="6C5FB556"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Caibate (430330), Mato Queimado (431217)</w:t>
            </w:r>
          </w:p>
        </w:tc>
      </w:tr>
      <w:tr w:rsidR="00E07393" w:rsidRPr="000E5CB6" w14:paraId="131A33E1"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162B7918"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1CD15281"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9</w:t>
            </w:r>
          </w:p>
        </w:tc>
        <w:tc>
          <w:tcPr>
            <w:tcW w:w="7200" w:type="dxa"/>
            <w:tcBorders>
              <w:top w:val="nil"/>
              <w:left w:val="nil"/>
              <w:bottom w:val="nil"/>
              <w:right w:val="single" w:sz="4" w:space="0" w:color="auto"/>
            </w:tcBorders>
            <w:shd w:val="clear" w:color="auto" w:fill="auto"/>
            <w:vAlign w:val="bottom"/>
            <w:hideMark/>
          </w:tcPr>
          <w:p w14:paraId="2556EEF7"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Campinas do Sul (430380), Cruzaltense (430613)</w:t>
            </w:r>
          </w:p>
        </w:tc>
      </w:tr>
      <w:tr w:rsidR="00E07393" w:rsidRPr="000E5CB6" w14:paraId="47F4298D" w14:textId="77777777" w:rsidTr="00E07393">
        <w:trPr>
          <w:trHeight w:val="570"/>
        </w:trPr>
        <w:tc>
          <w:tcPr>
            <w:tcW w:w="2160" w:type="dxa"/>
            <w:tcBorders>
              <w:top w:val="nil"/>
              <w:left w:val="single" w:sz="4" w:space="0" w:color="auto"/>
              <w:bottom w:val="nil"/>
              <w:right w:val="nil"/>
            </w:tcBorders>
            <w:shd w:val="clear" w:color="auto" w:fill="auto"/>
            <w:noWrap/>
            <w:vAlign w:val="bottom"/>
            <w:hideMark/>
          </w:tcPr>
          <w:p w14:paraId="6F44F06A"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42C7FCC2"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10</w:t>
            </w:r>
          </w:p>
        </w:tc>
        <w:tc>
          <w:tcPr>
            <w:tcW w:w="7200" w:type="dxa"/>
            <w:tcBorders>
              <w:top w:val="nil"/>
              <w:left w:val="nil"/>
              <w:bottom w:val="nil"/>
              <w:right w:val="single" w:sz="4" w:space="0" w:color="auto"/>
            </w:tcBorders>
            <w:shd w:val="clear" w:color="auto" w:fill="auto"/>
            <w:vAlign w:val="bottom"/>
            <w:hideMark/>
          </w:tcPr>
          <w:p w14:paraId="0D3867D6"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Canudos do Vale (430461), Forquetinha (430843), Lajeado (431140), Progresso (431515)</w:t>
            </w:r>
          </w:p>
        </w:tc>
      </w:tr>
      <w:tr w:rsidR="00E07393" w:rsidRPr="000E5CB6" w14:paraId="332B5494"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7CEAD186"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5774F093"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11</w:t>
            </w:r>
          </w:p>
        </w:tc>
        <w:tc>
          <w:tcPr>
            <w:tcW w:w="7200" w:type="dxa"/>
            <w:tcBorders>
              <w:top w:val="nil"/>
              <w:left w:val="nil"/>
              <w:bottom w:val="nil"/>
              <w:right w:val="single" w:sz="4" w:space="0" w:color="auto"/>
            </w:tcBorders>
            <w:shd w:val="clear" w:color="auto" w:fill="auto"/>
            <w:vAlign w:val="bottom"/>
            <w:hideMark/>
          </w:tcPr>
          <w:p w14:paraId="3C3E0AA6"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Capao Bonito do Sul (430462), Lagoa Vermelha (431130)</w:t>
            </w:r>
          </w:p>
        </w:tc>
      </w:tr>
      <w:tr w:rsidR="00E07393" w:rsidRPr="000E5CB6" w14:paraId="4A7873B6"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2058762D"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7CBA6FF7"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12</w:t>
            </w:r>
          </w:p>
        </w:tc>
        <w:tc>
          <w:tcPr>
            <w:tcW w:w="7200" w:type="dxa"/>
            <w:tcBorders>
              <w:top w:val="nil"/>
              <w:left w:val="nil"/>
              <w:bottom w:val="nil"/>
              <w:right w:val="single" w:sz="4" w:space="0" w:color="auto"/>
            </w:tcBorders>
            <w:shd w:val="clear" w:color="auto" w:fill="auto"/>
            <w:vAlign w:val="bottom"/>
            <w:hideMark/>
          </w:tcPr>
          <w:p w14:paraId="17664BD9"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Capao do Cipo (430465), Santiago (431740), Sao Miguel das Missoes (431915)</w:t>
            </w:r>
          </w:p>
        </w:tc>
      </w:tr>
      <w:tr w:rsidR="00E07393" w:rsidRPr="000E5CB6" w14:paraId="1FE61D7C"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09FBE995"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203CB227"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13</w:t>
            </w:r>
          </w:p>
        </w:tc>
        <w:tc>
          <w:tcPr>
            <w:tcW w:w="7200" w:type="dxa"/>
            <w:tcBorders>
              <w:top w:val="nil"/>
              <w:left w:val="nil"/>
              <w:bottom w:val="nil"/>
              <w:right w:val="single" w:sz="4" w:space="0" w:color="auto"/>
            </w:tcBorders>
            <w:shd w:val="clear" w:color="auto" w:fill="auto"/>
            <w:vAlign w:val="bottom"/>
            <w:hideMark/>
          </w:tcPr>
          <w:p w14:paraId="538B3E69"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Constantina (430580), Novo Xingu (431346)</w:t>
            </w:r>
          </w:p>
        </w:tc>
      </w:tr>
      <w:tr w:rsidR="00E07393" w:rsidRPr="000E5CB6" w14:paraId="62845ECF"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5A05E1A2"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2EADD78C"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14</w:t>
            </w:r>
          </w:p>
        </w:tc>
        <w:tc>
          <w:tcPr>
            <w:tcW w:w="7200" w:type="dxa"/>
            <w:tcBorders>
              <w:top w:val="nil"/>
              <w:left w:val="nil"/>
              <w:bottom w:val="nil"/>
              <w:right w:val="single" w:sz="4" w:space="0" w:color="auto"/>
            </w:tcBorders>
            <w:shd w:val="clear" w:color="auto" w:fill="auto"/>
            <w:vAlign w:val="bottom"/>
            <w:hideMark/>
          </w:tcPr>
          <w:p w14:paraId="5E32EB93"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Coqueiro Baixo (430583), Nova Brescia (431300), Relvado (431545)</w:t>
            </w:r>
          </w:p>
        </w:tc>
      </w:tr>
      <w:tr w:rsidR="00E07393" w:rsidRPr="000E5CB6" w14:paraId="4B3CF1DD"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0B36276F"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379386F2"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15</w:t>
            </w:r>
          </w:p>
        </w:tc>
        <w:tc>
          <w:tcPr>
            <w:tcW w:w="7200" w:type="dxa"/>
            <w:tcBorders>
              <w:top w:val="nil"/>
              <w:left w:val="nil"/>
              <w:bottom w:val="nil"/>
              <w:right w:val="single" w:sz="4" w:space="0" w:color="auto"/>
            </w:tcBorders>
            <w:shd w:val="clear" w:color="auto" w:fill="auto"/>
            <w:vAlign w:val="bottom"/>
            <w:hideMark/>
          </w:tcPr>
          <w:p w14:paraId="31ACBF8A"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Coronel Pilar (430593), Garibaldi (430860), Roca Sales (431580)</w:t>
            </w:r>
          </w:p>
        </w:tc>
      </w:tr>
      <w:tr w:rsidR="00E07393" w:rsidRPr="000E5CB6" w14:paraId="250A98CE" w14:textId="77777777" w:rsidTr="00E07393">
        <w:trPr>
          <w:trHeight w:val="570"/>
        </w:trPr>
        <w:tc>
          <w:tcPr>
            <w:tcW w:w="2160" w:type="dxa"/>
            <w:tcBorders>
              <w:top w:val="nil"/>
              <w:left w:val="single" w:sz="4" w:space="0" w:color="auto"/>
              <w:bottom w:val="nil"/>
              <w:right w:val="nil"/>
            </w:tcBorders>
            <w:shd w:val="clear" w:color="auto" w:fill="auto"/>
            <w:noWrap/>
            <w:vAlign w:val="bottom"/>
            <w:hideMark/>
          </w:tcPr>
          <w:p w14:paraId="7C17983A"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3037ED52"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16</w:t>
            </w:r>
          </w:p>
        </w:tc>
        <w:tc>
          <w:tcPr>
            <w:tcW w:w="7200" w:type="dxa"/>
            <w:tcBorders>
              <w:top w:val="nil"/>
              <w:left w:val="nil"/>
              <w:bottom w:val="nil"/>
              <w:right w:val="single" w:sz="4" w:space="0" w:color="auto"/>
            </w:tcBorders>
            <w:shd w:val="clear" w:color="auto" w:fill="auto"/>
            <w:vAlign w:val="bottom"/>
            <w:hideMark/>
          </w:tcPr>
          <w:p w14:paraId="6C982D31"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Ernestina (430705), Ibirapuita (430995), Tio Hugo (432146), Victor Graeff (432320)</w:t>
            </w:r>
          </w:p>
        </w:tc>
      </w:tr>
      <w:tr w:rsidR="00E07393" w:rsidRPr="000E5CB6" w14:paraId="06F67B55"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2294CECF"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41CEA8FA"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17</w:t>
            </w:r>
          </w:p>
        </w:tc>
        <w:tc>
          <w:tcPr>
            <w:tcW w:w="7200" w:type="dxa"/>
            <w:tcBorders>
              <w:top w:val="nil"/>
              <w:left w:val="nil"/>
              <w:bottom w:val="nil"/>
              <w:right w:val="single" w:sz="4" w:space="0" w:color="auto"/>
            </w:tcBorders>
            <w:shd w:val="clear" w:color="auto" w:fill="auto"/>
            <w:vAlign w:val="bottom"/>
            <w:hideMark/>
          </w:tcPr>
          <w:p w14:paraId="30354721"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Esmeralda (430740), Pinhal da Serra (431446)</w:t>
            </w:r>
          </w:p>
        </w:tc>
      </w:tr>
      <w:tr w:rsidR="00E07393" w:rsidRPr="000E5CB6" w14:paraId="2A3FFD6E"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38E62427"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7005AF73"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18</w:t>
            </w:r>
          </w:p>
        </w:tc>
        <w:tc>
          <w:tcPr>
            <w:tcW w:w="7200" w:type="dxa"/>
            <w:tcBorders>
              <w:top w:val="nil"/>
              <w:left w:val="nil"/>
              <w:bottom w:val="nil"/>
              <w:right w:val="single" w:sz="4" w:space="0" w:color="auto"/>
            </w:tcBorders>
            <w:shd w:val="clear" w:color="auto" w:fill="auto"/>
            <w:vAlign w:val="bottom"/>
            <w:hideMark/>
          </w:tcPr>
          <w:p w14:paraId="2528D354"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Espumoso (430750), Jacuizinho (431087), Salto do Jacui (431645)</w:t>
            </w:r>
          </w:p>
        </w:tc>
      </w:tr>
      <w:tr w:rsidR="00E07393" w:rsidRPr="000E5CB6" w14:paraId="138CC744"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73EA3C79"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7C1EF426"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19</w:t>
            </w:r>
          </w:p>
        </w:tc>
        <w:tc>
          <w:tcPr>
            <w:tcW w:w="7200" w:type="dxa"/>
            <w:tcBorders>
              <w:top w:val="nil"/>
              <w:left w:val="nil"/>
              <w:bottom w:val="nil"/>
              <w:right w:val="single" w:sz="4" w:space="0" w:color="auto"/>
            </w:tcBorders>
            <w:shd w:val="clear" w:color="auto" w:fill="auto"/>
            <w:vAlign w:val="bottom"/>
            <w:hideMark/>
          </w:tcPr>
          <w:p w14:paraId="4A89624B"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Herval (430710), Pedras Altas (431417), Pinheiro Machado (431450)</w:t>
            </w:r>
          </w:p>
        </w:tc>
      </w:tr>
      <w:tr w:rsidR="00E07393" w:rsidRPr="000E5CB6" w14:paraId="1929C0E2"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1AC54463"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1CDD44C9"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20</w:t>
            </w:r>
          </w:p>
        </w:tc>
        <w:tc>
          <w:tcPr>
            <w:tcW w:w="7200" w:type="dxa"/>
            <w:tcBorders>
              <w:top w:val="nil"/>
              <w:left w:val="nil"/>
              <w:bottom w:val="nil"/>
              <w:right w:val="single" w:sz="4" w:space="0" w:color="auto"/>
            </w:tcBorders>
            <w:shd w:val="clear" w:color="auto" w:fill="auto"/>
            <w:vAlign w:val="bottom"/>
            <w:hideMark/>
          </w:tcPr>
          <w:p w14:paraId="6FA49D0C"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Imigrante (431036), Teutonia (432145), Westfalia (432377)</w:t>
            </w:r>
          </w:p>
        </w:tc>
      </w:tr>
      <w:tr w:rsidR="00E07393" w:rsidRPr="000E5CB6" w14:paraId="5852775C"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71D96AC0"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3CE140FC"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21</w:t>
            </w:r>
          </w:p>
        </w:tc>
        <w:tc>
          <w:tcPr>
            <w:tcW w:w="7200" w:type="dxa"/>
            <w:tcBorders>
              <w:top w:val="nil"/>
              <w:left w:val="nil"/>
              <w:bottom w:val="nil"/>
              <w:right w:val="single" w:sz="4" w:space="0" w:color="auto"/>
            </w:tcBorders>
            <w:shd w:val="clear" w:color="auto" w:fill="auto"/>
            <w:vAlign w:val="bottom"/>
            <w:hideMark/>
          </w:tcPr>
          <w:p w14:paraId="2886D97E"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Itati (431065), Terra de Areia (432143)</w:t>
            </w:r>
          </w:p>
        </w:tc>
      </w:tr>
      <w:tr w:rsidR="00E07393" w:rsidRPr="000E5CB6" w14:paraId="54500699"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6EB9F44A"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6EDD9BFD"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22</w:t>
            </w:r>
          </w:p>
        </w:tc>
        <w:tc>
          <w:tcPr>
            <w:tcW w:w="7200" w:type="dxa"/>
            <w:tcBorders>
              <w:top w:val="nil"/>
              <w:left w:val="nil"/>
              <w:bottom w:val="nil"/>
              <w:right w:val="single" w:sz="4" w:space="0" w:color="auto"/>
            </w:tcBorders>
            <w:shd w:val="clear" w:color="auto" w:fill="auto"/>
            <w:vAlign w:val="bottom"/>
            <w:hideMark/>
          </w:tcPr>
          <w:p w14:paraId="46B62256"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Lagoa Bonita do Sul (431123), Sobradinho (432070)</w:t>
            </w:r>
          </w:p>
        </w:tc>
      </w:tr>
      <w:tr w:rsidR="00E07393" w:rsidRPr="000E5CB6" w14:paraId="61E784A9" w14:textId="77777777" w:rsidTr="00E07393">
        <w:trPr>
          <w:trHeight w:val="570"/>
        </w:trPr>
        <w:tc>
          <w:tcPr>
            <w:tcW w:w="2160" w:type="dxa"/>
            <w:tcBorders>
              <w:top w:val="nil"/>
              <w:left w:val="single" w:sz="4" w:space="0" w:color="auto"/>
              <w:bottom w:val="nil"/>
              <w:right w:val="nil"/>
            </w:tcBorders>
            <w:shd w:val="clear" w:color="auto" w:fill="auto"/>
            <w:noWrap/>
            <w:vAlign w:val="bottom"/>
            <w:hideMark/>
          </w:tcPr>
          <w:p w14:paraId="1D19EEC1"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06E92D6C"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23</w:t>
            </w:r>
          </w:p>
        </w:tc>
        <w:tc>
          <w:tcPr>
            <w:tcW w:w="7200" w:type="dxa"/>
            <w:tcBorders>
              <w:top w:val="nil"/>
              <w:left w:val="nil"/>
              <w:bottom w:val="nil"/>
              <w:right w:val="single" w:sz="4" w:space="0" w:color="auto"/>
            </w:tcBorders>
            <w:shd w:val="clear" w:color="auto" w:fill="auto"/>
            <w:vAlign w:val="bottom"/>
            <w:hideMark/>
          </w:tcPr>
          <w:p w14:paraId="3A802A67"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Marata (431179), Montenegro (431240), Salvador do Sul (431650), Sao Jose do Sul (431861)</w:t>
            </w:r>
          </w:p>
        </w:tc>
      </w:tr>
      <w:tr w:rsidR="00E07393" w:rsidRPr="000E5CB6" w14:paraId="295A851C"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09D94008"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6E7A3750"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24</w:t>
            </w:r>
          </w:p>
        </w:tc>
        <w:tc>
          <w:tcPr>
            <w:tcW w:w="7200" w:type="dxa"/>
            <w:tcBorders>
              <w:top w:val="nil"/>
              <w:left w:val="nil"/>
              <w:bottom w:val="nil"/>
              <w:right w:val="single" w:sz="4" w:space="0" w:color="auto"/>
            </w:tcBorders>
            <w:shd w:val="clear" w:color="auto" w:fill="auto"/>
            <w:vAlign w:val="bottom"/>
            <w:hideMark/>
          </w:tcPr>
          <w:p w14:paraId="61A8F20B"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Palmeira das Missoes (431370), Sao Pedro das Missoes (431936)</w:t>
            </w:r>
          </w:p>
        </w:tc>
      </w:tr>
      <w:tr w:rsidR="00E07393" w:rsidRPr="000E5CB6" w14:paraId="662C0AB9"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10B15958"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nil"/>
              <w:right w:val="nil"/>
            </w:tcBorders>
            <w:shd w:val="clear" w:color="auto" w:fill="auto"/>
            <w:noWrap/>
            <w:vAlign w:val="bottom"/>
            <w:hideMark/>
          </w:tcPr>
          <w:p w14:paraId="7EBD3418"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25</w:t>
            </w:r>
          </w:p>
        </w:tc>
        <w:tc>
          <w:tcPr>
            <w:tcW w:w="7200" w:type="dxa"/>
            <w:tcBorders>
              <w:top w:val="nil"/>
              <w:left w:val="nil"/>
              <w:bottom w:val="nil"/>
              <w:right w:val="single" w:sz="4" w:space="0" w:color="auto"/>
            </w:tcBorders>
            <w:shd w:val="clear" w:color="auto" w:fill="auto"/>
            <w:vAlign w:val="bottom"/>
            <w:hideMark/>
          </w:tcPr>
          <w:p w14:paraId="3B848696"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Rolador (431595), Sao Luiz Gonzaga (431890)</w:t>
            </w:r>
          </w:p>
        </w:tc>
      </w:tr>
      <w:tr w:rsidR="00E07393" w:rsidRPr="000E5CB6" w14:paraId="12B0A26C"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42A43A11"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Grande do Sul</w:t>
            </w:r>
          </w:p>
        </w:tc>
        <w:tc>
          <w:tcPr>
            <w:tcW w:w="1060" w:type="dxa"/>
            <w:tcBorders>
              <w:top w:val="nil"/>
              <w:left w:val="nil"/>
              <w:bottom w:val="single" w:sz="4" w:space="0" w:color="auto"/>
              <w:right w:val="nil"/>
            </w:tcBorders>
            <w:shd w:val="clear" w:color="auto" w:fill="auto"/>
            <w:noWrap/>
            <w:vAlign w:val="bottom"/>
            <w:hideMark/>
          </w:tcPr>
          <w:p w14:paraId="3154765E"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26</w:t>
            </w:r>
          </w:p>
        </w:tc>
        <w:tc>
          <w:tcPr>
            <w:tcW w:w="7200" w:type="dxa"/>
            <w:tcBorders>
              <w:top w:val="nil"/>
              <w:left w:val="nil"/>
              <w:bottom w:val="single" w:sz="4" w:space="0" w:color="auto"/>
              <w:right w:val="single" w:sz="4" w:space="0" w:color="auto"/>
            </w:tcBorders>
            <w:shd w:val="clear" w:color="auto" w:fill="auto"/>
            <w:vAlign w:val="bottom"/>
            <w:hideMark/>
          </w:tcPr>
          <w:p w14:paraId="104DC5F9"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Santa Margarida do Sul (431697), Sao Gabriel (431830)</w:t>
            </w:r>
          </w:p>
        </w:tc>
      </w:tr>
      <w:tr w:rsidR="00E07393" w:rsidRPr="000E5CB6" w14:paraId="14E17D3E"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1D53CF38"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Rio de Janeiro</w:t>
            </w:r>
          </w:p>
        </w:tc>
        <w:tc>
          <w:tcPr>
            <w:tcW w:w="1060" w:type="dxa"/>
            <w:tcBorders>
              <w:top w:val="nil"/>
              <w:left w:val="nil"/>
              <w:bottom w:val="single" w:sz="4" w:space="0" w:color="auto"/>
              <w:right w:val="nil"/>
            </w:tcBorders>
            <w:shd w:val="clear" w:color="auto" w:fill="auto"/>
            <w:noWrap/>
            <w:vAlign w:val="bottom"/>
            <w:hideMark/>
          </w:tcPr>
          <w:p w14:paraId="334163D9"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single" w:sz="4" w:space="0" w:color="auto"/>
              <w:right w:val="single" w:sz="4" w:space="0" w:color="auto"/>
            </w:tcBorders>
            <w:shd w:val="clear" w:color="auto" w:fill="auto"/>
            <w:vAlign w:val="bottom"/>
            <w:hideMark/>
          </w:tcPr>
          <w:p w14:paraId="6EA040C3"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Mesquita (330285), Nova Iguacu (330350)</w:t>
            </w:r>
          </w:p>
        </w:tc>
      </w:tr>
      <w:tr w:rsidR="00E07393" w:rsidRPr="000E5CB6" w14:paraId="0976FA8C" w14:textId="77777777" w:rsidTr="00E07393">
        <w:trPr>
          <w:trHeight w:val="285"/>
        </w:trPr>
        <w:tc>
          <w:tcPr>
            <w:tcW w:w="2160" w:type="dxa"/>
            <w:tcBorders>
              <w:top w:val="nil"/>
              <w:left w:val="single" w:sz="4" w:space="0" w:color="auto"/>
              <w:bottom w:val="nil"/>
              <w:right w:val="nil"/>
            </w:tcBorders>
            <w:shd w:val="clear" w:color="auto" w:fill="auto"/>
            <w:noWrap/>
            <w:vAlign w:val="bottom"/>
            <w:hideMark/>
          </w:tcPr>
          <w:p w14:paraId="298E6581"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Santa Catarina</w:t>
            </w:r>
          </w:p>
        </w:tc>
        <w:tc>
          <w:tcPr>
            <w:tcW w:w="1060" w:type="dxa"/>
            <w:tcBorders>
              <w:top w:val="nil"/>
              <w:left w:val="nil"/>
              <w:bottom w:val="nil"/>
              <w:right w:val="nil"/>
            </w:tcBorders>
            <w:shd w:val="clear" w:color="auto" w:fill="auto"/>
            <w:noWrap/>
            <w:vAlign w:val="bottom"/>
            <w:hideMark/>
          </w:tcPr>
          <w:p w14:paraId="56D8BF42"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1</w:t>
            </w:r>
          </w:p>
        </w:tc>
        <w:tc>
          <w:tcPr>
            <w:tcW w:w="7200" w:type="dxa"/>
            <w:tcBorders>
              <w:top w:val="nil"/>
              <w:left w:val="nil"/>
              <w:bottom w:val="nil"/>
              <w:right w:val="single" w:sz="4" w:space="0" w:color="auto"/>
            </w:tcBorders>
            <w:shd w:val="clear" w:color="auto" w:fill="auto"/>
            <w:vAlign w:val="bottom"/>
            <w:hideMark/>
          </w:tcPr>
          <w:p w14:paraId="542E260F"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Balneario Rincao (422000), Icara (420700)</w:t>
            </w:r>
          </w:p>
        </w:tc>
      </w:tr>
      <w:tr w:rsidR="00E07393" w:rsidRPr="000E5CB6" w14:paraId="572E1DF1" w14:textId="77777777" w:rsidTr="00E07393">
        <w:trPr>
          <w:trHeight w:val="285"/>
        </w:trPr>
        <w:tc>
          <w:tcPr>
            <w:tcW w:w="2160" w:type="dxa"/>
            <w:tcBorders>
              <w:top w:val="nil"/>
              <w:left w:val="single" w:sz="4" w:space="0" w:color="auto"/>
              <w:bottom w:val="single" w:sz="4" w:space="0" w:color="auto"/>
              <w:right w:val="nil"/>
            </w:tcBorders>
            <w:shd w:val="clear" w:color="auto" w:fill="auto"/>
            <w:noWrap/>
            <w:vAlign w:val="bottom"/>
            <w:hideMark/>
          </w:tcPr>
          <w:p w14:paraId="34769252" w14:textId="77777777" w:rsidR="00E07393" w:rsidRPr="000371AA" w:rsidRDefault="00E07393" w:rsidP="00E07393">
            <w:pPr>
              <w:spacing w:after="0" w:line="240" w:lineRule="auto"/>
              <w:rPr>
                <w:rFonts w:ascii="Arial" w:eastAsia="Times New Roman" w:hAnsi="Arial" w:cs="Arial"/>
                <w:color w:val="000000"/>
              </w:rPr>
            </w:pPr>
            <w:r w:rsidRPr="000371AA">
              <w:rPr>
                <w:rFonts w:ascii="Arial" w:eastAsia="Times New Roman" w:hAnsi="Arial" w:cs="Arial"/>
                <w:color w:val="000000"/>
              </w:rPr>
              <w:t>Santa Catarina</w:t>
            </w:r>
          </w:p>
        </w:tc>
        <w:tc>
          <w:tcPr>
            <w:tcW w:w="1060" w:type="dxa"/>
            <w:tcBorders>
              <w:top w:val="nil"/>
              <w:left w:val="nil"/>
              <w:bottom w:val="single" w:sz="4" w:space="0" w:color="auto"/>
              <w:right w:val="nil"/>
            </w:tcBorders>
            <w:shd w:val="clear" w:color="auto" w:fill="auto"/>
            <w:noWrap/>
            <w:vAlign w:val="bottom"/>
            <w:hideMark/>
          </w:tcPr>
          <w:p w14:paraId="43D815E0" w14:textId="77777777" w:rsidR="00E07393" w:rsidRPr="001F783A" w:rsidRDefault="00E07393" w:rsidP="00E07393">
            <w:pPr>
              <w:spacing w:after="0" w:line="240" w:lineRule="auto"/>
              <w:rPr>
                <w:rFonts w:ascii="Arial" w:eastAsia="Times New Roman" w:hAnsi="Arial" w:cs="Arial"/>
                <w:color w:val="000000"/>
              </w:rPr>
            </w:pPr>
            <w:r w:rsidRPr="001F783A">
              <w:rPr>
                <w:rFonts w:ascii="Arial" w:eastAsia="Times New Roman" w:hAnsi="Arial" w:cs="Arial"/>
                <w:color w:val="000000"/>
              </w:rPr>
              <w:t>2</w:t>
            </w:r>
          </w:p>
        </w:tc>
        <w:tc>
          <w:tcPr>
            <w:tcW w:w="7200" w:type="dxa"/>
            <w:tcBorders>
              <w:top w:val="nil"/>
              <w:left w:val="nil"/>
              <w:bottom w:val="single" w:sz="4" w:space="0" w:color="auto"/>
              <w:right w:val="single" w:sz="4" w:space="0" w:color="auto"/>
            </w:tcBorders>
            <w:shd w:val="clear" w:color="auto" w:fill="auto"/>
            <w:vAlign w:val="bottom"/>
            <w:hideMark/>
          </w:tcPr>
          <w:p w14:paraId="53CC1428" w14:textId="77777777" w:rsidR="00E07393" w:rsidRPr="00D21A94" w:rsidRDefault="00E07393" w:rsidP="00E07393">
            <w:pPr>
              <w:spacing w:after="0" w:line="240" w:lineRule="auto"/>
              <w:rPr>
                <w:rFonts w:ascii="Arial" w:eastAsia="Times New Roman" w:hAnsi="Arial" w:cs="Arial"/>
                <w:color w:val="000000"/>
              </w:rPr>
            </w:pPr>
            <w:r w:rsidRPr="00D21A94">
              <w:rPr>
                <w:rFonts w:ascii="Arial" w:eastAsia="Times New Roman" w:hAnsi="Arial" w:cs="Arial"/>
                <w:color w:val="000000"/>
              </w:rPr>
              <w:t>Laguna (420940), Pescaria Brava (421265)</w:t>
            </w:r>
          </w:p>
        </w:tc>
      </w:tr>
    </w:tbl>
    <w:p w14:paraId="681CF21B" w14:textId="77777777" w:rsidR="00DE40A6" w:rsidRPr="000E5CB6" w:rsidRDefault="00DE40A6" w:rsidP="00546726">
      <w:pPr>
        <w:rPr>
          <w:rFonts w:ascii="Arial" w:hAnsi="Arial" w:cs="Arial"/>
        </w:rPr>
      </w:pPr>
    </w:p>
    <w:p w14:paraId="2014E92C" w14:textId="77777777" w:rsidR="00DE40A6" w:rsidRDefault="00DE40A6" w:rsidP="00DE40A6">
      <w:pPr>
        <w:rPr>
          <w:rFonts w:asciiTheme="majorHAnsi" w:eastAsiaTheme="majorEastAsia" w:hAnsiTheme="majorHAnsi" w:cstheme="majorBidi"/>
          <w:color w:val="2E74B5" w:themeColor="accent1" w:themeShade="BF"/>
          <w:sz w:val="32"/>
          <w:szCs w:val="32"/>
        </w:rPr>
      </w:pPr>
      <w:r>
        <w:br w:type="page"/>
      </w:r>
    </w:p>
    <w:p w14:paraId="09B09E82" w14:textId="2483BA70" w:rsidR="009E4A1F" w:rsidRPr="00AD32BC" w:rsidRDefault="00866315" w:rsidP="005E76D6">
      <w:pPr>
        <w:pStyle w:val="Heading2"/>
        <w:rPr>
          <w:rFonts w:ascii="Arial" w:hAnsi="Arial" w:cs="Arial"/>
        </w:rPr>
      </w:pPr>
      <w:bookmarkStart w:id="17" w:name="_Toc507589374"/>
      <w:bookmarkStart w:id="18" w:name="_Toc516066494"/>
      <w:r w:rsidRPr="00AD32BC">
        <w:rPr>
          <w:rFonts w:ascii="Arial" w:hAnsi="Arial" w:cs="Arial"/>
        </w:rPr>
        <w:lastRenderedPageBreak/>
        <w:t>2</w:t>
      </w:r>
      <w:r w:rsidR="00991FF7" w:rsidRPr="00AD32BC">
        <w:rPr>
          <w:rFonts w:ascii="Arial" w:hAnsi="Arial" w:cs="Arial"/>
        </w:rPr>
        <w:t xml:space="preserve">.3 </w:t>
      </w:r>
      <w:r w:rsidR="009E4A1F" w:rsidRPr="00AD32BC">
        <w:rPr>
          <w:rFonts w:ascii="Arial" w:hAnsi="Arial" w:cs="Arial"/>
        </w:rPr>
        <w:t xml:space="preserve">Small area </w:t>
      </w:r>
      <w:r w:rsidR="00D06F40" w:rsidRPr="00AD32BC">
        <w:rPr>
          <w:rFonts w:ascii="Arial" w:hAnsi="Arial" w:cs="Arial"/>
        </w:rPr>
        <w:t xml:space="preserve">estimation </w:t>
      </w:r>
      <w:r w:rsidR="009E4A1F" w:rsidRPr="00AD32BC">
        <w:rPr>
          <w:rFonts w:ascii="Arial" w:hAnsi="Arial" w:cs="Arial"/>
        </w:rPr>
        <w:t>model description</w:t>
      </w:r>
      <w:bookmarkEnd w:id="17"/>
      <w:bookmarkEnd w:id="18"/>
    </w:p>
    <w:p w14:paraId="57BD9A65" w14:textId="77777777" w:rsidR="00FB0C4C" w:rsidRPr="000371AA" w:rsidRDefault="00FB0C4C" w:rsidP="009A4BF8">
      <w:pPr>
        <w:pStyle w:val="NoSpacing"/>
        <w:rPr>
          <w:rFonts w:ascii="Arial" w:hAnsi="Arial" w:cs="Arial"/>
        </w:rPr>
      </w:pPr>
    </w:p>
    <w:p w14:paraId="1FD9053C" w14:textId="77777777" w:rsidR="0024651B" w:rsidRDefault="0024651B" w:rsidP="009A4BF8">
      <w:pPr>
        <w:pStyle w:val="NoSpacing"/>
        <w:rPr>
          <w:rFonts w:ascii="Arial" w:hAnsi="Arial" w:cs="Arial"/>
        </w:rPr>
      </w:pPr>
      <w:r>
        <w:rPr>
          <w:rFonts w:ascii="Arial" w:hAnsi="Arial" w:cs="Arial"/>
        </w:rPr>
        <w:t xml:space="preserve">The </w:t>
      </w:r>
      <w:r w:rsidR="00FA015C">
        <w:rPr>
          <w:rFonts w:ascii="Arial" w:hAnsi="Arial" w:cs="Arial"/>
        </w:rPr>
        <w:t xml:space="preserve">following </w:t>
      </w:r>
      <w:r>
        <w:rPr>
          <w:rFonts w:ascii="Arial" w:hAnsi="Arial" w:cs="Arial"/>
        </w:rPr>
        <w:t>small area model was estimated separately for males and females:</w:t>
      </w:r>
    </w:p>
    <w:p w14:paraId="63AAA1E4" w14:textId="77777777" w:rsidR="0024651B" w:rsidRDefault="0024651B" w:rsidP="009A4BF8">
      <w:pPr>
        <w:pStyle w:val="NoSpacing"/>
        <w:rPr>
          <w:rFonts w:ascii="Arial" w:hAnsi="Arial" w:cs="Arial"/>
        </w:rPr>
      </w:pPr>
    </w:p>
    <w:p w14:paraId="24119287" w14:textId="77777777" w:rsidR="0024651B" w:rsidRPr="00D9215F" w:rsidRDefault="0024651B" w:rsidP="0024651B">
      <w:pPr>
        <w:pStyle w:val="NoSpacing"/>
        <w:jc w:val="center"/>
        <w:rPr>
          <w:rFonts w:ascii="Arial" w:hAnsi="Arial" w:cs="Arial"/>
        </w:rPr>
      </w:pPr>
      <w:r w:rsidRPr="00D9215F">
        <w:rPr>
          <w:rFonts w:ascii="Arial" w:hAnsi="Arial" w:cs="Arial"/>
          <w:i/>
        </w:rPr>
        <w:t>E</w:t>
      </w:r>
      <w:r w:rsidRPr="00D9215F">
        <w:rPr>
          <w:rFonts w:ascii="Arial" w:hAnsi="Arial" w:cs="Arial"/>
          <w:i/>
          <w:vertAlign w:val="subscript"/>
        </w:rPr>
        <w:t>j,t,a</w:t>
      </w:r>
      <w:r w:rsidRPr="00D9215F">
        <w:rPr>
          <w:rFonts w:ascii="Arial" w:hAnsi="Arial" w:cs="Arial"/>
          <w:vertAlign w:val="subscript"/>
        </w:rPr>
        <w:t xml:space="preserve"> </w:t>
      </w:r>
      <w:r w:rsidRPr="00D9215F">
        <w:rPr>
          <w:rFonts w:ascii="Arial" w:hAnsi="Arial" w:cs="Arial"/>
        </w:rPr>
        <w:t>~ Poisson (</w:t>
      </w:r>
      <w:r w:rsidRPr="00D9215F">
        <w:rPr>
          <w:rFonts w:ascii="Arial" w:hAnsi="Arial" w:cs="Arial"/>
          <w:i/>
        </w:rPr>
        <w:t>m</w:t>
      </w:r>
      <w:r w:rsidRPr="00D9215F">
        <w:rPr>
          <w:rFonts w:ascii="Arial" w:hAnsi="Arial" w:cs="Arial"/>
          <w:i/>
          <w:vertAlign w:val="subscript"/>
        </w:rPr>
        <w:t>j,t,a</w:t>
      </w:r>
      <w:r w:rsidRPr="00D9215F">
        <w:rPr>
          <w:rFonts w:ascii="Arial" w:hAnsi="Arial" w:cs="Arial"/>
        </w:rPr>
        <w:t xml:space="preserve"> · </w:t>
      </w:r>
      <w:r w:rsidRPr="00D9215F">
        <w:rPr>
          <w:rFonts w:ascii="Arial" w:hAnsi="Arial" w:cs="Arial"/>
          <w:i/>
        </w:rPr>
        <w:t>P</w:t>
      </w:r>
      <w:r w:rsidRPr="00D9215F">
        <w:rPr>
          <w:rFonts w:ascii="Arial" w:hAnsi="Arial" w:cs="Arial"/>
          <w:i/>
          <w:vertAlign w:val="subscript"/>
        </w:rPr>
        <w:t>j,t,a</w:t>
      </w:r>
      <w:r w:rsidRPr="00D9215F">
        <w:rPr>
          <w:rFonts w:ascii="Arial" w:hAnsi="Arial" w:cs="Arial"/>
        </w:rPr>
        <w:t>)</w:t>
      </w:r>
    </w:p>
    <w:p w14:paraId="512F11B2" w14:textId="77777777" w:rsidR="0024651B" w:rsidRPr="00D9215F" w:rsidRDefault="0024651B" w:rsidP="0024651B">
      <w:pPr>
        <w:pStyle w:val="NoSpacing"/>
        <w:jc w:val="center"/>
        <w:rPr>
          <w:rFonts w:ascii="Arial" w:hAnsi="Arial" w:cs="Arial"/>
        </w:rPr>
      </w:pPr>
    </w:p>
    <w:p w14:paraId="15C6AC8A" w14:textId="64158475" w:rsidR="0024651B" w:rsidRPr="00D9215F" w:rsidRDefault="0024651B" w:rsidP="0024651B">
      <w:pPr>
        <w:pStyle w:val="NoSpacing"/>
        <w:jc w:val="center"/>
        <w:rPr>
          <w:rFonts w:ascii="Arial" w:hAnsi="Arial" w:cs="Arial"/>
        </w:rPr>
      </w:pPr>
      <w:r w:rsidRPr="00D9215F">
        <w:rPr>
          <w:rFonts w:ascii="Arial" w:hAnsi="Arial" w:cs="Arial"/>
        </w:rPr>
        <w:t>log(</w:t>
      </w:r>
      <w:r w:rsidRPr="00D9215F">
        <w:rPr>
          <w:rFonts w:ascii="Arial" w:hAnsi="Arial" w:cs="Arial"/>
          <w:i/>
        </w:rPr>
        <w:t>m</w:t>
      </w:r>
      <w:r w:rsidRPr="00D9215F">
        <w:rPr>
          <w:rFonts w:ascii="Arial" w:hAnsi="Arial" w:cs="Arial"/>
          <w:i/>
          <w:vertAlign w:val="subscript"/>
        </w:rPr>
        <w:t>j,t,a</w:t>
      </w:r>
      <w:r w:rsidRPr="00D9215F">
        <w:rPr>
          <w:rFonts w:ascii="Arial" w:hAnsi="Arial" w:cs="Arial"/>
        </w:rPr>
        <w:t xml:space="preserve">) = </w:t>
      </w:r>
      <w:r w:rsidRPr="00D9215F">
        <w:rPr>
          <w:rFonts w:ascii="Arial" w:hAnsi="Arial" w:cs="Arial"/>
          <w:i/>
        </w:rPr>
        <w:t>β</w:t>
      </w:r>
      <w:r w:rsidRPr="00D9215F">
        <w:rPr>
          <w:rFonts w:ascii="Arial" w:hAnsi="Arial" w:cs="Arial"/>
          <w:i/>
          <w:vertAlign w:val="subscript"/>
        </w:rPr>
        <w:t>0</w:t>
      </w:r>
      <w:r w:rsidRPr="00D9215F">
        <w:rPr>
          <w:rFonts w:ascii="Arial" w:hAnsi="Arial" w:cs="Arial"/>
        </w:rPr>
        <w:t xml:space="preserve"> + </w:t>
      </w:r>
      <w:r w:rsidRPr="00D9215F">
        <w:rPr>
          <w:rFonts w:ascii="Arial" w:hAnsi="Arial" w:cs="Arial"/>
          <w:i/>
        </w:rPr>
        <w:t>β</w:t>
      </w:r>
      <w:r w:rsidRPr="00D9215F">
        <w:rPr>
          <w:rFonts w:ascii="Arial" w:hAnsi="Arial" w:cs="Arial"/>
          <w:i/>
          <w:vertAlign w:val="subscript"/>
        </w:rPr>
        <w:t>1</w:t>
      </w:r>
      <w:r w:rsidRPr="00D9215F">
        <w:rPr>
          <w:rFonts w:ascii="Arial" w:hAnsi="Arial" w:cs="Arial"/>
          <w:vertAlign w:val="subscript"/>
        </w:rPr>
        <w:t xml:space="preserve"> </w:t>
      </w:r>
      <w:r w:rsidR="00FA015C" w:rsidRPr="00D9215F">
        <w:rPr>
          <w:rFonts w:ascii="Arial" w:hAnsi="Arial" w:cs="Arial"/>
        </w:rPr>
        <w:t xml:space="preserve">· </w:t>
      </w:r>
      <w:r w:rsidR="00FA015C" w:rsidRPr="00D9215F">
        <w:rPr>
          <w:rFonts w:ascii="Arial" w:hAnsi="Arial" w:cs="Arial"/>
          <w:i/>
        </w:rPr>
        <w:t>X</w:t>
      </w:r>
      <w:r w:rsidR="00FA015C" w:rsidRPr="00D9215F">
        <w:rPr>
          <w:rFonts w:ascii="Arial" w:hAnsi="Arial" w:cs="Arial"/>
          <w:i/>
          <w:vertAlign w:val="subscript"/>
        </w:rPr>
        <w:t>j,t</w:t>
      </w:r>
      <w:r w:rsidR="00FA015C" w:rsidRPr="00D9215F">
        <w:rPr>
          <w:rFonts w:ascii="Arial" w:hAnsi="Arial" w:cs="Arial"/>
          <w:i/>
        </w:rPr>
        <w:t xml:space="preserve"> </w:t>
      </w:r>
      <w:r w:rsidR="00FA015C" w:rsidRPr="00D9215F">
        <w:rPr>
          <w:rFonts w:ascii="Arial" w:hAnsi="Arial" w:cs="Arial"/>
        </w:rPr>
        <w:t>+</w:t>
      </w:r>
      <w:r w:rsidR="00D9215F" w:rsidRPr="00D9215F">
        <w:rPr>
          <w:rFonts w:ascii="Arial" w:hAnsi="Arial" w:cs="Arial"/>
        </w:rPr>
        <w:t xml:space="preserve"> </w:t>
      </w:r>
      <w:r w:rsidR="00FA015C" w:rsidRPr="00D9215F">
        <w:rPr>
          <w:rFonts w:ascii="Arial" w:hAnsi="Arial" w:cs="Arial"/>
        </w:rPr>
        <w:t xml:space="preserve"> </w:t>
      </w:r>
      <w:r w:rsidR="00D9215F" w:rsidRPr="00D9215F">
        <w:rPr>
          <w:rFonts w:ascii="Arial" w:hAnsi="Arial" w:cs="Arial"/>
          <w:i/>
        </w:rPr>
        <w:t>γ</w:t>
      </w:r>
      <w:r w:rsidR="00FA015C" w:rsidRPr="00D9215F">
        <w:rPr>
          <w:rFonts w:ascii="Arial" w:hAnsi="Arial" w:cs="Arial"/>
          <w:i/>
          <w:vertAlign w:val="subscript"/>
        </w:rPr>
        <w:t xml:space="preserve">1,a,t </w:t>
      </w:r>
      <w:r w:rsidR="00FA015C" w:rsidRPr="00D9215F">
        <w:rPr>
          <w:rFonts w:ascii="Arial" w:hAnsi="Arial" w:cs="Arial"/>
        </w:rPr>
        <w:t xml:space="preserve">+ </w:t>
      </w:r>
      <w:r w:rsidR="00FA015C" w:rsidRPr="00D9215F">
        <w:rPr>
          <w:rFonts w:ascii="Arial" w:hAnsi="Arial" w:cs="Arial"/>
          <w:i/>
        </w:rPr>
        <w:t>γ</w:t>
      </w:r>
      <w:r w:rsidR="00250531" w:rsidRPr="00D9215F">
        <w:rPr>
          <w:rFonts w:ascii="Arial" w:hAnsi="Arial" w:cs="Arial"/>
          <w:i/>
          <w:vertAlign w:val="subscript"/>
        </w:rPr>
        <w:t>2</w:t>
      </w:r>
      <w:r w:rsidR="00FA015C" w:rsidRPr="00D9215F">
        <w:rPr>
          <w:rFonts w:ascii="Arial" w:hAnsi="Arial" w:cs="Arial"/>
          <w:i/>
          <w:vertAlign w:val="subscript"/>
        </w:rPr>
        <w:t>,</w:t>
      </w:r>
      <w:r w:rsidR="00250531" w:rsidRPr="00D9215F">
        <w:rPr>
          <w:rFonts w:ascii="Arial" w:hAnsi="Arial" w:cs="Arial"/>
          <w:i/>
          <w:vertAlign w:val="subscript"/>
        </w:rPr>
        <w:t>j</w:t>
      </w:r>
      <w:r w:rsidR="00FA015C" w:rsidRPr="00D9215F">
        <w:rPr>
          <w:rFonts w:ascii="Arial" w:hAnsi="Arial" w:cs="Arial"/>
        </w:rPr>
        <w:t xml:space="preserve"> + </w:t>
      </w:r>
      <w:r w:rsidR="00F573B8" w:rsidRPr="00D9215F">
        <w:rPr>
          <w:rFonts w:ascii="Arial" w:hAnsi="Arial" w:cs="Arial"/>
          <w:i/>
        </w:rPr>
        <w:t>γ</w:t>
      </w:r>
      <w:r w:rsidR="00F573B8" w:rsidRPr="00D9215F">
        <w:rPr>
          <w:rFonts w:ascii="Arial" w:hAnsi="Arial" w:cs="Arial"/>
          <w:i/>
          <w:vertAlign w:val="subscript"/>
        </w:rPr>
        <w:t>3,j</w:t>
      </w:r>
      <w:r w:rsidR="00D9215F" w:rsidRPr="00D9215F">
        <w:rPr>
          <w:rFonts w:ascii="Arial" w:hAnsi="Arial" w:cs="Arial"/>
          <w:i/>
          <w:vertAlign w:val="subscript"/>
        </w:rPr>
        <w:t xml:space="preserve"> </w:t>
      </w:r>
      <w:r w:rsidR="00D9215F" w:rsidRPr="00D9215F">
        <w:rPr>
          <w:rFonts w:ascii="Arial" w:hAnsi="Arial" w:cs="Arial"/>
        </w:rPr>
        <w:t>·</w:t>
      </w:r>
      <w:r w:rsidR="00D9215F" w:rsidRPr="00D9215F">
        <w:rPr>
          <w:rFonts w:ascii="Arial" w:hAnsi="Arial" w:cs="Arial"/>
          <w:i/>
        </w:rPr>
        <w:t>t</w:t>
      </w:r>
      <w:r w:rsidR="00FA015C" w:rsidRPr="00D9215F">
        <w:rPr>
          <w:rFonts w:ascii="Arial" w:hAnsi="Arial" w:cs="Arial"/>
        </w:rPr>
        <w:t xml:space="preserve"> + </w:t>
      </w:r>
      <w:r w:rsidR="00F573B8" w:rsidRPr="00D9215F">
        <w:rPr>
          <w:rFonts w:ascii="Arial" w:hAnsi="Arial" w:cs="Arial"/>
          <w:i/>
        </w:rPr>
        <w:t>γ</w:t>
      </w:r>
      <w:r w:rsidR="00F573B8" w:rsidRPr="00D9215F">
        <w:rPr>
          <w:rFonts w:ascii="Arial" w:hAnsi="Arial" w:cs="Arial"/>
          <w:i/>
          <w:vertAlign w:val="subscript"/>
        </w:rPr>
        <w:t>4,j,t</w:t>
      </w:r>
      <w:r w:rsidR="00FA015C" w:rsidRPr="00D9215F">
        <w:rPr>
          <w:rFonts w:ascii="Arial" w:hAnsi="Arial" w:cs="Arial"/>
        </w:rPr>
        <w:t xml:space="preserve"> </w:t>
      </w:r>
    </w:p>
    <w:p w14:paraId="01D5D991" w14:textId="77777777" w:rsidR="00FA015C" w:rsidRDefault="00FA015C" w:rsidP="0024651B">
      <w:pPr>
        <w:pStyle w:val="NoSpacing"/>
        <w:jc w:val="center"/>
        <w:rPr>
          <w:rFonts w:ascii="Arial" w:hAnsi="Arial" w:cs="Arial"/>
        </w:rPr>
      </w:pPr>
    </w:p>
    <w:p w14:paraId="04084255" w14:textId="77777777" w:rsidR="00FA015C" w:rsidRDefault="00FA015C" w:rsidP="00FA015C">
      <w:pPr>
        <w:pStyle w:val="NoSpacing"/>
        <w:rPr>
          <w:rFonts w:ascii="Arial" w:hAnsi="Arial" w:cs="Arial"/>
        </w:rPr>
      </w:pPr>
      <w:r>
        <w:rPr>
          <w:rFonts w:ascii="Arial" w:hAnsi="Arial" w:cs="Arial"/>
        </w:rPr>
        <w:t>where</w:t>
      </w:r>
    </w:p>
    <w:p w14:paraId="4BE56244" w14:textId="77777777" w:rsidR="00FA015C" w:rsidRDefault="00FA015C" w:rsidP="00FA015C">
      <w:pPr>
        <w:pStyle w:val="NoSpacing"/>
        <w:rPr>
          <w:rFonts w:ascii="Arial" w:hAnsi="Arial" w:cs="Arial"/>
        </w:rPr>
      </w:pPr>
    </w:p>
    <w:p w14:paraId="39F79BB1" w14:textId="77777777" w:rsidR="00FA015C" w:rsidRDefault="00FA015C" w:rsidP="00FA015C">
      <w:pPr>
        <w:pStyle w:val="NoSpacing"/>
        <w:numPr>
          <w:ilvl w:val="0"/>
          <w:numId w:val="2"/>
        </w:numPr>
        <w:rPr>
          <w:rFonts w:ascii="Arial" w:hAnsi="Arial" w:cs="Arial"/>
        </w:rPr>
      </w:pPr>
      <w:r>
        <w:rPr>
          <w:rFonts w:ascii="Arial" w:hAnsi="Arial" w:cs="Arial"/>
          <w:i/>
        </w:rPr>
        <w:t>j</w:t>
      </w:r>
      <w:r w:rsidRPr="00FA015C">
        <w:rPr>
          <w:rFonts w:ascii="Arial" w:hAnsi="Arial" w:cs="Arial"/>
          <w:i/>
        </w:rPr>
        <w:t>, t</w:t>
      </w:r>
      <w:r>
        <w:rPr>
          <w:rFonts w:ascii="Arial" w:hAnsi="Arial" w:cs="Arial"/>
        </w:rPr>
        <w:t xml:space="preserve">, and </w:t>
      </w:r>
      <w:r w:rsidRPr="00FA015C">
        <w:rPr>
          <w:rFonts w:ascii="Arial" w:hAnsi="Arial" w:cs="Arial"/>
          <w:i/>
        </w:rPr>
        <w:t>a</w:t>
      </w:r>
      <w:r>
        <w:rPr>
          <w:rFonts w:ascii="Arial" w:hAnsi="Arial" w:cs="Arial"/>
        </w:rPr>
        <w:t xml:space="preserve"> are indices for municipality, calendar year (2001 – 2015), and age group (0-4, 5-9, …, 75-79, and 80+), respectively;</w:t>
      </w:r>
    </w:p>
    <w:p w14:paraId="6B1CAD6A" w14:textId="77777777" w:rsidR="00D05BEA" w:rsidRDefault="00D05BEA" w:rsidP="00FA015C">
      <w:pPr>
        <w:pStyle w:val="NoSpacing"/>
        <w:numPr>
          <w:ilvl w:val="0"/>
          <w:numId w:val="2"/>
        </w:numPr>
        <w:rPr>
          <w:rFonts w:ascii="Arial" w:hAnsi="Arial" w:cs="Arial"/>
        </w:rPr>
      </w:pPr>
      <w:r w:rsidRPr="0024651B">
        <w:rPr>
          <w:rFonts w:ascii="Arial" w:hAnsi="Arial" w:cs="Arial"/>
          <w:i/>
        </w:rPr>
        <w:t>E</w:t>
      </w:r>
      <w:r w:rsidRPr="0024651B">
        <w:rPr>
          <w:rFonts w:ascii="Arial" w:hAnsi="Arial" w:cs="Arial"/>
          <w:i/>
          <w:vertAlign w:val="subscript"/>
        </w:rPr>
        <w:t>j,t,a</w:t>
      </w:r>
      <w:r>
        <w:rPr>
          <w:rFonts w:ascii="Arial" w:hAnsi="Arial" w:cs="Arial"/>
          <w:vertAlign w:val="subscript"/>
        </w:rPr>
        <w:t xml:space="preserve"> </w:t>
      </w:r>
      <w:r>
        <w:rPr>
          <w:rFonts w:ascii="Arial" w:hAnsi="Arial" w:cs="Arial"/>
        </w:rPr>
        <w:t xml:space="preserve">and </w:t>
      </w:r>
      <w:r w:rsidRPr="0024651B">
        <w:rPr>
          <w:rFonts w:ascii="Arial" w:hAnsi="Arial" w:cs="Arial"/>
          <w:i/>
        </w:rPr>
        <w:t>P</w:t>
      </w:r>
      <w:r w:rsidRPr="0024651B">
        <w:rPr>
          <w:rFonts w:ascii="Arial" w:hAnsi="Arial" w:cs="Arial"/>
          <w:i/>
          <w:vertAlign w:val="subscript"/>
        </w:rPr>
        <w:t>j,t,a</w:t>
      </w:r>
      <w:r>
        <w:rPr>
          <w:rFonts w:ascii="Arial" w:hAnsi="Arial" w:cs="Arial"/>
          <w:i/>
        </w:rPr>
        <w:t xml:space="preserve"> </w:t>
      </w:r>
      <w:r>
        <w:rPr>
          <w:rFonts w:ascii="Arial" w:hAnsi="Arial" w:cs="Arial"/>
        </w:rPr>
        <w:t xml:space="preserve">are the number of events (eg cause-specific deaths or case notifications) and the population count, respectively, in municipality </w:t>
      </w:r>
      <w:r w:rsidRPr="00D05BEA">
        <w:rPr>
          <w:rFonts w:ascii="Arial" w:hAnsi="Arial" w:cs="Arial"/>
          <w:i/>
        </w:rPr>
        <w:t>j</w:t>
      </w:r>
      <w:r>
        <w:rPr>
          <w:rFonts w:ascii="Arial" w:hAnsi="Arial" w:cs="Arial"/>
        </w:rPr>
        <w:t xml:space="preserve">, year </w:t>
      </w:r>
      <w:r w:rsidRPr="00D05BEA">
        <w:rPr>
          <w:rFonts w:ascii="Arial" w:hAnsi="Arial" w:cs="Arial"/>
          <w:i/>
        </w:rPr>
        <w:t>t</w:t>
      </w:r>
      <w:r>
        <w:rPr>
          <w:rFonts w:ascii="Arial" w:hAnsi="Arial" w:cs="Arial"/>
        </w:rPr>
        <w:t xml:space="preserve">, and age group </w:t>
      </w:r>
      <w:r w:rsidRPr="00D05BEA">
        <w:rPr>
          <w:rFonts w:ascii="Arial" w:hAnsi="Arial" w:cs="Arial"/>
          <w:i/>
        </w:rPr>
        <w:t>a</w:t>
      </w:r>
      <w:r>
        <w:rPr>
          <w:rFonts w:ascii="Arial" w:hAnsi="Arial" w:cs="Arial"/>
        </w:rPr>
        <w:t>;</w:t>
      </w:r>
    </w:p>
    <w:p w14:paraId="4635ACB9" w14:textId="74F65DAB" w:rsidR="00D05BEA" w:rsidRPr="00D05BEA" w:rsidRDefault="00D05BEA" w:rsidP="00FA015C">
      <w:pPr>
        <w:pStyle w:val="NoSpacing"/>
        <w:numPr>
          <w:ilvl w:val="0"/>
          <w:numId w:val="2"/>
        </w:numPr>
        <w:rPr>
          <w:rFonts w:ascii="Arial" w:hAnsi="Arial" w:cs="Arial"/>
        </w:rPr>
      </w:pPr>
      <w:r w:rsidRPr="0024651B">
        <w:rPr>
          <w:rFonts w:ascii="Arial" w:hAnsi="Arial" w:cs="Arial"/>
          <w:i/>
        </w:rPr>
        <w:t>m</w:t>
      </w:r>
      <w:r w:rsidRPr="0024651B">
        <w:rPr>
          <w:rFonts w:ascii="Arial" w:hAnsi="Arial" w:cs="Arial"/>
          <w:i/>
          <w:vertAlign w:val="subscript"/>
        </w:rPr>
        <w:t>j,t,a</w:t>
      </w:r>
      <w:r>
        <w:rPr>
          <w:rFonts w:ascii="Arial" w:hAnsi="Arial" w:cs="Arial"/>
          <w:i/>
          <w:vertAlign w:val="subscript"/>
        </w:rPr>
        <w:t xml:space="preserve"> </w:t>
      </w:r>
      <w:r w:rsidRPr="00D05BEA">
        <w:rPr>
          <w:rFonts w:ascii="Arial" w:hAnsi="Arial" w:cs="Arial"/>
        </w:rPr>
        <w:t xml:space="preserve">is the underlying cause-specific </w:t>
      </w:r>
      <w:r w:rsidR="00810C3C">
        <w:rPr>
          <w:rFonts w:ascii="Arial" w:hAnsi="Arial" w:cs="Arial"/>
        </w:rPr>
        <w:t>event</w:t>
      </w:r>
      <w:r w:rsidRPr="00D05BEA">
        <w:rPr>
          <w:rFonts w:ascii="Arial" w:hAnsi="Arial" w:cs="Arial"/>
        </w:rPr>
        <w:t xml:space="preserve"> rate in m</w:t>
      </w:r>
      <w:r>
        <w:rPr>
          <w:rFonts w:ascii="Arial" w:hAnsi="Arial" w:cs="Arial"/>
        </w:rPr>
        <w:t xml:space="preserve">unicipality </w:t>
      </w:r>
      <w:r>
        <w:rPr>
          <w:rFonts w:ascii="Arial" w:hAnsi="Arial" w:cs="Arial"/>
          <w:i/>
        </w:rPr>
        <w:t>j</w:t>
      </w:r>
      <w:r>
        <w:rPr>
          <w:rFonts w:ascii="Arial" w:hAnsi="Arial" w:cs="Arial"/>
        </w:rPr>
        <w:t xml:space="preserve">, year </w:t>
      </w:r>
      <w:r>
        <w:rPr>
          <w:rFonts w:ascii="Arial" w:hAnsi="Arial" w:cs="Arial"/>
          <w:i/>
        </w:rPr>
        <w:t>t</w:t>
      </w:r>
      <w:r>
        <w:rPr>
          <w:rFonts w:ascii="Arial" w:hAnsi="Arial" w:cs="Arial"/>
        </w:rPr>
        <w:t xml:space="preserve">, and age group </w:t>
      </w:r>
      <w:r>
        <w:rPr>
          <w:rFonts w:ascii="Arial" w:hAnsi="Arial" w:cs="Arial"/>
          <w:i/>
        </w:rPr>
        <w:t>a;</w:t>
      </w:r>
    </w:p>
    <w:p w14:paraId="143020BB" w14:textId="77777777" w:rsidR="00D05BEA" w:rsidRDefault="00D05BEA" w:rsidP="00FA015C">
      <w:pPr>
        <w:pStyle w:val="NoSpacing"/>
        <w:numPr>
          <w:ilvl w:val="0"/>
          <w:numId w:val="2"/>
        </w:numPr>
        <w:rPr>
          <w:rFonts w:ascii="Arial" w:hAnsi="Arial" w:cs="Arial"/>
        </w:rPr>
      </w:pPr>
      <w:r w:rsidRPr="00FA015C">
        <w:rPr>
          <w:rFonts w:ascii="Arial" w:hAnsi="Arial" w:cs="Arial"/>
          <w:i/>
        </w:rPr>
        <w:t>β</w:t>
      </w:r>
      <w:r w:rsidRPr="00FA015C">
        <w:rPr>
          <w:rFonts w:ascii="Arial" w:hAnsi="Arial" w:cs="Arial"/>
          <w:i/>
          <w:vertAlign w:val="subscript"/>
        </w:rPr>
        <w:t>0</w:t>
      </w:r>
      <w:r>
        <w:rPr>
          <w:rFonts w:ascii="Arial" w:hAnsi="Arial" w:cs="Arial"/>
          <w:i/>
        </w:rPr>
        <w:t xml:space="preserve"> </w:t>
      </w:r>
      <w:r>
        <w:rPr>
          <w:rFonts w:ascii="Arial" w:hAnsi="Arial" w:cs="Arial"/>
        </w:rPr>
        <w:t>is an intercept;</w:t>
      </w:r>
    </w:p>
    <w:p w14:paraId="15647283" w14:textId="77777777" w:rsidR="00D05BEA" w:rsidRDefault="00D05BEA" w:rsidP="00FA015C">
      <w:pPr>
        <w:pStyle w:val="NoSpacing"/>
        <w:numPr>
          <w:ilvl w:val="0"/>
          <w:numId w:val="2"/>
        </w:numPr>
        <w:rPr>
          <w:rFonts w:ascii="Arial" w:hAnsi="Arial" w:cs="Arial"/>
        </w:rPr>
      </w:pPr>
      <w:r w:rsidRPr="00FA015C">
        <w:rPr>
          <w:rFonts w:ascii="Arial" w:hAnsi="Arial" w:cs="Arial"/>
          <w:i/>
        </w:rPr>
        <w:t>X</w:t>
      </w:r>
      <w:r w:rsidRPr="00FA015C">
        <w:rPr>
          <w:rFonts w:ascii="Arial" w:hAnsi="Arial" w:cs="Arial"/>
          <w:i/>
          <w:vertAlign w:val="subscript"/>
        </w:rPr>
        <w:t>j,t</w:t>
      </w:r>
      <w:r>
        <w:rPr>
          <w:rFonts w:ascii="Arial" w:hAnsi="Arial" w:cs="Arial"/>
          <w:i/>
        </w:rPr>
        <w:t xml:space="preserve"> </w:t>
      </w:r>
      <w:r>
        <w:rPr>
          <w:rFonts w:ascii="Arial" w:hAnsi="Arial" w:cs="Arial"/>
        </w:rPr>
        <w:t xml:space="preserve">is a vector of covariates for municipality </w:t>
      </w:r>
      <w:r>
        <w:rPr>
          <w:rFonts w:ascii="Arial" w:hAnsi="Arial" w:cs="Arial"/>
          <w:i/>
        </w:rPr>
        <w:t>j</w:t>
      </w:r>
      <w:r>
        <w:rPr>
          <w:rFonts w:ascii="Arial" w:hAnsi="Arial" w:cs="Arial"/>
        </w:rPr>
        <w:t xml:space="preserve"> and year </w:t>
      </w:r>
      <w:r>
        <w:rPr>
          <w:rFonts w:ascii="Arial" w:hAnsi="Arial" w:cs="Arial"/>
          <w:i/>
        </w:rPr>
        <w:t>t</w:t>
      </w:r>
      <w:r>
        <w:rPr>
          <w:rFonts w:ascii="Arial" w:hAnsi="Arial" w:cs="Arial"/>
        </w:rPr>
        <w:t xml:space="preserve">, and </w:t>
      </w:r>
      <w:r w:rsidRPr="00FA015C">
        <w:rPr>
          <w:rFonts w:ascii="Arial" w:hAnsi="Arial" w:cs="Arial"/>
          <w:i/>
        </w:rPr>
        <w:t>β</w:t>
      </w:r>
      <w:r w:rsidRPr="00FA015C">
        <w:rPr>
          <w:rFonts w:ascii="Arial" w:hAnsi="Arial" w:cs="Arial"/>
          <w:i/>
          <w:vertAlign w:val="subscript"/>
        </w:rPr>
        <w:t>1</w:t>
      </w:r>
      <w:r w:rsidR="00250531">
        <w:rPr>
          <w:rFonts w:ascii="Arial" w:hAnsi="Arial" w:cs="Arial"/>
        </w:rPr>
        <w:t xml:space="preserve"> is the associated vector of regression coefficients;</w:t>
      </w:r>
    </w:p>
    <w:p w14:paraId="4989D77E" w14:textId="77777777" w:rsidR="00250531" w:rsidRPr="00D9215F" w:rsidRDefault="00250531" w:rsidP="00250531">
      <w:pPr>
        <w:pStyle w:val="NoSpacing"/>
        <w:numPr>
          <w:ilvl w:val="0"/>
          <w:numId w:val="2"/>
        </w:numPr>
        <w:rPr>
          <w:rFonts w:ascii="Arial" w:hAnsi="Arial" w:cs="Arial"/>
        </w:rPr>
      </w:pPr>
      <w:r w:rsidRPr="00D9215F">
        <w:rPr>
          <w:rFonts w:ascii="Arial" w:hAnsi="Arial" w:cs="Arial"/>
          <w:i/>
        </w:rPr>
        <w:t>γ</w:t>
      </w:r>
      <w:r w:rsidRPr="00D9215F">
        <w:rPr>
          <w:rFonts w:ascii="Arial" w:hAnsi="Arial" w:cs="Arial"/>
          <w:i/>
          <w:vertAlign w:val="subscript"/>
        </w:rPr>
        <w:t>1,a,t</w:t>
      </w:r>
      <w:r w:rsidRPr="00D9215F">
        <w:rPr>
          <w:rFonts w:ascii="Arial" w:hAnsi="Arial" w:cs="Arial"/>
          <w:i/>
        </w:rPr>
        <w:t xml:space="preserve"> </w:t>
      </w:r>
      <w:r w:rsidRPr="00D9215F">
        <w:rPr>
          <w:rFonts w:ascii="Arial" w:hAnsi="Arial" w:cs="Arial"/>
        </w:rPr>
        <w:t>is an age group- and year-level random intercept;</w:t>
      </w:r>
    </w:p>
    <w:p w14:paraId="481CD6B0" w14:textId="77777777" w:rsidR="00250531" w:rsidRPr="00D9215F" w:rsidRDefault="00250531" w:rsidP="00250531">
      <w:pPr>
        <w:pStyle w:val="NoSpacing"/>
        <w:numPr>
          <w:ilvl w:val="0"/>
          <w:numId w:val="2"/>
        </w:numPr>
        <w:rPr>
          <w:rFonts w:ascii="Arial" w:hAnsi="Arial" w:cs="Arial"/>
        </w:rPr>
      </w:pPr>
      <w:r w:rsidRPr="00D9215F">
        <w:rPr>
          <w:rFonts w:ascii="Arial" w:hAnsi="Arial" w:cs="Arial"/>
          <w:i/>
        </w:rPr>
        <w:t>γ</w:t>
      </w:r>
      <w:r w:rsidRPr="00D9215F">
        <w:rPr>
          <w:rFonts w:ascii="Arial" w:hAnsi="Arial" w:cs="Arial"/>
          <w:i/>
          <w:vertAlign w:val="subscript"/>
        </w:rPr>
        <w:t xml:space="preserve">2,j </w:t>
      </w:r>
      <w:r w:rsidRPr="00D9215F">
        <w:rPr>
          <w:rFonts w:ascii="Arial" w:hAnsi="Arial" w:cs="Arial"/>
        </w:rPr>
        <w:t>is a municipality-level random intercept;</w:t>
      </w:r>
    </w:p>
    <w:p w14:paraId="1564F695" w14:textId="767AF965" w:rsidR="00F573B8" w:rsidRPr="00D9215F" w:rsidRDefault="00F573B8" w:rsidP="00F573B8">
      <w:pPr>
        <w:pStyle w:val="NoSpacing"/>
        <w:numPr>
          <w:ilvl w:val="0"/>
          <w:numId w:val="2"/>
        </w:numPr>
        <w:rPr>
          <w:rFonts w:ascii="Arial" w:hAnsi="Arial" w:cs="Arial"/>
        </w:rPr>
      </w:pPr>
      <w:r w:rsidRPr="00D9215F">
        <w:rPr>
          <w:rFonts w:ascii="Arial" w:hAnsi="Arial" w:cs="Arial"/>
          <w:i/>
        </w:rPr>
        <w:t>γ</w:t>
      </w:r>
      <w:r w:rsidRPr="00D9215F">
        <w:rPr>
          <w:rFonts w:ascii="Arial" w:hAnsi="Arial" w:cs="Arial"/>
          <w:i/>
          <w:vertAlign w:val="subscript"/>
        </w:rPr>
        <w:t xml:space="preserve">3,j </w:t>
      </w:r>
      <w:r w:rsidRPr="00D9215F">
        <w:rPr>
          <w:rFonts w:ascii="Arial" w:hAnsi="Arial" w:cs="Arial"/>
        </w:rPr>
        <w:t>is a municipa</w:t>
      </w:r>
      <w:r w:rsidR="00810C3C">
        <w:rPr>
          <w:rFonts w:ascii="Arial" w:hAnsi="Arial" w:cs="Arial"/>
        </w:rPr>
        <w:t>lity-level random slope on year;</w:t>
      </w:r>
    </w:p>
    <w:p w14:paraId="5D546108" w14:textId="43C7A2D4" w:rsidR="00F573B8" w:rsidRPr="00D9215F" w:rsidRDefault="00810C3C" w:rsidP="00F573B8">
      <w:pPr>
        <w:pStyle w:val="NoSpacing"/>
        <w:numPr>
          <w:ilvl w:val="0"/>
          <w:numId w:val="2"/>
        </w:numPr>
        <w:rPr>
          <w:rFonts w:ascii="Arial" w:hAnsi="Arial" w:cs="Arial"/>
        </w:rPr>
      </w:pPr>
      <w:r w:rsidRPr="00810C3C">
        <w:rPr>
          <w:rFonts w:ascii="Arial" w:hAnsi="Arial" w:cs="Arial"/>
        </w:rPr>
        <w:t>and</w:t>
      </w:r>
      <w:r>
        <w:rPr>
          <w:rFonts w:ascii="Arial" w:hAnsi="Arial" w:cs="Arial"/>
          <w:i/>
        </w:rPr>
        <w:t xml:space="preserve"> </w:t>
      </w:r>
      <w:r w:rsidR="00F573B8" w:rsidRPr="00D9215F">
        <w:rPr>
          <w:rFonts w:ascii="Arial" w:hAnsi="Arial" w:cs="Arial"/>
          <w:i/>
        </w:rPr>
        <w:t>γ</w:t>
      </w:r>
      <w:r w:rsidR="00F573B8" w:rsidRPr="00D9215F">
        <w:rPr>
          <w:rFonts w:ascii="Arial" w:hAnsi="Arial" w:cs="Arial"/>
          <w:i/>
          <w:vertAlign w:val="subscript"/>
        </w:rPr>
        <w:t xml:space="preserve">4,j,t </w:t>
      </w:r>
      <w:r w:rsidR="00F573B8" w:rsidRPr="00D9215F">
        <w:rPr>
          <w:rFonts w:ascii="Arial" w:hAnsi="Arial" w:cs="Arial"/>
        </w:rPr>
        <w:t>is a municipality- and year-level random interc</w:t>
      </w:r>
      <w:r>
        <w:rPr>
          <w:rFonts w:ascii="Arial" w:hAnsi="Arial" w:cs="Arial"/>
        </w:rPr>
        <w:t>ept.</w:t>
      </w:r>
    </w:p>
    <w:p w14:paraId="7AF9873D" w14:textId="77777777" w:rsidR="002527F9" w:rsidRPr="00FA015C" w:rsidRDefault="002527F9" w:rsidP="00F573B8">
      <w:pPr>
        <w:pStyle w:val="NoSpacing"/>
        <w:ind w:left="720"/>
        <w:rPr>
          <w:rFonts w:ascii="Arial" w:hAnsi="Arial" w:cs="Arial"/>
        </w:rPr>
      </w:pPr>
    </w:p>
    <w:p w14:paraId="3BA94DCF" w14:textId="32D961C1" w:rsidR="00CD067E" w:rsidRDefault="00F573B8" w:rsidP="009A4BF8">
      <w:pPr>
        <w:pStyle w:val="NoSpacing"/>
        <w:rPr>
          <w:rFonts w:ascii="Arial" w:hAnsi="Arial" w:cs="Arial"/>
        </w:rPr>
      </w:pPr>
      <w:r w:rsidRPr="00D9215F">
        <w:rPr>
          <w:rFonts w:ascii="Arial" w:hAnsi="Arial" w:cs="Arial"/>
          <w:i/>
        </w:rPr>
        <w:t>γ</w:t>
      </w:r>
      <w:r w:rsidRPr="00D9215F">
        <w:rPr>
          <w:rFonts w:ascii="Arial" w:hAnsi="Arial" w:cs="Arial"/>
          <w:i/>
          <w:vertAlign w:val="subscript"/>
        </w:rPr>
        <w:t>2</w:t>
      </w:r>
      <w:r w:rsidR="00810C3C">
        <w:rPr>
          <w:rFonts w:ascii="Arial" w:hAnsi="Arial" w:cs="Arial"/>
          <w:i/>
        </w:rPr>
        <w:t xml:space="preserve"> </w:t>
      </w:r>
      <w:r w:rsidR="00810C3C">
        <w:rPr>
          <w:rFonts w:ascii="Arial" w:hAnsi="Arial" w:cs="Arial"/>
        </w:rPr>
        <w:t>and</w:t>
      </w:r>
      <w:r w:rsidRPr="00D9215F">
        <w:rPr>
          <w:rFonts w:ascii="Arial" w:hAnsi="Arial" w:cs="Arial"/>
          <w:i/>
        </w:rPr>
        <w:t xml:space="preserve"> γ</w:t>
      </w:r>
      <w:r w:rsidRPr="00D9215F">
        <w:rPr>
          <w:rFonts w:ascii="Arial" w:hAnsi="Arial" w:cs="Arial"/>
          <w:i/>
          <w:vertAlign w:val="subscript"/>
        </w:rPr>
        <w:t xml:space="preserve">3 </w:t>
      </w:r>
      <w:r w:rsidRPr="00D9215F">
        <w:rPr>
          <w:rFonts w:ascii="Arial" w:hAnsi="Arial" w:cs="Arial"/>
        </w:rPr>
        <w:t>were each assumed</w:t>
      </w:r>
      <w:r>
        <w:rPr>
          <w:rFonts w:ascii="Arial" w:hAnsi="Arial" w:cs="Arial"/>
        </w:rPr>
        <w:t xml:space="preserve"> to follow a conditional autoregressive distribution where the full condi</w:t>
      </w:r>
      <w:r w:rsidR="00CD067E">
        <w:rPr>
          <w:rFonts w:ascii="Arial" w:hAnsi="Arial" w:cs="Arial"/>
        </w:rPr>
        <w:t>tional distribution is given by:</w:t>
      </w:r>
    </w:p>
    <w:p w14:paraId="691AC814" w14:textId="77777777" w:rsidR="00CD067E" w:rsidRPr="00F573B8" w:rsidRDefault="00CD067E" w:rsidP="00CD067E">
      <w:pPr>
        <w:pStyle w:val="NoSpacing"/>
        <w:jc w:val="center"/>
        <w:rPr>
          <w:rFonts w:ascii="Arial" w:hAnsi="Arial" w:cs="Arial"/>
        </w:rPr>
      </w:pPr>
    </w:p>
    <w:p w14:paraId="4495F96B" w14:textId="7796BDC9" w:rsidR="00D9215F" w:rsidRPr="00D9215F" w:rsidRDefault="00CD067E" w:rsidP="002406A4">
      <w:pPr>
        <w:pStyle w:val="NoSpacing"/>
        <w:rPr>
          <w:rFonts w:ascii="Arial" w:eastAsiaTheme="minorEastAsia" w:hAnsi="Arial" w:cs="Arial"/>
        </w:rPr>
      </w:pPr>
      <w:r w:rsidRPr="00D9215F">
        <w:rPr>
          <w:rFonts w:ascii="Arial" w:hAnsi="Arial" w:cs="Arial"/>
        </w:rPr>
        <w:t xml:space="preserve"> </w:t>
      </w:r>
    </w:p>
    <w:p w14:paraId="4E477403" w14:textId="602BBEF1" w:rsidR="0024651B" w:rsidRPr="00D9215F" w:rsidRDefault="00D9215F" w:rsidP="00CD067E">
      <w:pPr>
        <w:pStyle w:val="NoSpacing"/>
        <w:jc w:val="center"/>
        <w:rPr>
          <w:rFonts w:ascii="Arial" w:hAnsi="Arial" w:cs="Arial"/>
        </w:rPr>
      </w:pP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γ</m:t>
            </m:r>
          </m:e>
          <m:sub>
            <m:r>
              <w:rPr>
                <w:rFonts w:ascii="Cambria Math" w:hAnsi="Cambria Math" w:cs="Arial"/>
              </w:rPr>
              <m:t>j</m:t>
            </m:r>
          </m:sub>
        </m:sSub>
        <m:r>
          <w:rPr>
            <w:rFonts w:ascii="Cambria Math" w:hAnsi="Cambria Math" w:cs="Arial"/>
          </w:rPr>
          <m:t>|</m:t>
        </m:r>
        <m:sSub>
          <m:sSubPr>
            <m:ctrlPr>
              <w:rPr>
                <w:rFonts w:ascii="Cambria Math" w:hAnsi="Cambria Math" w:cs="Arial"/>
                <w:i/>
              </w:rPr>
            </m:ctrlPr>
          </m:sSubPr>
          <m:e>
            <m:r>
              <w:rPr>
                <w:rFonts w:ascii="Cambria Math" w:hAnsi="Cambria Math" w:cs="Arial"/>
              </w:rPr>
              <m:t>γ</m:t>
            </m:r>
          </m:e>
          <m:sub>
            <m:r>
              <w:rPr>
                <w:rFonts w:ascii="Cambria Math" w:hAnsi="Cambria Math" w:cs="Arial"/>
              </w:rPr>
              <m:t>k∼j</m:t>
            </m:r>
          </m:sub>
        </m:sSub>
        <m:r>
          <m:rPr>
            <m:sty m:val="p"/>
          </m:rPr>
          <w:rPr>
            <w:rFonts w:ascii="Cambria Math" w:hAnsi="Cambria Math" w:cs="Arial"/>
          </w:rPr>
          <m:t xml:space="preserve">, </m:t>
        </m:r>
        <m:sSup>
          <m:sSupPr>
            <m:ctrlPr>
              <w:rPr>
                <w:rFonts w:ascii="Cambria Math" w:hAnsi="Cambria Math" w:cs="Arial"/>
              </w:rPr>
            </m:ctrlPr>
          </m:sSupPr>
          <m:e>
            <m:r>
              <m:rPr>
                <m:sty m:val="p"/>
              </m:rPr>
              <w:rPr>
                <w:rFonts w:ascii="Cambria Math" w:hAnsi="Cambria Math" w:cs="Arial"/>
              </w:rPr>
              <m:t>σ</m:t>
            </m:r>
          </m:e>
          <m:sup>
            <m:r>
              <m:rPr>
                <m:sty m:val="p"/>
              </m:rPr>
              <w:rPr>
                <w:rFonts w:ascii="Cambria Math" w:hAnsi="Cambria Math" w:cs="Arial"/>
              </w:rPr>
              <m:t>2</m:t>
            </m:r>
          </m:sup>
        </m:sSup>
        <m:r>
          <m:rPr>
            <m:sty m:val="p"/>
          </m:rPr>
          <w:rPr>
            <w:rFonts w:ascii="Cambria Math" w:hAnsi="Cambria Math" w:cs="Arial"/>
          </w:rPr>
          <m:t>, ρ∼Normal</m:t>
        </m:r>
        <m:d>
          <m:dPr>
            <m:ctrlPr>
              <w:rPr>
                <w:rFonts w:ascii="Cambria Math" w:hAnsi="Cambria Math" w:cs="Arial"/>
                <w:i/>
              </w:rPr>
            </m:ctrlPr>
          </m:dPr>
          <m:e>
            <m:f>
              <m:fPr>
                <m:ctrlPr>
                  <w:rPr>
                    <w:rFonts w:ascii="Cambria Math" w:hAnsi="Cambria Math" w:cs="Arial"/>
                  </w:rPr>
                </m:ctrlPr>
              </m:fPr>
              <m:num>
                <m:r>
                  <w:rPr>
                    <w:rFonts w:ascii="Cambria Math" w:hAnsi="Cambria Math" w:cs="Arial"/>
                  </w:rPr>
                  <m:t xml:space="preserve">ρ · </m:t>
                </m:r>
                <m:nary>
                  <m:naryPr>
                    <m:chr m:val="∑"/>
                    <m:limLoc m:val="subSup"/>
                    <m:supHide m:val="1"/>
                    <m:ctrlPr>
                      <w:rPr>
                        <w:rFonts w:ascii="Cambria Math" w:hAnsi="Cambria Math" w:cs="Arial"/>
                        <w:i/>
                      </w:rPr>
                    </m:ctrlPr>
                  </m:naryPr>
                  <m:sub>
                    <m:r>
                      <w:rPr>
                        <w:rFonts w:ascii="Cambria Math" w:hAnsi="Cambria Math" w:cs="Arial"/>
                      </w:rPr>
                      <m:t>k ~ j</m:t>
                    </m:r>
                  </m:sub>
                  <m:sup/>
                  <m:e>
                    <m:sSub>
                      <m:sSubPr>
                        <m:ctrlPr>
                          <w:rPr>
                            <w:rFonts w:ascii="Cambria Math" w:hAnsi="Cambria Math" w:cs="Arial"/>
                            <w:i/>
                          </w:rPr>
                        </m:ctrlPr>
                      </m:sSubPr>
                      <m:e>
                        <m:r>
                          <w:rPr>
                            <w:rFonts w:ascii="Cambria Math" w:hAnsi="Cambria Math" w:cs="Arial"/>
                          </w:rPr>
                          <m:t>γ</m:t>
                        </m:r>
                      </m:e>
                      <m:sub>
                        <m:r>
                          <w:rPr>
                            <w:rFonts w:ascii="Cambria Math" w:hAnsi="Cambria Math" w:cs="Arial"/>
                          </w:rPr>
                          <m:t>k</m:t>
                        </m:r>
                      </m:sub>
                    </m:sSub>
                  </m:e>
                </m:nary>
              </m:num>
              <m:den>
                <m:sSub>
                  <m:sSubPr>
                    <m:ctrlPr>
                      <w:rPr>
                        <w:rFonts w:ascii="Cambria Math" w:hAnsi="Cambria Math" w:cs="Arial"/>
                      </w:rPr>
                    </m:ctrlPr>
                  </m:sSubPr>
                  <m:e>
                    <m:r>
                      <m:rPr>
                        <m:sty m:val="p"/>
                      </m:rPr>
                      <w:rPr>
                        <w:rFonts w:ascii="Cambria Math" w:hAnsi="Cambria Math" w:cs="Arial"/>
                      </w:rPr>
                      <m:t>n</m:t>
                    </m:r>
                  </m:e>
                  <m:sub>
                    <m:r>
                      <m:rPr>
                        <m:sty m:val="p"/>
                      </m:rPr>
                      <w:rPr>
                        <w:rFonts w:ascii="Cambria Math" w:hAnsi="Cambria Math" w:cs="Arial"/>
                      </w:rPr>
                      <m:t>j</m:t>
                    </m:r>
                  </m:sub>
                </m:sSub>
                <m:r>
                  <m:rPr>
                    <m:sty m:val="p"/>
                  </m:rPr>
                  <w:rPr>
                    <w:rFonts w:ascii="Cambria Math" w:hAnsi="Cambria Math" w:cs="Arial"/>
                  </w:rPr>
                  <m:t xml:space="preserve"> </m:t>
                </m:r>
                <m:r>
                  <w:rPr>
                    <w:rFonts w:ascii="Cambria Math" w:hAnsi="Cambria Math" w:cs="Arial"/>
                  </w:rPr>
                  <m:t xml:space="preserve">· </m:t>
                </m:r>
                <m:r>
                  <m:rPr>
                    <m:sty m:val="p"/>
                  </m:rPr>
                  <w:rPr>
                    <w:rFonts w:ascii="Cambria Math" w:hAnsi="Cambria Math" w:cs="Arial"/>
                  </w:rPr>
                  <m:t>ρ</m:t>
                </m:r>
                <m:r>
                  <w:rPr>
                    <w:rFonts w:ascii="Cambria Math" w:hAnsi="Cambria Math" w:cs="Arial"/>
                  </w:rPr>
                  <m:t xml:space="preserve"> +</m:t>
                </m:r>
                <m:r>
                  <m:rPr>
                    <m:sty m:val="p"/>
                  </m:rPr>
                  <w:rPr>
                    <w:rFonts w:ascii="Cambria Math" w:hAnsi="Cambria Math" w:cs="Arial"/>
                  </w:rPr>
                  <m:t xml:space="preserve"> 1 - ρ </m:t>
                </m:r>
              </m:den>
            </m:f>
            <m:r>
              <w:rPr>
                <w:rFonts w:ascii="Cambria Math" w:hAnsi="Cambria Math" w:cs="Arial"/>
              </w:rPr>
              <m:t xml:space="preserve">, </m:t>
            </m:r>
            <m:f>
              <m:fPr>
                <m:ctrlPr>
                  <w:rPr>
                    <w:rFonts w:ascii="Cambria Math" w:hAnsi="Cambria Math" w:cs="Arial"/>
                    <w:i/>
                  </w:rPr>
                </m:ctrlPr>
              </m:fPr>
              <m:num>
                <m:sSup>
                  <m:sSupPr>
                    <m:ctrlPr>
                      <w:rPr>
                        <w:rFonts w:ascii="Cambria Math" w:hAnsi="Cambria Math" w:cs="Arial"/>
                      </w:rPr>
                    </m:ctrlPr>
                  </m:sSupPr>
                  <m:e>
                    <m:r>
                      <m:rPr>
                        <m:sty m:val="p"/>
                      </m:rPr>
                      <w:rPr>
                        <w:rFonts w:ascii="Cambria Math" w:hAnsi="Cambria Math" w:cs="Arial"/>
                      </w:rPr>
                      <m:t>σ</m:t>
                    </m:r>
                  </m:e>
                  <m:sup>
                    <m:r>
                      <m:rPr>
                        <m:sty m:val="p"/>
                      </m:rPr>
                      <w:rPr>
                        <w:rFonts w:ascii="Cambria Math" w:hAnsi="Cambria Math" w:cs="Arial"/>
                      </w:rPr>
                      <m:t>2</m:t>
                    </m:r>
                  </m:sup>
                </m:sSup>
              </m:num>
              <m:den>
                <m:sSub>
                  <m:sSubPr>
                    <m:ctrlPr>
                      <w:rPr>
                        <w:rFonts w:ascii="Cambria Math" w:hAnsi="Cambria Math" w:cs="Arial"/>
                      </w:rPr>
                    </m:ctrlPr>
                  </m:sSubPr>
                  <m:e>
                    <m:r>
                      <m:rPr>
                        <m:sty m:val="p"/>
                      </m:rPr>
                      <w:rPr>
                        <w:rFonts w:ascii="Cambria Math" w:hAnsi="Cambria Math" w:cs="Arial"/>
                      </w:rPr>
                      <m:t>n</m:t>
                    </m:r>
                  </m:e>
                  <m:sub>
                    <m:r>
                      <m:rPr>
                        <m:sty m:val="p"/>
                      </m:rPr>
                      <w:rPr>
                        <w:rFonts w:ascii="Cambria Math" w:hAnsi="Cambria Math" w:cs="Arial"/>
                      </w:rPr>
                      <m:t>j</m:t>
                    </m:r>
                  </m:sub>
                </m:sSub>
                <m:r>
                  <m:rPr>
                    <m:sty m:val="p"/>
                  </m:rPr>
                  <w:rPr>
                    <w:rFonts w:ascii="Cambria Math" w:hAnsi="Cambria Math" w:cs="Arial"/>
                  </w:rPr>
                  <m:t xml:space="preserve"> </m:t>
                </m:r>
                <m:r>
                  <w:rPr>
                    <w:rFonts w:ascii="Cambria Math" w:hAnsi="Cambria Math" w:cs="Arial"/>
                  </w:rPr>
                  <m:t xml:space="preserve">· </m:t>
                </m:r>
                <m:r>
                  <m:rPr>
                    <m:sty m:val="p"/>
                  </m:rPr>
                  <w:rPr>
                    <w:rFonts w:ascii="Cambria Math" w:hAnsi="Cambria Math" w:cs="Arial"/>
                  </w:rPr>
                  <m:t>ρ</m:t>
                </m:r>
                <m:r>
                  <w:rPr>
                    <w:rFonts w:ascii="Cambria Math" w:hAnsi="Cambria Math" w:cs="Arial"/>
                  </w:rPr>
                  <m:t xml:space="preserve"> +</m:t>
                </m:r>
                <m:r>
                  <m:rPr>
                    <m:sty m:val="p"/>
                  </m:rPr>
                  <w:rPr>
                    <w:rFonts w:ascii="Cambria Math" w:hAnsi="Cambria Math" w:cs="Arial"/>
                  </w:rPr>
                  <m:t xml:space="preserve"> 1 - ρ</m:t>
                </m:r>
              </m:den>
            </m:f>
          </m:e>
        </m:d>
        <m:r>
          <w:rPr>
            <w:rFonts w:ascii="Cambria Math" w:hAnsi="Cambria Math" w:cs="Arial"/>
          </w:rPr>
          <m:t xml:space="preserve"> </m:t>
        </m:r>
      </m:oMath>
      <w:r w:rsidR="00CD067E" w:rsidRPr="00D9215F">
        <w:rPr>
          <w:rFonts w:ascii="Arial" w:hAnsi="Arial" w:cs="Arial"/>
          <w:i/>
          <w:vertAlign w:val="subscript"/>
        </w:rPr>
        <w:t xml:space="preserve"> </w:t>
      </w:r>
    </w:p>
    <w:p w14:paraId="0593A332" w14:textId="62240126" w:rsidR="0024651B" w:rsidRDefault="0024651B" w:rsidP="009A4BF8">
      <w:pPr>
        <w:pStyle w:val="NoSpacing"/>
        <w:rPr>
          <w:rFonts w:ascii="Arial" w:hAnsi="Arial" w:cs="Arial"/>
        </w:rPr>
      </w:pPr>
    </w:p>
    <w:p w14:paraId="0BE86054" w14:textId="77777777" w:rsidR="0024651B" w:rsidRDefault="0024651B" w:rsidP="009A4BF8">
      <w:pPr>
        <w:pStyle w:val="NoSpacing"/>
        <w:rPr>
          <w:rFonts w:ascii="Arial" w:hAnsi="Arial" w:cs="Arial"/>
        </w:rPr>
      </w:pPr>
    </w:p>
    <w:p w14:paraId="6CC41B9A" w14:textId="77777777" w:rsidR="009E4A1F" w:rsidRDefault="009D7E93" w:rsidP="009A4BF8">
      <w:pPr>
        <w:pStyle w:val="NoSpacing"/>
        <w:rPr>
          <w:rFonts w:ascii="Arial" w:hAnsi="Arial" w:cs="Arial"/>
        </w:rPr>
      </w:pPr>
      <w:r>
        <w:rPr>
          <w:rFonts w:ascii="Arial" w:hAnsi="Arial" w:cs="Arial"/>
        </w:rPr>
        <w:t xml:space="preserve">where </w:t>
      </w:r>
    </w:p>
    <w:p w14:paraId="3A63DFC7" w14:textId="77777777" w:rsidR="009D7E93" w:rsidRDefault="009D7E93" w:rsidP="009A4BF8">
      <w:pPr>
        <w:pStyle w:val="NoSpacing"/>
        <w:rPr>
          <w:rFonts w:ascii="Arial" w:hAnsi="Arial" w:cs="Arial"/>
        </w:rPr>
      </w:pPr>
    </w:p>
    <w:p w14:paraId="248CA073" w14:textId="77777777" w:rsidR="009D7E93" w:rsidRDefault="009D7E93" w:rsidP="009D7E93">
      <w:pPr>
        <w:pStyle w:val="NoSpacing"/>
        <w:numPr>
          <w:ilvl w:val="0"/>
          <w:numId w:val="3"/>
        </w:numPr>
        <w:rPr>
          <w:rFonts w:ascii="Arial" w:hAnsi="Arial" w:cs="Arial"/>
        </w:rPr>
      </w:pPr>
      <w:r w:rsidRPr="009D7E93">
        <w:rPr>
          <w:rFonts w:ascii="Arial" w:hAnsi="Arial" w:cs="Arial"/>
          <w:i/>
        </w:rPr>
        <w:t>k ~ j</w:t>
      </w:r>
      <w:r>
        <w:rPr>
          <w:rFonts w:ascii="Arial" w:hAnsi="Arial" w:cs="Arial"/>
        </w:rPr>
        <w:t xml:space="preserve"> indicates the set of municipalities </w:t>
      </w:r>
      <w:r w:rsidRPr="009D7E93">
        <w:rPr>
          <w:rFonts w:ascii="Arial" w:hAnsi="Arial" w:cs="Arial"/>
          <w:i/>
        </w:rPr>
        <w:t>k</w:t>
      </w:r>
      <w:r>
        <w:rPr>
          <w:rFonts w:ascii="Arial" w:hAnsi="Arial" w:cs="Arial"/>
        </w:rPr>
        <w:t xml:space="preserve"> that are adjacent to municipality </w:t>
      </w:r>
      <w:r w:rsidRPr="009D7E93">
        <w:rPr>
          <w:rFonts w:ascii="Arial" w:hAnsi="Arial" w:cs="Arial"/>
          <w:i/>
        </w:rPr>
        <w:t>j</w:t>
      </w:r>
      <w:r>
        <w:rPr>
          <w:rFonts w:ascii="Arial" w:hAnsi="Arial" w:cs="Arial"/>
        </w:rPr>
        <w:t>;</w:t>
      </w:r>
    </w:p>
    <w:p w14:paraId="41F4165F" w14:textId="77777777" w:rsidR="009D7E93" w:rsidRDefault="009D7E93" w:rsidP="009D7E93">
      <w:pPr>
        <w:pStyle w:val="NoSpacing"/>
        <w:numPr>
          <w:ilvl w:val="0"/>
          <w:numId w:val="3"/>
        </w:numPr>
        <w:rPr>
          <w:rFonts w:ascii="Arial" w:hAnsi="Arial" w:cs="Arial"/>
        </w:rPr>
      </w:pPr>
      <w:r w:rsidRPr="009D7E93">
        <w:rPr>
          <w:rFonts w:ascii="Arial" w:hAnsi="Arial" w:cs="Arial"/>
          <w:i/>
        </w:rPr>
        <w:t>n</w:t>
      </w:r>
      <w:r w:rsidRPr="009D7E93">
        <w:rPr>
          <w:rFonts w:ascii="Arial" w:hAnsi="Arial" w:cs="Arial"/>
          <w:i/>
          <w:vertAlign w:val="subscript"/>
        </w:rPr>
        <w:t>j</w:t>
      </w:r>
      <w:r>
        <w:rPr>
          <w:rFonts w:ascii="Arial" w:hAnsi="Arial" w:cs="Arial"/>
          <w:vertAlign w:val="subscript"/>
        </w:rPr>
        <w:t xml:space="preserve"> </w:t>
      </w:r>
      <w:r>
        <w:rPr>
          <w:rFonts w:ascii="Arial" w:hAnsi="Arial" w:cs="Arial"/>
        </w:rPr>
        <w:t xml:space="preserve">is the number of counties in </w:t>
      </w:r>
      <w:r w:rsidRPr="009D7E93">
        <w:rPr>
          <w:rFonts w:ascii="Arial" w:hAnsi="Arial" w:cs="Arial"/>
          <w:i/>
        </w:rPr>
        <w:t>k ~ j</w:t>
      </w:r>
      <w:r>
        <w:rPr>
          <w:rFonts w:ascii="Arial" w:hAnsi="Arial" w:cs="Arial"/>
        </w:rPr>
        <w:t>;</w:t>
      </w:r>
    </w:p>
    <w:p w14:paraId="4C0B1600" w14:textId="79DF5503" w:rsidR="009D7E93" w:rsidRDefault="009D7E93" w:rsidP="009D7E93">
      <w:pPr>
        <w:pStyle w:val="NoSpacing"/>
        <w:numPr>
          <w:ilvl w:val="0"/>
          <w:numId w:val="3"/>
        </w:numPr>
        <w:rPr>
          <w:rFonts w:ascii="Arial" w:hAnsi="Arial" w:cs="Arial"/>
        </w:rPr>
      </w:pPr>
      <w:r>
        <w:rPr>
          <w:rFonts w:ascii="Arial" w:hAnsi="Arial" w:cs="Arial"/>
        </w:rPr>
        <w:t xml:space="preserve">and </w:t>
      </w:r>
      <w:r w:rsidRPr="00CD067E">
        <w:rPr>
          <w:rFonts w:ascii="Garamond" w:hAnsi="Garamond" w:cs="Arial"/>
        </w:rPr>
        <w:t>σ</w:t>
      </w:r>
      <w:r>
        <w:rPr>
          <w:rFonts w:ascii="Garamond" w:hAnsi="Garamond" w:cs="Arial"/>
          <w:vertAlign w:val="superscript"/>
        </w:rPr>
        <w:t>2</w:t>
      </w:r>
      <w:r>
        <w:rPr>
          <w:rFonts w:ascii="Garamond" w:hAnsi="Garamond" w:cs="Arial"/>
        </w:rPr>
        <w:t xml:space="preserve"> </w:t>
      </w:r>
      <w:r>
        <w:rPr>
          <w:rFonts w:ascii="Arial" w:hAnsi="Arial" w:cs="Arial"/>
        </w:rPr>
        <w:t xml:space="preserve">and </w:t>
      </w:r>
      <m:oMath>
        <m:r>
          <w:rPr>
            <w:rFonts w:ascii="Cambria Math" w:hAnsi="Cambria Math" w:cs="Arial"/>
          </w:rPr>
          <m:t>ρ</m:t>
        </m:r>
      </m:oMath>
      <w:r>
        <w:rPr>
          <w:rFonts w:ascii="Arial" w:hAnsi="Arial" w:cs="Arial"/>
        </w:rPr>
        <w:t xml:space="preserve"> are variance and correlation parameters, respectively.</w:t>
      </w:r>
    </w:p>
    <w:p w14:paraId="491E519E" w14:textId="2094383C" w:rsidR="00741F90" w:rsidRDefault="00741F90" w:rsidP="00741F90">
      <w:pPr>
        <w:pStyle w:val="NoSpacing"/>
        <w:rPr>
          <w:rFonts w:ascii="Arial" w:hAnsi="Arial" w:cs="Arial"/>
        </w:rPr>
      </w:pPr>
    </w:p>
    <w:p w14:paraId="4F53E114" w14:textId="6CDCEC4E" w:rsidR="00EB1D71" w:rsidRPr="00741F90" w:rsidRDefault="00741F90" w:rsidP="00A24AE7">
      <w:pPr>
        <w:pStyle w:val="NoSpacing"/>
        <w:spacing w:line="480" w:lineRule="auto"/>
        <w:rPr>
          <w:rFonts w:ascii="Arial" w:hAnsi="Arial" w:cs="Arial"/>
        </w:rPr>
      </w:pPr>
      <w:r>
        <w:rPr>
          <w:rFonts w:ascii="Arial" w:hAnsi="Arial" w:cs="Arial"/>
        </w:rPr>
        <w:t>Variance (</w:t>
      </w:r>
      <w:r w:rsidRPr="00CD067E">
        <w:rPr>
          <w:rFonts w:ascii="Garamond" w:hAnsi="Garamond" w:cs="Arial"/>
        </w:rPr>
        <w:t>σ</w:t>
      </w:r>
      <w:r>
        <w:rPr>
          <w:rFonts w:ascii="Garamond" w:hAnsi="Garamond" w:cs="Arial"/>
          <w:vertAlign w:val="superscript"/>
        </w:rPr>
        <w:t>2</w:t>
      </w:r>
      <w:r>
        <w:rPr>
          <w:rFonts w:ascii="Arial" w:hAnsi="Arial" w:cs="Arial"/>
        </w:rPr>
        <w:t xml:space="preserve">) and correlation </w:t>
      </w:r>
      <w:r w:rsidRPr="00741F90">
        <w:rPr>
          <w:rFonts w:ascii="Arial" w:hAnsi="Arial" w:cs="Arial"/>
        </w:rPr>
        <w:t>(</w:t>
      </w:r>
      <m:oMath>
        <m:r>
          <w:rPr>
            <w:rFonts w:ascii="Cambria Math" w:hAnsi="Cambria Math" w:cs="Arial"/>
          </w:rPr>
          <m:t>ρ)</m:t>
        </m:r>
      </m:oMath>
      <w:r>
        <w:rPr>
          <w:rFonts w:ascii="Arial" w:hAnsi="Arial" w:cs="Arial"/>
        </w:rPr>
        <w:t xml:space="preserve"> parame</w:t>
      </w:r>
      <w:r w:rsidR="00784A88">
        <w:rPr>
          <w:rFonts w:ascii="Arial" w:hAnsi="Arial" w:cs="Arial"/>
        </w:rPr>
        <w:t xml:space="preserve">ters </w:t>
      </w:r>
      <w:r w:rsidR="00500D91">
        <w:rPr>
          <w:rFonts w:ascii="Arial" w:hAnsi="Arial" w:cs="Arial"/>
        </w:rPr>
        <w:t>we</w:t>
      </w:r>
      <w:r w:rsidR="00784A88">
        <w:rPr>
          <w:rFonts w:ascii="Arial" w:hAnsi="Arial" w:cs="Arial"/>
        </w:rPr>
        <w:t>re fitted from the model, and indicate</w:t>
      </w:r>
      <w:r>
        <w:rPr>
          <w:rFonts w:ascii="Arial" w:hAnsi="Arial" w:cs="Arial"/>
        </w:rPr>
        <w:t xml:space="preserve"> the degree </w:t>
      </w:r>
      <w:r w:rsidR="00784A88">
        <w:rPr>
          <w:rFonts w:ascii="Arial" w:hAnsi="Arial" w:cs="Arial"/>
        </w:rPr>
        <w:t xml:space="preserve">of spatial variation and spatial smoothness, respectively. </w:t>
      </w:r>
      <m:oMath>
        <m:r>
          <w:rPr>
            <w:rFonts w:ascii="Cambria Math" w:hAnsi="Cambria Math" w:cs="Arial"/>
          </w:rPr>
          <m:t>ρ</m:t>
        </m:r>
      </m:oMath>
      <w:r w:rsidR="00784A88">
        <w:rPr>
          <w:rFonts w:ascii="Arial" w:hAnsi="Arial" w:cs="Arial"/>
        </w:rPr>
        <w:t xml:space="preserve"> </w:t>
      </w:r>
      <w:r w:rsidR="00500D91">
        <w:rPr>
          <w:rFonts w:ascii="Arial" w:hAnsi="Arial" w:cs="Arial"/>
        </w:rPr>
        <w:t>ranged</w:t>
      </w:r>
      <w:r w:rsidR="00784A88">
        <w:rPr>
          <w:rFonts w:ascii="Arial" w:hAnsi="Arial" w:cs="Arial"/>
        </w:rPr>
        <w:t xml:space="preserve"> 0 to 1 with higher values indicating greater spatial </w:t>
      </w:r>
      <w:r w:rsidR="00784A88" w:rsidRPr="002406A4">
        <w:rPr>
          <w:rFonts w:ascii="Arial" w:hAnsi="Arial" w:cs="Arial"/>
        </w:rPr>
        <w:t xml:space="preserve">smoothness. </w:t>
      </w:r>
      <w:r w:rsidR="00784A88" w:rsidRPr="002406A4">
        <w:rPr>
          <w:rFonts w:ascii="Arial" w:hAnsi="Arial" w:cs="Arial"/>
          <w:i/>
        </w:rPr>
        <w:t>γ</w:t>
      </w:r>
      <w:r w:rsidR="00784A88" w:rsidRPr="002406A4">
        <w:rPr>
          <w:rFonts w:ascii="Arial" w:hAnsi="Arial" w:cs="Arial"/>
          <w:i/>
          <w:vertAlign w:val="subscript"/>
        </w:rPr>
        <w:t xml:space="preserve">1 </w:t>
      </w:r>
      <w:r w:rsidR="00500D91" w:rsidRPr="002406A4">
        <w:rPr>
          <w:rFonts w:ascii="Arial" w:hAnsi="Arial" w:cs="Arial"/>
        </w:rPr>
        <w:t>wa</w:t>
      </w:r>
      <w:r w:rsidR="00784A88" w:rsidRPr="002406A4">
        <w:rPr>
          <w:rFonts w:ascii="Arial" w:hAnsi="Arial" w:cs="Arial"/>
        </w:rPr>
        <w:t xml:space="preserve">s assumed to follow a conditional autoregressive distribution with adjacent years and age groups (rather than municipalities) informing the neighboring structure. </w:t>
      </w:r>
      <w:r w:rsidRPr="002406A4">
        <w:rPr>
          <w:rFonts w:ascii="Arial" w:hAnsi="Arial" w:cs="Arial"/>
          <w:i/>
        </w:rPr>
        <w:t>γ</w:t>
      </w:r>
      <w:r w:rsidRPr="002406A4">
        <w:rPr>
          <w:rFonts w:ascii="Arial" w:hAnsi="Arial" w:cs="Arial"/>
          <w:i/>
          <w:vertAlign w:val="subscript"/>
        </w:rPr>
        <w:t xml:space="preserve">4 </w:t>
      </w:r>
      <w:r w:rsidR="00500D91" w:rsidRPr="002406A4">
        <w:rPr>
          <w:rFonts w:ascii="Arial" w:hAnsi="Arial" w:cs="Arial"/>
        </w:rPr>
        <w:t>wa</w:t>
      </w:r>
      <w:r w:rsidRPr="002406A4">
        <w:rPr>
          <w:rFonts w:ascii="Arial" w:hAnsi="Arial" w:cs="Arial"/>
        </w:rPr>
        <w:t>s ass</w:t>
      </w:r>
      <w:r>
        <w:rPr>
          <w:rFonts w:ascii="Arial" w:hAnsi="Arial" w:cs="Arial"/>
        </w:rPr>
        <w:t>umed to follow an identical and independently distributed Normal distribution.</w:t>
      </w:r>
      <w:r w:rsidR="00500D91">
        <w:rPr>
          <w:rFonts w:ascii="Arial" w:hAnsi="Arial" w:cs="Arial"/>
        </w:rPr>
        <w:t xml:space="preserve"> The model was fit using the Template Model Builder</w:t>
      </w:r>
      <w:r w:rsidR="00500D91">
        <w:rPr>
          <w:rFonts w:ascii="Arial" w:hAnsi="Arial" w:cs="Arial"/>
        </w:rPr>
        <w:fldChar w:fldCharType="begin"/>
      </w:r>
      <w:r w:rsidR="00900791">
        <w:rPr>
          <w:rFonts w:ascii="Arial" w:hAnsi="Arial" w:cs="Arial"/>
        </w:rPr>
        <w:instrText xml:space="preserve"> ADDIN ZOTERO_ITEM CSL_CITATION {"citationID":"ahrpaggvl4","properties":{"formattedCitation":"[4]","plainCitation":"[4]"},"citationItems":[{"id":278,"uris":["http://zotero.org/users/3759969/items/9MVRQLJJ"],"uri":["http://zotero.org/users/3759969/items/9MVRQLJJ"],"itemData":{"id":278,"type":"article-journal","title":"&lt;b&gt;TMB&lt;/b&gt; : Automatic Differentiation and Laplace Approximation","container-title":"Journal of Statistical Software","volume":"70","issue":"5","source":"CrossRef","URL":"http://www.jstatsoft.org/v70/i05/","DOI":"10.18637/jss.v070.i05","ISSN":"1548-7660","shortTitle":"&lt;b&gt;TMB&lt;/b&gt;","language":"en","author":[{"family":"Kristensen","given":"Kasper"},{"family":"Nielsen","given":"Anders"},{"family":"Berg","given":"Casper W."},{"family":"Skaug","given":"Hans"},{"family":"Bell","given":"Bradley M."}],"issued":{"date-parts":[["2016"]]},"accessed":{"date-parts":[["2018",2,19]]}}}],"schema":"https://github.com/citation-style-language/schema/raw/master/csl-citation.json"} </w:instrText>
      </w:r>
      <w:r w:rsidR="00500D91">
        <w:rPr>
          <w:rFonts w:ascii="Arial" w:hAnsi="Arial" w:cs="Arial"/>
        </w:rPr>
        <w:fldChar w:fldCharType="separate"/>
      </w:r>
      <w:r w:rsidR="00900791" w:rsidRPr="00900791">
        <w:rPr>
          <w:rFonts w:ascii="Arial" w:hAnsi="Arial" w:cs="Arial"/>
        </w:rPr>
        <w:t>[4]</w:t>
      </w:r>
      <w:r w:rsidR="00500D91">
        <w:rPr>
          <w:rFonts w:ascii="Arial" w:hAnsi="Arial" w:cs="Arial"/>
        </w:rPr>
        <w:fldChar w:fldCharType="end"/>
      </w:r>
      <w:r w:rsidR="00500D91">
        <w:rPr>
          <w:rFonts w:ascii="Arial" w:hAnsi="Arial" w:cs="Arial"/>
        </w:rPr>
        <w:t xml:space="preserve"> package in R version 3.</w:t>
      </w:r>
      <w:r w:rsidR="000373CF">
        <w:rPr>
          <w:rFonts w:ascii="Arial" w:hAnsi="Arial" w:cs="Arial"/>
        </w:rPr>
        <w:t>2</w:t>
      </w:r>
      <w:r w:rsidR="00500D91">
        <w:rPr>
          <w:rFonts w:ascii="Arial" w:hAnsi="Arial" w:cs="Arial"/>
        </w:rPr>
        <w:t>.</w:t>
      </w:r>
      <w:r w:rsidR="000373CF">
        <w:rPr>
          <w:rFonts w:ascii="Arial" w:hAnsi="Arial" w:cs="Arial"/>
        </w:rPr>
        <w:t>4</w:t>
      </w:r>
      <w:r w:rsidR="00500D91">
        <w:rPr>
          <w:rFonts w:ascii="Arial" w:hAnsi="Arial" w:cs="Arial"/>
        </w:rPr>
        <w:t xml:space="preserve"> </w:t>
      </w:r>
      <w:r w:rsidR="00500D91">
        <w:rPr>
          <w:rFonts w:ascii="Arial" w:hAnsi="Arial" w:cs="Arial"/>
        </w:rPr>
        <w:fldChar w:fldCharType="begin"/>
      </w:r>
      <w:r w:rsidR="00900791">
        <w:rPr>
          <w:rFonts w:ascii="Arial" w:hAnsi="Arial" w:cs="Arial"/>
        </w:rPr>
        <w:instrText xml:space="preserve"> ADDIN ZOTERO_ITEM CSL_CITATION {"citationID":"a1q2hump6jl","properties":{"formattedCitation":"[5]","plainCitation":"[5]"},"citationItems":[{"id":254,"uris":["http://zotero.org/users/3759969/items/MPB8M2X8"],"uri":["http://zotero.org/users/3759969/items/MPB8M2X8"],"itemData":{"id":254,"type":"report","title":"R: a language and environment for statistical computing","publisher":"Foundation for Statistical Computing","publisher-place":"Vienna, Austria","event-place":"Vienna, Austria","author":[{"family":"R Core Team","given":""}],"issued":{"date-parts":[["2015"]]}}}],"schema":"https://github.com/citation-style-language/schema/raw/master/csl-citation.json"} </w:instrText>
      </w:r>
      <w:r w:rsidR="00500D91">
        <w:rPr>
          <w:rFonts w:ascii="Arial" w:hAnsi="Arial" w:cs="Arial"/>
        </w:rPr>
        <w:fldChar w:fldCharType="separate"/>
      </w:r>
      <w:r w:rsidR="00900791" w:rsidRPr="00900791">
        <w:rPr>
          <w:rFonts w:ascii="Arial" w:hAnsi="Arial" w:cs="Arial"/>
        </w:rPr>
        <w:t>[5]</w:t>
      </w:r>
      <w:r w:rsidR="00500D91">
        <w:rPr>
          <w:rFonts w:ascii="Arial" w:hAnsi="Arial" w:cs="Arial"/>
        </w:rPr>
        <w:fldChar w:fldCharType="end"/>
      </w:r>
      <w:r w:rsidR="00500D91">
        <w:rPr>
          <w:rFonts w:ascii="Arial" w:hAnsi="Arial" w:cs="Arial"/>
        </w:rPr>
        <w:t>.</w:t>
      </w:r>
    </w:p>
    <w:p w14:paraId="4A5DC1F0" w14:textId="2DA56479" w:rsidR="00866315" w:rsidRPr="00AD32BC" w:rsidRDefault="00866315" w:rsidP="00866315">
      <w:pPr>
        <w:pStyle w:val="Heading1"/>
        <w:rPr>
          <w:rFonts w:ascii="Arial" w:hAnsi="Arial" w:cs="Arial"/>
        </w:rPr>
      </w:pPr>
      <w:bookmarkStart w:id="19" w:name="_Toc507589375"/>
      <w:bookmarkStart w:id="20" w:name="_Toc516066495"/>
      <w:bookmarkStart w:id="21" w:name="_Toc507589362"/>
      <w:r w:rsidRPr="00AD32BC">
        <w:rPr>
          <w:rFonts w:ascii="Arial" w:hAnsi="Arial" w:cs="Arial"/>
        </w:rPr>
        <w:lastRenderedPageBreak/>
        <w:t>3.0 Model validation</w:t>
      </w:r>
      <w:bookmarkEnd w:id="20"/>
    </w:p>
    <w:p w14:paraId="09E5DED2" w14:textId="77777777" w:rsidR="00866315" w:rsidRDefault="00866315" w:rsidP="00866315">
      <w:pPr>
        <w:spacing w:line="480" w:lineRule="auto"/>
        <w:ind w:firstLine="720"/>
        <w:rPr>
          <w:rFonts w:ascii="Arial" w:hAnsi="Arial" w:cs="Arial"/>
        </w:rPr>
      </w:pPr>
      <w:r>
        <w:rPr>
          <w:rFonts w:ascii="Arial" w:hAnsi="Arial" w:cs="Arial"/>
        </w:rPr>
        <w:t xml:space="preserve">Model coverage and correlation were evaluated separately for TB and HIV mortality using a variation of the method developed by Srebotnjak and colleagues </w:t>
      </w:r>
      <w:r>
        <w:rPr>
          <w:rFonts w:ascii="Arial" w:hAnsi="Arial" w:cs="Arial"/>
        </w:rPr>
        <w:fldChar w:fldCharType="begin"/>
      </w:r>
      <w:r>
        <w:rPr>
          <w:rFonts w:ascii="Arial" w:hAnsi="Arial" w:cs="Arial"/>
        </w:rPr>
        <w:instrText xml:space="preserve"> ADDIN ZOTERO_ITEM CSL_CITATION {"citationID":"aui4hv9bcp","properties":{"formattedCitation":"[6]","plainCitation":"[6]"},"citationItems":[{"id":191,"uris":["http://zotero.org/users/3759969/items/ZCZEG4QW"],"uri":["http://zotero.org/users/3759969/items/ZCZEG4QW"],"itemData":{"id":191,"type":"article-journal","title":"A novel framework for validating and applying standardized small area measurement strategies","container-title":"Population Health Metrics","page":"26","volume":"8","source":"PubMed","abstract":"BACKGROUND: Local measurements of health behaviors, diseases, and use of health services are critical inputs into local, state, and national decision-making. Small area measurement methods can deliver more precise and accurate local-level information than direct estimates from surveys or administrative records, where sample sizes are often too small to yield acceptable standard errors. However, small area measurement requires careful validation using approaches other than conventional statistical methods such as in-sample or cross-validation methods because they do not solve the problem of validating estimates in data-sparse domains.\nMETHODS: A new general framework for small area estimation and validation is developed and applied to estimate Type 2 diabetes prevalence in US counties using data from the Behavioral Risk Factor Surveillance System (BRFSS). The framework combines the three conventional approaches to small area measurement: (1) pooling data across time by combining multiple survey years; (2) exploiting spatial correlation by including a spatial component; and (3) utilizing structured relationships between the outcome variable and domain-specific covariates to define four increasingly complex model types - coined the Naive, Geospatial, Covariate, and Full models. The validation framework uses direct estimates of prevalence in large domains as the gold standard and compares model estimates against it using (i) all available observations for the large domains and (ii) systematically reduced sample sizes obtained through random sampling with replacement. At each sampling level, the model is rerun repeatedly, and the validity of the model estimates from the four model types is then determined by calculating the (average) concordance correlation coefficient (CCC) and (average) root mean squared error (RMSE) against the gold standard. The CCC is closely related to the intraclass correlation coefficient and can be used when the units are organized in groups and when it is of interest to measure the agreement between units in the same group (e.g., counties). The RMSE is often used to measure the differences between values predicted by a model or an estimator and the actually observed values. It is a useful measure to capture the precision of the model or estimator.\nRESULTS: All model types have substantially higher CCC and lower RMSE than the direct, single-year BRFSS estimates. In addition, the inclusion of relevant domain-specific covariates generally improves predictive validity, especially at small sample sizes, and their leverage can be equivalent to a five- to tenfold increase in sample size.\nCONCLUSIONS: Small area estimation of important health outcomes and risk factors can be improved using a systematic modeling and validation framework, which consistently outperformed single-year direct survey estimates and demonstrated the potential leverage of including relevant domain-specific covariates compared to pure measurement models. The proposed validation strategy can be applied to other disease outcomes and risk factors in the US as well as to resource-scarce situations, including low-income countries. These estimates are needed by public health officials to identify at-risk groups, to design targeted prevention and intervention programs, and to monitor and evaluate results over time.","DOI":"10.1186/1478-7954-8-26","ISSN":"1478-7954","note":"PMID: 20920214\nPMCID: PMC2958154","journalAbbreviation":"Popul Health Metr","language":"eng","author":[{"family":"Srebotnjak","given":"Tanja"},{"family":"Mokdad","given":"Ali H."},{"family":"Murray","given":"Christopher Jl"}],"issued":{"date-parts":[["2010",9,29]]}}}],"schema":"https://github.com/citation-style-language/schema/raw/master/csl-citation.json"} </w:instrText>
      </w:r>
      <w:r>
        <w:rPr>
          <w:rFonts w:ascii="Arial" w:hAnsi="Arial" w:cs="Arial"/>
        </w:rPr>
        <w:fldChar w:fldCharType="separate"/>
      </w:r>
      <w:r w:rsidRPr="00900791">
        <w:rPr>
          <w:rFonts w:ascii="Arial" w:hAnsi="Arial" w:cs="Arial"/>
        </w:rPr>
        <w:t>[6]</w:t>
      </w:r>
      <w:r>
        <w:rPr>
          <w:rFonts w:ascii="Arial" w:hAnsi="Arial" w:cs="Arial"/>
        </w:rPr>
        <w:fldChar w:fldCharType="end"/>
      </w:r>
      <w:r>
        <w:rPr>
          <w:rFonts w:ascii="Arial" w:hAnsi="Arial" w:cs="Arial"/>
        </w:rPr>
        <w:t xml:space="preserve"> and adapted by Dwyer-Lindgren and colleagues </w:t>
      </w:r>
      <w:r>
        <w:rPr>
          <w:rFonts w:ascii="Arial" w:hAnsi="Arial" w:cs="Arial"/>
        </w:rPr>
        <w:fldChar w:fldCharType="begin"/>
      </w:r>
      <w:r>
        <w:rPr>
          <w:rFonts w:ascii="Arial" w:hAnsi="Arial" w:cs="Arial"/>
        </w:rPr>
        <w:instrText xml:space="preserve"> ADDIN ZOTERO_ITEM CSL_CITATION {"citationID":"a26apq30s9u","properties":{"formattedCitation":"[7]","plainCitation":"[7]"},"citationItems":[{"id":147,"uris":["http://zotero.org/users/3759969/items/THES7JMQ"],"uri":["http://zotero.org/users/3759969/items/THES7JMQ"],"itemData":{"id":147,"type":"article-journal","title":"US County-Level Trends in Mortality Rates for Major Causes of Death, 1980-2014","container-title":"JAMA","page":"2385-2401","volume":"316","issue":"22","source":"PubMed","abstract":"Importance: County-level patterns in mortality rates by cause have not been systematically described but are potentially useful for public health officials, clinicians, and researchers seeking to improve health and reduce geographic disparities.\nObjectives: To demonstrate the use of a novel method for county-level estimation and to estimate annual mortality rates by US county for 21 mutually exclusive causes of death from 1980 through 2014.\nDesign, Setting, and Participants: Redistribution methods for garbage codes (implausible or insufficiently specific cause of death codes) and small area estimation methods (statistical methods for estimating rates in small subpopulations) were applied to death registration data from the National Vital Statistics System to estimate annual county-level mortality rates for 21 causes of death. These estimates were raked (scaled along multiple dimensions) to ensure consistency between causes and with existing national-level estimates. Geographic patterns in the age-standardized mortality rates in 2014 and in the change in the age-standardized mortality rates between 1980 and 2014 for the 10 highest-burden causes were determined.\nExposure: County of residence.\nMain Outcomes and Measures: Cause-specific age-standardized mortality rates.\nResults: A total of 80 412 524 deaths were recorded from January 1, 1980, through December 31, 2014, in the United States. Of these, 19.4 million deaths were assigned garbage codes. Mortality rates were analyzed for 3110 counties or groups of counties. Large between-county disparities were evident for every cause, with the gap in age-standardized mortality rates between counties in the 90th and 10th percentiles varying from 14.0 deaths per 100 000 population (cirrhosis and chronic liver diseases) to 147.0 deaths per 100 000 population (cardiovascular diseases). Geographic regions with elevated mortality rates differed among causes: for example, cardiovascular disease mortality tended to be highest along the southern half of the Mississippi River, while mortality rates from self-harm and interpersonal violence were elevated in southwestern counties, and mortality rates from chronic respiratory disease were highest in counties in eastern Kentucky and western West Virginia. Counties also varied widely in terms of the change in cause-specific mortality rates between 1980 and 2014. For most causes (eg, neoplasms, neurological disorders, and self-harm and interpersonal violence), both increases and decreases in county-level mortality rates were observed.\nConclusions and Relevance: In this analysis of US cause-specific county-level mortality rates from 1980 through 2014, there were large between-county differences for every cause of death, although geographic patterns varied substantially by cause of death. The approach to county-level analyses with small area models used in this study has the potential to provide novel insights into US disease-specific mortality time trends and their differences across geographic regions.","DOI":"10.1001/jama.2016.13645","ISSN":"1538-3598","note":"PMID: 27959996\nPMCID: PMC5576343","journalAbbreviation":"JAMA","language":"eng","author":[{"family":"Dwyer-Lindgren","given":"Laura"},{"family":"Bertozzi-Villa","given":"Amelia"},{"family":"Stubbs","given":"Rebecca W."},{"family":"Morozoff","given":"Chloe"},{"family":"Kutz","given":"Michael J."},{"family":"Huynh","given":"Chantal"},{"family":"Barber","given":"Ryan M."},{"family":"Shackelford","given":"Katya A."},{"family":"Mackenbach","given":"Johan P."},{"family":"Lenthe","given":"Frank J.","non-dropping-particle":"van"},{"family":"Flaxman","given":"Abraham D."},{"family":"Naghavi","given":"Mohsen"},{"family":"Mokdad","given":"Ali H."},{"family":"Murray","given":"Christopher J. L."}],"issued":{"date-parts":[["2016"]],"season":"13"}}}],"schema":"https://github.com/citation-style-language/schema/raw/master/csl-citation.json"} </w:instrText>
      </w:r>
      <w:r>
        <w:rPr>
          <w:rFonts w:ascii="Arial" w:hAnsi="Arial" w:cs="Arial"/>
        </w:rPr>
        <w:fldChar w:fldCharType="separate"/>
      </w:r>
      <w:r w:rsidRPr="00900791">
        <w:rPr>
          <w:rFonts w:ascii="Arial" w:hAnsi="Arial" w:cs="Arial"/>
        </w:rPr>
        <w:t>[7]</w:t>
      </w:r>
      <w:r>
        <w:rPr>
          <w:rFonts w:ascii="Arial" w:hAnsi="Arial" w:cs="Arial"/>
        </w:rPr>
        <w:fldChar w:fldCharType="end"/>
      </w:r>
      <w:r>
        <w:rPr>
          <w:rFonts w:ascii="Arial" w:hAnsi="Arial" w:cs="Arial"/>
        </w:rPr>
        <w:t>. For this analysis, a gold standard set of municipalities was defined separately for TB and HIV mortality based on municipalities with large numbers of TB or HIV deaths and small year-by-year variation in mortality rate. The population of these municipalities was sampled down to age- and sex- representative smaller populations of 1000, 2000, 3000, 5000, 12000, and 80000 (representing the 1</w:t>
      </w:r>
      <w:r w:rsidRPr="00774F25">
        <w:rPr>
          <w:rFonts w:ascii="Arial" w:hAnsi="Arial" w:cs="Arial"/>
          <w:vertAlign w:val="superscript"/>
        </w:rPr>
        <w:t>st</w:t>
      </w:r>
      <w:r>
        <w:rPr>
          <w:rFonts w:ascii="Arial" w:hAnsi="Arial" w:cs="Arial"/>
        </w:rPr>
        <w:t>, 5</w:t>
      </w:r>
      <w:r w:rsidRPr="00774F25">
        <w:rPr>
          <w:rFonts w:ascii="Arial" w:hAnsi="Arial" w:cs="Arial"/>
          <w:vertAlign w:val="superscript"/>
        </w:rPr>
        <w:t>th</w:t>
      </w:r>
      <w:r>
        <w:rPr>
          <w:rFonts w:ascii="Arial" w:hAnsi="Arial" w:cs="Arial"/>
        </w:rPr>
        <w:t>, 10</w:t>
      </w:r>
      <w:r w:rsidRPr="00774F25">
        <w:rPr>
          <w:rFonts w:ascii="Arial" w:hAnsi="Arial" w:cs="Arial"/>
          <w:vertAlign w:val="superscript"/>
        </w:rPr>
        <w:t>th</w:t>
      </w:r>
      <w:r>
        <w:rPr>
          <w:rFonts w:ascii="Arial" w:hAnsi="Arial" w:cs="Arial"/>
        </w:rPr>
        <w:t>, 25</w:t>
      </w:r>
      <w:r w:rsidRPr="00774F25">
        <w:rPr>
          <w:rFonts w:ascii="Arial" w:hAnsi="Arial" w:cs="Arial"/>
          <w:vertAlign w:val="superscript"/>
        </w:rPr>
        <w:t>th</w:t>
      </w:r>
      <w:r>
        <w:rPr>
          <w:rFonts w:ascii="Arial" w:hAnsi="Arial" w:cs="Arial"/>
        </w:rPr>
        <w:t>, 50</w:t>
      </w:r>
      <w:r w:rsidRPr="00774F25">
        <w:rPr>
          <w:rFonts w:ascii="Arial" w:hAnsi="Arial" w:cs="Arial"/>
          <w:vertAlign w:val="superscript"/>
        </w:rPr>
        <w:t>th</w:t>
      </w:r>
      <w:r>
        <w:rPr>
          <w:rFonts w:ascii="Arial" w:hAnsi="Arial" w:cs="Arial"/>
        </w:rPr>
        <w:t>, and 80</w:t>
      </w:r>
      <w:r w:rsidRPr="00774F25">
        <w:rPr>
          <w:rFonts w:ascii="Arial" w:hAnsi="Arial" w:cs="Arial"/>
          <w:vertAlign w:val="superscript"/>
        </w:rPr>
        <w:t>th</w:t>
      </w:r>
      <w:r>
        <w:rPr>
          <w:rFonts w:ascii="Arial" w:hAnsi="Arial" w:cs="Arial"/>
        </w:rPr>
        <w:t xml:space="preserve"> percentiles of 2015 populations of Brazilian municipalities) to examine the performance of the model with smaller sets of events. Deaths were sampled from a Poisson distribution, and modelled with ten iterations at each population size. Model estimates were compared to the mortality rates from the gold standard set of municipalities for calculation of the metrics below.</w:t>
      </w:r>
    </w:p>
    <w:p w14:paraId="52A1CE78" w14:textId="06BF208F" w:rsidR="00866315" w:rsidRDefault="00866315" w:rsidP="00866315">
      <w:pPr>
        <w:spacing w:line="240" w:lineRule="auto"/>
        <w:rPr>
          <w:rFonts w:ascii="Arial" w:hAnsi="Arial" w:cs="Arial"/>
        </w:rPr>
      </w:pPr>
      <w:r>
        <w:rPr>
          <w:rFonts w:ascii="Arial" w:hAnsi="Arial" w:cs="Arial"/>
        </w:rPr>
        <w:t>Table S</w:t>
      </w:r>
      <w:r w:rsidR="002315CE">
        <w:rPr>
          <w:rFonts w:ascii="Arial" w:hAnsi="Arial" w:cs="Arial"/>
        </w:rPr>
        <w:t>5</w:t>
      </w:r>
      <w:r>
        <w:rPr>
          <w:rFonts w:ascii="Arial" w:hAnsi="Arial" w:cs="Arial"/>
        </w:rPr>
        <w:t xml:space="preserve">: Validation metrics for age-standardised TB and HIV mortality rates derived from SAE model, by population size </w:t>
      </w:r>
    </w:p>
    <w:tbl>
      <w:tblPr>
        <w:tblStyle w:val="TableGrid"/>
        <w:tblW w:w="0" w:type="auto"/>
        <w:tblLook w:val="04A0" w:firstRow="1" w:lastRow="0" w:firstColumn="1" w:lastColumn="0" w:noHBand="0" w:noVBand="1"/>
      </w:tblPr>
      <w:tblGrid>
        <w:gridCol w:w="1435"/>
        <w:gridCol w:w="2305"/>
        <w:gridCol w:w="1835"/>
        <w:gridCol w:w="1890"/>
        <w:gridCol w:w="1885"/>
      </w:tblGrid>
      <w:tr w:rsidR="00866315" w14:paraId="3B52BD97" w14:textId="77777777" w:rsidTr="00866315">
        <w:tc>
          <w:tcPr>
            <w:tcW w:w="1435" w:type="dxa"/>
            <w:tcBorders>
              <w:top w:val="single" w:sz="4" w:space="0" w:color="auto"/>
              <w:left w:val="single" w:sz="4" w:space="0" w:color="auto"/>
              <w:bottom w:val="single" w:sz="8" w:space="0" w:color="auto"/>
            </w:tcBorders>
          </w:tcPr>
          <w:p w14:paraId="247AA391" w14:textId="77777777" w:rsidR="00866315" w:rsidRPr="005926C1" w:rsidRDefault="00866315" w:rsidP="00866315">
            <w:pPr>
              <w:rPr>
                <w:rFonts w:ascii="Arial" w:hAnsi="Arial" w:cs="Arial"/>
              </w:rPr>
            </w:pPr>
            <w:r w:rsidRPr="005926C1">
              <w:rPr>
                <w:rFonts w:ascii="Arial" w:hAnsi="Arial" w:cs="Arial"/>
              </w:rPr>
              <w:t>Infection</w:t>
            </w:r>
          </w:p>
        </w:tc>
        <w:tc>
          <w:tcPr>
            <w:tcW w:w="2305" w:type="dxa"/>
            <w:tcBorders>
              <w:top w:val="single" w:sz="4" w:space="0" w:color="auto"/>
              <w:bottom w:val="single" w:sz="8" w:space="0" w:color="auto"/>
            </w:tcBorders>
          </w:tcPr>
          <w:p w14:paraId="0FE1C094" w14:textId="77777777" w:rsidR="00866315" w:rsidRPr="005926C1" w:rsidRDefault="00866315" w:rsidP="00866315">
            <w:pPr>
              <w:rPr>
                <w:rFonts w:ascii="Arial" w:hAnsi="Arial" w:cs="Arial"/>
              </w:rPr>
            </w:pPr>
            <w:r w:rsidRPr="005926C1">
              <w:rPr>
                <w:rFonts w:ascii="Arial" w:hAnsi="Arial" w:cs="Arial"/>
              </w:rPr>
              <w:t>Population Size</w:t>
            </w:r>
          </w:p>
        </w:tc>
        <w:tc>
          <w:tcPr>
            <w:tcW w:w="1835" w:type="dxa"/>
            <w:tcBorders>
              <w:top w:val="single" w:sz="4" w:space="0" w:color="auto"/>
              <w:bottom w:val="single" w:sz="8" w:space="0" w:color="auto"/>
            </w:tcBorders>
          </w:tcPr>
          <w:p w14:paraId="62A5AB81" w14:textId="77777777" w:rsidR="00866315" w:rsidRPr="005926C1" w:rsidRDefault="00866315" w:rsidP="00866315">
            <w:pPr>
              <w:rPr>
                <w:rFonts w:ascii="Arial" w:hAnsi="Arial" w:cs="Arial"/>
              </w:rPr>
            </w:pPr>
            <w:r w:rsidRPr="005926C1">
              <w:rPr>
                <w:rFonts w:ascii="Arial" w:hAnsi="Arial" w:cs="Arial"/>
              </w:rPr>
              <w:t xml:space="preserve">Mean relative error </w:t>
            </w:r>
          </w:p>
        </w:tc>
        <w:tc>
          <w:tcPr>
            <w:tcW w:w="1890" w:type="dxa"/>
            <w:tcBorders>
              <w:top w:val="single" w:sz="4" w:space="0" w:color="auto"/>
              <w:bottom w:val="single" w:sz="8" w:space="0" w:color="auto"/>
            </w:tcBorders>
          </w:tcPr>
          <w:p w14:paraId="08B1677B" w14:textId="77777777" w:rsidR="00866315" w:rsidRPr="005926C1" w:rsidRDefault="00866315" w:rsidP="00866315">
            <w:pPr>
              <w:rPr>
                <w:rFonts w:ascii="Arial" w:hAnsi="Arial" w:cs="Arial"/>
              </w:rPr>
            </w:pPr>
            <w:r w:rsidRPr="005926C1">
              <w:rPr>
                <w:rFonts w:ascii="Arial" w:hAnsi="Arial" w:cs="Arial"/>
              </w:rPr>
              <w:t>Root mean squared error</w:t>
            </w:r>
          </w:p>
        </w:tc>
        <w:tc>
          <w:tcPr>
            <w:tcW w:w="1885" w:type="dxa"/>
            <w:tcBorders>
              <w:top w:val="single" w:sz="4" w:space="0" w:color="auto"/>
              <w:bottom w:val="single" w:sz="8" w:space="0" w:color="auto"/>
              <w:right w:val="single" w:sz="4" w:space="0" w:color="auto"/>
            </w:tcBorders>
          </w:tcPr>
          <w:p w14:paraId="18DB9794" w14:textId="77777777" w:rsidR="00866315" w:rsidRPr="005926C1" w:rsidRDefault="00866315" w:rsidP="00866315">
            <w:pPr>
              <w:rPr>
                <w:rFonts w:ascii="Arial" w:hAnsi="Arial" w:cs="Arial"/>
              </w:rPr>
            </w:pPr>
            <w:r w:rsidRPr="005926C1">
              <w:rPr>
                <w:rFonts w:ascii="Arial" w:hAnsi="Arial" w:cs="Arial"/>
              </w:rPr>
              <w:t>Coverage</w:t>
            </w:r>
          </w:p>
        </w:tc>
      </w:tr>
      <w:tr w:rsidR="00866315" w14:paraId="0ED75D07" w14:textId="77777777" w:rsidTr="00866315">
        <w:tc>
          <w:tcPr>
            <w:tcW w:w="1435" w:type="dxa"/>
            <w:tcBorders>
              <w:top w:val="single" w:sz="8" w:space="0" w:color="auto"/>
            </w:tcBorders>
          </w:tcPr>
          <w:p w14:paraId="704025DD" w14:textId="77777777" w:rsidR="00866315" w:rsidRPr="005926C1" w:rsidRDefault="00866315" w:rsidP="00866315">
            <w:pPr>
              <w:rPr>
                <w:rFonts w:ascii="Arial" w:hAnsi="Arial" w:cs="Arial"/>
              </w:rPr>
            </w:pPr>
            <w:r w:rsidRPr="005926C1">
              <w:rPr>
                <w:rFonts w:ascii="Arial" w:hAnsi="Arial" w:cs="Arial"/>
              </w:rPr>
              <w:t>TB</w:t>
            </w:r>
          </w:p>
        </w:tc>
        <w:tc>
          <w:tcPr>
            <w:tcW w:w="2305" w:type="dxa"/>
            <w:tcBorders>
              <w:top w:val="single" w:sz="8" w:space="0" w:color="auto"/>
            </w:tcBorders>
          </w:tcPr>
          <w:p w14:paraId="67F99195" w14:textId="77777777" w:rsidR="00866315" w:rsidRPr="005926C1" w:rsidRDefault="00866315" w:rsidP="00866315">
            <w:pPr>
              <w:rPr>
                <w:rFonts w:ascii="Arial" w:hAnsi="Arial" w:cs="Arial"/>
              </w:rPr>
            </w:pPr>
            <w:r w:rsidRPr="005926C1">
              <w:rPr>
                <w:rFonts w:ascii="Arial" w:hAnsi="Arial" w:cs="Arial"/>
              </w:rPr>
              <w:t>1000</w:t>
            </w:r>
          </w:p>
        </w:tc>
        <w:tc>
          <w:tcPr>
            <w:tcW w:w="1835" w:type="dxa"/>
            <w:tcBorders>
              <w:top w:val="single" w:sz="8" w:space="0" w:color="auto"/>
            </w:tcBorders>
          </w:tcPr>
          <w:p w14:paraId="6C52FC89" w14:textId="5BF0AC03" w:rsidR="00866315" w:rsidRPr="0099509C" w:rsidRDefault="00866315" w:rsidP="00362930">
            <w:pPr>
              <w:rPr>
                <w:rFonts w:ascii="Arial" w:hAnsi="Arial" w:cs="Arial"/>
                <w:color w:val="5B9BD5" w:themeColor="accent1"/>
              </w:rPr>
            </w:pPr>
            <w:r w:rsidRPr="00362930">
              <w:rPr>
                <w:rFonts w:ascii="Arial" w:hAnsi="Arial" w:cs="Arial"/>
              </w:rPr>
              <w:t>-0.0</w:t>
            </w:r>
            <w:r w:rsidR="00362930" w:rsidRPr="00362930">
              <w:rPr>
                <w:rFonts w:ascii="Arial" w:hAnsi="Arial" w:cs="Arial"/>
              </w:rPr>
              <w:t>02</w:t>
            </w:r>
          </w:p>
        </w:tc>
        <w:tc>
          <w:tcPr>
            <w:tcW w:w="1890" w:type="dxa"/>
            <w:tcBorders>
              <w:top w:val="single" w:sz="8" w:space="0" w:color="auto"/>
            </w:tcBorders>
          </w:tcPr>
          <w:p w14:paraId="46AEF3D4" w14:textId="2326927E" w:rsidR="00866315" w:rsidRPr="0099509C" w:rsidRDefault="00362930" w:rsidP="00362930">
            <w:pPr>
              <w:rPr>
                <w:rFonts w:ascii="Arial" w:hAnsi="Arial" w:cs="Arial"/>
                <w:color w:val="5B9BD5" w:themeColor="accent1"/>
              </w:rPr>
            </w:pPr>
            <w:r w:rsidRPr="00362930">
              <w:rPr>
                <w:rFonts w:ascii="Arial" w:hAnsi="Arial" w:cs="Arial"/>
              </w:rPr>
              <w:t>1.813</w:t>
            </w:r>
          </w:p>
        </w:tc>
        <w:tc>
          <w:tcPr>
            <w:tcW w:w="1885" w:type="dxa"/>
            <w:tcBorders>
              <w:top w:val="single" w:sz="8" w:space="0" w:color="auto"/>
            </w:tcBorders>
          </w:tcPr>
          <w:p w14:paraId="40CCE0C3" w14:textId="52897F84" w:rsidR="00866315" w:rsidRPr="0099509C" w:rsidRDefault="00866315" w:rsidP="00362930">
            <w:pPr>
              <w:rPr>
                <w:rFonts w:ascii="Arial" w:hAnsi="Arial" w:cs="Arial"/>
                <w:color w:val="5B9BD5" w:themeColor="accent1"/>
              </w:rPr>
            </w:pPr>
            <w:r w:rsidRPr="00362930">
              <w:rPr>
                <w:rFonts w:ascii="Arial" w:hAnsi="Arial" w:cs="Arial"/>
              </w:rPr>
              <w:t>0.8</w:t>
            </w:r>
            <w:r w:rsidR="00362930" w:rsidRPr="00362930">
              <w:rPr>
                <w:rFonts w:ascii="Arial" w:hAnsi="Arial" w:cs="Arial"/>
              </w:rPr>
              <w:t>35</w:t>
            </w:r>
          </w:p>
        </w:tc>
      </w:tr>
      <w:tr w:rsidR="00866315" w14:paraId="7603AEAC" w14:textId="77777777" w:rsidTr="00866315">
        <w:tc>
          <w:tcPr>
            <w:tcW w:w="1435" w:type="dxa"/>
          </w:tcPr>
          <w:p w14:paraId="77189441" w14:textId="77777777" w:rsidR="00866315" w:rsidRPr="005926C1" w:rsidRDefault="00866315" w:rsidP="00866315">
            <w:pPr>
              <w:rPr>
                <w:rFonts w:ascii="Arial" w:hAnsi="Arial" w:cs="Arial"/>
              </w:rPr>
            </w:pPr>
          </w:p>
        </w:tc>
        <w:tc>
          <w:tcPr>
            <w:tcW w:w="2305" w:type="dxa"/>
          </w:tcPr>
          <w:p w14:paraId="04FC8318" w14:textId="77777777" w:rsidR="00866315" w:rsidRPr="005926C1" w:rsidRDefault="00866315" w:rsidP="00866315">
            <w:pPr>
              <w:rPr>
                <w:rFonts w:ascii="Arial" w:hAnsi="Arial" w:cs="Arial"/>
              </w:rPr>
            </w:pPr>
            <w:r w:rsidRPr="005926C1">
              <w:rPr>
                <w:rFonts w:ascii="Arial" w:hAnsi="Arial" w:cs="Arial"/>
              </w:rPr>
              <w:t>2000</w:t>
            </w:r>
          </w:p>
        </w:tc>
        <w:tc>
          <w:tcPr>
            <w:tcW w:w="1835" w:type="dxa"/>
          </w:tcPr>
          <w:p w14:paraId="663DDE66" w14:textId="175E94F4" w:rsidR="00866315" w:rsidRPr="00362930" w:rsidRDefault="00362930" w:rsidP="00866315">
            <w:pPr>
              <w:rPr>
                <w:rFonts w:ascii="Arial" w:hAnsi="Arial" w:cs="Arial"/>
              </w:rPr>
            </w:pPr>
            <w:r w:rsidRPr="00362930">
              <w:rPr>
                <w:rFonts w:ascii="Arial" w:hAnsi="Arial" w:cs="Arial"/>
              </w:rPr>
              <w:t>0.003</w:t>
            </w:r>
          </w:p>
        </w:tc>
        <w:tc>
          <w:tcPr>
            <w:tcW w:w="1890" w:type="dxa"/>
          </w:tcPr>
          <w:p w14:paraId="6E89CF1C" w14:textId="60ED35A6" w:rsidR="00866315" w:rsidRPr="00362930" w:rsidRDefault="00866315" w:rsidP="00362930">
            <w:pPr>
              <w:rPr>
                <w:rFonts w:ascii="Arial" w:hAnsi="Arial" w:cs="Arial"/>
              </w:rPr>
            </w:pPr>
            <w:r w:rsidRPr="00362930">
              <w:rPr>
                <w:rFonts w:ascii="Arial" w:hAnsi="Arial" w:cs="Arial"/>
              </w:rPr>
              <w:t>1.8</w:t>
            </w:r>
            <w:r w:rsidR="00362930" w:rsidRPr="00362930">
              <w:rPr>
                <w:rFonts w:ascii="Arial" w:hAnsi="Arial" w:cs="Arial"/>
              </w:rPr>
              <w:t>17</w:t>
            </w:r>
          </w:p>
        </w:tc>
        <w:tc>
          <w:tcPr>
            <w:tcW w:w="1885" w:type="dxa"/>
          </w:tcPr>
          <w:p w14:paraId="37DB6021" w14:textId="77777777" w:rsidR="00866315" w:rsidRPr="0099509C" w:rsidRDefault="00866315" w:rsidP="00866315">
            <w:pPr>
              <w:rPr>
                <w:rFonts w:ascii="Arial" w:hAnsi="Arial" w:cs="Arial"/>
                <w:color w:val="5B9BD5" w:themeColor="accent1"/>
              </w:rPr>
            </w:pPr>
            <w:r w:rsidRPr="00362930">
              <w:rPr>
                <w:rFonts w:ascii="Arial" w:hAnsi="Arial" w:cs="Arial"/>
              </w:rPr>
              <w:t>0.831</w:t>
            </w:r>
          </w:p>
        </w:tc>
      </w:tr>
      <w:tr w:rsidR="00866315" w14:paraId="280395D2" w14:textId="77777777" w:rsidTr="00866315">
        <w:tc>
          <w:tcPr>
            <w:tcW w:w="1435" w:type="dxa"/>
          </w:tcPr>
          <w:p w14:paraId="0650F0C7" w14:textId="77777777" w:rsidR="00866315" w:rsidRPr="005926C1" w:rsidRDefault="00866315" w:rsidP="00866315">
            <w:pPr>
              <w:rPr>
                <w:rFonts w:ascii="Arial" w:hAnsi="Arial" w:cs="Arial"/>
              </w:rPr>
            </w:pPr>
          </w:p>
        </w:tc>
        <w:tc>
          <w:tcPr>
            <w:tcW w:w="2305" w:type="dxa"/>
          </w:tcPr>
          <w:p w14:paraId="6A31B22B" w14:textId="77777777" w:rsidR="00866315" w:rsidRPr="005926C1" w:rsidRDefault="00866315" w:rsidP="00866315">
            <w:pPr>
              <w:rPr>
                <w:rFonts w:ascii="Arial" w:hAnsi="Arial" w:cs="Arial"/>
              </w:rPr>
            </w:pPr>
            <w:r w:rsidRPr="005926C1">
              <w:rPr>
                <w:rFonts w:ascii="Arial" w:hAnsi="Arial" w:cs="Arial"/>
              </w:rPr>
              <w:t>3000</w:t>
            </w:r>
          </w:p>
        </w:tc>
        <w:tc>
          <w:tcPr>
            <w:tcW w:w="1835" w:type="dxa"/>
          </w:tcPr>
          <w:p w14:paraId="0F8D1E73" w14:textId="43721FE6" w:rsidR="00866315" w:rsidRPr="0099509C" w:rsidRDefault="00866315" w:rsidP="00362930">
            <w:pPr>
              <w:rPr>
                <w:rFonts w:ascii="Arial" w:hAnsi="Arial" w:cs="Arial"/>
                <w:color w:val="5B9BD5" w:themeColor="accent1"/>
              </w:rPr>
            </w:pPr>
            <w:r w:rsidRPr="00362930">
              <w:rPr>
                <w:rFonts w:ascii="Arial" w:hAnsi="Arial" w:cs="Arial"/>
              </w:rPr>
              <w:t>0.0</w:t>
            </w:r>
            <w:r w:rsidR="00362930" w:rsidRPr="00362930">
              <w:rPr>
                <w:rFonts w:ascii="Arial" w:hAnsi="Arial" w:cs="Arial"/>
              </w:rPr>
              <w:t>11</w:t>
            </w:r>
          </w:p>
        </w:tc>
        <w:tc>
          <w:tcPr>
            <w:tcW w:w="1890" w:type="dxa"/>
          </w:tcPr>
          <w:p w14:paraId="33D5DACD" w14:textId="55CF832D" w:rsidR="00866315" w:rsidRPr="00362930" w:rsidRDefault="00866315" w:rsidP="00362930">
            <w:pPr>
              <w:rPr>
                <w:rFonts w:ascii="Arial" w:hAnsi="Arial" w:cs="Arial"/>
              </w:rPr>
            </w:pPr>
            <w:r w:rsidRPr="00362930">
              <w:rPr>
                <w:rFonts w:ascii="Arial" w:hAnsi="Arial" w:cs="Arial"/>
              </w:rPr>
              <w:t>1.8</w:t>
            </w:r>
            <w:r w:rsidR="00362930" w:rsidRPr="00362930">
              <w:rPr>
                <w:rFonts w:ascii="Arial" w:hAnsi="Arial" w:cs="Arial"/>
              </w:rPr>
              <w:t>02</w:t>
            </w:r>
          </w:p>
        </w:tc>
        <w:tc>
          <w:tcPr>
            <w:tcW w:w="1885" w:type="dxa"/>
          </w:tcPr>
          <w:p w14:paraId="2E37A6B7" w14:textId="3D964C1F" w:rsidR="00866315" w:rsidRPr="00362930" w:rsidRDefault="00866315" w:rsidP="00362930">
            <w:pPr>
              <w:rPr>
                <w:rFonts w:ascii="Arial" w:hAnsi="Arial" w:cs="Arial"/>
              </w:rPr>
            </w:pPr>
            <w:r w:rsidRPr="00362930">
              <w:rPr>
                <w:rFonts w:ascii="Arial" w:hAnsi="Arial" w:cs="Arial"/>
              </w:rPr>
              <w:t>0.8</w:t>
            </w:r>
            <w:r w:rsidR="00362930" w:rsidRPr="00362930">
              <w:rPr>
                <w:rFonts w:ascii="Arial" w:hAnsi="Arial" w:cs="Arial"/>
              </w:rPr>
              <w:t>38</w:t>
            </w:r>
          </w:p>
        </w:tc>
      </w:tr>
      <w:tr w:rsidR="00866315" w14:paraId="00E82759" w14:textId="77777777" w:rsidTr="00866315">
        <w:tc>
          <w:tcPr>
            <w:tcW w:w="1435" w:type="dxa"/>
          </w:tcPr>
          <w:p w14:paraId="2C975CE0" w14:textId="77777777" w:rsidR="00866315" w:rsidRPr="005926C1" w:rsidRDefault="00866315" w:rsidP="00866315">
            <w:pPr>
              <w:rPr>
                <w:rFonts w:ascii="Arial" w:hAnsi="Arial" w:cs="Arial"/>
              </w:rPr>
            </w:pPr>
          </w:p>
        </w:tc>
        <w:tc>
          <w:tcPr>
            <w:tcW w:w="2305" w:type="dxa"/>
          </w:tcPr>
          <w:p w14:paraId="45D2D112" w14:textId="77777777" w:rsidR="00866315" w:rsidRPr="005926C1" w:rsidRDefault="00866315" w:rsidP="00866315">
            <w:pPr>
              <w:rPr>
                <w:rFonts w:ascii="Arial" w:hAnsi="Arial" w:cs="Arial"/>
              </w:rPr>
            </w:pPr>
            <w:r w:rsidRPr="005926C1">
              <w:rPr>
                <w:rFonts w:ascii="Arial" w:hAnsi="Arial" w:cs="Arial"/>
              </w:rPr>
              <w:t>5000</w:t>
            </w:r>
          </w:p>
        </w:tc>
        <w:tc>
          <w:tcPr>
            <w:tcW w:w="1835" w:type="dxa"/>
          </w:tcPr>
          <w:p w14:paraId="43AB7542" w14:textId="76AFBEF2" w:rsidR="00866315" w:rsidRPr="0099509C" w:rsidRDefault="00866315" w:rsidP="00362930">
            <w:pPr>
              <w:rPr>
                <w:rFonts w:ascii="Arial" w:hAnsi="Arial" w:cs="Arial"/>
                <w:color w:val="5B9BD5" w:themeColor="accent1"/>
              </w:rPr>
            </w:pPr>
            <w:r w:rsidRPr="00362930">
              <w:rPr>
                <w:rFonts w:ascii="Arial" w:hAnsi="Arial" w:cs="Arial"/>
              </w:rPr>
              <w:t>0.0</w:t>
            </w:r>
            <w:r w:rsidR="00362930" w:rsidRPr="00362930">
              <w:rPr>
                <w:rFonts w:ascii="Arial" w:hAnsi="Arial" w:cs="Arial"/>
              </w:rPr>
              <w:t>15</w:t>
            </w:r>
          </w:p>
        </w:tc>
        <w:tc>
          <w:tcPr>
            <w:tcW w:w="1890" w:type="dxa"/>
          </w:tcPr>
          <w:p w14:paraId="23BE3706" w14:textId="441D7DF3" w:rsidR="00866315" w:rsidRPr="0099509C" w:rsidRDefault="00866315" w:rsidP="00362930">
            <w:pPr>
              <w:rPr>
                <w:rFonts w:ascii="Arial" w:hAnsi="Arial" w:cs="Arial"/>
                <w:color w:val="5B9BD5" w:themeColor="accent1"/>
              </w:rPr>
            </w:pPr>
            <w:r w:rsidRPr="00362930">
              <w:rPr>
                <w:rFonts w:ascii="Arial" w:hAnsi="Arial" w:cs="Arial"/>
              </w:rPr>
              <w:t>1.8</w:t>
            </w:r>
            <w:r w:rsidR="00362930" w:rsidRPr="00362930">
              <w:rPr>
                <w:rFonts w:ascii="Arial" w:hAnsi="Arial" w:cs="Arial"/>
              </w:rPr>
              <w:t>00</w:t>
            </w:r>
          </w:p>
        </w:tc>
        <w:tc>
          <w:tcPr>
            <w:tcW w:w="1885" w:type="dxa"/>
          </w:tcPr>
          <w:p w14:paraId="5351B70C" w14:textId="50CCA5BC" w:rsidR="00866315" w:rsidRPr="0099509C" w:rsidRDefault="00866315" w:rsidP="00362930">
            <w:pPr>
              <w:rPr>
                <w:rFonts w:ascii="Arial" w:hAnsi="Arial" w:cs="Arial"/>
                <w:color w:val="5B9BD5" w:themeColor="accent1"/>
              </w:rPr>
            </w:pPr>
            <w:r w:rsidRPr="00362930">
              <w:rPr>
                <w:rFonts w:ascii="Arial" w:hAnsi="Arial" w:cs="Arial"/>
              </w:rPr>
              <w:t>0.8</w:t>
            </w:r>
            <w:r w:rsidR="00362930" w:rsidRPr="00362930">
              <w:rPr>
                <w:rFonts w:ascii="Arial" w:hAnsi="Arial" w:cs="Arial"/>
              </w:rPr>
              <w:t>30</w:t>
            </w:r>
          </w:p>
        </w:tc>
      </w:tr>
      <w:tr w:rsidR="00866315" w14:paraId="29AA4E5A" w14:textId="77777777" w:rsidTr="00866315">
        <w:tc>
          <w:tcPr>
            <w:tcW w:w="1435" w:type="dxa"/>
          </w:tcPr>
          <w:p w14:paraId="653A2898" w14:textId="77777777" w:rsidR="00866315" w:rsidRPr="005926C1" w:rsidRDefault="00866315" w:rsidP="00866315">
            <w:pPr>
              <w:rPr>
                <w:rFonts w:ascii="Arial" w:hAnsi="Arial" w:cs="Arial"/>
              </w:rPr>
            </w:pPr>
          </w:p>
        </w:tc>
        <w:tc>
          <w:tcPr>
            <w:tcW w:w="2305" w:type="dxa"/>
          </w:tcPr>
          <w:p w14:paraId="03342FF5" w14:textId="77777777" w:rsidR="00866315" w:rsidRPr="005926C1" w:rsidRDefault="00866315" w:rsidP="00866315">
            <w:pPr>
              <w:rPr>
                <w:rFonts w:ascii="Arial" w:hAnsi="Arial" w:cs="Arial"/>
              </w:rPr>
            </w:pPr>
            <w:r w:rsidRPr="005926C1">
              <w:rPr>
                <w:rFonts w:ascii="Arial" w:hAnsi="Arial" w:cs="Arial"/>
              </w:rPr>
              <w:t>12000</w:t>
            </w:r>
          </w:p>
        </w:tc>
        <w:tc>
          <w:tcPr>
            <w:tcW w:w="1835" w:type="dxa"/>
          </w:tcPr>
          <w:p w14:paraId="042075B1" w14:textId="33F91B86" w:rsidR="00866315" w:rsidRPr="0099509C" w:rsidRDefault="00866315" w:rsidP="00362930">
            <w:pPr>
              <w:rPr>
                <w:rFonts w:ascii="Arial" w:hAnsi="Arial" w:cs="Arial"/>
                <w:color w:val="5B9BD5" w:themeColor="accent1"/>
              </w:rPr>
            </w:pPr>
            <w:r w:rsidRPr="00362930">
              <w:rPr>
                <w:rFonts w:ascii="Arial" w:hAnsi="Arial" w:cs="Arial"/>
              </w:rPr>
              <w:t>0.0</w:t>
            </w:r>
            <w:r w:rsidR="00362930" w:rsidRPr="00362930">
              <w:rPr>
                <w:rFonts w:ascii="Arial" w:hAnsi="Arial" w:cs="Arial"/>
              </w:rPr>
              <w:t>32</w:t>
            </w:r>
          </w:p>
        </w:tc>
        <w:tc>
          <w:tcPr>
            <w:tcW w:w="1890" w:type="dxa"/>
          </w:tcPr>
          <w:p w14:paraId="6C4FB6CE" w14:textId="3C92E735" w:rsidR="00866315" w:rsidRPr="00362930" w:rsidRDefault="00866315" w:rsidP="00362930">
            <w:pPr>
              <w:rPr>
                <w:rFonts w:ascii="Arial" w:hAnsi="Arial" w:cs="Arial"/>
              </w:rPr>
            </w:pPr>
            <w:r w:rsidRPr="00362930">
              <w:rPr>
                <w:rFonts w:ascii="Arial" w:hAnsi="Arial" w:cs="Arial"/>
              </w:rPr>
              <w:t>1.78</w:t>
            </w:r>
            <w:r w:rsidR="00362930" w:rsidRPr="00362930">
              <w:rPr>
                <w:rFonts w:ascii="Arial" w:hAnsi="Arial" w:cs="Arial"/>
              </w:rPr>
              <w:t>4</w:t>
            </w:r>
          </w:p>
        </w:tc>
        <w:tc>
          <w:tcPr>
            <w:tcW w:w="1885" w:type="dxa"/>
          </w:tcPr>
          <w:p w14:paraId="4924F3D0" w14:textId="12824C0E" w:rsidR="00866315" w:rsidRPr="0099509C" w:rsidRDefault="00866315" w:rsidP="00362930">
            <w:pPr>
              <w:rPr>
                <w:rFonts w:ascii="Arial" w:hAnsi="Arial" w:cs="Arial"/>
                <w:color w:val="5B9BD5" w:themeColor="accent1"/>
              </w:rPr>
            </w:pPr>
            <w:r w:rsidRPr="00362930">
              <w:rPr>
                <w:rFonts w:ascii="Arial" w:hAnsi="Arial" w:cs="Arial"/>
              </w:rPr>
              <w:t>0.82</w:t>
            </w:r>
            <w:r w:rsidR="00362930" w:rsidRPr="00362930">
              <w:rPr>
                <w:rFonts w:ascii="Arial" w:hAnsi="Arial" w:cs="Arial"/>
              </w:rPr>
              <w:t>5</w:t>
            </w:r>
          </w:p>
        </w:tc>
      </w:tr>
      <w:tr w:rsidR="00866315" w14:paraId="3DB3861A" w14:textId="77777777" w:rsidTr="00866315">
        <w:tc>
          <w:tcPr>
            <w:tcW w:w="1435" w:type="dxa"/>
          </w:tcPr>
          <w:p w14:paraId="058C99BB" w14:textId="77777777" w:rsidR="00866315" w:rsidRPr="005926C1" w:rsidRDefault="00866315" w:rsidP="00866315">
            <w:pPr>
              <w:rPr>
                <w:rFonts w:ascii="Arial" w:hAnsi="Arial" w:cs="Arial"/>
              </w:rPr>
            </w:pPr>
          </w:p>
        </w:tc>
        <w:tc>
          <w:tcPr>
            <w:tcW w:w="2305" w:type="dxa"/>
          </w:tcPr>
          <w:p w14:paraId="7DF255E6" w14:textId="77777777" w:rsidR="00866315" w:rsidRPr="005926C1" w:rsidRDefault="00866315" w:rsidP="00866315">
            <w:pPr>
              <w:rPr>
                <w:rFonts w:ascii="Arial" w:hAnsi="Arial" w:cs="Arial"/>
              </w:rPr>
            </w:pPr>
            <w:r w:rsidRPr="005926C1">
              <w:rPr>
                <w:rFonts w:ascii="Arial" w:hAnsi="Arial" w:cs="Arial"/>
              </w:rPr>
              <w:t>80000</w:t>
            </w:r>
          </w:p>
        </w:tc>
        <w:tc>
          <w:tcPr>
            <w:tcW w:w="1835" w:type="dxa"/>
          </w:tcPr>
          <w:p w14:paraId="54D656E2" w14:textId="312ED940" w:rsidR="00866315" w:rsidRPr="0099509C" w:rsidRDefault="00866315" w:rsidP="00362930">
            <w:pPr>
              <w:rPr>
                <w:rFonts w:ascii="Arial" w:hAnsi="Arial" w:cs="Arial"/>
                <w:color w:val="5B9BD5" w:themeColor="accent1"/>
              </w:rPr>
            </w:pPr>
            <w:r w:rsidRPr="00362930">
              <w:rPr>
                <w:rFonts w:ascii="Arial" w:hAnsi="Arial" w:cs="Arial"/>
              </w:rPr>
              <w:t>0.0</w:t>
            </w:r>
            <w:r w:rsidR="00362930" w:rsidRPr="00362930">
              <w:rPr>
                <w:rFonts w:ascii="Arial" w:hAnsi="Arial" w:cs="Arial"/>
              </w:rPr>
              <w:t>47</w:t>
            </w:r>
          </w:p>
        </w:tc>
        <w:tc>
          <w:tcPr>
            <w:tcW w:w="1890" w:type="dxa"/>
          </w:tcPr>
          <w:p w14:paraId="3DCFFF88" w14:textId="1720820A" w:rsidR="00866315" w:rsidRPr="00362930" w:rsidRDefault="00866315" w:rsidP="00362930">
            <w:pPr>
              <w:rPr>
                <w:rFonts w:ascii="Arial" w:hAnsi="Arial" w:cs="Arial"/>
              </w:rPr>
            </w:pPr>
            <w:r w:rsidRPr="00362930">
              <w:rPr>
                <w:rFonts w:ascii="Arial" w:hAnsi="Arial" w:cs="Arial"/>
              </w:rPr>
              <w:t>1.</w:t>
            </w:r>
            <w:r w:rsidR="00362930" w:rsidRPr="00362930">
              <w:rPr>
                <w:rFonts w:ascii="Arial" w:hAnsi="Arial" w:cs="Arial"/>
              </w:rPr>
              <w:t>300</w:t>
            </w:r>
          </w:p>
        </w:tc>
        <w:tc>
          <w:tcPr>
            <w:tcW w:w="1885" w:type="dxa"/>
          </w:tcPr>
          <w:p w14:paraId="6F8ADFAB" w14:textId="77777777" w:rsidR="00866315" w:rsidRPr="00362930" w:rsidRDefault="00866315" w:rsidP="00866315">
            <w:pPr>
              <w:rPr>
                <w:rFonts w:ascii="Arial" w:hAnsi="Arial" w:cs="Arial"/>
              </w:rPr>
            </w:pPr>
            <w:r w:rsidRPr="00362930">
              <w:rPr>
                <w:rFonts w:ascii="Arial" w:hAnsi="Arial" w:cs="Arial"/>
              </w:rPr>
              <w:t>0.782</w:t>
            </w:r>
          </w:p>
        </w:tc>
      </w:tr>
      <w:tr w:rsidR="00866315" w14:paraId="6BF9F204" w14:textId="77777777" w:rsidTr="00866315">
        <w:tc>
          <w:tcPr>
            <w:tcW w:w="1435" w:type="dxa"/>
          </w:tcPr>
          <w:p w14:paraId="2B2C6B56" w14:textId="77777777" w:rsidR="00866315" w:rsidRPr="005926C1" w:rsidRDefault="00866315" w:rsidP="00866315">
            <w:pPr>
              <w:rPr>
                <w:rFonts w:ascii="Arial" w:hAnsi="Arial" w:cs="Arial"/>
              </w:rPr>
            </w:pPr>
            <w:r w:rsidRPr="005926C1">
              <w:rPr>
                <w:rFonts w:ascii="Arial" w:hAnsi="Arial" w:cs="Arial"/>
              </w:rPr>
              <w:t>HIV</w:t>
            </w:r>
          </w:p>
        </w:tc>
        <w:tc>
          <w:tcPr>
            <w:tcW w:w="2305" w:type="dxa"/>
          </w:tcPr>
          <w:p w14:paraId="621E9E8D" w14:textId="77777777" w:rsidR="00866315" w:rsidRPr="005926C1" w:rsidRDefault="00866315" w:rsidP="00866315">
            <w:pPr>
              <w:rPr>
                <w:rFonts w:ascii="Arial" w:hAnsi="Arial" w:cs="Arial"/>
              </w:rPr>
            </w:pPr>
            <w:r w:rsidRPr="005926C1">
              <w:rPr>
                <w:rFonts w:ascii="Arial" w:hAnsi="Arial" w:cs="Arial"/>
              </w:rPr>
              <w:t>1000</w:t>
            </w:r>
          </w:p>
        </w:tc>
        <w:tc>
          <w:tcPr>
            <w:tcW w:w="1835" w:type="dxa"/>
          </w:tcPr>
          <w:p w14:paraId="4BB57F08" w14:textId="2181D9B4" w:rsidR="00866315" w:rsidRPr="0099509C" w:rsidRDefault="0099509C" w:rsidP="0099509C">
            <w:pPr>
              <w:rPr>
                <w:rFonts w:ascii="Arial" w:hAnsi="Arial" w:cs="Arial"/>
                <w:color w:val="5B9BD5" w:themeColor="accent1"/>
              </w:rPr>
            </w:pPr>
            <w:r w:rsidRPr="0099509C">
              <w:rPr>
                <w:rFonts w:ascii="Arial" w:hAnsi="Arial" w:cs="Arial"/>
              </w:rPr>
              <w:t>0.031</w:t>
            </w:r>
          </w:p>
        </w:tc>
        <w:tc>
          <w:tcPr>
            <w:tcW w:w="1890" w:type="dxa"/>
          </w:tcPr>
          <w:p w14:paraId="0CD740C2" w14:textId="584CEB09" w:rsidR="00866315" w:rsidRPr="0099509C" w:rsidRDefault="00866315" w:rsidP="0099509C">
            <w:pPr>
              <w:rPr>
                <w:rFonts w:ascii="Arial" w:hAnsi="Arial" w:cs="Arial"/>
                <w:color w:val="5B9BD5" w:themeColor="accent1"/>
              </w:rPr>
            </w:pPr>
            <w:r w:rsidRPr="0099509C">
              <w:rPr>
                <w:rFonts w:ascii="Arial" w:hAnsi="Arial" w:cs="Arial"/>
              </w:rPr>
              <w:t>4.7</w:t>
            </w:r>
            <w:r w:rsidR="0099509C" w:rsidRPr="0099509C">
              <w:rPr>
                <w:rFonts w:ascii="Arial" w:hAnsi="Arial" w:cs="Arial"/>
              </w:rPr>
              <w:t>38</w:t>
            </w:r>
          </w:p>
        </w:tc>
        <w:tc>
          <w:tcPr>
            <w:tcW w:w="1885" w:type="dxa"/>
          </w:tcPr>
          <w:p w14:paraId="38DC06B4" w14:textId="65B39479" w:rsidR="00866315" w:rsidRPr="0099509C" w:rsidRDefault="00866315" w:rsidP="0099509C">
            <w:pPr>
              <w:rPr>
                <w:rFonts w:ascii="Arial" w:hAnsi="Arial" w:cs="Arial"/>
                <w:color w:val="5B9BD5" w:themeColor="accent1"/>
              </w:rPr>
            </w:pPr>
            <w:r w:rsidRPr="0099509C">
              <w:rPr>
                <w:rFonts w:ascii="Arial" w:hAnsi="Arial" w:cs="Arial"/>
              </w:rPr>
              <w:t>0.8</w:t>
            </w:r>
            <w:r w:rsidR="0099509C" w:rsidRPr="0099509C">
              <w:rPr>
                <w:rFonts w:ascii="Arial" w:hAnsi="Arial" w:cs="Arial"/>
              </w:rPr>
              <w:t>53</w:t>
            </w:r>
          </w:p>
        </w:tc>
      </w:tr>
      <w:tr w:rsidR="00866315" w14:paraId="70629EF7" w14:textId="77777777" w:rsidTr="00866315">
        <w:tc>
          <w:tcPr>
            <w:tcW w:w="1435" w:type="dxa"/>
          </w:tcPr>
          <w:p w14:paraId="6EC6805B" w14:textId="77777777" w:rsidR="00866315" w:rsidRPr="005926C1" w:rsidRDefault="00866315" w:rsidP="00866315">
            <w:pPr>
              <w:rPr>
                <w:rFonts w:ascii="Arial" w:hAnsi="Arial" w:cs="Arial"/>
              </w:rPr>
            </w:pPr>
          </w:p>
        </w:tc>
        <w:tc>
          <w:tcPr>
            <w:tcW w:w="2305" w:type="dxa"/>
          </w:tcPr>
          <w:p w14:paraId="50371B78" w14:textId="77777777" w:rsidR="00866315" w:rsidRPr="005926C1" w:rsidRDefault="00866315" w:rsidP="00866315">
            <w:pPr>
              <w:rPr>
                <w:rFonts w:ascii="Arial" w:hAnsi="Arial" w:cs="Arial"/>
              </w:rPr>
            </w:pPr>
            <w:r w:rsidRPr="005926C1">
              <w:rPr>
                <w:rFonts w:ascii="Arial" w:hAnsi="Arial" w:cs="Arial"/>
              </w:rPr>
              <w:t>2000</w:t>
            </w:r>
          </w:p>
        </w:tc>
        <w:tc>
          <w:tcPr>
            <w:tcW w:w="1835" w:type="dxa"/>
          </w:tcPr>
          <w:p w14:paraId="6D25A089" w14:textId="78C70174" w:rsidR="00866315" w:rsidRPr="0099509C" w:rsidRDefault="00866315" w:rsidP="0099509C">
            <w:pPr>
              <w:rPr>
                <w:rFonts w:ascii="Arial" w:hAnsi="Arial" w:cs="Arial"/>
                <w:color w:val="5B9BD5" w:themeColor="accent1"/>
              </w:rPr>
            </w:pPr>
            <w:r w:rsidRPr="0099509C">
              <w:rPr>
                <w:rFonts w:ascii="Arial" w:hAnsi="Arial" w:cs="Arial"/>
              </w:rPr>
              <w:t>0.0</w:t>
            </w:r>
            <w:r w:rsidR="0099509C" w:rsidRPr="0099509C">
              <w:rPr>
                <w:rFonts w:ascii="Arial" w:hAnsi="Arial" w:cs="Arial"/>
              </w:rPr>
              <w:t>38</w:t>
            </w:r>
          </w:p>
        </w:tc>
        <w:tc>
          <w:tcPr>
            <w:tcW w:w="1890" w:type="dxa"/>
          </w:tcPr>
          <w:p w14:paraId="578C8EB8" w14:textId="28DBE9DC" w:rsidR="00866315" w:rsidRPr="0099509C" w:rsidRDefault="00866315" w:rsidP="0099509C">
            <w:pPr>
              <w:rPr>
                <w:rFonts w:ascii="Arial" w:hAnsi="Arial" w:cs="Arial"/>
                <w:color w:val="5B9BD5" w:themeColor="accent1"/>
              </w:rPr>
            </w:pPr>
            <w:r w:rsidRPr="0099509C">
              <w:rPr>
                <w:rFonts w:ascii="Arial" w:hAnsi="Arial" w:cs="Arial"/>
              </w:rPr>
              <w:t>4.</w:t>
            </w:r>
            <w:r w:rsidR="0099509C" w:rsidRPr="0099509C">
              <w:rPr>
                <w:rFonts w:ascii="Arial" w:hAnsi="Arial" w:cs="Arial"/>
              </w:rPr>
              <w:t>577</w:t>
            </w:r>
          </w:p>
        </w:tc>
        <w:tc>
          <w:tcPr>
            <w:tcW w:w="1885" w:type="dxa"/>
          </w:tcPr>
          <w:p w14:paraId="464C18DD" w14:textId="357D6CBB" w:rsidR="00866315" w:rsidRPr="0099509C" w:rsidRDefault="00866315" w:rsidP="0099509C">
            <w:pPr>
              <w:rPr>
                <w:rFonts w:ascii="Arial" w:hAnsi="Arial" w:cs="Arial"/>
                <w:color w:val="5B9BD5" w:themeColor="accent1"/>
              </w:rPr>
            </w:pPr>
            <w:r w:rsidRPr="0099509C">
              <w:rPr>
                <w:rFonts w:ascii="Arial" w:hAnsi="Arial" w:cs="Arial"/>
              </w:rPr>
              <w:t>0.</w:t>
            </w:r>
            <w:r w:rsidR="0099509C" w:rsidRPr="0099509C">
              <w:rPr>
                <w:rFonts w:ascii="Arial" w:hAnsi="Arial" w:cs="Arial"/>
              </w:rPr>
              <w:t>851</w:t>
            </w:r>
          </w:p>
        </w:tc>
      </w:tr>
      <w:tr w:rsidR="00866315" w14:paraId="42412F5E" w14:textId="77777777" w:rsidTr="00866315">
        <w:tc>
          <w:tcPr>
            <w:tcW w:w="1435" w:type="dxa"/>
          </w:tcPr>
          <w:p w14:paraId="12794AEA" w14:textId="77777777" w:rsidR="00866315" w:rsidRPr="005926C1" w:rsidRDefault="00866315" w:rsidP="00866315">
            <w:pPr>
              <w:rPr>
                <w:rFonts w:ascii="Arial" w:hAnsi="Arial" w:cs="Arial"/>
              </w:rPr>
            </w:pPr>
          </w:p>
        </w:tc>
        <w:tc>
          <w:tcPr>
            <w:tcW w:w="2305" w:type="dxa"/>
          </w:tcPr>
          <w:p w14:paraId="523BBD1C" w14:textId="77777777" w:rsidR="00866315" w:rsidRPr="005926C1" w:rsidRDefault="00866315" w:rsidP="00866315">
            <w:pPr>
              <w:rPr>
                <w:rFonts w:ascii="Arial" w:hAnsi="Arial" w:cs="Arial"/>
              </w:rPr>
            </w:pPr>
            <w:r w:rsidRPr="005926C1">
              <w:rPr>
                <w:rFonts w:ascii="Arial" w:hAnsi="Arial" w:cs="Arial"/>
              </w:rPr>
              <w:t>3000</w:t>
            </w:r>
          </w:p>
        </w:tc>
        <w:tc>
          <w:tcPr>
            <w:tcW w:w="1835" w:type="dxa"/>
          </w:tcPr>
          <w:p w14:paraId="58D2CDA9" w14:textId="18F76951" w:rsidR="00866315" w:rsidRPr="0099509C" w:rsidRDefault="00866315" w:rsidP="0099509C">
            <w:pPr>
              <w:rPr>
                <w:rFonts w:ascii="Arial" w:hAnsi="Arial" w:cs="Arial"/>
                <w:color w:val="5B9BD5" w:themeColor="accent1"/>
              </w:rPr>
            </w:pPr>
            <w:r w:rsidRPr="0099509C">
              <w:rPr>
                <w:rFonts w:ascii="Arial" w:hAnsi="Arial" w:cs="Arial"/>
              </w:rPr>
              <w:t>0.0</w:t>
            </w:r>
            <w:r w:rsidR="0099509C" w:rsidRPr="0099509C">
              <w:rPr>
                <w:rFonts w:ascii="Arial" w:hAnsi="Arial" w:cs="Arial"/>
              </w:rPr>
              <w:t>36</w:t>
            </w:r>
          </w:p>
        </w:tc>
        <w:tc>
          <w:tcPr>
            <w:tcW w:w="1890" w:type="dxa"/>
          </w:tcPr>
          <w:p w14:paraId="2A28BB37" w14:textId="52DDEE67" w:rsidR="00866315" w:rsidRPr="0099509C" w:rsidRDefault="00866315" w:rsidP="0099509C">
            <w:pPr>
              <w:rPr>
                <w:rFonts w:ascii="Arial" w:hAnsi="Arial" w:cs="Arial"/>
                <w:color w:val="5B9BD5" w:themeColor="accent1"/>
              </w:rPr>
            </w:pPr>
            <w:r w:rsidRPr="0099509C">
              <w:rPr>
                <w:rFonts w:ascii="Arial" w:hAnsi="Arial" w:cs="Arial"/>
              </w:rPr>
              <w:t>4.</w:t>
            </w:r>
            <w:r w:rsidR="0099509C" w:rsidRPr="0099509C">
              <w:rPr>
                <w:rFonts w:ascii="Arial" w:hAnsi="Arial" w:cs="Arial"/>
              </w:rPr>
              <w:t>428</w:t>
            </w:r>
          </w:p>
        </w:tc>
        <w:tc>
          <w:tcPr>
            <w:tcW w:w="1885" w:type="dxa"/>
          </w:tcPr>
          <w:p w14:paraId="77A2F941" w14:textId="2A995A22" w:rsidR="00866315" w:rsidRPr="0099509C" w:rsidRDefault="00866315" w:rsidP="0099509C">
            <w:pPr>
              <w:rPr>
                <w:rFonts w:ascii="Arial" w:hAnsi="Arial" w:cs="Arial"/>
                <w:color w:val="5B9BD5" w:themeColor="accent1"/>
              </w:rPr>
            </w:pPr>
            <w:r w:rsidRPr="0099509C">
              <w:rPr>
                <w:rFonts w:ascii="Arial" w:hAnsi="Arial" w:cs="Arial"/>
              </w:rPr>
              <w:t>0.</w:t>
            </w:r>
            <w:r w:rsidR="0099509C" w:rsidRPr="0099509C">
              <w:rPr>
                <w:rFonts w:ascii="Arial" w:hAnsi="Arial" w:cs="Arial"/>
              </w:rPr>
              <w:t>853</w:t>
            </w:r>
          </w:p>
        </w:tc>
      </w:tr>
      <w:tr w:rsidR="00866315" w14:paraId="3ABB8A75" w14:textId="77777777" w:rsidTr="00866315">
        <w:tc>
          <w:tcPr>
            <w:tcW w:w="1435" w:type="dxa"/>
          </w:tcPr>
          <w:p w14:paraId="59C3139F" w14:textId="77777777" w:rsidR="00866315" w:rsidRPr="005926C1" w:rsidRDefault="00866315" w:rsidP="00866315">
            <w:pPr>
              <w:rPr>
                <w:rFonts w:ascii="Arial" w:hAnsi="Arial" w:cs="Arial"/>
              </w:rPr>
            </w:pPr>
          </w:p>
        </w:tc>
        <w:tc>
          <w:tcPr>
            <w:tcW w:w="2305" w:type="dxa"/>
          </w:tcPr>
          <w:p w14:paraId="2BD498E0" w14:textId="77777777" w:rsidR="00866315" w:rsidRPr="005926C1" w:rsidRDefault="00866315" w:rsidP="00866315">
            <w:pPr>
              <w:rPr>
                <w:rFonts w:ascii="Arial" w:hAnsi="Arial" w:cs="Arial"/>
              </w:rPr>
            </w:pPr>
            <w:r w:rsidRPr="005926C1">
              <w:rPr>
                <w:rFonts w:ascii="Arial" w:hAnsi="Arial" w:cs="Arial"/>
              </w:rPr>
              <w:t>5000</w:t>
            </w:r>
          </w:p>
        </w:tc>
        <w:tc>
          <w:tcPr>
            <w:tcW w:w="1835" w:type="dxa"/>
          </w:tcPr>
          <w:p w14:paraId="15F98240" w14:textId="37C98105" w:rsidR="00866315" w:rsidRPr="0099509C" w:rsidRDefault="00866315" w:rsidP="0099509C">
            <w:pPr>
              <w:rPr>
                <w:rFonts w:ascii="Arial" w:hAnsi="Arial" w:cs="Arial"/>
                <w:color w:val="5B9BD5" w:themeColor="accent1"/>
              </w:rPr>
            </w:pPr>
            <w:r w:rsidRPr="0099509C">
              <w:rPr>
                <w:rFonts w:ascii="Arial" w:hAnsi="Arial" w:cs="Arial"/>
              </w:rPr>
              <w:t>0.0</w:t>
            </w:r>
            <w:r w:rsidR="0099509C" w:rsidRPr="0099509C">
              <w:rPr>
                <w:rFonts w:ascii="Arial" w:hAnsi="Arial" w:cs="Arial"/>
              </w:rPr>
              <w:t>34</w:t>
            </w:r>
          </w:p>
        </w:tc>
        <w:tc>
          <w:tcPr>
            <w:tcW w:w="1890" w:type="dxa"/>
          </w:tcPr>
          <w:p w14:paraId="20067F8F" w14:textId="2CC92F0D" w:rsidR="00866315" w:rsidRPr="0099509C" w:rsidRDefault="0099509C" w:rsidP="00866315">
            <w:pPr>
              <w:rPr>
                <w:rFonts w:ascii="Arial" w:hAnsi="Arial" w:cs="Arial"/>
                <w:color w:val="5B9BD5" w:themeColor="accent1"/>
              </w:rPr>
            </w:pPr>
            <w:r w:rsidRPr="0099509C">
              <w:rPr>
                <w:rFonts w:ascii="Arial" w:hAnsi="Arial" w:cs="Arial"/>
              </w:rPr>
              <w:t>4.107</w:t>
            </w:r>
          </w:p>
        </w:tc>
        <w:tc>
          <w:tcPr>
            <w:tcW w:w="1885" w:type="dxa"/>
          </w:tcPr>
          <w:p w14:paraId="34584E2B" w14:textId="19C0173A" w:rsidR="00866315" w:rsidRPr="0099509C" w:rsidRDefault="00866315" w:rsidP="00362930">
            <w:pPr>
              <w:rPr>
                <w:rFonts w:ascii="Arial" w:hAnsi="Arial" w:cs="Arial"/>
                <w:color w:val="5B9BD5" w:themeColor="accent1"/>
              </w:rPr>
            </w:pPr>
            <w:r w:rsidRPr="00362930">
              <w:rPr>
                <w:rFonts w:ascii="Arial" w:hAnsi="Arial" w:cs="Arial"/>
              </w:rPr>
              <w:t>0.</w:t>
            </w:r>
            <w:r w:rsidR="00362930" w:rsidRPr="00362930">
              <w:rPr>
                <w:rFonts w:ascii="Arial" w:hAnsi="Arial" w:cs="Arial"/>
              </w:rPr>
              <w:t>855</w:t>
            </w:r>
          </w:p>
        </w:tc>
      </w:tr>
      <w:tr w:rsidR="00866315" w14:paraId="1A07A73E" w14:textId="77777777" w:rsidTr="00866315">
        <w:tc>
          <w:tcPr>
            <w:tcW w:w="1435" w:type="dxa"/>
          </w:tcPr>
          <w:p w14:paraId="47BB853E" w14:textId="77777777" w:rsidR="00866315" w:rsidRPr="005926C1" w:rsidRDefault="00866315" w:rsidP="00866315">
            <w:pPr>
              <w:rPr>
                <w:rFonts w:ascii="Arial" w:hAnsi="Arial" w:cs="Arial"/>
              </w:rPr>
            </w:pPr>
          </w:p>
        </w:tc>
        <w:tc>
          <w:tcPr>
            <w:tcW w:w="2305" w:type="dxa"/>
          </w:tcPr>
          <w:p w14:paraId="7FF37416" w14:textId="77777777" w:rsidR="00866315" w:rsidRPr="005926C1" w:rsidRDefault="00866315" w:rsidP="00866315">
            <w:pPr>
              <w:rPr>
                <w:rFonts w:ascii="Arial" w:hAnsi="Arial" w:cs="Arial"/>
              </w:rPr>
            </w:pPr>
            <w:r w:rsidRPr="005926C1">
              <w:rPr>
                <w:rFonts w:ascii="Arial" w:hAnsi="Arial" w:cs="Arial"/>
              </w:rPr>
              <w:t>12000</w:t>
            </w:r>
          </w:p>
        </w:tc>
        <w:tc>
          <w:tcPr>
            <w:tcW w:w="1835" w:type="dxa"/>
          </w:tcPr>
          <w:p w14:paraId="39B964A8" w14:textId="30CFE15C" w:rsidR="00866315" w:rsidRPr="0099509C" w:rsidRDefault="00866315" w:rsidP="00362930">
            <w:pPr>
              <w:rPr>
                <w:rFonts w:ascii="Arial" w:hAnsi="Arial" w:cs="Arial"/>
                <w:color w:val="5B9BD5" w:themeColor="accent1"/>
              </w:rPr>
            </w:pPr>
            <w:r w:rsidRPr="00362930">
              <w:rPr>
                <w:rFonts w:ascii="Arial" w:hAnsi="Arial" w:cs="Arial"/>
              </w:rPr>
              <w:t>0.0</w:t>
            </w:r>
            <w:r w:rsidR="00362930" w:rsidRPr="00362930">
              <w:rPr>
                <w:rFonts w:ascii="Arial" w:hAnsi="Arial" w:cs="Arial"/>
              </w:rPr>
              <w:t>41</w:t>
            </w:r>
          </w:p>
        </w:tc>
        <w:tc>
          <w:tcPr>
            <w:tcW w:w="1890" w:type="dxa"/>
          </w:tcPr>
          <w:p w14:paraId="185753D4" w14:textId="2D6EE11D" w:rsidR="00866315" w:rsidRPr="0099509C" w:rsidRDefault="00866315" w:rsidP="00362930">
            <w:pPr>
              <w:rPr>
                <w:rFonts w:ascii="Arial" w:hAnsi="Arial" w:cs="Arial"/>
                <w:color w:val="5B9BD5" w:themeColor="accent1"/>
              </w:rPr>
            </w:pPr>
            <w:r w:rsidRPr="00362930">
              <w:rPr>
                <w:rFonts w:ascii="Arial" w:hAnsi="Arial" w:cs="Arial"/>
              </w:rPr>
              <w:t>3.</w:t>
            </w:r>
            <w:r w:rsidR="00362930" w:rsidRPr="00362930">
              <w:rPr>
                <w:rFonts w:ascii="Arial" w:hAnsi="Arial" w:cs="Arial"/>
              </w:rPr>
              <w:t>458</w:t>
            </w:r>
          </w:p>
        </w:tc>
        <w:tc>
          <w:tcPr>
            <w:tcW w:w="1885" w:type="dxa"/>
          </w:tcPr>
          <w:p w14:paraId="6937BAD7" w14:textId="1B009084" w:rsidR="00866315" w:rsidRPr="0099509C" w:rsidRDefault="00866315" w:rsidP="00362930">
            <w:pPr>
              <w:rPr>
                <w:rFonts w:ascii="Arial" w:hAnsi="Arial" w:cs="Arial"/>
                <w:color w:val="5B9BD5" w:themeColor="accent1"/>
              </w:rPr>
            </w:pPr>
            <w:r w:rsidRPr="00362930">
              <w:rPr>
                <w:rFonts w:ascii="Arial" w:hAnsi="Arial" w:cs="Arial"/>
              </w:rPr>
              <w:t>0.8</w:t>
            </w:r>
            <w:r w:rsidR="00362930" w:rsidRPr="00362930">
              <w:rPr>
                <w:rFonts w:ascii="Arial" w:hAnsi="Arial" w:cs="Arial"/>
              </w:rPr>
              <w:t>49</w:t>
            </w:r>
          </w:p>
        </w:tc>
      </w:tr>
      <w:tr w:rsidR="00866315" w14:paraId="1811B1AD" w14:textId="77777777" w:rsidTr="00866315">
        <w:tc>
          <w:tcPr>
            <w:tcW w:w="1435" w:type="dxa"/>
          </w:tcPr>
          <w:p w14:paraId="32A7C6E6" w14:textId="77777777" w:rsidR="00866315" w:rsidRPr="005926C1" w:rsidRDefault="00866315" w:rsidP="00866315">
            <w:pPr>
              <w:rPr>
                <w:rFonts w:ascii="Arial" w:hAnsi="Arial" w:cs="Arial"/>
              </w:rPr>
            </w:pPr>
          </w:p>
        </w:tc>
        <w:tc>
          <w:tcPr>
            <w:tcW w:w="2305" w:type="dxa"/>
          </w:tcPr>
          <w:p w14:paraId="69862312" w14:textId="77777777" w:rsidR="00866315" w:rsidRPr="005926C1" w:rsidRDefault="00866315" w:rsidP="00866315">
            <w:pPr>
              <w:rPr>
                <w:rFonts w:ascii="Arial" w:hAnsi="Arial" w:cs="Arial"/>
              </w:rPr>
            </w:pPr>
            <w:r w:rsidRPr="005926C1">
              <w:rPr>
                <w:rFonts w:ascii="Arial" w:hAnsi="Arial" w:cs="Arial"/>
              </w:rPr>
              <w:t>80000</w:t>
            </w:r>
          </w:p>
        </w:tc>
        <w:tc>
          <w:tcPr>
            <w:tcW w:w="1835" w:type="dxa"/>
          </w:tcPr>
          <w:p w14:paraId="59FC483F" w14:textId="100E10B0" w:rsidR="00866315" w:rsidRPr="00362930" w:rsidRDefault="00866315" w:rsidP="00362930">
            <w:pPr>
              <w:rPr>
                <w:rFonts w:ascii="Arial" w:hAnsi="Arial" w:cs="Arial"/>
              </w:rPr>
            </w:pPr>
            <w:r w:rsidRPr="00362930">
              <w:rPr>
                <w:rFonts w:ascii="Arial" w:hAnsi="Arial" w:cs="Arial"/>
              </w:rPr>
              <w:t>0.0</w:t>
            </w:r>
            <w:r w:rsidR="00362930" w:rsidRPr="00362930">
              <w:rPr>
                <w:rFonts w:ascii="Arial" w:hAnsi="Arial" w:cs="Arial"/>
              </w:rPr>
              <w:t>40</w:t>
            </w:r>
          </w:p>
        </w:tc>
        <w:tc>
          <w:tcPr>
            <w:tcW w:w="1890" w:type="dxa"/>
          </w:tcPr>
          <w:p w14:paraId="3E6C8981" w14:textId="7492CA7E" w:rsidR="00866315" w:rsidRPr="00362930" w:rsidRDefault="00362930" w:rsidP="00866315">
            <w:pPr>
              <w:rPr>
                <w:rFonts w:ascii="Arial" w:hAnsi="Arial" w:cs="Arial"/>
              </w:rPr>
            </w:pPr>
            <w:r w:rsidRPr="00362930">
              <w:rPr>
                <w:rFonts w:ascii="Arial" w:hAnsi="Arial" w:cs="Arial"/>
              </w:rPr>
              <w:t>2.251</w:t>
            </w:r>
          </w:p>
        </w:tc>
        <w:tc>
          <w:tcPr>
            <w:tcW w:w="1885" w:type="dxa"/>
          </w:tcPr>
          <w:p w14:paraId="64E3F3ED" w14:textId="3B9D1B4D" w:rsidR="00866315" w:rsidRPr="0099509C" w:rsidRDefault="00866315" w:rsidP="00362930">
            <w:pPr>
              <w:rPr>
                <w:rFonts w:ascii="Arial" w:hAnsi="Arial" w:cs="Arial"/>
                <w:color w:val="5B9BD5" w:themeColor="accent1"/>
              </w:rPr>
            </w:pPr>
            <w:r w:rsidRPr="00362930">
              <w:rPr>
                <w:rFonts w:ascii="Arial" w:hAnsi="Arial" w:cs="Arial"/>
              </w:rPr>
              <w:t>0.8</w:t>
            </w:r>
            <w:r w:rsidR="00362930" w:rsidRPr="00362930">
              <w:rPr>
                <w:rFonts w:ascii="Arial" w:hAnsi="Arial" w:cs="Arial"/>
              </w:rPr>
              <w:t>30</w:t>
            </w:r>
          </w:p>
        </w:tc>
      </w:tr>
    </w:tbl>
    <w:p w14:paraId="79DA06DF" w14:textId="77777777" w:rsidR="00866315" w:rsidRDefault="00866315" w:rsidP="00866315">
      <w:pPr>
        <w:rPr>
          <w:rFonts w:ascii="Arial" w:hAnsi="Arial" w:cs="Arial"/>
        </w:rPr>
      </w:pPr>
    </w:p>
    <w:p w14:paraId="3C468EBA" w14:textId="77777777" w:rsidR="00866315" w:rsidRDefault="00866315" w:rsidP="00866315">
      <w:pPr>
        <w:rPr>
          <w:rFonts w:asciiTheme="majorHAnsi" w:eastAsiaTheme="majorEastAsia" w:hAnsiTheme="majorHAnsi" w:cstheme="majorBidi"/>
          <w:color w:val="2E74B5" w:themeColor="accent1" w:themeShade="BF"/>
          <w:sz w:val="32"/>
          <w:szCs w:val="32"/>
          <w:highlight w:val="lightGray"/>
        </w:rPr>
      </w:pPr>
      <w:r>
        <w:rPr>
          <w:highlight w:val="lightGray"/>
        </w:rPr>
        <w:br w:type="page"/>
      </w:r>
    </w:p>
    <w:p w14:paraId="7A898E30" w14:textId="0330A062" w:rsidR="00866315" w:rsidRPr="00AD32BC" w:rsidRDefault="00866315" w:rsidP="00866315">
      <w:pPr>
        <w:pStyle w:val="Heading1"/>
        <w:rPr>
          <w:rFonts w:ascii="Arial" w:hAnsi="Arial" w:cs="Arial"/>
        </w:rPr>
      </w:pPr>
      <w:r>
        <w:lastRenderedPageBreak/>
        <w:t xml:space="preserve"> </w:t>
      </w:r>
      <w:bookmarkStart w:id="22" w:name="_Toc516066496"/>
      <w:r w:rsidRPr="00AD32BC">
        <w:rPr>
          <w:rFonts w:ascii="Arial" w:hAnsi="Arial" w:cs="Arial"/>
        </w:rPr>
        <w:t>4.0 Supplementary Results</w:t>
      </w:r>
      <w:bookmarkEnd w:id="21"/>
      <w:bookmarkEnd w:id="22"/>
    </w:p>
    <w:p w14:paraId="0A20CA0B" w14:textId="38306E3D" w:rsidR="00866315" w:rsidRPr="00AD32BC" w:rsidRDefault="00866315" w:rsidP="00866315">
      <w:pPr>
        <w:pStyle w:val="Heading2"/>
        <w:rPr>
          <w:rFonts w:ascii="Arial" w:hAnsi="Arial" w:cs="Arial"/>
        </w:rPr>
      </w:pPr>
      <w:bookmarkStart w:id="23" w:name="_Toc507589363"/>
      <w:bookmarkStart w:id="24" w:name="_Toc516066497"/>
      <w:r w:rsidRPr="00AD32BC">
        <w:rPr>
          <w:rFonts w:ascii="Arial" w:hAnsi="Arial" w:cs="Arial"/>
        </w:rPr>
        <w:t>4.1 TB and HIV mortality rates, 90</w:t>
      </w:r>
      <w:r w:rsidRPr="00AD32BC">
        <w:rPr>
          <w:rFonts w:ascii="Arial" w:hAnsi="Arial" w:cs="Arial"/>
          <w:vertAlign w:val="superscript"/>
        </w:rPr>
        <w:t>th</w:t>
      </w:r>
      <w:r w:rsidRPr="00AD32BC">
        <w:rPr>
          <w:rFonts w:ascii="Arial" w:hAnsi="Arial" w:cs="Arial"/>
        </w:rPr>
        <w:t xml:space="preserve"> and 10</w:t>
      </w:r>
      <w:r w:rsidRPr="00AD32BC">
        <w:rPr>
          <w:rFonts w:ascii="Arial" w:hAnsi="Arial" w:cs="Arial"/>
          <w:vertAlign w:val="superscript"/>
        </w:rPr>
        <w:t>th</w:t>
      </w:r>
      <w:r w:rsidRPr="00AD32BC">
        <w:rPr>
          <w:rFonts w:ascii="Arial" w:hAnsi="Arial" w:cs="Arial"/>
        </w:rPr>
        <w:t xml:space="preserve"> percentiles</w:t>
      </w:r>
      <w:bookmarkEnd w:id="23"/>
      <w:bookmarkEnd w:id="24"/>
    </w:p>
    <w:p w14:paraId="26F3AC30" w14:textId="74C71DE8" w:rsidR="00866315" w:rsidRPr="00AD32BC" w:rsidRDefault="00866315" w:rsidP="00866315">
      <w:pPr>
        <w:rPr>
          <w:rFonts w:ascii="Arial" w:hAnsi="Arial" w:cs="Arial"/>
        </w:rPr>
      </w:pPr>
      <w:r w:rsidRPr="000371AA">
        <w:rPr>
          <w:rFonts w:ascii="Arial" w:hAnsi="Arial" w:cs="Arial"/>
        </w:rPr>
        <w:t>Table S</w:t>
      </w:r>
      <w:r w:rsidR="002315CE">
        <w:rPr>
          <w:rFonts w:ascii="Arial" w:hAnsi="Arial" w:cs="Arial"/>
        </w:rPr>
        <w:t>6</w:t>
      </w:r>
      <w:r w:rsidRPr="000371AA">
        <w:rPr>
          <w:rFonts w:ascii="Arial" w:hAnsi="Arial" w:cs="Arial"/>
        </w:rPr>
        <w:t>: TB and HIV mortality rate in 90</w:t>
      </w:r>
      <w:r w:rsidRPr="000371AA">
        <w:rPr>
          <w:rFonts w:ascii="Arial" w:hAnsi="Arial" w:cs="Arial"/>
          <w:vertAlign w:val="superscript"/>
        </w:rPr>
        <w:t>th</w:t>
      </w:r>
      <w:r w:rsidRPr="000371AA">
        <w:rPr>
          <w:rFonts w:ascii="Arial" w:hAnsi="Arial" w:cs="Arial"/>
        </w:rPr>
        <w:t xml:space="preserve"> percentile versus 10</w:t>
      </w:r>
      <w:r w:rsidRPr="000371AA">
        <w:rPr>
          <w:rFonts w:ascii="Arial" w:hAnsi="Arial" w:cs="Arial"/>
          <w:vertAlign w:val="superscript"/>
        </w:rPr>
        <w:t>th</w:t>
      </w:r>
      <w:r w:rsidRPr="000371AA">
        <w:rPr>
          <w:rFonts w:ascii="Arial" w:hAnsi="Arial" w:cs="Arial"/>
        </w:rPr>
        <w:t xml:space="preserve"> percentile of municipalities nationally by sex</w:t>
      </w:r>
    </w:p>
    <w:tbl>
      <w:tblPr>
        <w:tblStyle w:val="TableGrid"/>
        <w:tblW w:w="9445" w:type="dxa"/>
        <w:tblLook w:val="04A0" w:firstRow="1" w:lastRow="0" w:firstColumn="1" w:lastColumn="0" w:noHBand="0" w:noVBand="1"/>
      </w:tblPr>
      <w:tblGrid>
        <w:gridCol w:w="1435"/>
        <w:gridCol w:w="990"/>
        <w:gridCol w:w="810"/>
        <w:gridCol w:w="2070"/>
        <w:gridCol w:w="1980"/>
        <w:gridCol w:w="2160"/>
      </w:tblGrid>
      <w:tr w:rsidR="00866315" w:rsidRPr="002315CE" w14:paraId="23D67011" w14:textId="77777777" w:rsidTr="00866315">
        <w:tc>
          <w:tcPr>
            <w:tcW w:w="1435" w:type="dxa"/>
          </w:tcPr>
          <w:p w14:paraId="6D217D02" w14:textId="77777777" w:rsidR="00866315" w:rsidRPr="001F783A" w:rsidRDefault="00866315" w:rsidP="00866315">
            <w:pPr>
              <w:jc w:val="center"/>
              <w:rPr>
                <w:rFonts w:ascii="Arial" w:hAnsi="Arial" w:cs="Arial"/>
              </w:rPr>
            </w:pPr>
            <w:r w:rsidRPr="001F783A">
              <w:rPr>
                <w:rFonts w:ascii="Arial" w:hAnsi="Arial" w:cs="Arial"/>
              </w:rPr>
              <w:t>Infection</w:t>
            </w:r>
          </w:p>
        </w:tc>
        <w:tc>
          <w:tcPr>
            <w:tcW w:w="990" w:type="dxa"/>
          </w:tcPr>
          <w:p w14:paraId="38C5B22F" w14:textId="77777777" w:rsidR="00866315" w:rsidRPr="00D21A94" w:rsidRDefault="00866315" w:rsidP="00866315">
            <w:pPr>
              <w:jc w:val="center"/>
              <w:rPr>
                <w:rFonts w:ascii="Arial" w:hAnsi="Arial" w:cs="Arial"/>
              </w:rPr>
            </w:pPr>
            <w:r w:rsidRPr="00D21A94">
              <w:rPr>
                <w:rFonts w:ascii="Arial" w:hAnsi="Arial" w:cs="Arial"/>
              </w:rPr>
              <w:t>Sex</w:t>
            </w:r>
          </w:p>
        </w:tc>
        <w:tc>
          <w:tcPr>
            <w:tcW w:w="810" w:type="dxa"/>
          </w:tcPr>
          <w:p w14:paraId="135183AD" w14:textId="77777777" w:rsidR="00866315" w:rsidRPr="002315CE" w:rsidRDefault="00866315" w:rsidP="00866315">
            <w:pPr>
              <w:jc w:val="center"/>
              <w:rPr>
                <w:rFonts w:ascii="Arial" w:hAnsi="Arial" w:cs="Arial"/>
              </w:rPr>
            </w:pPr>
            <w:r w:rsidRPr="002315CE">
              <w:rPr>
                <w:rFonts w:ascii="Arial" w:hAnsi="Arial" w:cs="Arial"/>
              </w:rPr>
              <w:t>%tile</w:t>
            </w:r>
          </w:p>
        </w:tc>
        <w:tc>
          <w:tcPr>
            <w:tcW w:w="2070" w:type="dxa"/>
          </w:tcPr>
          <w:p w14:paraId="39354C14" w14:textId="77777777" w:rsidR="00866315" w:rsidRPr="002315CE" w:rsidRDefault="00866315" w:rsidP="00866315">
            <w:pPr>
              <w:jc w:val="center"/>
              <w:rPr>
                <w:rFonts w:ascii="Arial" w:hAnsi="Arial" w:cs="Arial"/>
              </w:rPr>
            </w:pPr>
            <w:r w:rsidRPr="002315CE">
              <w:rPr>
                <w:rFonts w:ascii="Arial" w:hAnsi="Arial" w:cs="Arial"/>
              </w:rPr>
              <w:t>Mortality rate in</w:t>
            </w:r>
          </w:p>
          <w:p w14:paraId="4CB47900" w14:textId="77777777" w:rsidR="00866315" w:rsidRPr="002315CE" w:rsidRDefault="00866315" w:rsidP="00866315">
            <w:pPr>
              <w:jc w:val="center"/>
              <w:rPr>
                <w:rFonts w:ascii="Arial" w:hAnsi="Arial" w:cs="Arial"/>
              </w:rPr>
            </w:pPr>
            <w:r w:rsidRPr="002315CE">
              <w:rPr>
                <w:rFonts w:ascii="Arial" w:hAnsi="Arial" w:cs="Arial"/>
              </w:rPr>
              <w:t>2001</w:t>
            </w:r>
          </w:p>
          <w:p w14:paraId="4292D7C1" w14:textId="77777777" w:rsidR="00866315" w:rsidRPr="002315CE" w:rsidRDefault="00866315" w:rsidP="00866315">
            <w:pPr>
              <w:jc w:val="center"/>
              <w:rPr>
                <w:rFonts w:ascii="Arial" w:hAnsi="Arial" w:cs="Arial"/>
              </w:rPr>
            </w:pPr>
            <w:r w:rsidRPr="002315CE">
              <w:rPr>
                <w:rFonts w:ascii="Arial" w:hAnsi="Arial" w:cs="Arial"/>
              </w:rPr>
              <w:t>(95% UI)</w:t>
            </w:r>
          </w:p>
        </w:tc>
        <w:tc>
          <w:tcPr>
            <w:tcW w:w="1980" w:type="dxa"/>
          </w:tcPr>
          <w:p w14:paraId="166BF064" w14:textId="77777777" w:rsidR="00866315" w:rsidRPr="002315CE" w:rsidRDefault="00866315" w:rsidP="00866315">
            <w:pPr>
              <w:jc w:val="center"/>
              <w:rPr>
                <w:rFonts w:ascii="Arial" w:hAnsi="Arial" w:cs="Arial"/>
              </w:rPr>
            </w:pPr>
            <w:r w:rsidRPr="002315CE">
              <w:rPr>
                <w:rFonts w:ascii="Arial" w:hAnsi="Arial" w:cs="Arial"/>
              </w:rPr>
              <w:t>Mortality rate in</w:t>
            </w:r>
          </w:p>
          <w:p w14:paraId="45F1E7AC" w14:textId="77777777" w:rsidR="00866315" w:rsidRPr="002315CE" w:rsidRDefault="00866315" w:rsidP="00866315">
            <w:pPr>
              <w:jc w:val="center"/>
              <w:rPr>
                <w:rFonts w:ascii="Arial" w:hAnsi="Arial" w:cs="Arial"/>
              </w:rPr>
            </w:pPr>
            <w:r w:rsidRPr="002315CE">
              <w:rPr>
                <w:rFonts w:ascii="Arial" w:hAnsi="Arial" w:cs="Arial"/>
              </w:rPr>
              <w:t>2015</w:t>
            </w:r>
          </w:p>
          <w:p w14:paraId="6C5185ED" w14:textId="77777777" w:rsidR="00866315" w:rsidRPr="002315CE" w:rsidRDefault="00866315" w:rsidP="00866315">
            <w:pPr>
              <w:jc w:val="center"/>
              <w:rPr>
                <w:rFonts w:ascii="Arial" w:hAnsi="Arial" w:cs="Arial"/>
              </w:rPr>
            </w:pPr>
            <w:r w:rsidRPr="002315CE">
              <w:rPr>
                <w:rFonts w:ascii="Arial" w:hAnsi="Arial" w:cs="Arial"/>
              </w:rPr>
              <w:t>(95% UI)</w:t>
            </w:r>
          </w:p>
        </w:tc>
        <w:tc>
          <w:tcPr>
            <w:tcW w:w="2160" w:type="dxa"/>
          </w:tcPr>
          <w:p w14:paraId="0E8BCA24" w14:textId="77777777" w:rsidR="00866315" w:rsidRPr="002315CE" w:rsidRDefault="00866315" w:rsidP="00866315">
            <w:pPr>
              <w:jc w:val="center"/>
              <w:rPr>
                <w:rFonts w:ascii="Arial" w:hAnsi="Arial" w:cs="Arial"/>
              </w:rPr>
            </w:pPr>
            <w:r w:rsidRPr="002315CE">
              <w:rPr>
                <w:rFonts w:ascii="Arial" w:hAnsi="Arial" w:cs="Arial"/>
              </w:rPr>
              <w:t>Proportion of municipalities present in both years</w:t>
            </w:r>
          </w:p>
        </w:tc>
      </w:tr>
      <w:tr w:rsidR="00866315" w14:paraId="796B330E" w14:textId="77777777" w:rsidTr="00866315">
        <w:tc>
          <w:tcPr>
            <w:tcW w:w="1435" w:type="dxa"/>
          </w:tcPr>
          <w:p w14:paraId="7495FD5C" w14:textId="77777777" w:rsidR="00866315" w:rsidRDefault="00866315" w:rsidP="00866315">
            <w:pPr>
              <w:rPr>
                <w:rFonts w:ascii="Arial" w:hAnsi="Arial" w:cs="Arial"/>
              </w:rPr>
            </w:pPr>
            <w:r>
              <w:rPr>
                <w:rFonts w:ascii="Arial" w:hAnsi="Arial" w:cs="Arial"/>
              </w:rPr>
              <w:t>TB (no HIV)</w:t>
            </w:r>
          </w:p>
        </w:tc>
        <w:tc>
          <w:tcPr>
            <w:tcW w:w="990" w:type="dxa"/>
          </w:tcPr>
          <w:p w14:paraId="3925B3AD" w14:textId="77777777" w:rsidR="00866315" w:rsidRDefault="00866315" w:rsidP="00866315">
            <w:pPr>
              <w:rPr>
                <w:rFonts w:ascii="Arial" w:hAnsi="Arial" w:cs="Arial"/>
              </w:rPr>
            </w:pPr>
            <w:r>
              <w:rPr>
                <w:rFonts w:ascii="Arial" w:hAnsi="Arial" w:cs="Arial"/>
              </w:rPr>
              <w:t>Male</w:t>
            </w:r>
          </w:p>
        </w:tc>
        <w:tc>
          <w:tcPr>
            <w:tcW w:w="810" w:type="dxa"/>
          </w:tcPr>
          <w:p w14:paraId="766AB40F" w14:textId="77777777" w:rsidR="00866315" w:rsidRDefault="00866315" w:rsidP="00866315">
            <w:pPr>
              <w:rPr>
                <w:rFonts w:ascii="Arial" w:hAnsi="Arial" w:cs="Arial"/>
              </w:rPr>
            </w:pPr>
            <w:r>
              <w:rPr>
                <w:rFonts w:ascii="Arial" w:hAnsi="Arial" w:cs="Arial"/>
              </w:rPr>
              <w:t>90</w:t>
            </w:r>
          </w:p>
        </w:tc>
        <w:tc>
          <w:tcPr>
            <w:tcW w:w="2070" w:type="dxa"/>
          </w:tcPr>
          <w:p w14:paraId="768A96D6" w14:textId="097D2B0D" w:rsidR="00866315" w:rsidRPr="003D11B2" w:rsidRDefault="00214E56" w:rsidP="00866315">
            <w:pPr>
              <w:rPr>
                <w:rFonts w:ascii="Arial" w:hAnsi="Arial" w:cs="Arial"/>
              </w:rPr>
            </w:pPr>
            <w:r w:rsidRPr="003D11B2">
              <w:rPr>
                <w:rFonts w:ascii="Arial" w:hAnsi="Arial" w:cs="Arial"/>
              </w:rPr>
              <w:t>7.01 (4.59</w:t>
            </w:r>
            <w:r w:rsidR="00866315" w:rsidRPr="003D11B2">
              <w:rPr>
                <w:rFonts w:ascii="Arial" w:hAnsi="Arial" w:cs="Arial"/>
              </w:rPr>
              <w:t xml:space="preserve"> – 10.0)</w:t>
            </w:r>
          </w:p>
        </w:tc>
        <w:tc>
          <w:tcPr>
            <w:tcW w:w="1980" w:type="dxa"/>
          </w:tcPr>
          <w:p w14:paraId="3DC98574" w14:textId="5DF428F6" w:rsidR="00866315" w:rsidRPr="003D11B2" w:rsidRDefault="00866315" w:rsidP="00214E56">
            <w:pPr>
              <w:rPr>
                <w:rFonts w:ascii="Arial" w:hAnsi="Arial" w:cs="Arial"/>
              </w:rPr>
            </w:pPr>
            <w:r w:rsidRPr="003D11B2">
              <w:rPr>
                <w:rFonts w:ascii="Arial" w:hAnsi="Arial" w:cs="Arial"/>
              </w:rPr>
              <w:t>4.1</w:t>
            </w:r>
            <w:r w:rsidR="00214E56" w:rsidRPr="003D11B2">
              <w:rPr>
                <w:rFonts w:ascii="Arial" w:hAnsi="Arial" w:cs="Arial"/>
              </w:rPr>
              <w:t>4</w:t>
            </w:r>
            <w:r w:rsidRPr="003D11B2">
              <w:rPr>
                <w:rFonts w:ascii="Arial" w:hAnsi="Arial" w:cs="Arial"/>
              </w:rPr>
              <w:t xml:space="preserve"> </w:t>
            </w:r>
            <w:r w:rsidR="003D11B2" w:rsidRPr="003D11B2">
              <w:rPr>
                <w:rFonts w:ascii="Arial" w:hAnsi="Arial" w:cs="Arial"/>
              </w:rPr>
              <w:t>(2.39</w:t>
            </w:r>
            <w:r w:rsidRPr="003D11B2">
              <w:rPr>
                <w:rFonts w:ascii="Arial" w:hAnsi="Arial" w:cs="Arial"/>
              </w:rPr>
              <w:t xml:space="preserve"> </w:t>
            </w:r>
            <w:r w:rsidR="003D11B2" w:rsidRPr="003D11B2">
              <w:rPr>
                <w:rFonts w:ascii="Arial" w:hAnsi="Arial" w:cs="Arial"/>
              </w:rPr>
              <w:t>– 6.82</w:t>
            </w:r>
            <w:r w:rsidRPr="003D11B2">
              <w:rPr>
                <w:rFonts w:ascii="Arial" w:hAnsi="Arial" w:cs="Arial"/>
              </w:rPr>
              <w:t>)</w:t>
            </w:r>
          </w:p>
        </w:tc>
        <w:tc>
          <w:tcPr>
            <w:tcW w:w="2160" w:type="dxa"/>
          </w:tcPr>
          <w:p w14:paraId="77119AC3" w14:textId="6FB917A3" w:rsidR="00866315" w:rsidRPr="00EE168D" w:rsidRDefault="00866315" w:rsidP="003D11B2">
            <w:pPr>
              <w:rPr>
                <w:rFonts w:ascii="Arial" w:hAnsi="Arial" w:cs="Arial"/>
                <w:color w:val="5B9BD5" w:themeColor="accent1"/>
              </w:rPr>
            </w:pPr>
            <w:r w:rsidRPr="003D11B2">
              <w:rPr>
                <w:rFonts w:ascii="Arial" w:hAnsi="Arial" w:cs="Arial"/>
              </w:rPr>
              <w:t>38</w:t>
            </w:r>
            <w:r w:rsidR="003D11B2" w:rsidRPr="003D11B2">
              <w:rPr>
                <w:rFonts w:ascii="Arial" w:hAnsi="Arial" w:cs="Arial"/>
              </w:rPr>
              <w:t>3</w:t>
            </w:r>
            <w:r w:rsidRPr="003D11B2">
              <w:rPr>
                <w:rFonts w:ascii="Arial" w:hAnsi="Arial" w:cs="Arial"/>
              </w:rPr>
              <w:t>/548 (</w:t>
            </w:r>
            <w:r w:rsidR="003D11B2" w:rsidRPr="003D11B2">
              <w:rPr>
                <w:rFonts w:ascii="Arial" w:hAnsi="Arial" w:cs="Arial"/>
              </w:rPr>
              <w:t>69.9</w:t>
            </w:r>
            <w:r w:rsidRPr="003D11B2">
              <w:rPr>
                <w:rFonts w:ascii="Arial" w:hAnsi="Arial" w:cs="Arial"/>
              </w:rPr>
              <w:t>%)</w:t>
            </w:r>
          </w:p>
        </w:tc>
      </w:tr>
      <w:tr w:rsidR="00866315" w14:paraId="48A0244C" w14:textId="77777777" w:rsidTr="00866315">
        <w:tc>
          <w:tcPr>
            <w:tcW w:w="1435" w:type="dxa"/>
          </w:tcPr>
          <w:p w14:paraId="2092A8FB" w14:textId="77777777" w:rsidR="00866315" w:rsidRDefault="00866315" w:rsidP="00866315">
            <w:pPr>
              <w:rPr>
                <w:rFonts w:ascii="Arial" w:hAnsi="Arial" w:cs="Arial"/>
              </w:rPr>
            </w:pPr>
          </w:p>
        </w:tc>
        <w:tc>
          <w:tcPr>
            <w:tcW w:w="990" w:type="dxa"/>
          </w:tcPr>
          <w:p w14:paraId="356979A1" w14:textId="77777777" w:rsidR="00866315" w:rsidRDefault="00866315" w:rsidP="00866315">
            <w:pPr>
              <w:rPr>
                <w:rFonts w:ascii="Arial" w:hAnsi="Arial" w:cs="Arial"/>
              </w:rPr>
            </w:pPr>
          </w:p>
        </w:tc>
        <w:tc>
          <w:tcPr>
            <w:tcW w:w="810" w:type="dxa"/>
          </w:tcPr>
          <w:p w14:paraId="2A6BE42A" w14:textId="77777777" w:rsidR="00866315" w:rsidRDefault="00866315" w:rsidP="00866315">
            <w:pPr>
              <w:rPr>
                <w:rFonts w:ascii="Arial" w:hAnsi="Arial" w:cs="Arial"/>
              </w:rPr>
            </w:pPr>
            <w:r>
              <w:rPr>
                <w:rFonts w:ascii="Arial" w:hAnsi="Arial" w:cs="Arial"/>
              </w:rPr>
              <w:t>10</w:t>
            </w:r>
          </w:p>
        </w:tc>
        <w:tc>
          <w:tcPr>
            <w:tcW w:w="2070" w:type="dxa"/>
          </w:tcPr>
          <w:p w14:paraId="081CEE76" w14:textId="495001B4" w:rsidR="00866315" w:rsidRPr="003D11B2" w:rsidRDefault="00866315" w:rsidP="003D11B2">
            <w:pPr>
              <w:rPr>
                <w:rFonts w:ascii="Arial" w:hAnsi="Arial" w:cs="Arial"/>
              </w:rPr>
            </w:pPr>
            <w:r w:rsidRPr="003D11B2">
              <w:rPr>
                <w:rFonts w:ascii="Arial" w:hAnsi="Arial" w:cs="Arial"/>
              </w:rPr>
              <w:t>2.3</w:t>
            </w:r>
            <w:r w:rsidR="00214E56" w:rsidRPr="003D11B2">
              <w:rPr>
                <w:rFonts w:ascii="Arial" w:hAnsi="Arial" w:cs="Arial"/>
              </w:rPr>
              <w:t>5</w:t>
            </w:r>
            <w:r w:rsidRPr="003D11B2">
              <w:rPr>
                <w:rFonts w:ascii="Arial" w:hAnsi="Arial" w:cs="Arial"/>
              </w:rPr>
              <w:t xml:space="preserve"> </w:t>
            </w:r>
            <w:r w:rsidR="00214E56" w:rsidRPr="003D11B2">
              <w:rPr>
                <w:rFonts w:ascii="Arial" w:hAnsi="Arial" w:cs="Arial"/>
              </w:rPr>
              <w:t>(1.34</w:t>
            </w:r>
            <w:r w:rsidRPr="003D11B2">
              <w:rPr>
                <w:rFonts w:ascii="Arial" w:hAnsi="Arial" w:cs="Arial"/>
              </w:rPr>
              <w:t xml:space="preserve"> – 3.</w:t>
            </w:r>
            <w:r w:rsidR="003D11B2" w:rsidRPr="003D11B2">
              <w:rPr>
                <w:rFonts w:ascii="Arial" w:hAnsi="Arial" w:cs="Arial"/>
              </w:rPr>
              <w:t>77</w:t>
            </w:r>
            <w:r w:rsidRPr="003D11B2">
              <w:rPr>
                <w:rFonts w:ascii="Arial" w:hAnsi="Arial" w:cs="Arial"/>
              </w:rPr>
              <w:t>)</w:t>
            </w:r>
          </w:p>
        </w:tc>
        <w:tc>
          <w:tcPr>
            <w:tcW w:w="1980" w:type="dxa"/>
          </w:tcPr>
          <w:p w14:paraId="58F4D81E" w14:textId="0BB3B8F0" w:rsidR="00866315" w:rsidRPr="00EE168D" w:rsidRDefault="00866315" w:rsidP="003D11B2">
            <w:pPr>
              <w:rPr>
                <w:rFonts w:ascii="Arial" w:hAnsi="Arial" w:cs="Arial"/>
                <w:color w:val="5B9BD5" w:themeColor="accent1"/>
              </w:rPr>
            </w:pPr>
            <w:r w:rsidRPr="00214E56">
              <w:rPr>
                <w:rFonts w:ascii="Arial" w:hAnsi="Arial" w:cs="Arial"/>
              </w:rPr>
              <w:t>1.</w:t>
            </w:r>
            <w:r w:rsidRPr="003D11B2">
              <w:rPr>
                <w:rFonts w:ascii="Arial" w:hAnsi="Arial" w:cs="Arial"/>
              </w:rPr>
              <w:t>1</w:t>
            </w:r>
            <w:r w:rsidR="00214E56" w:rsidRPr="003D11B2">
              <w:rPr>
                <w:rFonts w:ascii="Arial" w:hAnsi="Arial" w:cs="Arial"/>
              </w:rPr>
              <w:t>1</w:t>
            </w:r>
            <w:r w:rsidRPr="003D11B2">
              <w:rPr>
                <w:rFonts w:ascii="Arial" w:hAnsi="Arial" w:cs="Arial"/>
              </w:rPr>
              <w:t xml:space="preserve"> (0.54 – </w:t>
            </w:r>
            <w:r w:rsidR="003D11B2" w:rsidRPr="003D11B2">
              <w:rPr>
                <w:rFonts w:ascii="Arial" w:hAnsi="Arial" w:cs="Arial"/>
              </w:rPr>
              <w:t>1.96</w:t>
            </w:r>
            <w:r w:rsidRPr="003D11B2">
              <w:rPr>
                <w:rFonts w:ascii="Arial" w:hAnsi="Arial" w:cs="Arial"/>
              </w:rPr>
              <w:t>)</w:t>
            </w:r>
          </w:p>
        </w:tc>
        <w:tc>
          <w:tcPr>
            <w:tcW w:w="2160" w:type="dxa"/>
          </w:tcPr>
          <w:p w14:paraId="4413DA07" w14:textId="2D57611B" w:rsidR="00866315" w:rsidRPr="00EE168D" w:rsidRDefault="00866315" w:rsidP="003D11B2">
            <w:pPr>
              <w:rPr>
                <w:rFonts w:ascii="Arial" w:hAnsi="Arial" w:cs="Arial"/>
                <w:color w:val="5B9BD5" w:themeColor="accent1"/>
              </w:rPr>
            </w:pPr>
            <w:r w:rsidRPr="003D11B2">
              <w:rPr>
                <w:rFonts w:ascii="Arial" w:hAnsi="Arial" w:cs="Arial"/>
              </w:rPr>
              <w:t>3</w:t>
            </w:r>
            <w:r w:rsidR="003D11B2" w:rsidRPr="003D11B2">
              <w:rPr>
                <w:rFonts w:ascii="Arial" w:hAnsi="Arial" w:cs="Arial"/>
              </w:rPr>
              <w:t>73</w:t>
            </w:r>
            <w:r w:rsidRPr="003D11B2">
              <w:rPr>
                <w:rFonts w:ascii="Arial" w:hAnsi="Arial" w:cs="Arial"/>
              </w:rPr>
              <w:t>/548 (</w:t>
            </w:r>
            <w:r w:rsidR="003D11B2" w:rsidRPr="003D11B2">
              <w:rPr>
                <w:rFonts w:ascii="Arial" w:hAnsi="Arial" w:cs="Arial"/>
              </w:rPr>
              <w:t>68.1</w:t>
            </w:r>
            <w:r w:rsidRPr="003D11B2">
              <w:rPr>
                <w:rFonts w:ascii="Arial" w:hAnsi="Arial" w:cs="Arial"/>
              </w:rPr>
              <w:t>%)</w:t>
            </w:r>
          </w:p>
        </w:tc>
      </w:tr>
      <w:tr w:rsidR="00866315" w14:paraId="3854D238" w14:textId="77777777" w:rsidTr="00866315">
        <w:tc>
          <w:tcPr>
            <w:tcW w:w="1435" w:type="dxa"/>
          </w:tcPr>
          <w:p w14:paraId="429D44B6" w14:textId="77777777" w:rsidR="00866315" w:rsidRDefault="00866315" w:rsidP="00866315">
            <w:pPr>
              <w:rPr>
                <w:rFonts w:ascii="Arial" w:hAnsi="Arial" w:cs="Arial"/>
              </w:rPr>
            </w:pPr>
            <w:r>
              <w:rPr>
                <w:rFonts w:ascii="Arial" w:hAnsi="Arial" w:cs="Arial"/>
              </w:rPr>
              <w:t>TB (no HIV)</w:t>
            </w:r>
          </w:p>
        </w:tc>
        <w:tc>
          <w:tcPr>
            <w:tcW w:w="990" w:type="dxa"/>
          </w:tcPr>
          <w:p w14:paraId="2661D070" w14:textId="77777777" w:rsidR="00866315" w:rsidRDefault="00866315" w:rsidP="00866315">
            <w:pPr>
              <w:rPr>
                <w:rFonts w:ascii="Arial" w:hAnsi="Arial" w:cs="Arial"/>
              </w:rPr>
            </w:pPr>
            <w:r>
              <w:rPr>
                <w:rFonts w:ascii="Arial" w:hAnsi="Arial" w:cs="Arial"/>
              </w:rPr>
              <w:t>Female</w:t>
            </w:r>
          </w:p>
        </w:tc>
        <w:tc>
          <w:tcPr>
            <w:tcW w:w="810" w:type="dxa"/>
          </w:tcPr>
          <w:p w14:paraId="118615C2" w14:textId="77777777" w:rsidR="00866315" w:rsidRDefault="00866315" w:rsidP="00866315">
            <w:pPr>
              <w:rPr>
                <w:rFonts w:ascii="Arial" w:hAnsi="Arial" w:cs="Arial"/>
              </w:rPr>
            </w:pPr>
            <w:r>
              <w:rPr>
                <w:rFonts w:ascii="Arial" w:hAnsi="Arial" w:cs="Arial"/>
              </w:rPr>
              <w:t>90</w:t>
            </w:r>
          </w:p>
        </w:tc>
        <w:tc>
          <w:tcPr>
            <w:tcW w:w="2070" w:type="dxa"/>
          </w:tcPr>
          <w:p w14:paraId="5FFD6860" w14:textId="473B3AD8" w:rsidR="00866315" w:rsidRPr="00EE168D" w:rsidRDefault="00866315" w:rsidP="003D11B2">
            <w:pPr>
              <w:rPr>
                <w:rFonts w:ascii="Arial" w:hAnsi="Arial" w:cs="Arial"/>
                <w:color w:val="5B9BD5" w:themeColor="accent1"/>
              </w:rPr>
            </w:pPr>
            <w:r w:rsidRPr="00214E56">
              <w:rPr>
                <w:rFonts w:ascii="Arial" w:hAnsi="Arial" w:cs="Arial"/>
              </w:rPr>
              <w:t>3.</w:t>
            </w:r>
            <w:r w:rsidR="00214E56" w:rsidRPr="003D11B2">
              <w:rPr>
                <w:rFonts w:ascii="Arial" w:hAnsi="Arial" w:cs="Arial"/>
              </w:rPr>
              <w:t>10</w:t>
            </w:r>
            <w:r w:rsidRPr="003D11B2">
              <w:rPr>
                <w:rFonts w:ascii="Arial" w:hAnsi="Arial" w:cs="Arial"/>
              </w:rPr>
              <w:t xml:space="preserve"> (1.</w:t>
            </w:r>
            <w:r w:rsidR="003D11B2" w:rsidRPr="003D11B2">
              <w:rPr>
                <w:rFonts w:ascii="Arial" w:hAnsi="Arial" w:cs="Arial"/>
              </w:rPr>
              <w:t>96</w:t>
            </w:r>
            <w:r w:rsidRPr="003D11B2">
              <w:rPr>
                <w:rFonts w:ascii="Arial" w:hAnsi="Arial" w:cs="Arial"/>
              </w:rPr>
              <w:t xml:space="preserve"> </w:t>
            </w:r>
            <w:r w:rsidR="003D11B2" w:rsidRPr="003D11B2">
              <w:rPr>
                <w:rFonts w:ascii="Arial" w:hAnsi="Arial" w:cs="Arial"/>
              </w:rPr>
              <w:t>– 4.72</w:t>
            </w:r>
            <w:r w:rsidRPr="003D11B2">
              <w:rPr>
                <w:rFonts w:ascii="Arial" w:hAnsi="Arial" w:cs="Arial"/>
              </w:rPr>
              <w:t>)</w:t>
            </w:r>
          </w:p>
        </w:tc>
        <w:tc>
          <w:tcPr>
            <w:tcW w:w="1980" w:type="dxa"/>
          </w:tcPr>
          <w:p w14:paraId="179A0DDC" w14:textId="4004AE8C" w:rsidR="00866315" w:rsidRPr="00EE168D" w:rsidRDefault="00214E56" w:rsidP="003D11B2">
            <w:pPr>
              <w:rPr>
                <w:rFonts w:ascii="Arial" w:hAnsi="Arial" w:cs="Arial"/>
                <w:color w:val="5B9BD5" w:themeColor="accent1"/>
              </w:rPr>
            </w:pPr>
            <w:r w:rsidRPr="00214E56">
              <w:rPr>
                <w:rFonts w:ascii="Arial" w:hAnsi="Arial" w:cs="Arial"/>
              </w:rPr>
              <w:t>1.</w:t>
            </w:r>
            <w:r w:rsidRPr="003D11B2">
              <w:rPr>
                <w:rFonts w:ascii="Arial" w:hAnsi="Arial" w:cs="Arial"/>
              </w:rPr>
              <w:t>60</w:t>
            </w:r>
            <w:r w:rsidR="00866315" w:rsidRPr="003D11B2">
              <w:rPr>
                <w:rFonts w:ascii="Arial" w:hAnsi="Arial" w:cs="Arial"/>
              </w:rPr>
              <w:t xml:space="preserve"> (0.8</w:t>
            </w:r>
            <w:r w:rsidR="003D11B2" w:rsidRPr="003D11B2">
              <w:rPr>
                <w:rFonts w:ascii="Arial" w:hAnsi="Arial" w:cs="Arial"/>
              </w:rPr>
              <w:t>9</w:t>
            </w:r>
            <w:r w:rsidR="00866315" w:rsidRPr="003D11B2">
              <w:rPr>
                <w:rFonts w:ascii="Arial" w:hAnsi="Arial" w:cs="Arial"/>
              </w:rPr>
              <w:t xml:space="preserve"> – 2.</w:t>
            </w:r>
            <w:r w:rsidR="003D11B2" w:rsidRPr="003D11B2">
              <w:rPr>
                <w:rFonts w:ascii="Arial" w:hAnsi="Arial" w:cs="Arial"/>
              </w:rPr>
              <w:t>65</w:t>
            </w:r>
            <w:r w:rsidR="00866315" w:rsidRPr="003D11B2">
              <w:rPr>
                <w:rFonts w:ascii="Arial" w:hAnsi="Arial" w:cs="Arial"/>
              </w:rPr>
              <w:t>)</w:t>
            </w:r>
          </w:p>
        </w:tc>
        <w:tc>
          <w:tcPr>
            <w:tcW w:w="2160" w:type="dxa"/>
          </w:tcPr>
          <w:p w14:paraId="0C126261" w14:textId="18D9551F" w:rsidR="00866315" w:rsidRPr="002315CE" w:rsidRDefault="00866315" w:rsidP="003D11B2">
            <w:pPr>
              <w:rPr>
                <w:rFonts w:ascii="Arial" w:hAnsi="Arial" w:cs="Arial"/>
              </w:rPr>
            </w:pPr>
            <w:r w:rsidRPr="002315CE">
              <w:rPr>
                <w:rFonts w:ascii="Arial" w:hAnsi="Arial" w:cs="Arial"/>
              </w:rPr>
              <w:t>4</w:t>
            </w:r>
            <w:r w:rsidR="003D11B2" w:rsidRPr="002315CE">
              <w:rPr>
                <w:rFonts w:ascii="Arial" w:hAnsi="Arial" w:cs="Arial"/>
              </w:rPr>
              <w:t>12</w:t>
            </w:r>
            <w:r w:rsidRPr="002315CE">
              <w:rPr>
                <w:rFonts w:ascii="Arial" w:hAnsi="Arial" w:cs="Arial"/>
              </w:rPr>
              <w:t>/548 (</w:t>
            </w:r>
            <w:r w:rsidR="003D11B2" w:rsidRPr="002315CE">
              <w:rPr>
                <w:rFonts w:ascii="Arial" w:hAnsi="Arial" w:cs="Arial"/>
              </w:rPr>
              <w:t>75.2</w:t>
            </w:r>
            <w:r w:rsidRPr="002315CE">
              <w:rPr>
                <w:rFonts w:ascii="Arial" w:hAnsi="Arial" w:cs="Arial"/>
              </w:rPr>
              <w:t>%)</w:t>
            </w:r>
          </w:p>
        </w:tc>
      </w:tr>
      <w:tr w:rsidR="00866315" w14:paraId="284225EC" w14:textId="77777777" w:rsidTr="00866315">
        <w:tc>
          <w:tcPr>
            <w:tcW w:w="1435" w:type="dxa"/>
          </w:tcPr>
          <w:p w14:paraId="291183EA" w14:textId="77777777" w:rsidR="00866315" w:rsidRDefault="00866315" w:rsidP="00866315">
            <w:pPr>
              <w:rPr>
                <w:rFonts w:ascii="Arial" w:hAnsi="Arial" w:cs="Arial"/>
              </w:rPr>
            </w:pPr>
          </w:p>
        </w:tc>
        <w:tc>
          <w:tcPr>
            <w:tcW w:w="990" w:type="dxa"/>
          </w:tcPr>
          <w:p w14:paraId="1FFE6C1F" w14:textId="77777777" w:rsidR="00866315" w:rsidRDefault="00866315" w:rsidP="00866315">
            <w:pPr>
              <w:rPr>
                <w:rFonts w:ascii="Arial" w:hAnsi="Arial" w:cs="Arial"/>
              </w:rPr>
            </w:pPr>
          </w:p>
        </w:tc>
        <w:tc>
          <w:tcPr>
            <w:tcW w:w="810" w:type="dxa"/>
          </w:tcPr>
          <w:p w14:paraId="7E869901" w14:textId="77777777" w:rsidR="00866315" w:rsidRDefault="00866315" w:rsidP="00866315">
            <w:pPr>
              <w:rPr>
                <w:rFonts w:ascii="Arial" w:hAnsi="Arial" w:cs="Arial"/>
              </w:rPr>
            </w:pPr>
            <w:r>
              <w:rPr>
                <w:rFonts w:ascii="Arial" w:hAnsi="Arial" w:cs="Arial"/>
              </w:rPr>
              <w:t>10</w:t>
            </w:r>
          </w:p>
        </w:tc>
        <w:tc>
          <w:tcPr>
            <w:tcW w:w="2070" w:type="dxa"/>
          </w:tcPr>
          <w:p w14:paraId="0CA8C0F7" w14:textId="790D2A89" w:rsidR="00866315" w:rsidRPr="00EE168D" w:rsidRDefault="00866315" w:rsidP="003D11B2">
            <w:pPr>
              <w:rPr>
                <w:rFonts w:ascii="Arial" w:hAnsi="Arial" w:cs="Arial"/>
                <w:color w:val="5B9BD5" w:themeColor="accent1"/>
              </w:rPr>
            </w:pPr>
            <w:r w:rsidRPr="00214E56">
              <w:rPr>
                <w:rFonts w:ascii="Arial" w:hAnsi="Arial" w:cs="Arial"/>
              </w:rPr>
              <w:t>0.</w:t>
            </w:r>
            <w:r w:rsidR="00214E56" w:rsidRPr="003D11B2">
              <w:rPr>
                <w:rFonts w:ascii="Arial" w:hAnsi="Arial" w:cs="Arial"/>
              </w:rPr>
              <w:t>86</w:t>
            </w:r>
            <w:r w:rsidRPr="003D11B2">
              <w:rPr>
                <w:rFonts w:ascii="Arial" w:hAnsi="Arial" w:cs="Arial"/>
              </w:rPr>
              <w:t xml:space="preserve"> (0.</w:t>
            </w:r>
            <w:r w:rsidR="003D11B2" w:rsidRPr="003D11B2">
              <w:rPr>
                <w:rFonts w:ascii="Arial" w:hAnsi="Arial" w:cs="Arial"/>
              </w:rPr>
              <w:t>49</w:t>
            </w:r>
            <w:r w:rsidRPr="003D11B2">
              <w:rPr>
                <w:rFonts w:ascii="Arial" w:hAnsi="Arial" w:cs="Arial"/>
              </w:rPr>
              <w:t xml:space="preserve"> – 1.</w:t>
            </w:r>
            <w:r w:rsidR="003D11B2" w:rsidRPr="003D11B2">
              <w:rPr>
                <w:rFonts w:ascii="Arial" w:hAnsi="Arial" w:cs="Arial"/>
              </w:rPr>
              <w:t>37</w:t>
            </w:r>
            <w:r w:rsidRPr="003D11B2">
              <w:rPr>
                <w:rFonts w:ascii="Arial" w:hAnsi="Arial" w:cs="Arial"/>
              </w:rPr>
              <w:t>)</w:t>
            </w:r>
          </w:p>
        </w:tc>
        <w:tc>
          <w:tcPr>
            <w:tcW w:w="1980" w:type="dxa"/>
          </w:tcPr>
          <w:p w14:paraId="40FF721D" w14:textId="5B2D5A1F" w:rsidR="00866315" w:rsidRPr="00EE168D" w:rsidRDefault="00866315" w:rsidP="003D11B2">
            <w:pPr>
              <w:rPr>
                <w:rFonts w:ascii="Arial" w:hAnsi="Arial" w:cs="Arial"/>
                <w:color w:val="5B9BD5" w:themeColor="accent1"/>
              </w:rPr>
            </w:pPr>
            <w:r w:rsidRPr="00214E56">
              <w:rPr>
                <w:rFonts w:ascii="Arial" w:hAnsi="Arial" w:cs="Arial"/>
              </w:rPr>
              <w:t>0.</w:t>
            </w:r>
            <w:r w:rsidRPr="003D11B2">
              <w:rPr>
                <w:rFonts w:ascii="Arial" w:hAnsi="Arial" w:cs="Arial"/>
              </w:rPr>
              <w:t>41 (0.</w:t>
            </w:r>
            <w:r w:rsidR="003D11B2" w:rsidRPr="003D11B2">
              <w:rPr>
                <w:rFonts w:ascii="Arial" w:hAnsi="Arial" w:cs="Arial"/>
              </w:rPr>
              <w:t>20</w:t>
            </w:r>
            <w:r w:rsidRPr="003D11B2">
              <w:rPr>
                <w:rFonts w:ascii="Arial" w:hAnsi="Arial" w:cs="Arial"/>
              </w:rPr>
              <w:t xml:space="preserve"> – 0.7</w:t>
            </w:r>
            <w:r w:rsidR="003D11B2" w:rsidRPr="003D11B2">
              <w:rPr>
                <w:rFonts w:ascii="Arial" w:hAnsi="Arial" w:cs="Arial"/>
              </w:rPr>
              <w:t>1</w:t>
            </w:r>
            <w:r w:rsidRPr="003D11B2">
              <w:rPr>
                <w:rFonts w:ascii="Arial" w:hAnsi="Arial" w:cs="Arial"/>
              </w:rPr>
              <w:t>)</w:t>
            </w:r>
          </w:p>
        </w:tc>
        <w:tc>
          <w:tcPr>
            <w:tcW w:w="2160" w:type="dxa"/>
          </w:tcPr>
          <w:p w14:paraId="22C986B9" w14:textId="49DD4784" w:rsidR="00866315" w:rsidRPr="002315CE" w:rsidRDefault="003D11B2" w:rsidP="002315CE">
            <w:pPr>
              <w:rPr>
                <w:rFonts w:ascii="Arial" w:hAnsi="Arial" w:cs="Arial"/>
              </w:rPr>
            </w:pPr>
            <w:r w:rsidRPr="002315CE">
              <w:rPr>
                <w:rFonts w:ascii="Arial" w:hAnsi="Arial" w:cs="Arial"/>
              </w:rPr>
              <w:t>415</w:t>
            </w:r>
            <w:r w:rsidR="00866315" w:rsidRPr="002315CE">
              <w:rPr>
                <w:rFonts w:ascii="Arial" w:hAnsi="Arial" w:cs="Arial"/>
              </w:rPr>
              <w:t>/548 (</w:t>
            </w:r>
            <w:r w:rsidR="002315CE" w:rsidRPr="002315CE">
              <w:rPr>
                <w:rFonts w:ascii="Arial" w:hAnsi="Arial" w:cs="Arial"/>
              </w:rPr>
              <w:t>75.7</w:t>
            </w:r>
            <w:r w:rsidR="00866315" w:rsidRPr="002315CE">
              <w:rPr>
                <w:rFonts w:ascii="Arial" w:hAnsi="Arial" w:cs="Arial"/>
              </w:rPr>
              <w:t>%)</w:t>
            </w:r>
          </w:p>
        </w:tc>
      </w:tr>
      <w:tr w:rsidR="00866315" w14:paraId="6747B13A" w14:textId="77777777" w:rsidTr="00866315">
        <w:tc>
          <w:tcPr>
            <w:tcW w:w="1435" w:type="dxa"/>
          </w:tcPr>
          <w:p w14:paraId="0CB5A9DA" w14:textId="77777777" w:rsidR="00866315" w:rsidRDefault="00866315" w:rsidP="00866315">
            <w:pPr>
              <w:rPr>
                <w:rFonts w:ascii="Arial" w:hAnsi="Arial" w:cs="Arial"/>
              </w:rPr>
            </w:pPr>
            <w:r>
              <w:rPr>
                <w:rFonts w:ascii="Arial" w:hAnsi="Arial" w:cs="Arial"/>
              </w:rPr>
              <w:t>HIV</w:t>
            </w:r>
          </w:p>
        </w:tc>
        <w:tc>
          <w:tcPr>
            <w:tcW w:w="990" w:type="dxa"/>
          </w:tcPr>
          <w:p w14:paraId="3041BEE0" w14:textId="77777777" w:rsidR="00866315" w:rsidRDefault="00866315" w:rsidP="00866315">
            <w:pPr>
              <w:rPr>
                <w:rFonts w:ascii="Arial" w:hAnsi="Arial" w:cs="Arial"/>
              </w:rPr>
            </w:pPr>
            <w:r>
              <w:rPr>
                <w:rFonts w:ascii="Arial" w:hAnsi="Arial" w:cs="Arial"/>
              </w:rPr>
              <w:t>Male</w:t>
            </w:r>
          </w:p>
        </w:tc>
        <w:tc>
          <w:tcPr>
            <w:tcW w:w="810" w:type="dxa"/>
          </w:tcPr>
          <w:p w14:paraId="6544776E" w14:textId="77777777" w:rsidR="00866315" w:rsidRDefault="00866315" w:rsidP="00866315">
            <w:pPr>
              <w:rPr>
                <w:rFonts w:ascii="Arial" w:hAnsi="Arial" w:cs="Arial"/>
              </w:rPr>
            </w:pPr>
            <w:r>
              <w:rPr>
                <w:rFonts w:ascii="Arial" w:hAnsi="Arial" w:cs="Arial"/>
              </w:rPr>
              <w:t>90</w:t>
            </w:r>
          </w:p>
        </w:tc>
        <w:tc>
          <w:tcPr>
            <w:tcW w:w="2070" w:type="dxa"/>
          </w:tcPr>
          <w:p w14:paraId="0EA6B1EC" w14:textId="154527C1" w:rsidR="00866315" w:rsidRPr="00EE168D" w:rsidRDefault="00EE168D" w:rsidP="00EE168D">
            <w:pPr>
              <w:rPr>
                <w:rFonts w:ascii="Arial" w:hAnsi="Arial" w:cs="Arial"/>
              </w:rPr>
            </w:pPr>
            <w:r w:rsidRPr="00EE168D">
              <w:rPr>
                <w:rFonts w:ascii="Arial" w:hAnsi="Arial" w:cs="Arial"/>
              </w:rPr>
              <w:t>10.3</w:t>
            </w:r>
            <w:r w:rsidR="00866315" w:rsidRPr="00EE168D">
              <w:rPr>
                <w:rFonts w:ascii="Arial" w:hAnsi="Arial" w:cs="Arial"/>
              </w:rPr>
              <w:t xml:space="preserve"> (</w:t>
            </w:r>
            <w:r w:rsidRPr="00EE168D">
              <w:rPr>
                <w:rFonts w:ascii="Arial" w:hAnsi="Arial" w:cs="Arial"/>
              </w:rPr>
              <w:t xml:space="preserve">6.67 </w:t>
            </w:r>
            <w:r w:rsidR="00866315" w:rsidRPr="00EE168D">
              <w:rPr>
                <w:rFonts w:ascii="Arial" w:hAnsi="Arial" w:cs="Arial"/>
              </w:rPr>
              <w:t xml:space="preserve">– </w:t>
            </w:r>
            <w:r w:rsidRPr="00EE168D">
              <w:rPr>
                <w:rFonts w:ascii="Arial" w:hAnsi="Arial" w:cs="Arial"/>
              </w:rPr>
              <w:t>15.7</w:t>
            </w:r>
            <w:r w:rsidR="00866315" w:rsidRPr="00EE168D">
              <w:rPr>
                <w:rFonts w:ascii="Arial" w:hAnsi="Arial" w:cs="Arial"/>
              </w:rPr>
              <w:t>)</w:t>
            </w:r>
          </w:p>
        </w:tc>
        <w:tc>
          <w:tcPr>
            <w:tcW w:w="1980" w:type="dxa"/>
          </w:tcPr>
          <w:p w14:paraId="2C0460FC" w14:textId="4928F640" w:rsidR="00866315" w:rsidRPr="00EE168D" w:rsidRDefault="00EE168D" w:rsidP="00EE168D">
            <w:pPr>
              <w:rPr>
                <w:rFonts w:ascii="Arial" w:hAnsi="Arial" w:cs="Arial"/>
                <w:color w:val="5B9BD5" w:themeColor="accent1"/>
              </w:rPr>
            </w:pPr>
            <w:r w:rsidRPr="00EE168D">
              <w:rPr>
                <w:rFonts w:ascii="Arial" w:hAnsi="Arial" w:cs="Arial"/>
              </w:rPr>
              <w:t>9.37</w:t>
            </w:r>
            <w:r w:rsidR="00866315" w:rsidRPr="00EE168D">
              <w:rPr>
                <w:rFonts w:ascii="Arial" w:hAnsi="Arial" w:cs="Arial"/>
              </w:rPr>
              <w:t xml:space="preserve"> (</w:t>
            </w:r>
            <w:r w:rsidRPr="00EE168D">
              <w:rPr>
                <w:rFonts w:ascii="Arial" w:hAnsi="Arial" w:cs="Arial"/>
              </w:rPr>
              <w:t>5.81</w:t>
            </w:r>
            <w:r w:rsidR="00866315" w:rsidRPr="00EE168D">
              <w:rPr>
                <w:rFonts w:ascii="Arial" w:hAnsi="Arial" w:cs="Arial"/>
              </w:rPr>
              <w:t xml:space="preserve"> – </w:t>
            </w:r>
            <w:r w:rsidRPr="00EE168D">
              <w:rPr>
                <w:rFonts w:ascii="Arial" w:hAnsi="Arial" w:cs="Arial"/>
              </w:rPr>
              <w:t>15.0</w:t>
            </w:r>
            <w:r w:rsidR="00866315" w:rsidRPr="00EE168D">
              <w:rPr>
                <w:rFonts w:ascii="Arial" w:hAnsi="Arial" w:cs="Arial"/>
              </w:rPr>
              <w:t>)</w:t>
            </w:r>
          </w:p>
        </w:tc>
        <w:tc>
          <w:tcPr>
            <w:tcW w:w="2160" w:type="dxa"/>
          </w:tcPr>
          <w:p w14:paraId="3F096A81" w14:textId="6D859691" w:rsidR="00866315" w:rsidRPr="002315CE" w:rsidRDefault="002C10D1" w:rsidP="002C10D1">
            <w:pPr>
              <w:rPr>
                <w:rFonts w:ascii="Arial" w:hAnsi="Arial" w:cs="Arial"/>
              </w:rPr>
            </w:pPr>
            <w:r w:rsidRPr="002315CE">
              <w:rPr>
                <w:rFonts w:ascii="Arial" w:hAnsi="Arial" w:cs="Arial"/>
              </w:rPr>
              <w:t>333</w:t>
            </w:r>
            <w:r w:rsidR="00866315" w:rsidRPr="002315CE">
              <w:rPr>
                <w:rFonts w:ascii="Arial" w:hAnsi="Arial" w:cs="Arial"/>
              </w:rPr>
              <w:t>/548 (</w:t>
            </w:r>
            <w:r w:rsidRPr="002315CE">
              <w:rPr>
                <w:rFonts w:ascii="Arial" w:hAnsi="Arial" w:cs="Arial"/>
              </w:rPr>
              <w:t>60.8</w:t>
            </w:r>
            <w:r w:rsidR="00866315" w:rsidRPr="002315CE">
              <w:rPr>
                <w:rFonts w:ascii="Arial" w:hAnsi="Arial" w:cs="Arial"/>
              </w:rPr>
              <w:t>%)</w:t>
            </w:r>
          </w:p>
        </w:tc>
      </w:tr>
      <w:tr w:rsidR="00866315" w14:paraId="2DC6F2A2" w14:textId="77777777" w:rsidTr="00866315">
        <w:tc>
          <w:tcPr>
            <w:tcW w:w="1435" w:type="dxa"/>
          </w:tcPr>
          <w:p w14:paraId="4466DA28" w14:textId="77777777" w:rsidR="00866315" w:rsidRDefault="00866315" w:rsidP="00866315">
            <w:pPr>
              <w:rPr>
                <w:rFonts w:ascii="Arial" w:hAnsi="Arial" w:cs="Arial"/>
              </w:rPr>
            </w:pPr>
          </w:p>
        </w:tc>
        <w:tc>
          <w:tcPr>
            <w:tcW w:w="990" w:type="dxa"/>
          </w:tcPr>
          <w:p w14:paraId="38CC1370" w14:textId="77777777" w:rsidR="00866315" w:rsidRDefault="00866315" w:rsidP="00866315">
            <w:pPr>
              <w:rPr>
                <w:rFonts w:ascii="Arial" w:hAnsi="Arial" w:cs="Arial"/>
              </w:rPr>
            </w:pPr>
          </w:p>
        </w:tc>
        <w:tc>
          <w:tcPr>
            <w:tcW w:w="810" w:type="dxa"/>
          </w:tcPr>
          <w:p w14:paraId="0812808A" w14:textId="77777777" w:rsidR="00866315" w:rsidRDefault="00866315" w:rsidP="00866315">
            <w:pPr>
              <w:rPr>
                <w:rFonts w:ascii="Arial" w:hAnsi="Arial" w:cs="Arial"/>
              </w:rPr>
            </w:pPr>
            <w:r>
              <w:rPr>
                <w:rFonts w:ascii="Arial" w:hAnsi="Arial" w:cs="Arial"/>
              </w:rPr>
              <w:t>10</w:t>
            </w:r>
          </w:p>
        </w:tc>
        <w:tc>
          <w:tcPr>
            <w:tcW w:w="2070" w:type="dxa"/>
          </w:tcPr>
          <w:p w14:paraId="48D9E13C" w14:textId="612B63FD" w:rsidR="00866315" w:rsidRPr="00EE168D" w:rsidRDefault="00866315" w:rsidP="00EE168D">
            <w:pPr>
              <w:rPr>
                <w:rFonts w:ascii="Arial" w:hAnsi="Arial" w:cs="Arial"/>
              </w:rPr>
            </w:pPr>
            <w:r w:rsidRPr="00EE168D">
              <w:rPr>
                <w:rFonts w:ascii="Arial" w:hAnsi="Arial" w:cs="Arial"/>
              </w:rPr>
              <w:t>2.</w:t>
            </w:r>
            <w:r w:rsidR="00EE168D" w:rsidRPr="00EE168D">
              <w:rPr>
                <w:rFonts w:ascii="Arial" w:hAnsi="Arial" w:cs="Arial"/>
              </w:rPr>
              <w:t>52</w:t>
            </w:r>
            <w:r w:rsidRPr="00EE168D">
              <w:rPr>
                <w:rFonts w:ascii="Arial" w:hAnsi="Arial" w:cs="Arial"/>
              </w:rPr>
              <w:t xml:space="preserve"> (1.</w:t>
            </w:r>
            <w:r w:rsidR="00EE168D" w:rsidRPr="00EE168D">
              <w:rPr>
                <w:rFonts w:ascii="Arial" w:hAnsi="Arial" w:cs="Arial"/>
              </w:rPr>
              <w:t>30</w:t>
            </w:r>
            <w:r w:rsidRPr="00EE168D">
              <w:rPr>
                <w:rFonts w:ascii="Arial" w:hAnsi="Arial" w:cs="Arial"/>
              </w:rPr>
              <w:t xml:space="preserve"> - 4.</w:t>
            </w:r>
            <w:r w:rsidR="00EE168D" w:rsidRPr="00EE168D">
              <w:rPr>
                <w:rFonts w:ascii="Arial" w:hAnsi="Arial" w:cs="Arial"/>
              </w:rPr>
              <w:t>39</w:t>
            </w:r>
            <w:r w:rsidRPr="00EE168D">
              <w:rPr>
                <w:rFonts w:ascii="Arial" w:hAnsi="Arial" w:cs="Arial"/>
              </w:rPr>
              <w:t>)</w:t>
            </w:r>
          </w:p>
        </w:tc>
        <w:tc>
          <w:tcPr>
            <w:tcW w:w="1980" w:type="dxa"/>
          </w:tcPr>
          <w:p w14:paraId="69A28FFD" w14:textId="6458DBC2" w:rsidR="00866315" w:rsidRPr="00EE168D" w:rsidRDefault="00866315" w:rsidP="00EE168D">
            <w:pPr>
              <w:rPr>
                <w:rFonts w:ascii="Arial" w:hAnsi="Arial" w:cs="Arial"/>
                <w:color w:val="5B9BD5" w:themeColor="accent1"/>
              </w:rPr>
            </w:pPr>
            <w:r w:rsidRPr="00EE168D">
              <w:rPr>
                <w:rFonts w:ascii="Arial" w:hAnsi="Arial" w:cs="Arial"/>
              </w:rPr>
              <w:t>2</w:t>
            </w:r>
            <w:r w:rsidR="00EE168D" w:rsidRPr="00EE168D">
              <w:rPr>
                <w:rFonts w:ascii="Arial" w:hAnsi="Arial" w:cs="Arial"/>
              </w:rPr>
              <w:t>.82</w:t>
            </w:r>
            <w:r w:rsidRPr="00EE168D">
              <w:rPr>
                <w:rFonts w:ascii="Arial" w:hAnsi="Arial" w:cs="Arial"/>
              </w:rPr>
              <w:t xml:space="preserve"> (1.2</w:t>
            </w:r>
            <w:r w:rsidR="00EE168D" w:rsidRPr="00EE168D">
              <w:rPr>
                <w:rFonts w:ascii="Arial" w:hAnsi="Arial" w:cs="Arial"/>
              </w:rPr>
              <w:t>5</w:t>
            </w:r>
            <w:r w:rsidRPr="00EE168D">
              <w:rPr>
                <w:rFonts w:ascii="Arial" w:hAnsi="Arial" w:cs="Arial"/>
              </w:rPr>
              <w:t xml:space="preserve"> – 5.</w:t>
            </w:r>
            <w:r w:rsidR="00EE168D" w:rsidRPr="00EE168D">
              <w:rPr>
                <w:rFonts w:ascii="Arial" w:hAnsi="Arial" w:cs="Arial"/>
              </w:rPr>
              <w:t>23</w:t>
            </w:r>
            <w:r w:rsidRPr="00EE168D">
              <w:rPr>
                <w:rFonts w:ascii="Arial" w:hAnsi="Arial" w:cs="Arial"/>
              </w:rPr>
              <w:t>)</w:t>
            </w:r>
          </w:p>
        </w:tc>
        <w:tc>
          <w:tcPr>
            <w:tcW w:w="2160" w:type="dxa"/>
          </w:tcPr>
          <w:p w14:paraId="1C7ACAE8" w14:textId="7FDDF603" w:rsidR="00866315" w:rsidRPr="00EE168D" w:rsidRDefault="002C10D1" w:rsidP="002C10D1">
            <w:pPr>
              <w:rPr>
                <w:rFonts w:ascii="Arial" w:hAnsi="Arial" w:cs="Arial"/>
                <w:color w:val="5B9BD5" w:themeColor="accent1"/>
              </w:rPr>
            </w:pPr>
            <w:r w:rsidRPr="002C10D1">
              <w:rPr>
                <w:rFonts w:ascii="Arial" w:hAnsi="Arial" w:cs="Arial"/>
              </w:rPr>
              <w:t>318</w:t>
            </w:r>
            <w:r w:rsidR="00866315" w:rsidRPr="002C10D1">
              <w:rPr>
                <w:rFonts w:ascii="Arial" w:hAnsi="Arial" w:cs="Arial"/>
              </w:rPr>
              <w:t>/548 (</w:t>
            </w:r>
            <w:r w:rsidRPr="002C10D1">
              <w:rPr>
                <w:rFonts w:ascii="Arial" w:hAnsi="Arial" w:cs="Arial"/>
              </w:rPr>
              <w:t>58.0</w:t>
            </w:r>
            <w:r w:rsidR="00866315" w:rsidRPr="002C10D1">
              <w:rPr>
                <w:rFonts w:ascii="Arial" w:hAnsi="Arial" w:cs="Arial"/>
              </w:rPr>
              <w:t>%)</w:t>
            </w:r>
          </w:p>
        </w:tc>
      </w:tr>
      <w:tr w:rsidR="00866315" w14:paraId="320D94D5" w14:textId="77777777" w:rsidTr="00866315">
        <w:tc>
          <w:tcPr>
            <w:tcW w:w="1435" w:type="dxa"/>
          </w:tcPr>
          <w:p w14:paraId="44570E36" w14:textId="77777777" w:rsidR="00866315" w:rsidRDefault="00866315" w:rsidP="00866315">
            <w:pPr>
              <w:rPr>
                <w:rFonts w:ascii="Arial" w:hAnsi="Arial" w:cs="Arial"/>
              </w:rPr>
            </w:pPr>
            <w:r>
              <w:rPr>
                <w:rFonts w:ascii="Arial" w:hAnsi="Arial" w:cs="Arial"/>
              </w:rPr>
              <w:t>HIV</w:t>
            </w:r>
          </w:p>
        </w:tc>
        <w:tc>
          <w:tcPr>
            <w:tcW w:w="990" w:type="dxa"/>
          </w:tcPr>
          <w:p w14:paraId="5AC913E5" w14:textId="77777777" w:rsidR="00866315" w:rsidRDefault="00866315" w:rsidP="00866315">
            <w:pPr>
              <w:rPr>
                <w:rFonts w:ascii="Arial" w:hAnsi="Arial" w:cs="Arial"/>
              </w:rPr>
            </w:pPr>
            <w:r>
              <w:rPr>
                <w:rFonts w:ascii="Arial" w:hAnsi="Arial" w:cs="Arial"/>
              </w:rPr>
              <w:t>Female</w:t>
            </w:r>
          </w:p>
        </w:tc>
        <w:tc>
          <w:tcPr>
            <w:tcW w:w="810" w:type="dxa"/>
          </w:tcPr>
          <w:p w14:paraId="6F0D0FB5" w14:textId="77777777" w:rsidR="00866315" w:rsidRDefault="00866315" w:rsidP="00866315">
            <w:pPr>
              <w:rPr>
                <w:rFonts w:ascii="Arial" w:hAnsi="Arial" w:cs="Arial"/>
              </w:rPr>
            </w:pPr>
            <w:r>
              <w:rPr>
                <w:rFonts w:ascii="Arial" w:hAnsi="Arial" w:cs="Arial"/>
              </w:rPr>
              <w:t>90</w:t>
            </w:r>
          </w:p>
        </w:tc>
        <w:tc>
          <w:tcPr>
            <w:tcW w:w="2070" w:type="dxa"/>
          </w:tcPr>
          <w:p w14:paraId="63207296" w14:textId="75AA9522" w:rsidR="00866315" w:rsidRPr="002C10D1" w:rsidRDefault="00866315" w:rsidP="002C10D1">
            <w:pPr>
              <w:rPr>
                <w:rFonts w:ascii="Arial" w:hAnsi="Arial" w:cs="Arial"/>
              </w:rPr>
            </w:pPr>
            <w:r w:rsidRPr="002C10D1">
              <w:rPr>
                <w:rFonts w:ascii="Arial" w:hAnsi="Arial" w:cs="Arial"/>
              </w:rPr>
              <w:t>5.</w:t>
            </w:r>
            <w:r w:rsidR="00EE168D" w:rsidRPr="002C10D1">
              <w:rPr>
                <w:rFonts w:ascii="Arial" w:hAnsi="Arial" w:cs="Arial"/>
              </w:rPr>
              <w:t>32</w:t>
            </w:r>
            <w:r w:rsidRPr="002C10D1">
              <w:rPr>
                <w:rFonts w:ascii="Arial" w:hAnsi="Arial" w:cs="Arial"/>
              </w:rPr>
              <w:t xml:space="preserve"> </w:t>
            </w:r>
            <w:r w:rsidR="00EE168D" w:rsidRPr="002C10D1">
              <w:rPr>
                <w:rFonts w:ascii="Arial" w:hAnsi="Arial" w:cs="Arial"/>
              </w:rPr>
              <w:t>(3.28</w:t>
            </w:r>
            <w:r w:rsidRPr="002C10D1">
              <w:rPr>
                <w:rFonts w:ascii="Arial" w:hAnsi="Arial" w:cs="Arial"/>
              </w:rPr>
              <w:t xml:space="preserve"> </w:t>
            </w:r>
            <w:r w:rsidR="002C10D1" w:rsidRPr="002C10D1">
              <w:rPr>
                <w:rFonts w:ascii="Arial" w:hAnsi="Arial" w:cs="Arial"/>
              </w:rPr>
              <w:t>– 8.22</w:t>
            </w:r>
            <w:r w:rsidRPr="002C10D1">
              <w:rPr>
                <w:rFonts w:ascii="Arial" w:hAnsi="Arial" w:cs="Arial"/>
              </w:rPr>
              <w:t>)</w:t>
            </w:r>
          </w:p>
        </w:tc>
        <w:tc>
          <w:tcPr>
            <w:tcW w:w="1980" w:type="dxa"/>
          </w:tcPr>
          <w:p w14:paraId="6ED8CA9E" w14:textId="3A0CDB52" w:rsidR="00866315" w:rsidRPr="002C10D1" w:rsidRDefault="00866315" w:rsidP="002C10D1">
            <w:pPr>
              <w:rPr>
                <w:rFonts w:ascii="Arial" w:hAnsi="Arial" w:cs="Arial"/>
              </w:rPr>
            </w:pPr>
            <w:r w:rsidRPr="002C10D1">
              <w:rPr>
                <w:rFonts w:ascii="Arial" w:hAnsi="Arial" w:cs="Arial"/>
              </w:rPr>
              <w:t>4.</w:t>
            </w:r>
            <w:r w:rsidR="00EE168D" w:rsidRPr="002C10D1">
              <w:rPr>
                <w:rFonts w:ascii="Arial" w:hAnsi="Arial" w:cs="Arial"/>
              </w:rPr>
              <w:t>9</w:t>
            </w:r>
            <w:r w:rsidRPr="002C10D1">
              <w:rPr>
                <w:rFonts w:ascii="Arial" w:hAnsi="Arial" w:cs="Arial"/>
              </w:rPr>
              <w:t>4 (2.7</w:t>
            </w:r>
            <w:r w:rsidR="002C10D1" w:rsidRPr="002C10D1">
              <w:rPr>
                <w:rFonts w:ascii="Arial" w:hAnsi="Arial" w:cs="Arial"/>
              </w:rPr>
              <w:t>4</w:t>
            </w:r>
            <w:r w:rsidRPr="002C10D1">
              <w:rPr>
                <w:rFonts w:ascii="Arial" w:hAnsi="Arial" w:cs="Arial"/>
              </w:rPr>
              <w:t xml:space="preserve"> – 8.</w:t>
            </w:r>
            <w:r w:rsidR="002C10D1" w:rsidRPr="002C10D1">
              <w:rPr>
                <w:rFonts w:ascii="Arial" w:hAnsi="Arial" w:cs="Arial"/>
              </w:rPr>
              <w:t>56</w:t>
            </w:r>
            <w:r w:rsidRPr="002C10D1">
              <w:rPr>
                <w:rFonts w:ascii="Arial" w:hAnsi="Arial" w:cs="Arial"/>
              </w:rPr>
              <w:t>)</w:t>
            </w:r>
          </w:p>
        </w:tc>
        <w:tc>
          <w:tcPr>
            <w:tcW w:w="2160" w:type="dxa"/>
          </w:tcPr>
          <w:p w14:paraId="0DE1FF58" w14:textId="09079259" w:rsidR="00866315" w:rsidRPr="00EE168D" w:rsidRDefault="002C10D1" w:rsidP="002C10D1">
            <w:pPr>
              <w:rPr>
                <w:rFonts w:ascii="Arial" w:hAnsi="Arial" w:cs="Arial"/>
                <w:color w:val="5B9BD5" w:themeColor="accent1"/>
              </w:rPr>
            </w:pPr>
            <w:r w:rsidRPr="002C10D1">
              <w:rPr>
                <w:rFonts w:ascii="Arial" w:hAnsi="Arial" w:cs="Arial"/>
              </w:rPr>
              <w:t>303</w:t>
            </w:r>
            <w:r w:rsidR="00866315" w:rsidRPr="002C10D1">
              <w:rPr>
                <w:rFonts w:ascii="Arial" w:hAnsi="Arial" w:cs="Arial"/>
              </w:rPr>
              <w:t>/548 (</w:t>
            </w:r>
            <w:r w:rsidRPr="002C10D1">
              <w:rPr>
                <w:rFonts w:ascii="Arial" w:hAnsi="Arial" w:cs="Arial"/>
              </w:rPr>
              <w:t>55.3</w:t>
            </w:r>
            <w:r w:rsidR="00866315" w:rsidRPr="002C10D1">
              <w:rPr>
                <w:rFonts w:ascii="Arial" w:hAnsi="Arial" w:cs="Arial"/>
              </w:rPr>
              <w:t>%)</w:t>
            </w:r>
          </w:p>
        </w:tc>
      </w:tr>
      <w:tr w:rsidR="00866315" w14:paraId="6BBD8C4A" w14:textId="77777777" w:rsidTr="00866315">
        <w:tc>
          <w:tcPr>
            <w:tcW w:w="1435" w:type="dxa"/>
          </w:tcPr>
          <w:p w14:paraId="4E137C41" w14:textId="77777777" w:rsidR="00866315" w:rsidRDefault="00866315" w:rsidP="00866315">
            <w:pPr>
              <w:rPr>
                <w:rFonts w:ascii="Arial" w:hAnsi="Arial" w:cs="Arial"/>
              </w:rPr>
            </w:pPr>
          </w:p>
        </w:tc>
        <w:tc>
          <w:tcPr>
            <w:tcW w:w="990" w:type="dxa"/>
          </w:tcPr>
          <w:p w14:paraId="5C92B163" w14:textId="77777777" w:rsidR="00866315" w:rsidRDefault="00866315" w:rsidP="00866315">
            <w:pPr>
              <w:rPr>
                <w:rFonts w:ascii="Arial" w:hAnsi="Arial" w:cs="Arial"/>
              </w:rPr>
            </w:pPr>
          </w:p>
        </w:tc>
        <w:tc>
          <w:tcPr>
            <w:tcW w:w="810" w:type="dxa"/>
          </w:tcPr>
          <w:p w14:paraId="02AC12C3" w14:textId="77777777" w:rsidR="00866315" w:rsidRDefault="00866315" w:rsidP="00866315">
            <w:pPr>
              <w:rPr>
                <w:rFonts w:ascii="Arial" w:hAnsi="Arial" w:cs="Arial"/>
              </w:rPr>
            </w:pPr>
            <w:r>
              <w:rPr>
                <w:rFonts w:ascii="Arial" w:hAnsi="Arial" w:cs="Arial"/>
              </w:rPr>
              <w:t>10</w:t>
            </w:r>
          </w:p>
        </w:tc>
        <w:tc>
          <w:tcPr>
            <w:tcW w:w="2070" w:type="dxa"/>
          </w:tcPr>
          <w:p w14:paraId="1E58769E" w14:textId="3354ECA6" w:rsidR="00866315" w:rsidRPr="002C10D1" w:rsidRDefault="00866315" w:rsidP="002C10D1">
            <w:pPr>
              <w:rPr>
                <w:rFonts w:ascii="Arial" w:hAnsi="Arial" w:cs="Arial"/>
              </w:rPr>
            </w:pPr>
            <w:r w:rsidRPr="002C10D1">
              <w:rPr>
                <w:rFonts w:ascii="Arial" w:hAnsi="Arial" w:cs="Arial"/>
              </w:rPr>
              <w:t>1.</w:t>
            </w:r>
            <w:r w:rsidR="00EE168D" w:rsidRPr="002C10D1">
              <w:rPr>
                <w:rFonts w:ascii="Arial" w:hAnsi="Arial" w:cs="Arial"/>
              </w:rPr>
              <w:t>81</w:t>
            </w:r>
            <w:r w:rsidRPr="002C10D1">
              <w:rPr>
                <w:rFonts w:ascii="Arial" w:hAnsi="Arial" w:cs="Arial"/>
              </w:rPr>
              <w:t xml:space="preserve"> (0.</w:t>
            </w:r>
            <w:r w:rsidR="00EE168D" w:rsidRPr="002C10D1">
              <w:rPr>
                <w:rFonts w:ascii="Arial" w:hAnsi="Arial" w:cs="Arial"/>
              </w:rPr>
              <w:t>92</w:t>
            </w:r>
            <w:r w:rsidRPr="002C10D1">
              <w:rPr>
                <w:rFonts w:ascii="Arial" w:hAnsi="Arial" w:cs="Arial"/>
              </w:rPr>
              <w:t xml:space="preserve"> – </w:t>
            </w:r>
            <w:r w:rsidR="002C10D1" w:rsidRPr="002C10D1">
              <w:rPr>
                <w:rFonts w:ascii="Arial" w:hAnsi="Arial" w:cs="Arial"/>
              </w:rPr>
              <w:t>3.09</w:t>
            </w:r>
            <w:r w:rsidRPr="002C10D1">
              <w:rPr>
                <w:rFonts w:ascii="Arial" w:hAnsi="Arial" w:cs="Arial"/>
              </w:rPr>
              <w:t>)</w:t>
            </w:r>
          </w:p>
        </w:tc>
        <w:tc>
          <w:tcPr>
            <w:tcW w:w="1980" w:type="dxa"/>
          </w:tcPr>
          <w:p w14:paraId="42CB5295" w14:textId="421C0EF7" w:rsidR="00866315" w:rsidRPr="002C10D1" w:rsidRDefault="00866315" w:rsidP="002C10D1">
            <w:pPr>
              <w:rPr>
                <w:rFonts w:ascii="Arial" w:hAnsi="Arial" w:cs="Arial"/>
              </w:rPr>
            </w:pPr>
            <w:r w:rsidRPr="002C10D1">
              <w:rPr>
                <w:rFonts w:ascii="Arial" w:hAnsi="Arial" w:cs="Arial"/>
              </w:rPr>
              <w:t>1.</w:t>
            </w:r>
            <w:r w:rsidR="00EE168D" w:rsidRPr="002C10D1">
              <w:rPr>
                <w:rFonts w:ascii="Arial" w:hAnsi="Arial" w:cs="Arial"/>
              </w:rPr>
              <w:t>67</w:t>
            </w:r>
            <w:r w:rsidR="002C10D1" w:rsidRPr="002C10D1">
              <w:rPr>
                <w:rFonts w:ascii="Arial" w:hAnsi="Arial" w:cs="Arial"/>
              </w:rPr>
              <w:t xml:space="preserve"> (0.74</w:t>
            </w:r>
            <w:r w:rsidRPr="002C10D1">
              <w:rPr>
                <w:rFonts w:ascii="Arial" w:hAnsi="Arial" w:cs="Arial"/>
              </w:rPr>
              <w:t xml:space="preserve"> – 3.1</w:t>
            </w:r>
            <w:r w:rsidR="002C10D1" w:rsidRPr="002C10D1">
              <w:rPr>
                <w:rFonts w:ascii="Arial" w:hAnsi="Arial" w:cs="Arial"/>
              </w:rPr>
              <w:t>4</w:t>
            </w:r>
            <w:r w:rsidRPr="002C10D1">
              <w:rPr>
                <w:rFonts w:ascii="Arial" w:hAnsi="Arial" w:cs="Arial"/>
              </w:rPr>
              <w:t>)</w:t>
            </w:r>
          </w:p>
        </w:tc>
        <w:tc>
          <w:tcPr>
            <w:tcW w:w="2160" w:type="dxa"/>
          </w:tcPr>
          <w:p w14:paraId="0D2BFE0A" w14:textId="16900D48" w:rsidR="00866315" w:rsidRPr="00EE168D" w:rsidRDefault="002C10D1" w:rsidP="002C10D1">
            <w:pPr>
              <w:rPr>
                <w:rFonts w:ascii="Arial" w:hAnsi="Arial" w:cs="Arial"/>
                <w:color w:val="5B9BD5" w:themeColor="accent1"/>
              </w:rPr>
            </w:pPr>
            <w:r w:rsidRPr="002C10D1">
              <w:rPr>
                <w:rFonts w:ascii="Arial" w:hAnsi="Arial" w:cs="Arial"/>
              </w:rPr>
              <w:t>324</w:t>
            </w:r>
            <w:r w:rsidR="00866315" w:rsidRPr="002C10D1">
              <w:rPr>
                <w:rFonts w:ascii="Arial" w:hAnsi="Arial" w:cs="Arial"/>
              </w:rPr>
              <w:t>/548 (</w:t>
            </w:r>
            <w:r w:rsidRPr="002C10D1">
              <w:rPr>
                <w:rFonts w:ascii="Arial" w:hAnsi="Arial" w:cs="Arial"/>
              </w:rPr>
              <w:t>5</w:t>
            </w:r>
            <w:r w:rsidR="00866315" w:rsidRPr="002C10D1">
              <w:rPr>
                <w:rFonts w:ascii="Arial" w:hAnsi="Arial" w:cs="Arial"/>
              </w:rPr>
              <w:t>9.1%)</w:t>
            </w:r>
          </w:p>
        </w:tc>
      </w:tr>
    </w:tbl>
    <w:p w14:paraId="61BBD7BC" w14:textId="77777777" w:rsidR="00866315" w:rsidRDefault="00866315" w:rsidP="00866315">
      <w:pPr>
        <w:rPr>
          <w:rFonts w:ascii="Arial" w:hAnsi="Arial" w:cs="Arial"/>
        </w:rPr>
      </w:pPr>
    </w:p>
    <w:p w14:paraId="7E503404" w14:textId="6D676B15" w:rsidR="00866315" w:rsidRDefault="00866315" w:rsidP="00866315">
      <w:pPr>
        <w:rPr>
          <w:rFonts w:ascii="Arial" w:hAnsi="Arial" w:cs="Arial"/>
        </w:rPr>
      </w:pPr>
      <w:r>
        <w:rPr>
          <w:rFonts w:ascii="Arial" w:hAnsi="Arial" w:cs="Arial"/>
        </w:rPr>
        <w:t xml:space="preserve">Fig </w:t>
      </w:r>
      <w:r w:rsidR="00763EB1">
        <w:rPr>
          <w:rFonts w:ascii="Arial" w:hAnsi="Arial" w:cs="Arial"/>
        </w:rPr>
        <w:t>S4</w:t>
      </w:r>
      <w:r>
        <w:rPr>
          <w:rFonts w:ascii="Arial" w:hAnsi="Arial" w:cs="Arial"/>
        </w:rPr>
        <w:t>: TB and HIV mortality rates in 90</w:t>
      </w:r>
      <w:r w:rsidRPr="00C12352">
        <w:rPr>
          <w:rFonts w:ascii="Arial" w:hAnsi="Arial" w:cs="Arial"/>
          <w:vertAlign w:val="superscript"/>
        </w:rPr>
        <w:t>th</w:t>
      </w:r>
      <w:r>
        <w:rPr>
          <w:rFonts w:ascii="Arial" w:hAnsi="Arial" w:cs="Arial"/>
        </w:rPr>
        <w:t xml:space="preserve"> percentile versus 10</w:t>
      </w:r>
      <w:r w:rsidRPr="00C12352">
        <w:rPr>
          <w:rFonts w:ascii="Arial" w:hAnsi="Arial" w:cs="Arial"/>
          <w:vertAlign w:val="superscript"/>
        </w:rPr>
        <w:t>th</w:t>
      </w:r>
      <w:r>
        <w:rPr>
          <w:rFonts w:ascii="Arial" w:hAnsi="Arial" w:cs="Arial"/>
        </w:rPr>
        <w:t xml:space="preserve"> percentile of municipalities by state plotted across years, both sexes</w:t>
      </w:r>
    </w:p>
    <w:p w14:paraId="394C4303" w14:textId="6FC9818D" w:rsidR="001B3F41" w:rsidRDefault="001B3F41" w:rsidP="00866315">
      <w:pPr>
        <w:rPr>
          <w:rFonts w:ascii="Arial" w:hAnsi="Arial" w:cs="Arial"/>
        </w:rPr>
      </w:pPr>
      <w:r>
        <w:rPr>
          <w:noProof/>
        </w:rPr>
        <w:drawing>
          <wp:inline distT="0" distB="0" distL="0" distR="0" wp14:anchorId="207BF4B0" wp14:editId="021C8921">
            <wp:extent cx="5943600" cy="3618230"/>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18230"/>
                    </a:xfrm>
                    <a:prstGeom prst="rect">
                      <a:avLst/>
                    </a:prstGeom>
                    <a:ln>
                      <a:solidFill>
                        <a:schemeClr val="tx1"/>
                      </a:solidFill>
                    </a:ln>
                  </pic:spPr>
                </pic:pic>
              </a:graphicData>
            </a:graphic>
          </wp:inline>
        </w:drawing>
      </w:r>
    </w:p>
    <w:p w14:paraId="65E86CCB" w14:textId="562054A7" w:rsidR="00866315" w:rsidRDefault="00DD2F73" w:rsidP="00866315">
      <w:pPr>
        <w:rPr>
          <w:rFonts w:ascii="Arial" w:hAnsi="Arial" w:cs="Arial"/>
        </w:rPr>
      </w:pPr>
      <w:r>
        <w:rPr>
          <w:noProof/>
        </w:rPr>
        <w:t xml:space="preserve"> </w:t>
      </w:r>
      <w:bookmarkStart w:id="25" w:name="_GoBack"/>
      <w:bookmarkEnd w:id="25"/>
    </w:p>
    <w:p w14:paraId="20A2A4F4" w14:textId="2F251BEE" w:rsidR="00866315" w:rsidRPr="00AD32BC" w:rsidRDefault="00866315" w:rsidP="00866315">
      <w:pPr>
        <w:pStyle w:val="Heading2"/>
        <w:rPr>
          <w:rFonts w:ascii="Arial" w:hAnsi="Arial" w:cs="Arial"/>
        </w:rPr>
      </w:pPr>
      <w:bookmarkStart w:id="26" w:name="_Toc507589364"/>
      <w:bookmarkStart w:id="27" w:name="_Toc516066498"/>
      <w:r w:rsidRPr="00AD32BC">
        <w:rPr>
          <w:rFonts w:ascii="Arial" w:hAnsi="Arial" w:cs="Arial"/>
        </w:rPr>
        <w:lastRenderedPageBreak/>
        <w:t>4.2 Mortality relationships with covariates</w:t>
      </w:r>
      <w:bookmarkEnd w:id="26"/>
      <w:bookmarkEnd w:id="27"/>
    </w:p>
    <w:p w14:paraId="1A9EEC20" w14:textId="0870B12D" w:rsidR="00866315" w:rsidRDefault="00810C3C" w:rsidP="00866315">
      <w:pPr>
        <w:pStyle w:val="NoSpacing"/>
        <w:spacing w:line="480" w:lineRule="auto"/>
        <w:ind w:firstLine="360"/>
        <w:rPr>
          <w:rFonts w:ascii="Arial" w:hAnsi="Arial" w:cs="Arial"/>
        </w:rPr>
      </w:pPr>
      <w:r>
        <w:rPr>
          <w:rFonts w:ascii="Arial" w:hAnsi="Arial" w:cs="Arial"/>
        </w:rPr>
        <w:t>The posterior probability of a given</w:t>
      </w:r>
      <w:r w:rsidR="00866315">
        <w:rPr>
          <w:rFonts w:ascii="Arial" w:hAnsi="Arial" w:cs="Arial"/>
        </w:rPr>
        <w:t xml:space="preserve"> covariate having a positive relationship with the outcomes of TB and HIV mortality was estimated </w:t>
      </w:r>
      <w:r w:rsidR="00283238">
        <w:rPr>
          <w:rFonts w:ascii="Arial" w:hAnsi="Arial" w:cs="Arial"/>
        </w:rPr>
        <w:t xml:space="preserve">as </w:t>
      </w:r>
      <w:r w:rsidR="00866315">
        <w:rPr>
          <w:rFonts w:ascii="Arial" w:hAnsi="Arial" w:cs="Arial"/>
        </w:rPr>
        <w:t xml:space="preserve">the </w:t>
      </w:r>
      <w:r>
        <w:rPr>
          <w:rFonts w:ascii="Arial" w:hAnsi="Arial" w:cs="Arial"/>
        </w:rPr>
        <w:t>proportion</w:t>
      </w:r>
      <w:r w:rsidR="00866315">
        <w:rPr>
          <w:rFonts w:ascii="Arial" w:hAnsi="Arial" w:cs="Arial"/>
        </w:rPr>
        <w:t xml:space="preserve"> of draws (out of 1000) in which the coefficient was positive. Values near 1 indicate a high </w:t>
      </w:r>
      <w:r w:rsidR="00283238">
        <w:rPr>
          <w:rFonts w:ascii="Arial" w:hAnsi="Arial" w:cs="Arial"/>
        </w:rPr>
        <w:t>degree of confidence that the relationship between a covariate and the outcome is positive, while</w:t>
      </w:r>
      <w:r w:rsidR="00866315">
        <w:rPr>
          <w:rFonts w:ascii="Arial" w:hAnsi="Arial" w:cs="Arial"/>
        </w:rPr>
        <w:t xml:space="preserve"> values near zero indicate a </w:t>
      </w:r>
      <w:r w:rsidR="00283238">
        <w:rPr>
          <w:rFonts w:ascii="Arial" w:hAnsi="Arial" w:cs="Arial"/>
        </w:rPr>
        <w:t xml:space="preserve">high degree of confidence that the relationship between a covariate the outcome is negative. Intermediate values closer to 0.5 indicate less certainty about the direction of the relationship between a given covariate and the outcome. </w:t>
      </w:r>
    </w:p>
    <w:p w14:paraId="5DD5460A" w14:textId="5DC33A61" w:rsidR="00866315" w:rsidRDefault="00866315" w:rsidP="00866315">
      <w:pPr>
        <w:pStyle w:val="NoSpacing"/>
        <w:rPr>
          <w:rFonts w:ascii="Arial" w:hAnsi="Arial" w:cs="Arial"/>
        </w:rPr>
      </w:pPr>
      <w:r>
        <w:rPr>
          <w:rFonts w:ascii="Arial" w:hAnsi="Arial" w:cs="Arial"/>
        </w:rPr>
        <w:t>Table S</w:t>
      </w:r>
      <w:r w:rsidR="002315CE">
        <w:rPr>
          <w:rFonts w:ascii="Arial" w:hAnsi="Arial" w:cs="Arial"/>
        </w:rPr>
        <w:t>7</w:t>
      </w:r>
      <w:r>
        <w:rPr>
          <w:rFonts w:ascii="Arial" w:hAnsi="Arial" w:cs="Arial"/>
        </w:rPr>
        <w:t>: Proportion of draws in which each covariate has a positive relationship with mortality outcome (</w:t>
      </w:r>
      <w:r>
        <w:rPr>
          <w:rFonts w:ascii="Arial" w:hAnsi="Arial" w:cs="Arial"/>
          <w:i/>
        </w:rPr>
        <w:t>ie</w:t>
      </w:r>
      <w:r>
        <w:rPr>
          <w:rFonts w:ascii="Arial" w:hAnsi="Arial" w:cs="Arial"/>
        </w:rPr>
        <w:t>, coefficient &gt;0).</w:t>
      </w:r>
    </w:p>
    <w:tbl>
      <w:tblPr>
        <w:tblStyle w:val="TableGrid"/>
        <w:tblW w:w="0" w:type="auto"/>
        <w:tblLook w:val="04A0" w:firstRow="1" w:lastRow="0" w:firstColumn="1" w:lastColumn="0" w:noHBand="0" w:noVBand="1"/>
      </w:tblPr>
      <w:tblGrid>
        <w:gridCol w:w="1870"/>
        <w:gridCol w:w="1870"/>
        <w:gridCol w:w="1870"/>
        <w:gridCol w:w="1870"/>
        <w:gridCol w:w="1870"/>
      </w:tblGrid>
      <w:tr w:rsidR="00866315" w14:paraId="108F581F" w14:textId="77777777" w:rsidTr="00866315">
        <w:tc>
          <w:tcPr>
            <w:tcW w:w="1870" w:type="dxa"/>
            <w:vAlign w:val="bottom"/>
          </w:tcPr>
          <w:p w14:paraId="59ECD33C" w14:textId="77777777" w:rsidR="00866315" w:rsidRPr="00B23A1B" w:rsidRDefault="00866315" w:rsidP="00866315">
            <w:pPr>
              <w:rPr>
                <w:rFonts w:ascii="Arial" w:hAnsi="Arial" w:cs="Arial"/>
                <w:b/>
              </w:rPr>
            </w:pPr>
            <w:r w:rsidRPr="00B23A1B">
              <w:rPr>
                <w:rFonts w:ascii="Arial" w:hAnsi="Arial" w:cs="Arial"/>
                <w:b/>
                <w:color w:val="000000"/>
              </w:rPr>
              <w:t>Covariate</w:t>
            </w:r>
          </w:p>
        </w:tc>
        <w:tc>
          <w:tcPr>
            <w:tcW w:w="1870" w:type="dxa"/>
            <w:vAlign w:val="bottom"/>
          </w:tcPr>
          <w:p w14:paraId="6D708A52" w14:textId="77777777" w:rsidR="00866315" w:rsidRPr="00B23A1B" w:rsidRDefault="00866315" w:rsidP="00866315">
            <w:pPr>
              <w:rPr>
                <w:rFonts w:ascii="Arial" w:hAnsi="Arial" w:cs="Arial"/>
                <w:b/>
              </w:rPr>
            </w:pPr>
            <w:r w:rsidRPr="00B23A1B">
              <w:rPr>
                <w:rFonts w:ascii="Arial" w:hAnsi="Arial" w:cs="Arial"/>
                <w:b/>
                <w:color w:val="000000"/>
              </w:rPr>
              <w:t>Male TB</w:t>
            </w:r>
          </w:p>
        </w:tc>
        <w:tc>
          <w:tcPr>
            <w:tcW w:w="1870" w:type="dxa"/>
            <w:vAlign w:val="bottom"/>
          </w:tcPr>
          <w:p w14:paraId="117770B7" w14:textId="77777777" w:rsidR="00866315" w:rsidRPr="00B23A1B" w:rsidRDefault="00866315" w:rsidP="00866315">
            <w:pPr>
              <w:rPr>
                <w:rFonts w:ascii="Arial" w:hAnsi="Arial" w:cs="Arial"/>
                <w:b/>
              </w:rPr>
            </w:pPr>
            <w:r w:rsidRPr="00B23A1B">
              <w:rPr>
                <w:rFonts w:ascii="Arial" w:hAnsi="Arial" w:cs="Arial"/>
                <w:b/>
                <w:color w:val="000000"/>
              </w:rPr>
              <w:t>Female TB</w:t>
            </w:r>
          </w:p>
        </w:tc>
        <w:tc>
          <w:tcPr>
            <w:tcW w:w="1870" w:type="dxa"/>
            <w:vAlign w:val="bottom"/>
          </w:tcPr>
          <w:p w14:paraId="2E2BD8F3" w14:textId="77777777" w:rsidR="00866315" w:rsidRPr="00B23A1B" w:rsidRDefault="00866315" w:rsidP="00866315">
            <w:pPr>
              <w:rPr>
                <w:rFonts w:ascii="Arial" w:hAnsi="Arial" w:cs="Arial"/>
                <w:b/>
              </w:rPr>
            </w:pPr>
            <w:r w:rsidRPr="00B23A1B">
              <w:rPr>
                <w:rFonts w:ascii="Arial" w:hAnsi="Arial" w:cs="Arial"/>
                <w:b/>
                <w:color w:val="000000"/>
              </w:rPr>
              <w:t>Male HIV</w:t>
            </w:r>
          </w:p>
        </w:tc>
        <w:tc>
          <w:tcPr>
            <w:tcW w:w="1870" w:type="dxa"/>
            <w:vAlign w:val="bottom"/>
          </w:tcPr>
          <w:p w14:paraId="632EAC28" w14:textId="77777777" w:rsidR="00866315" w:rsidRPr="00B23A1B" w:rsidRDefault="00866315" w:rsidP="00866315">
            <w:pPr>
              <w:rPr>
                <w:rFonts w:ascii="Arial" w:hAnsi="Arial" w:cs="Arial"/>
                <w:b/>
              </w:rPr>
            </w:pPr>
            <w:r w:rsidRPr="00B23A1B">
              <w:rPr>
                <w:rFonts w:ascii="Arial" w:hAnsi="Arial" w:cs="Arial"/>
                <w:b/>
                <w:color w:val="000000"/>
              </w:rPr>
              <w:t>Female HIV</w:t>
            </w:r>
          </w:p>
        </w:tc>
      </w:tr>
      <w:tr w:rsidR="001F783A" w14:paraId="0EA1999F" w14:textId="77777777" w:rsidTr="00866315">
        <w:tc>
          <w:tcPr>
            <w:tcW w:w="1870" w:type="dxa"/>
            <w:vAlign w:val="bottom"/>
          </w:tcPr>
          <w:p w14:paraId="60FC0913" w14:textId="6CE27C6C" w:rsidR="001F783A" w:rsidRPr="00B23A1B" w:rsidRDefault="001F783A" w:rsidP="001F783A">
            <w:pPr>
              <w:rPr>
                <w:rFonts w:ascii="Arial" w:hAnsi="Arial" w:cs="Arial"/>
                <w:b/>
                <w:color w:val="000000"/>
              </w:rPr>
            </w:pPr>
            <w:r>
              <w:rPr>
                <w:rFonts w:ascii="Arial" w:hAnsi="Arial" w:cs="Arial"/>
                <w:color w:val="000000"/>
              </w:rPr>
              <w:t>Household crowding</w:t>
            </w:r>
          </w:p>
        </w:tc>
        <w:tc>
          <w:tcPr>
            <w:tcW w:w="1870" w:type="dxa"/>
            <w:vAlign w:val="bottom"/>
          </w:tcPr>
          <w:p w14:paraId="3FF5006F" w14:textId="6B6320AA" w:rsidR="001F783A" w:rsidRPr="00B23A1B" w:rsidRDefault="001F783A" w:rsidP="001F783A">
            <w:pPr>
              <w:rPr>
                <w:rFonts w:ascii="Arial" w:hAnsi="Arial" w:cs="Arial"/>
                <w:b/>
                <w:color w:val="000000"/>
              </w:rPr>
            </w:pPr>
            <w:r>
              <w:rPr>
                <w:rFonts w:ascii="Arial" w:hAnsi="Arial" w:cs="Arial"/>
                <w:color w:val="000000"/>
              </w:rPr>
              <w:t>&gt;0.999</w:t>
            </w:r>
          </w:p>
        </w:tc>
        <w:tc>
          <w:tcPr>
            <w:tcW w:w="1870" w:type="dxa"/>
            <w:vAlign w:val="bottom"/>
          </w:tcPr>
          <w:p w14:paraId="351E76B2" w14:textId="54E904D4" w:rsidR="001F783A" w:rsidRPr="00B23A1B" w:rsidRDefault="001F783A" w:rsidP="001F783A">
            <w:pPr>
              <w:rPr>
                <w:rFonts w:ascii="Arial" w:hAnsi="Arial" w:cs="Arial"/>
                <w:b/>
                <w:color w:val="000000"/>
              </w:rPr>
            </w:pPr>
            <w:r>
              <w:rPr>
                <w:rFonts w:ascii="Arial" w:hAnsi="Arial" w:cs="Arial"/>
                <w:color w:val="000000"/>
              </w:rPr>
              <w:t>&gt;0.999</w:t>
            </w:r>
          </w:p>
        </w:tc>
        <w:tc>
          <w:tcPr>
            <w:tcW w:w="1870" w:type="dxa"/>
            <w:vAlign w:val="bottom"/>
          </w:tcPr>
          <w:p w14:paraId="6CBC525E" w14:textId="0A6B2896" w:rsidR="001F783A" w:rsidRPr="00B23A1B" w:rsidRDefault="001F783A" w:rsidP="001F783A">
            <w:pPr>
              <w:rPr>
                <w:rFonts w:ascii="Arial" w:hAnsi="Arial" w:cs="Arial"/>
                <w:b/>
                <w:color w:val="000000"/>
              </w:rPr>
            </w:pPr>
            <w:r>
              <w:rPr>
                <w:rFonts w:ascii="Arial" w:hAnsi="Arial" w:cs="Arial"/>
                <w:color w:val="000000"/>
              </w:rPr>
              <w:t>&gt;0.999</w:t>
            </w:r>
          </w:p>
        </w:tc>
        <w:tc>
          <w:tcPr>
            <w:tcW w:w="1870" w:type="dxa"/>
            <w:vAlign w:val="bottom"/>
          </w:tcPr>
          <w:p w14:paraId="0FB0D9D6" w14:textId="1407089F" w:rsidR="001F783A" w:rsidRPr="00B23A1B" w:rsidRDefault="001F783A" w:rsidP="001F783A">
            <w:pPr>
              <w:rPr>
                <w:rFonts w:ascii="Arial" w:hAnsi="Arial" w:cs="Arial"/>
                <w:b/>
                <w:color w:val="000000"/>
              </w:rPr>
            </w:pPr>
            <w:r>
              <w:rPr>
                <w:rFonts w:ascii="Arial" w:hAnsi="Arial" w:cs="Arial"/>
                <w:color w:val="000000"/>
              </w:rPr>
              <w:t>&gt;0.999</w:t>
            </w:r>
          </w:p>
        </w:tc>
      </w:tr>
      <w:tr w:rsidR="00AD32BC" w14:paraId="168EF69D" w14:textId="77777777" w:rsidTr="00866315">
        <w:tc>
          <w:tcPr>
            <w:tcW w:w="1870" w:type="dxa"/>
            <w:vAlign w:val="bottom"/>
          </w:tcPr>
          <w:p w14:paraId="49A03953" w14:textId="36205B42" w:rsidR="00AD32BC" w:rsidRPr="00B23A1B" w:rsidRDefault="00AD32BC" w:rsidP="00866315">
            <w:pPr>
              <w:rPr>
                <w:rFonts w:ascii="Arial" w:hAnsi="Arial" w:cs="Arial"/>
                <w:b/>
                <w:color w:val="000000"/>
              </w:rPr>
            </w:pPr>
            <w:r w:rsidRPr="0056638A">
              <w:rPr>
                <w:rFonts w:ascii="Arial" w:hAnsi="Arial" w:cs="Arial"/>
                <w:color w:val="000000"/>
              </w:rPr>
              <w:t>Population density</w:t>
            </w:r>
          </w:p>
        </w:tc>
        <w:tc>
          <w:tcPr>
            <w:tcW w:w="1870" w:type="dxa"/>
            <w:vAlign w:val="bottom"/>
          </w:tcPr>
          <w:p w14:paraId="22C3F388" w14:textId="2278726D" w:rsidR="00AD32BC" w:rsidRPr="00AD32BC" w:rsidRDefault="00AD32BC" w:rsidP="00866315">
            <w:pPr>
              <w:rPr>
                <w:rFonts w:ascii="Arial" w:hAnsi="Arial" w:cs="Arial"/>
                <w:color w:val="000000"/>
              </w:rPr>
            </w:pPr>
            <w:r w:rsidRPr="00AD32BC">
              <w:rPr>
                <w:rFonts w:ascii="Arial" w:hAnsi="Arial" w:cs="Arial"/>
                <w:color w:val="000000"/>
              </w:rPr>
              <w:t>0.996</w:t>
            </w:r>
          </w:p>
        </w:tc>
        <w:tc>
          <w:tcPr>
            <w:tcW w:w="1870" w:type="dxa"/>
            <w:vAlign w:val="bottom"/>
          </w:tcPr>
          <w:p w14:paraId="52625BBB" w14:textId="434121F4" w:rsidR="00AD32BC" w:rsidRPr="00AD32BC" w:rsidRDefault="00AD32BC" w:rsidP="00866315">
            <w:pPr>
              <w:rPr>
                <w:rFonts w:ascii="Arial" w:hAnsi="Arial" w:cs="Arial"/>
                <w:color w:val="000000"/>
              </w:rPr>
            </w:pPr>
            <w:r w:rsidRPr="00AD32BC">
              <w:rPr>
                <w:rFonts w:ascii="Arial" w:hAnsi="Arial" w:cs="Arial"/>
                <w:color w:val="000000"/>
              </w:rPr>
              <w:t>0.934</w:t>
            </w:r>
          </w:p>
        </w:tc>
        <w:tc>
          <w:tcPr>
            <w:tcW w:w="1870" w:type="dxa"/>
            <w:vAlign w:val="bottom"/>
          </w:tcPr>
          <w:p w14:paraId="2265FF09" w14:textId="354C62B8" w:rsidR="00AD32BC" w:rsidRPr="00B23A1B" w:rsidRDefault="00AD32BC" w:rsidP="00866315">
            <w:pPr>
              <w:rPr>
                <w:rFonts w:ascii="Arial" w:hAnsi="Arial" w:cs="Arial"/>
                <w:b/>
                <w:color w:val="000000"/>
              </w:rPr>
            </w:pPr>
            <w:r>
              <w:rPr>
                <w:rFonts w:ascii="Arial" w:hAnsi="Arial" w:cs="Arial"/>
                <w:color w:val="000000"/>
              </w:rPr>
              <w:t>&gt;0.999</w:t>
            </w:r>
          </w:p>
        </w:tc>
        <w:tc>
          <w:tcPr>
            <w:tcW w:w="1870" w:type="dxa"/>
            <w:vAlign w:val="bottom"/>
          </w:tcPr>
          <w:p w14:paraId="3DF5B78A" w14:textId="2994F56B" w:rsidR="00AD32BC" w:rsidRPr="00B23A1B" w:rsidRDefault="00AD32BC" w:rsidP="00866315">
            <w:pPr>
              <w:rPr>
                <w:rFonts w:ascii="Arial" w:hAnsi="Arial" w:cs="Arial"/>
                <w:b/>
                <w:color w:val="000000"/>
              </w:rPr>
            </w:pPr>
            <w:r>
              <w:rPr>
                <w:rFonts w:ascii="Arial" w:hAnsi="Arial" w:cs="Arial"/>
                <w:color w:val="000000"/>
              </w:rPr>
              <w:t>&gt;0.999</w:t>
            </w:r>
          </w:p>
        </w:tc>
      </w:tr>
      <w:tr w:rsidR="00AD32BC" w14:paraId="2E54D107" w14:textId="77777777" w:rsidTr="00866315">
        <w:tc>
          <w:tcPr>
            <w:tcW w:w="1870" w:type="dxa"/>
            <w:vAlign w:val="bottom"/>
          </w:tcPr>
          <w:p w14:paraId="66344BB7" w14:textId="0385577C" w:rsidR="00AD32BC" w:rsidRPr="0056638A" w:rsidRDefault="00AD32BC" w:rsidP="00AD32BC">
            <w:pPr>
              <w:rPr>
                <w:rFonts w:ascii="Arial" w:hAnsi="Arial" w:cs="Arial"/>
              </w:rPr>
            </w:pPr>
            <w:r w:rsidRPr="0056638A">
              <w:rPr>
                <w:rFonts w:ascii="Arial" w:hAnsi="Arial" w:cs="Arial"/>
                <w:color w:val="000000"/>
              </w:rPr>
              <w:t>Female prison population</w:t>
            </w:r>
          </w:p>
        </w:tc>
        <w:tc>
          <w:tcPr>
            <w:tcW w:w="1870" w:type="dxa"/>
            <w:vAlign w:val="bottom"/>
          </w:tcPr>
          <w:p w14:paraId="7F499CFE" w14:textId="40D67474" w:rsidR="00AD32BC" w:rsidRPr="0056638A" w:rsidRDefault="00AD32BC" w:rsidP="00AD32BC">
            <w:pPr>
              <w:rPr>
                <w:rFonts w:ascii="Arial" w:hAnsi="Arial" w:cs="Arial"/>
              </w:rPr>
            </w:pPr>
            <w:r>
              <w:rPr>
                <w:rFonts w:ascii="Arial" w:hAnsi="Arial" w:cs="Arial"/>
                <w:color w:val="000000"/>
              </w:rPr>
              <w:t>0.650</w:t>
            </w:r>
          </w:p>
        </w:tc>
        <w:tc>
          <w:tcPr>
            <w:tcW w:w="1870" w:type="dxa"/>
            <w:vAlign w:val="bottom"/>
          </w:tcPr>
          <w:p w14:paraId="4618C398" w14:textId="284FB888" w:rsidR="00AD32BC" w:rsidRPr="0056638A" w:rsidRDefault="00AD32BC" w:rsidP="00AD32BC">
            <w:pPr>
              <w:rPr>
                <w:rFonts w:ascii="Arial" w:hAnsi="Arial" w:cs="Arial"/>
              </w:rPr>
            </w:pPr>
            <w:r>
              <w:rPr>
                <w:rFonts w:ascii="Arial" w:hAnsi="Arial" w:cs="Arial"/>
                <w:color w:val="000000"/>
              </w:rPr>
              <w:t>0.</w:t>
            </w:r>
            <w:r w:rsidRPr="0056638A">
              <w:rPr>
                <w:rFonts w:ascii="Arial" w:hAnsi="Arial" w:cs="Arial"/>
                <w:color w:val="000000"/>
              </w:rPr>
              <w:t>7</w:t>
            </w:r>
            <w:r>
              <w:rPr>
                <w:rFonts w:ascii="Arial" w:hAnsi="Arial" w:cs="Arial"/>
                <w:color w:val="000000"/>
              </w:rPr>
              <w:t>19</w:t>
            </w:r>
          </w:p>
        </w:tc>
        <w:tc>
          <w:tcPr>
            <w:tcW w:w="1870" w:type="dxa"/>
            <w:vAlign w:val="bottom"/>
          </w:tcPr>
          <w:p w14:paraId="3F1479DB" w14:textId="17EA62B3" w:rsidR="00AD32BC" w:rsidRPr="0056638A" w:rsidRDefault="00AD32BC" w:rsidP="00AD32BC">
            <w:pPr>
              <w:rPr>
                <w:rFonts w:ascii="Arial" w:hAnsi="Arial" w:cs="Arial"/>
              </w:rPr>
            </w:pPr>
            <w:r>
              <w:rPr>
                <w:rFonts w:ascii="Arial" w:hAnsi="Arial" w:cs="Arial"/>
                <w:color w:val="000000"/>
              </w:rPr>
              <w:t>&gt;0.999</w:t>
            </w:r>
          </w:p>
        </w:tc>
        <w:tc>
          <w:tcPr>
            <w:tcW w:w="1870" w:type="dxa"/>
            <w:vAlign w:val="bottom"/>
          </w:tcPr>
          <w:p w14:paraId="0F93A605" w14:textId="75922AEA" w:rsidR="00AD32BC" w:rsidRPr="0056638A" w:rsidRDefault="00AD32BC" w:rsidP="00AD32BC">
            <w:pPr>
              <w:rPr>
                <w:rFonts w:ascii="Arial" w:hAnsi="Arial" w:cs="Arial"/>
              </w:rPr>
            </w:pPr>
            <w:r>
              <w:rPr>
                <w:rFonts w:ascii="Arial" w:hAnsi="Arial" w:cs="Arial"/>
                <w:color w:val="000000"/>
              </w:rPr>
              <w:t>&gt;0.999</w:t>
            </w:r>
          </w:p>
        </w:tc>
      </w:tr>
      <w:tr w:rsidR="00AD32BC" w14:paraId="12B32CA9" w14:textId="77777777" w:rsidTr="00866315">
        <w:tc>
          <w:tcPr>
            <w:tcW w:w="1870" w:type="dxa"/>
            <w:vAlign w:val="bottom"/>
          </w:tcPr>
          <w:p w14:paraId="06E3D0C3" w14:textId="6EF32F08" w:rsidR="00AD32BC" w:rsidRPr="0056638A" w:rsidRDefault="00AD32BC" w:rsidP="00AD32BC">
            <w:pPr>
              <w:rPr>
                <w:rFonts w:ascii="Arial" w:hAnsi="Arial" w:cs="Arial"/>
              </w:rPr>
            </w:pPr>
            <w:r>
              <w:rPr>
                <w:rFonts w:ascii="Arial" w:hAnsi="Arial" w:cs="Arial"/>
                <w:color w:val="000000"/>
              </w:rPr>
              <w:t>Male prison population</w:t>
            </w:r>
          </w:p>
        </w:tc>
        <w:tc>
          <w:tcPr>
            <w:tcW w:w="1870" w:type="dxa"/>
            <w:vAlign w:val="bottom"/>
          </w:tcPr>
          <w:p w14:paraId="6CCC8CCC" w14:textId="5250291F" w:rsidR="00AD32BC" w:rsidRPr="0056638A" w:rsidRDefault="00AD32BC" w:rsidP="00AD32BC">
            <w:pPr>
              <w:rPr>
                <w:rFonts w:ascii="Arial" w:hAnsi="Arial" w:cs="Arial"/>
              </w:rPr>
            </w:pPr>
            <w:r>
              <w:rPr>
                <w:rFonts w:ascii="Arial" w:hAnsi="Arial" w:cs="Arial"/>
              </w:rPr>
              <w:t>&gt;0.999</w:t>
            </w:r>
          </w:p>
        </w:tc>
        <w:tc>
          <w:tcPr>
            <w:tcW w:w="1870" w:type="dxa"/>
            <w:vAlign w:val="bottom"/>
          </w:tcPr>
          <w:p w14:paraId="7E4264A4" w14:textId="6301C69D" w:rsidR="00AD32BC" w:rsidRPr="0056638A" w:rsidRDefault="00AD32BC" w:rsidP="00AD32BC">
            <w:pPr>
              <w:rPr>
                <w:rFonts w:ascii="Arial" w:hAnsi="Arial" w:cs="Arial"/>
              </w:rPr>
            </w:pPr>
            <w:r>
              <w:rPr>
                <w:rFonts w:ascii="Arial" w:hAnsi="Arial" w:cs="Arial"/>
              </w:rPr>
              <w:t>0.906</w:t>
            </w:r>
          </w:p>
        </w:tc>
        <w:tc>
          <w:tcPr>
            <w:tcW w:w="1870" w:type="dxa"/>
            <w:vAlign w:val="bottom"/>
          </w:tcPr>
          <w:p w14:paraId="541BF591" w14:textId="60040B04" w:rsidR="00AD32BC" w:rsidRPr="0056638A" w:rsidRDefault="00AD32BC" w:rsidP="00AD32BC">
            <w:pPr>
              <w:rPr>
                <w:rFonts w:ascii="Arial" w:hAnsi="Arial" w:cs="Arial"/>
              </w:rPr>
            </w:pPr>
            <w:r>
              <w:rPr>
                <w:rFonts w:ascii="Arial" w:hAnsi="Arial" w:cs="Arial"/>
                <w:color w:val="000000"/>
              </w:rPr>
              <w:t>&gt;0.999</w:t>
            </w:r>
          </w:p>
        </w:tc>
        <w:tc>
          <w:tcPr>
            <w:tcW w:w="1870" w:type="dxa"/>
            <w:vAlign w:val="bottom"/>
          </w:tcPr>
          <w:p w14:paraId="4FA89D9B" w14:textId="0F9F57AD" w:rsidR="00AD32BC" w:rsidRPr="0056638A" w:rsidRDefault="00AD32BC" w:rsidP="00AD32BC">
            <w:pPr>
              <w:rPr>
                <w:rFonts w:ascii="Arial" w:hAnsi="Arial" w:cs="Arial"/>
              </w:rPr>
            </w:pPr>
            <w:r>
              <w:rPr>
                <w:rFonts w:ascii="Arial" w:hAnsi="Arial" w:cs="Arial"/>
                <w:color w:val="000000"/>
              </w:rPr>
              <w:t>&gt;0.999</w:t>
            </w:r>
          </w:p>
        </w:tc>
      </w:tr>
      <w:tr w:rsidR="00866315" w14:paraId="127B1335" w14:textId="77777777" w:rsidTr="00866315">
        <w:tc>
          <w:tcPr>
            <w:tcW w:w="1870" w:type="dxa"/>
            <w:vAlign w:val="bottom"/>
          </w:tcPr>
          <w:p w14:paraId="034D1E9C" w14:textId="0565FBBA" w:rsidR="001F783A" w:rsidRPr="0056638A" w:rsidRDefault="001F783A" w:rsidP="00866315">
            <w:pPr>
              <w:rPr>
                <w:rFonts w:ascii="Arial" w:hAnsi="Arial" w:cs="Arial"/>
                <w:color w:val="000000"/>
              </w:rPr>
            </w:pPr>
            <w:r>
              <w:rPr>
                <w:rFonts w:ascii="Arial" w:hAnsi="Arial" w:cs="Arial"/>
                <w:color w:val="000000"/>
              </w:rPr>
              <w:t>Ambient a</w:t>
            </w:r>
            <w:r w:rsidR="00AD32BC">
              <w:rPr>
                <w:rFonts w:ascii="Arial" w:hAnsi="Arial" w:cs="Arial"/>
                <w:color w:val="000000"/>
              </w:rPr>
              <w:t>ir temperature</w:t>
            </w:r>
          </w:p>
        </w:tc>
        <w:tc>
          <w:tcPr>
            <w:tcW w:w="1870" w:type="dxa"/>
            <w:vAlign w:val="bottom"/>
          </w:tcPr>
          <w:p w14:paraId="409BF98C" w14:textId="35B4EE01" w:rsidR="00866315" w:rsidRPr="0056638A" w:rsidRDefault="00AD32BC" w:rsidP="00866315">
            <w:pPr>
              <w:rPr>
                <w:rFonts w:ascii="Arial" w:hAnsi="Arial" w:cs="Arial"/>
                <w:color w:val="000000"/>
              </w:rPr>
            </w:pPr>
            <w:r>
              <w:rPr>
                <w:rFonts w:ascii="Arial" w:hAnsi="Arial" w:cs="Arial"/>
                <w:color w:val="000000"/>
              </w:rPr>
              <w:t>&gt;0.999</w:t>
            </w:r>
          </w:p>
        </w:tc>
        <w:tc>
          <w:tcPr>
            <w:tcW w:w="1870" w:type="dxa"/>
            <w:vAlign w:val="bottom"/>
          </w:tcPr>
          <w:p w14:paraId="3AC15684" w14:textId="3469B960" w:rsidR="00866315" w:rsidRPr="0056638A" w:rsidRDefault="00AD32BC" w:rsidP="00866315">
            <w:pPr>
              <w:rPr>
                <w:rFonts w:ascii="Arial" w:hAnsi="Arial" w:cs="Arial"/>
                <w:color w:val="000000"/>
              </w:rPr>
            </w:pPr>
            <w:r>
              <w:rPr>
                <w:rFonts w:ascii="Arial" w:hAnsi="Arial" w:cs="Arial"/>
                <w:color w:val="000000"/>
              </w:rPr>
              <w:t>&gt;0.999</w:t>
            </w:r>
          </w:p>
        </w:tc>
        <w:tc>
          <w:tcPr>
            <w:tcW w:w="1870" w:type="dxa"/>
            <w:vAlign w:val="bottom"/>
          </w:tcPr>
          <w:p w14:paraId="2620CA97" w14:textId="64BCEAA6" w:rsidR="00866315" w:rsidRPr="0056638A" w:rsidRDefault="00AD32BC" w:rsidP="00866315">
            <w:pPr>
              <w:rPr>
                <w:rFonts w:ascii="Arial" w:hAnsi="Arial" w:cs="Arial"/>
                <w:color w:val="000000"/>
              </w:rPr>
            </w:pPr>
            <w:r>
              <w:rPr>
                <w:rFonts w:ascii="Arial" w:hAnsi="Arial" w:cs="Arial"/>
                <w:color w:val="000000"/>
              </w:rPr>
              <w:t>0.662</w:t>
            </w:r>
          </w:p>
        </w:tc>
        <w:tc>
          <w:tcPr>
            <w:tcW w:w="1870" w:type="dxa"/>
            <w:vAlign w:val="bottom"/>
          </w:tcPr>
          <w:p w14:paraId="5308C504" w14:textId="5761FB90" w:rsidR="00866315" w:rsidRPr="0056638A" w:rsidRDefault="00AD32BC" w:rsidP="00866315">
            <w:pPr>
              <w:rPr>
                <w:rFonts w:ascii="Arial" w:hAnsi="Arial" w:cs="Arial"/>
                <w:color w:val="000000"/>
              </w:rPr>
            </w:pPr>
            <w:r>
              <w:rPr>
                <w:rFonts w:ascii="Arial" w:hAnsi="Arial" w:cs="Arial"/>
                <w:color w:val="000000"/>
              </w:rPr>
              <w:t>0.258</w:t>
            </w:r>
          </w:p>
        </w:tc>
      </w:tr>
      <w:tr w:rsidR="00866315" w14:paraId="1971820D" w14:textId="77777777" w:rsidTr="00866315">
        <w:tc>
          <w:tcPr>
            <w:tcW w:w="1870" w:type="dxa"/>
            <w:vAlign w:val="bottom"/>
          </w:tcPr>
          <w:p w14:paraId="6D22C7C0" w14:textId="77777777" w:rsidR="00866315" w:rsidRDefault="00AD32BC" w:rsidP="00866315">
            <w:pPr>
              <w:rPr>
                <w:rFonts w:ascii="Arial" w:hAnsi="Arial" w:cs="Arial"/>
                <w:color w:val="000000"/>
              </w:rPr>
            </w:pPr>
            <w:r>
              <w:rPr>
                <w:rFonts w:ascii="Arial" w:hAnsi="Arial" w:cs="Arial"/>
                <w:color w:val="000000"/>
              </w:rPr>
              <w:t>Nighttime lights</w:t>
            </w:r>
          </w:p>
          <w:p w14:paraId="169C892F" w14:textId="657FA67C" w:rsidR="001F783A" w:rsidRPr="0056638A" w:rsidRDefault="001F783A" w:rsidP="00866315">
            <w:pPr>
              <w:rPr>
                <w:rFonts w:ascii="Arial" w:hAnsi="Arial" w:cs="Arial"/>
                <w:color w:val="000000"/>
              </w:rPr>
            </w:pPr>
          </w:p>
        </w:tc>
        <w:tc>
          <w:tcPr>
            <w:tcW w:w="1870" w:type="dxa"/>
            <w:vAlign w:val="bottom"/>
          </w:tcPr>
          <w:p w14:paraId="0E479B02" w14:textId="5474CCDB" w:rsidR="00866315" w:rsidRPr="0056638A" w:rsidRDefault="00AD32BC" w:rsidP="00866315">
            <w:pPr>
              <w:rPr>
                <w:rFonts w:ascii="Arial" w:hAnsi="Arial" w:cs="Arial"/>
                <w:color w:val="000000"/>
              </w:rPr>
            </w:pPr>
            <w:r>
              <w:rPr>
                <w:rFonts w:ascii="Arial" w:hAnsi="Arial" w:cs="Arial"/>
                <w:color w:val="000000"/>
              </w:rPr>
              <w:t>0.545</w:t>
            </w:r>
          </w:p>
        </w:tc>
        <w:tc>
          <w:tcPr>
            <w:tcW w:w="1870" w:type="dxa"/>
            <w:vAlign w:val="bottom"/>
          </w:tcPr>
          <w:p w14:paraId="6C12416A" w14:textId="54D97CBC" w:rsidR="00866315" w:rsidRPr="0056638A" w:rsidRDefault="00AD32BC" w:rsidP="00866315">
            <w:pPr>
              <w:rPr>
                <w:rFonts w:ascii="Arial" w:hAnsi="Arial" w:cs="Arial"/>
                <w:color w:val="000000"/>
              </w:rPr>
            </w:pPr>
            <w:r>
              <w:rPr>
                <w:rFonts w:ascii="Arial" w:hAnsi="Arial" w:cs="Arial"/>
                <w:color w:val="000000"/>
              </w:rPr>
              <w:t>0.979</w:t>
            </w:r>
          </w:p>
        </w:tc>
        <w:tc>
          <w:tcPr>
            <w:tcW w:w="1870" w:type="dxa"/>
            <w:vAlign w:val="bottom"/>
          </w:tcPr>
          <w:p w14:paraId="1364675D" w14:textId="657B69FC" w:rsidR="00866315" w:rsidRPr="0056638A" w:rsidRDefault="00AD32BC" w:rsidP="00866315">
            <w:pPr>
              <w:rPr>
                <w:rFonts w:ascii="Arial" w:hAnsi="Arial" w:cs="Arial"/>
                <w:color w:val="000000"/>
              </w:rPr>
            </w:pPr>
            <w:r>
              <w:rPr>
                <w:rFonts w:ascii="Arial" w:hAnsi="Arial" w:cs="Arial"/>
                <w:color w:val="000000"/>
              </w:rPr>
              <w:t>&gt;0.999</w:t>
            </w:r>
          </w:p>
        </w:tc>
        <w:tc>
          <w:tcPr>
            <w:tcW w:w="1870" w:type="dxa"/>
            <w:vAlign w:val="bottom"/>
          </w:tcPr>
          <w:p w14:paraId="0DDE04F9" w14:textId="5AB38BA4" w:rsidR="00866315" w:rsidRPr="0056638A" w:rsidRDefault="00AD32BC" w:rsidP="00866315">
            <w:pPr>
              <w:rPr>
                <w:rFonts w:ascii="Arial" w:hAnsi="Arial" w:cs="Arial"/>
                <w:color w:val="000000"/>
              </w:rPr>
            </w:pPr>
            <w:r>
              <w:rPr>
                <w:rFonts w:ascii="Arial" w:hAnsi="Arial" w:cs="Arial"/>
                <w:color w:val="000000"/>
              </w:rPr>
              <w:t>0.955</w:t>
            </w:r>
          </w:p>
        </w:tc>
      </w:tr>
      <w:tr w:rsidR="00866315" w14:paraId="04764371" w14:textId="77777777" w:rsidTr="00866315">
        <w:tc>
          <w:tcPr>
            <w:tcW w:w="1870" w:type="dxa"/>
            <w:vAlign w:val="bottom"/>
          </w:tcPr>
          <w:p w14:paraId="3296EC0A" w14:textId="498D8BAA" w:rsidR="00866315" w:rsidRPr="0056638A" w:rsidRDefault="00AD32BC" w:rsidP="00866315">
            <w:pPr>
              <w:rPr>
                <w:rFonts w:ascii="Arial" w:hAnsi="Arial" w:cs="Arial"/>
                <w:color w:val="000000"/>
              </w:rPr>
            </w:pPr>
            <w:r>
              <w:rPr>
                <w:rFonts w:ascii="Arial" w:hAnsi="Arial" w:cs="Arial"/>
                <w:color w:val="000000"/>
              </w:rPr>
              <w:t>Outdoor air pollution</w:t>
            </w:r>
          </w:p>
        </w:tc>
        <w:tc>
          <w:tcPr>
            <w:tcW w:w="1870" w:type="dxa"/>
            <w:vAlign w:val="bottom"/>
          </w:tcPr>
          <w:p w14:paraId="62EA01C4" w14:textId="63BA7905" w:rsidR="00866315" w:rsidRPr="0056638A" w:rsidRDefault="00AD32BC" w:rsidP="00866315">
            <w:pPr>
              <w:rPr>
                <w:rFonts w:ascii="Arial" w:hAnsi="Arial" w:cs="Arial"/>
                <w:color w:val="000000"/>
              </w:rPr>
            </w:pPr>
            <w:r>
              <w:rPr>
                <w:rFonts w:ascii="Arial" w:hAnsi="Arial" w:cs="Arial"/>
                <w:color w:val="000000"/>
              </w:rPr>
              <w:t>&gt;0.999</w:t>
            </w:r>
          </w:p>
        </w:tc>
        <w:tc>
          <w:tcPr>
            <w:tcW w:w="1870" w:type="dxa"/>
            <w:vAlign w:val="bottom"/>
          </w:tcPr>
          <w:p w14:paraId="465296A4" w14:textId="00322DDB" w:rsidR="00866315" w:rsidRPr="0056638A" w:rsidRDefault="00AD32BC" w:rsidP="00866315">
            <w:pPr>
              <w:rPr>
                <w:rFonts w:ascii="Arial" w:hAnsi="Arial" w:cs="Arial"/>
                <w:color w:val="000000"/>
              </w:rPr>
            </w:pPr>
            <w:r>
              <w:rPr>
                <w:rFonts w:ascii="Arial" w:hAnsi="Arial" w:cs="Arial"/>
                <w:color w:val="000000"/>
              </w:rPr>
              <w:t>0.899</w:t>
            </w:r>
          </w:p>
        </w:tc>
        <w:tc>
          <w:tcPr>
            <w:tcW w:w="1870" w:type="dxa"/>
            <w:vAlign w:val="bottom"/>
          </w:tcPr>
          <w:p w14:paraId="6969F4A2" w14:textId="246043D4" w:rsidR="00866315" w:rsidRPr="0056638A" w:rsidRDefault="00AD32BC" w:rsidP="00866315">
            <w:pPr>
              <w:rPr>
                <w:rFonts w:ascii="Arial" w:hAnsi="Arial" w:cs="Arial"/>
                <w:color w:val="000000"/>
              </w:rPr>
            </w:pPr>
            <w:r>
              <w:rPr>
                <w:rFonts w:ascii="Arial" w:hAnsi="Arial" w:cs="Arial"/>
                <w:color w:val="000000"/>
              </w:rPr>
              <w:t>&gt;0.999</w:t>
            </w:r>
          </w:p>
        </w:tc>
        <w:tc>
          <w:tcPr>
            <w:tcW w:w="1870" w:type="dxa"/>
            <w:vAlign w:val="bottom"/>
          </w:tcPr>
          <w:p w14:paraId="20DAC9A3" w14:textId="73360ADA" w:rsidR="00866315" w:rsidRPr="0056638A" w:rsidRDefault="00AD32BC" w:rsidP="00866315">
            <w:pPr>
              <w:rPr>
                <w:rFonts w:ascii="Arial" w:hAnsi="Arial" w:cs="Arial"/>
                <w:color w:val="000000"/>
              </w:rPr>
            </w:pPr>
            <w:r>
              <w:rPr>
                <w:rFonts w:ascii="Arial" w:hAnsi="Arial" w:cs="Arial"/>
                <w:color w:val="000000"/>
              </w:rPr>
              <w:t>&gt;0.999</w:t>
            </w:r>
          </w:p>
        </w:tc>
      </w:tr>
      <w:tr w:rsidR="00866315" w14:paraId="1A1F83DA" w14:textId="77777777" w:rsidTr="00866315">
        <w:tc>
          <w:tcPr>
            <w:tcW w:w="1870" w:type="dxa"/>
            <w:vAlign w:val="bottom"/>
          </w:tcPr>
          <w:p w14:paraId="34EE2CC3" w14:textId="77777777" w:rsidR="00866315" w:rsidRDefault="00AD32BC" w:rsidP="00866315">
            <w:pPr>
              <w:rPr>
                <w:rFonts w:ascii="Arial" w:hAnsi="Arial" w:cs="Arial"/>
                <w:color w:val="000000"/>
              </w:rPr>
            </w:pPr>
            <w:r>
              <w:rPr>
                <w:rFonts w:ascii="Arial" w:hAnsi="Arial" w:cs="Arial"/>
                <w:color w:val="000000"/>
              </w:rPr>
              <w:t>Literacy rate</w:t>
            </w:r>
          </w:p>
          <w:p w14:paraId="4805F5A1" w14:textId="766C5462" w:rsidR="001F783A" w:rsidRPr="0056638A" w:rsidRDefault="001F783A" w:rsidP="00866315">
            <w:pPr>
              <w:rPr>
                <w:rFonts w:ascii="Arial" w:hAnsi="Arial" w:cs="Arial"/>
                <w:color w:val="000000"/>
              </w:rPr>
            </w:pPr>
          </w:p>
        </w:tc>
        <w:tc>
          <w:tcPr>
            <w:tcW w:w="1870" w:type="dxa"/>
            <w:vAlign w:val="bottom"/>
          </w:tcPr>
          <w:p w14:paraId="27AD0871" w14:textId="1EC2A254" w:rsidR="00866315" w:rsidRPr="0056638A" w:rsidRDefault="001F783A" w:rsidP="00866315">
            <w:pPr>
              <w:rPr>
                <w:rFonts w:ascii="Arial" w:hAnsi="Arial" w:cs="Arial"/>
                <w:color w:val="000000"/>
              </w:rPr>
            </w:pPr>
            <w:r>
              <w:rPr>
                <w:rFonts w:ascii="Arial" w:hAnsi="Arial" w:cs="Arial"/>
                <w:color w:val="000000"/>
              </w:rPr>
              <w:t>&gt;0.999</w:t>
            </w:r>
          </w:p>
        </w:tc>
        <w:tc>
          <w:tcPr>
            <w:tcW w:w="1870" w:type="dxa"/>
            <w:vAlign w:val="bottom"/>
          </w:tcPr>
          <w:p w14:paraId="3429A08E" w14:textId="78F09094" w:rsidR="00866315" w:rsidRPr="0056638A" w:rsidRDefault="001F783A" w:rsidP="00866315">
            <w:pPr>
              <w:rPr>
                <w:rFonts w:ascii="Arial" w:hAnsi="Arial" w:cs="Arial"/>
                <w:color w:val="000000"/>
              </w:rPr>
            </w:pPr>
            <w:r>
              <w:rPr>
                <w:rFonts w:ascii="Arial" w:hAnsi="Arial" w:cs="Arial"/>
                <w:color w:val="000000"/>
              </w:rPr>
              <w:t>0.993</w:t>
            </w:r>
          </w:p>
        </w:tc>
        <w:tc>
          <w:tcPr>
            <w:tcW w:w="1870" w:type="dxa"/>
            <w:vAlign w:val="bottom"/>
          </w:tcPr>
          <w:p w14:paraId="3C0148B2" w14:textId="6267E31F" w:rsidR="00866315" w:rsidRPr="0056638A" w:rsidRDefault="001F783A" w:rsidP="00866315">
            <w:pPr>
              <w:rPr>
                <w:rFonts w:ascii="Arial" w:hAnsi="Arial" w:cs="Arial"/>
                <w:color w:val="000000"/>
              </w:rPr>
            </w:pPr>
            <w:r>
              <w:rPr>
                <w:rFonts w:ascii="Arial" w:hAnsi="Arial" w:cs="Arial"/>
                <w:color w:val="000000"/>
              </w:rPr>
              <w:t>&gt;0.999</w:t>
            </w:r>
          </w:p>
        </w:tc>
        <w:tc>
          <w:tcPr>
            <w:tcW w:w="1870" w:type="dxa"/>
            <w:vAlign w:val="bottom"/>
          </w:tcPr>
          <w:p w14:paraId="184E97BA" w14:textId="23668250" w:rsidR="00866315" w:rsidRPr="0056638A" w:rsidRDefault="001F783A" w:rsidP="00866315">
            <w:pPr>
              <w:rPr>
                <w:rFonts w:ascii="Arial" w:hAnsi="Arial" w:cs="Arial"/>
                <w:color w:val="000000"/>
              </w:rPr>
            </w:pPr>
            <w:r>
              <w:rPr>
                <w:rFonts w:ascii="Arial" w:hAnsi="Arial" w:cs="Arial"/>
                <w:color w:val="000000"/>
              </w:rPr>
              <w:t>0.996</w:t>
            </w:r>
          </w:p>
        </w:tc>
      </w:tr>
      <w:tr w:rsidR="00866315" w14:paraId="6720F45D" w14:textId="77777777" w:rsidTr="00866315">
        <w:tc>
          <w:tcPr>
            <w:tcW w:w="1870" w:type="dxa"/>
            <w:vAlign w:val="bottom"/>
          </w:tcPr>
          <w:p w14:paraId="76BD8DE7" w14:textId="77777777" w:rsidR="00866315" w:rsidRDefault="001F783A" w:rsidP="00866315">
            <w:pPr>
              <w:rPr>
                <w:rFonts w:ascii="Arial" w:hAnsi="Arial" w:cs="Arial"/>
                <w:color w:val="000000"/>
              </w:rPr>
            </w:pPr>
            <w:r>
              <w:rPr>
                <w:rFonts w:ascii="Arial" w:hAnsi="Arial" w:cs="Arial"/>
                <w:color w:val="000000"/>
              </w:rPr>
              <w:t>Monthly income</w:t>
            </w:r>
          </w:p>
          <w:p w14:paraId="46120E66" w14:textId="46D50F6C" w:rsidR="001F783A" w:rsidRPr="0056638A" w:rsidRDefault="001F783A" w:rsidP="00866315">
            <w:pPr>
              <w:rPr>
                <w:rFonts w:ascii="Arial" w:hAnsi="Arial" w:cs="Arial"/>
                <w:color w:val="000000"/>
              </w:rPr>
            </w:pPr>
          </w:p>
        </w:tc>
        <w:tc>
          <w:tcPr>
            <w:tcW w:w="1870" w:type="dxa"/>
            <w:vAlign w:val="bottom"/>
          </w:tcPr>
          <w:p w14:paraId="3DBF2E7B" w14:textId="1CA2C057" w:rsidR="00866315" w:rsidRPr="0056638A" w:rsidRDefault="001F783A" w:rsidP="00866315">
            <w:pPr>
              <w:rPr>
                <w:rFonts w:ascii="Arial" w:hAnsi="Arial" w:cs="Arial"/>
                <w:color w:val="000000"/>
              </w:rPr>
            </w:pPr>
            <w:r>
              <w:rPr>
                <w:rFonts w:ascii="Arial" w:hAnsi="Arial" w:cs="Arial"/>
                <w:color w:val="000000"/>
              </w:rPr>
              <w:t>0.030</w:t>
            </w:r>
          </w:p>
        </w:tc>
        <w:tc>
          <w:tcPr>
            <w:tcW w:w="1870" w:type="dxa"/>
            <w:vAlign w:val="bottom"/>
          </w:tcPr>
          <w:p w14:paraId="6A66ECD6" w14:textId="6A796041" w:rsidR="00866315" w:rsidRPr="0056638A" w:rsidRDefault="001F783A" w:rsidP="00866315">
            <w:pPr>
              <w:rPr>
                <w:rFonts w:ascii="Arial" w:hAnsi="Arial" w:cs="Arial"/>
                <w:color w:val="000000"/>
              </w:rPr>
            </w:pPr>
            <w:r>
              <w:rPr>
                <w:rFonts w:ascii="Arial" w:hAnsi="Arial" w:cs="Arial"/>
                <w:color w:val="000000"/>
              </w:rPr>
              <w:t>0.054</w:t>
            </w:r>
          </w:p>
        </w:tc>
        <w:tc>
          <w:tcPr>
            <w:tcW w:w="1870" w:type="dxa"/>
            <w:vAlign w:val="bottom"/>
          </w:tcPr>
          <w:p w14:paraId="0998CAE0" w14:textId="210FE957" w:rsidR="00866315" w:rsidRPr="0056638A" w:rsidRDefault="001F783A" w:rsidP="00866315">
            <w:pPr>
              <w:rPr>
                <w:rFonts w:ascii="Arial" w:hAnsi="Arial" w:cs="Arial"/>
                <w:color w:val="000000"/>
              </w:rPr>
            </w:pPr>
            <w:r>
              <w:rPr>
                <w:rFonts w:ascii="Arial" w:hAnsi="Arial" w:cs="Arial"/>
                <w:color w:val="000000"/>
              </w:rPr>
              <w:t>&gt;0.999</w:t>
            </w:r>
          </w:p>
        </w:tc>
        <w:tc>
          <w:tcPr>
            <w:tcW w:w="1870" w:type="dxa"/>
            <w:vAlign w:val="bottom"/>
          </w:tcPr>
          <w:p w14:paraId="45ABB3E3" w14:textId="045AEB82" w:rsidR="00866315" w:rsidRPr="0056638A" w:rsidRDefault="001F783A" w:rsidP="00866315">
            <w:pPr>
              <w:rPr>
                <w:rFonts w:ascii="Arial" w:hAnsi="Arial" w:cs="Arial"/>
                <w:color w:val="000000"/>
              </w:rPr>
            </w:pPr>
            <w:r>
              <w:rPr>
                <w:rFonts w:ascii="Arial" w:hAnsi="Arial" w:cs="Arial"/>
                <w:color w:val="000000"/>
              </w:rPr>
              <w:t>&gt;0.999</w:t>
            </w:r>
          </w:p>
        </w:tc>
      </w:tr>
      <w:tr w:rsidR="001F783A" w14:paraId="00E592D3" w14:textId="77777777" w:rsidTr="002F5AD3">
        <w:tc>
          <w:tcPr>
            <w:tcW w:w="1870" w:type="dxa"/>
            <w:vAlign w:val="bottom"/>
          </w:tcPr>
          <w:p w14:paraId="5AAFB166" w14:textId="77777777" w:rsidR="001F783A" w:rsidRPr="0056638A" w:rsidRDefault="001F783A" w:rsidP="002F5AD3">
            <w:pPr>
              <w:rPr>
                <w:rFonts w:ascii="Arial" w:hAnsi="Arial" w:cs="Arial"/>
                <w:color w:val="000000"/>
              </w:rPr>
            </w:pPr>
            <w:r>
              <w:rPr>
                <w:rFonts w:ascii="Arial" w:hAnsi="Arial" w:cs="Arial"/>
                <w:color w:val="000000"/>
              </w:rPr>
              <w:t>Family health program coverage</w:t>
            </w:r>
          </w:p>
        </w:tc>
        <w:tc>
          <w:tcPr>
            <w:tcW w:w="1870" w:type="dxa"/>
            <w:vAlign w:val="bottom"/>
          </w:tcPr>
          <w:p w14:paraId="213570F2" w14:textId="77777777" w:rsidR="001F783A" w:rsidRPr="0056638A" w:rsidRDefault="001F783A" w:rsidP="002F5AD3">
            <w:pPr>
              <w:rPr>
                <w:rFonts w:ascii="Arial" w:hAnsi="Arial" w:cs="Arial"/>
                <w:color w:val="000000"/>
              </w:rPr>
            </w:pPr>
            <w:r>
              <w:rPr>
                <w:rFonts w:ascii="Arial" w:hAnsi="Arial" w:cs="Arial"/>
                <w:color w:val="000000"/>
              </w:rPr>
              <w:t>0.048</w:t>
            </w:r>
          </w:p>
        </w:tc>
        <w:tc>
          <w:tcPr>
            <w:tcW w:w="1870" w:type="dxa"/>
            <w:vAlign w:val="bottom"/>
          </w:tcPr>
          <w:p w14:paraId="1A3AB40E" w14:textId="77777777" w:rsidR="001F783A" w:rsidRPr="0056638A" w:rsidRDefault="001F783A" w:rsidP="002F5AD3">
            <w:pPr>
              <w:rPr>
                <w:rFonts w:ascii="Arial" w:hAnsi="Arial" w:cs="Arial"/>
                <w:color w:val="000000"/>
              </w:rPr>
            </w:pPr>
            <w:r>
              <w:rPr>
                <w:rFonts w:ascii="Arial" w:hAnsi="Arial" w:cs="Arial"/>
                <w:color w:val="000000"/>
              </w:rPr>
              <w:t>0.086</w:t>
            </w:r>
          </w:p>
        </w:tc>
        <w:tc>
          <w:tcPr>
            <w:tcW w:w="1870" w:type="dxa"/>
            <w:vAlign w:val="bottom"/>
          </w:tcPr>
          <w:p w14:paraId="591A4325" w14:textId="77777777" w:rsidR="001F783A" w:rsidRPr="0056638A" w:rsidRDefault="001F783A" w:rsidP="002F5AD3">
            <w:pPr>
              <w:rPr>
                <w:rFonts w:ascii="Arial" w:hAnsi="Arial" w:cs="Arial"/>
                <w:color w:val="000000"/>
              </w:rPr>
            </w:pPr>
            <w:r>
              <w:rPr>
                <w:rFonts w:ascii="Arial" w:hAnsi="Arial" w:cs="Arial"/>
                <w:color w:val="000000"/>
              </w:rPr>
              <w:t>0.017</w:t>
            </w:r>
          </w:p>
        </w:tc>
        <w:tc>
          <w:tcPr>
            <w:tcW w:w="1870" w:type="dxa"/>
            <w:vAlign w:val="bottom"/>
          </w:tcPr>
          <w:p w14:paraId="5F8EB5E9" w14:textId="77777777" w:rsidR="001F783A" w:rsidRPr="0056638A" w:rsidRDefault="001F783A" w:rsidP="002F5AD3">
            <w:pPr>
              <w:rPr>
                <w:rFonts w:ascii="Arial" w:hAnsi="Arial" w:cs="Arial"/>
                <w:color w:val="000000"/>
              </w:rPr>
            </w:pPr>
            <w:r>
              <w:rPr>
                <w:rFonts w:ascii="Arial" w:hAnsi="Arial" w:cs="Arial"/>
                <w:color w:val="000000"/>
              </w:rPr>
              <w:t>0.120</w:t>
            </w:r>
          </w:p>
        </w:tc>
      </w:tr>
      <w:tr w:rsidR="00866315" w14:paraId="406C3C4D" w14:textId="77777777" w:rsidTr="00866315">
        <w:tc>
          <w:tcPr>
            <w:tcW w:w="9350" w:type="dxa"/>
            <w:gridSpan w:val="5"/>
            <w:vAlign w:val="bottom"/>
          </w:tcPr>
          <w:p w14:paraId="1BF9277A" w14:textId="0C36F554" w:rsidR="00866315" w:rsidRPr="0056638A" w:rsidRDefault="001F783A" w:rsidP="001F783A">
            <w:pPr>
              <w:rPr>
                <w:rFonts w:ascii="Arial" w:hAnsi="Arial" w:cs="Arial"/>
                <w:color w:val="000000"/>
              </w:rPr>
            </w:pPr>
            <w:r>
              <w:rPr>
                <w:rFonts w:ascii="Arial" w:hAnsi="Arial" w:cs="Arial"/>
                <w:color w:val="000000"/>
              </w:rPr>
              <w:t>C</w:t>
            </w:r>
            <w:r w:rsidR="00866315">
              <w:rPr>
                <w:rFonts w:ascii="Arial" w:hAnsi="Arial" w:cs="Arial"/>
                <w:color w:val="000000"/>
              </w:rPr>
              <w:t>ovariates are estimated at the level of the municipality from sources detailed in Table S</w:t>
            </w:r>
            <w:r>
              <w:rPr>
                <w:rFonts w:ascii="Arial" w:hAnsi="Arial" w:cs="Arial"/>
                <w:color w:val="000000"/>
              </w:rPr>
              <w:t>2</w:t>
            </w:r>
            <w:r w:rsidR="00866315">
              <w:rPr>
                <w:rFonts w:ascii="Arial" w:hAnsi="Arial" w:cs="Arial"/>
                <w:color w:val="000000"/>
              </w:rPr>
              <w:t>.</w:t>
            </w:r>
          </w:p>
        </w:tc>
      </w:tr>
    </w:tbl>
    <w:p w14:paraId="13522CAB" w14:textId="77777777" w:rsidR="00866315" w:rsidRDefault="00866315" w:rsidP="00866315">
      <w:pPr>
        <w:rPr>
          <w:rFonts w:ascii="Arial" w:hAnsi="Arial" w:cs="Arial"/>
        </w:rPr>
      </w:pPr>
    </w:p>
    <w:p w14:paraId="528855AA" w14:textId="72FBF569" w:rsidR="00866315" w:rsidRPr="004A4B93" w:rsidRDefault="00866315" w:rsidP="00866315">
      <w:pPr>
        <w:pStyle w:val="Heading2"/>
        <w:rPr>
          <w:rFonts w:ascii="Arial" w:hAnsi="Arial" w:cs="Arial"/>
        </w:rPr>
      </w:pPr>
      <w:bookmarkStart w:id="28" w:name="_Toc507589365"/>
      <w:bookmarkStart w:id="29" w:name="_Toc516066499"/>
      <w:r w:rsidRPr="004A4B93">
        <w:rPr>
          <w:rFonts w:ascii="Arial" w:hAnsi="Arial" w:cs="Arial"/>
        </w:rPr>
        <w:t>4.3 TB all forms (with and without HIV) mortality, incidence, and case fatality</w:t>
      </w:r>
      <w:bookmarkEnd w:id="28"/>
      <w:bookmarkEnd w:id="29"/>
    </w:p>
    <w:p w14:paraId="534B47C7" w14:textId="2C36E8D6" w:rsidR="00866315" w:rsidRPr="006B161E" w:rsidRDefault="00866315" w:rsidP="00866315">
      <w:pPr>
        <w:spacing w:line="480" w:lineRule="auto"/>
        <w:ind w:firstLine="720"/>
        <w:rPr>
          <w:rFonts w:ascii="Arial" w:hAnsi="Arial" w:cs="Arial"/>
        </w:rPr>
      </w:pPr>
      <w:r>
        <w:rPr>
          <w:rFonts w:ascii="Arial" w:hAnsi="Arial" w:cs="Arial"/>
        </w:rPr>
        <w:t>Deaths attributed to TB in people with and without HIV were summed by age group, sex, municipality, and year and then modelled using the small area estimation model (Fig S</w:t>
      </w:r>
      <w:r w:rsidR="000F4C64">
        <w:rPr>
          <w:rFonts w:ascii="Arial" w:hAnsi="Arial" w:cs="Arial"/>
        </w:rPr>
        <w:t>5</w:t>
      </w:r>
      <w:r>
        <w:rPr>
          <w:rFonts w:ascii="Arial" w:hAnsi="Arial" w:cs="Arial"/>
        </w:rPr>
        <w:t>). These model results are the numerator for the case fatality ratio calculation.</w:t>
      </w:r>
      <w:r w:rsidRPr="006B161E">
        <w:rPr>
          <w:rFonts w:ascii="Arial" w:hAnsi="Arial" w:cs="Arial"/>
        </w:rPr>
        <w:t xml:space="preserve"> </w:t>
      </w:r>
      <w:r>
        <w:rPr>
          <w:rFonts w:ascii="Arial" w:hAnsi="Arial" w:cs="Arial"/>
        </w:rPr>
        <w:t xml:space="preserve">TB case notifications in persons with or without HIV infection were modelled to estimate incidence using the small area </w:t>
      </w:r>
      <w:r>
        <w:rPr>
          <w:rFonts w:ascii="Arial" w:hAnsi="Arial" w:cs="Arial"/>
        </w:rPr>
        <w:lastRenderedPageBreak/>
        <w:t>estimation approach (Fig S</w:t>
      </w:r>
      <w:r w:rsidR="000F4C64">
        <w:rPr>
          <w:rFonts w:ascii="Arial" w:hAnsi="Arial" w:cs="Arial"/>
        </w:rPr>
        <w:t>6</w:t>
      </w:r>
      <w:r>
        <w:rPr>
          <w:rFonts w:ascii="Arial" w:hAnsi="Arial" w:cs="Arial"/>
        </w:rPr>
        <w:t>). These results are the denominator for the case fatality ratio calculation.</w:t>
      </w:r>
    </w:p>
    <w:p w14:paraId="0A0D8226" w14:textId="3383F745" w:rsidR="00866315" w:rsidRDefault="00866315" w:rsidP="00866315">
      <w:pPr>
        <w:rPr>
          <w:rFonts w:ascii="Arial" w:hAnsi="Arial" w:cs="Arial"/>
        </w:rPr>
      </w:pPr>
      <w:r>
        <w:rPr>
          <w:rFonts w:ascii="Arial" w:hAnsi="Arial" w:cs="Arial"/>
        </w:rPr>
        <w:t xml:space="preserve">Fig </w:t>
      </w:r>
      <w:r w:rsidR="00763EB1">
        <w:rPr>
          <w:rFonts w:ascii="Arial" w:hAnsi="Arial" w:cs="Arial"/>
        </w:rPr>
        <w:t>S5</w:t>
      </w:r>
      <w:r>
        <w:rPr>
          <w:rFonts w:ascii="Arial" w:hAnsi="Arial" w:cs="Arial"/>
        </w:rPr>
        <w:t xml:space="preserve">: Age-standardised TB all-forms (includes TB in PLHIV) </w:t>
      </w:r>
      <w:r w:rsidR="00350B00">
        <w:rPr>
          <w:rFonts w:ascii="Arial" w:hAnsi="Arial" w:cs="Arial"/>
        </w:rPr>
        <w:t xml:space="preserve">mortality </w:t>
      </w:r>
      <w:r>
        <w:rPr>
          <w:rFonts w:ascii="Arial" w:hAnsi="Arial" w:cs="Arial"/>
        </w:rPr>
        <w:t>per 100,000 population by sex in select years</w:t>
      </w:r>
    </w:p>
    <w:p w14:paraId="4346B203" w14:textId="7D00384E" w:rsidR="00866315" w:rsidRDefault="00222116" w:rsidP="00866315">
      <w:pPr>
        <w:rPr>
          <w:rFonts w:ascii="Arial" w:hAnsi="Arial" w:cs="Arial"/>
        </w:rPr>
      </w:pPr>
      <w:r>
        <w:rPr>
          <w:noProof/>
        </w:rPr>
        <w:drawing>
          <wp:inline distT="0" distB="0" distL="0" distR="0" wp14:anchorId="0C7CF775" wp14:editId="5CBAFF66">
            <wp:extent cx="6134100" cy="3488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0616" cy="3492147"/>
                    </a:xfrm>
                    <a:prstGeom prst="rect">
                      <a:avLst/>
                    </a:prstGeom>
                  </pic:spPr>
                </pic:pic>
              </a:graphicData>
            </a:graphic>
          </wp:inline>
        </w:drawing>
      </w:r>
    </w:p>
    <w:p w14:paraId="0A27FE80" w14:textId="77777777" w:rsidR="00866315" w:rsidRDefault="00866315" w:rsidP="00866315">
      <w:pPr>
        <w:spacing w:line="480" w:lineRule="auto"/>
        <w:rPr>
          <w:rFonts w:ascii="Arial" w:hAnsi="Arial" w:cs="Arial"/>
        </w:rPr>
      </w:pPr>
    </w:p>
    <w:p w14:paraId="3B5B2D12" w14:textId="77777777" w:rsidR="00866315" w:rsidRDefault="00866315" w:rsidP="00866315">
      <w:pPr>
        <w:spacing w:line="480" w:lineRule="auto"/>
        <w:rPr>
          <w:rFonts w:ascii="Arial" w:hAnsi="Arial" w:cs="Arial"/>
        </w:rPr>
      </w:pPr>
    </w:p>
    <w:p w14:paraId="33DCEAB3" w14:textId="77777777" w:rsidR="00866315" w:rsidRDefault="00866315" w:rsidP="00866315">
      <w:pPr>
        <w:spacing w:line="480" w:lineRule="auto"/>
        <w:rPr>
          <w:rFonts w:ascii="Arial" w:hAnsi="Arial" w:cs="Arial"/>
        </w:rPr>
      </w:pPr>
    </w:p>
    <w:p w14:paraId="3D24A2BA" w14:textId="77777777" w:rsidR="00866315" w:rsidRDefault="00866315" w:rsidP="00866315">
      <w:pPr>
        <w:spacing w:line="480" w:lineRule="auto"/>
        <w:rPr>
          <w:rFonts w:ascii="Arial" w:hAnsi="Arial" w:cs="Arial"/>
        </w:rPr>
      </w:pPr>
    </w:p>
    <w:p w14:paraId="4183A145" w14:textId="77777777" w:rsidR="00866315" w:rsidRDefault="00866315" w:rsidP="00866315">
      <w:pPr>
        <w:spacing w:line="480" w:lineRule="auto"/>
        <w:rPr>
          <w:rFonts w:ascii="Arial" w:hAnsi="Arial" w:cs="Arial"/>
        </w:rPr>
      </w:pPr>
    </w:p>
    <w:p w14:paraId="71CEBCE3" w14:textId="77777777" w:rsidR="00866315" w:rsidRDefault="00866315" w:rsidP="00866315">
      <w:pPr>
        <w:spacing w:line="480" w:lineRule="auto"/>
        <w:rPr>
          <w:rFonts w:ascii="Arial" w:hAnsi="Arial" w:cs="Arial"/>
        </w:rPr>
      </w:pPr>
    </w:p>
    <w:p w14:paraId="23315517" w14:textId="77777777" w:rsidR="00866315" w:rsidRDefault="00866315" w:rsidP="00866315">
      <w:pPr>
        <w:spacing w:line="480" w:lineRule="auto"/>
        <w:rPr>
          <w:rFonts w:ascii="Arial" w:hAnsi="Arial" w:cs="Arial"/>
        </w:rPr>
      </w:pPr>
    </w:p>
    <w:p w14:paraId="369A1A50" w14:textId="77777777" w:rsidR="00866315" w:rsidRDefault="00866315" w:rsidP="00866315">
      <w:pPr>
        <w:rPr>
          <w:rFonts w:ascii="Arial" w:hAnsi="Arial" w:cs="Arial"/>
        </w:rPr>
      </w:pPr>
      <w:r>
        <w:rPr>
          <w:rFonts w:ascii="Arial" w:hAnsi="Arial" w:cs="Arial"/>
        </w:rPr>
        <w:br w:type="page"/>
      </w:r>
    </w:p>
    <w:p w14:paraId="50F0496D" w14:textId="18E0962F" w:rsidR="00866315" w:rsidRDefault="00866315" w:rsidP="00866315">
      <w:pPr>
        <w:rPr>
          <w:rFonts w:ascii="Arial" w:hAnsi="Arial" w:cs="Arial"/>
        </w:rPr>
      </w:pPr>
      <w:r>
        <w:rPr>
          <w:rFonts w:ascii="Arial" w:hAnsi="Arial" w:cs="Arial"/>
        </w:rPr>
        <w:lastRenderedPageBreak/>
        <w:t xml:space="preserve">Fig </w:t>
      </w:r>
      <w:r w:rsidR="00763EB1">
        <w:rPr>
          <w:rFonts w:ascii="Arial" w:hAnsi="Arial" w:cs="Arial"/>
        </w:rPr>
        <w:t>S6</w:t>
      </w:r>
      <w:r>
        <w:rPr>
          <w:rFonts w:ascii="Arial" w:hAnsi="Arial" w:cs="Arial"/>
        </w:rPr>
        <w:t>: Age-standardised TB all-forms (includes TB in PLHIV) incidence per 100,000 population by sex in select years</w:t>
      </w:r>
    </w:p>
    <w:p w14:paraId="2D3DB6B0" w14:textId="0ED0B099" w:rsidR="00866315" w:rsidRPr="009D4797" w:rsidRDefault="00222116" w:rsidP="00866315">
      <w:pPr>
        <w:rPr>
          <w:rFonts w:ascii="Arial" w:hAnsi="Arial" w:cs="Arial"/>
        </w:rPr>
      </w:pPr>
      <w:r>
        <w:rPr>
          <w:noProof/>
        </w:rPr>
        <w:drawing>
          <wp:inline distT="0" distB="0" distL="0" distR="0" wp14:anchorId="77139986" wp14:editId="23503FAF">
            <wp:extent cx="5943600" cy="3411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11220"/>
                    </a:xfrm>
                    <a:prstGeom prst="rect">
                      <a:avLst/>
                    </a:prstGeom>
                  </pic:spPr>
                </pic:pic>
              </a:graphicData>
            </a:graphic>
          </wp:inline>
        </w:drawing>
      </w:r>
    </w:p>
    <w:p w14:paraId="33963A7B" w14:textId="1DBCA817" w:rsidR="00866315" w:rsidRDefault="00866315" w:rsidP="00866315">
      <w:pPr>
        <w:rPr>
          <w:rFonts w:ascii="Arial" w:hAnsi="Arial" w:cs="Arial"/>
        </w:rPr>
      </w:pPr>
      <w:r>
        <w:rPr>
          <w:rFonts w:ascii="Arial" w:hAnsi="Arial" w:cs="Arial"/>
        </w:rPr>
        <w:t xml:space="preserve">Fig </w:t>
      </w:r>
      <w:r w:rsidR="00763EB1">
        <w:rPr>
          <w:rFonts w:ascii="Arial" w:hAnsi="Arial" w:cs="Arial"/>
        </w:rPr>
        <w:t>S7</w:t>
      </w:r>
      <w:r>
        <w:rPr>
          <w:rFonts w:ascii="Arial" w:hAnsi="Arial" w:cs="Arial"/>
        </w:rPr>
        <w:t>: Age-standardised national TB case fatality ratios by year and sex, 2001-2014</w:t>
      </w:r>
    </w:p>
    <w:p w14:paraId="254E5188" w14:textId="6FD0315B" w:rsidR="00866315" w:rsidRDefault="00C23536" w:rsidP="00866315">
      <w:pPr>
        <w:rPr>
          <w:rFonts w:ascii="Arial" w:hAnsi="Arial" w:cs="Arial"/>
        </w:rPr>
      </w:pPr>
      <w:r>
        <w:rPr>
          <w:noProof/>
        </w:rPr>
        <w:drawing>
          <wp:inline distT="0" distB="0" distL="0" distR="0" wp14:anchorId="21025C08" wp14:editId="385FE2A8">
            <wp:extent cx="4973383" cy="3873500"/>
            <wp:effectExtent l="19050" t="19050" r="1778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7220" cy="3876488"/>
                    </a:xfrm>
                    <a:prstGeom prst="rect">
                      <a:avLst/>
                    </a:prstGeom>
                    <a:ln>
                      <a:solidFill>
                        <a:schemeClr val="tx1"/>
                      </a:solidFill>
                    </a:ln>
                  </pic:spPr>
                </pic:pic>
              </a:graphicData>
            </a:graphic>
          </wp:inline>
        </w:drawing>
      </w:r>
    </w:p>
    <w:p w14:paraId="2B7440BB" w14:textId="3D5E35D9" w:rsidR="00EF258D" w:rsidRPr="000108B4" w:rsidRDefault="00073A86" w:rsidP="00DE40A6">
      <w:pPr>
        <w:pStyle w:val="Heading1"/>
        <w:rPr>
          <w:rFonts w:ascii="Arial" w:hAnsi="Arial" w:cs="Arial"/>
        </w:rPr>
      </w:pPr>
      <w:bookmarkStart w:id="30" w:name="_Toc507589376"/>
      <w:bookmarkStart w:id="31" w:name="_Toc516066500"/>
      <w:bookmarkEnd w:id="19"/>
      <w:r w:rsidRPr="000108B4">
        <w:rPr>
          <w:rFonts w:ascii="Arial" w:hAnsi="Arial" w:cs="Arial"/>
        </w:rPr>
        <w:lastRenderedPageBreak/>
        <w:t xml:space="preserve">5.0 </w:t>
      </w:r>
      <w:r w:rsidR="00EF258D" w:rsidRPr="000108B4">
        <w:rPr>
          <w:rFonts w:ascii="Arial" w:hAnsi="Arial" w:cs="Arial"/>
        </w:rPr>
        <w:t>Supplementary References</w:t>
      </w:r>
      <w:bookmarkEnd w:id="30"/>
      <w:bookmarkEnd w:id="31"/>
    </w:p>
    <w:p w14:paraId="51557597" w14:textId="77777777" w:rsidR="00900791" w:rsidRPr="00900791" w:rsidRDefault="00015F3B" w:rsidP="00900791">
      <w:pPr>
        <w:pStyle w:val="Bibliography"/>
        <w:rPr>
          <w:rFonts w:ascii="Calibri" w:hAnsi="Calibri" w:cs="Calibri"/>
        </w:rPr>
      </w:pPr>
      <w:r>
        <w:fldChar w:fldCharType="begin"/>
      </w:r>
      <w:r w:rsidR="00900791">
        <w:instrText xml:space="preserve"> ADDIN ZOTERO_BIBL {"custom":[]} CSL_BIBLIOGRAPHY </w:instrText>
      </w:r>
      <w:r>
        <w:fldChar w:fldCharType="separate"/>
      </w:r>
      <w:r w:rsidR="00900791" w:rsidRPr="00900791">
        <w:rPr>
          <w:rFonts w:ascii="Calibri" w:hAnsi="Calibri" w:cs="Calibri"/>
        </w:rPr>
        <w:t>[1]</w:t>
      </w:r>
      <w:r w:rsidR="00900791" w:rsidRPr="00900791">
        <w:rPr>
          <w:rFonts w:ascii="Calibri" w:hAnsi="Calibri" w:cs="Calibri"/>
        </w:rPr>
        <w:tab/>
        <w:t xml:space="preserve">A. J. Tatem, “WorldPop, open data for spatial demography,” </w:t>
      </w:r>
      <w:r w:rsidR="00900791" w:rsidRPr="00900791">
        <w:rPr>
          <w:rFonts w:ascii="Calibri" w:hAnsi="Calibri" w:cs="Calibri"/>
          <w:i/>
          <w:iCs/>
        </w:rPr>
        <w:t>Sci. Data</w:t>
      </w:r>
      <w:r w:rsidR="00900791" w:rsidRPr="00900791">
        <w:rPr>
          <w:rFonts w:ascii="Calibri" w:hAnsi="Calibri" w:cs="Calibri"/>
        </w:rPr>
        <w:t>, vol. 4, p. 170004, 31 2017.</w:t>
      </w:r>
    </w:p>
    <w:p w14:paraId="568CF434" w14:textId="77777777" w:rsidR="00900791" w:rsidRPr="00900791" w:rsidRDefault="00900791" w:rsidP="00900791">
      <w:pPr>
        <w:pStyle w:val="Bibliography"/>
        <w:rPr>
          <w:rFonts w:ascii="Calibri" w:hAnsi="Calibri" w:cs="Calibri"/>
        </w:rPr>
      </w:pPr>
      <w:r w:rsidRPr="00900791">
        <w:rPr>
          <w:rFonts w:ascii="Calibri" w:hAnsi="Calibri" w:cs="Calibri"/>
        </w:rPr>
        <w:t>[2]</w:t>
      </w:r>
      <w:r w:rsidRPr="00900791">
        <w:rPr>
          <w:rFonts w:ascii="Calibri" w:hAnsi="Calibri" w:cs="Calibri"/>
        </w:rPr>
        <w:tab/>
        <w:t xml:space="preserve">Food and Agriculture Organization of the United Nations, </w:t>
      </w:r>
      <w:r w:rsidRPr="00900791">
        <w:rPr>
          <w:rFonts w:ascii="Calibri" w:hAnsi="Calibri" w:cs="Calibri"/>
          <w:i/>
          <w:iCs/>
        </w:rPr>
        <w:t>Global Administrative Unit Layers (GAUL) (GeoLayer).</w:t>
      </w:r>
      <w:r w:rsidRPr="00900791">
        <w:rPr>
          <w:rFonts w:ascii="Calibri" w:hAnsi="Calibri" w:cs="Calibri"/>
        </w:rPr>
        <w:t xml:space="preserve"> 2015.</w:t>
      </w:r>
    </w:p>
    <w:p w14:paraId="78815145" w14:textId="77777777" w:rsidR="00900791" w:rsidRPr="00900791" w:rsidRDefault="00900791" w:rsidP="00900791">
      <w:pPr>
        <w:pStyle w:val="Bibliography"/>
        <w:rPr>
          <w:rFonts w:ascii="Calibri" w:hAnsi="Calibri" w:cs="Calibri"/>
        </w:rPr>
      </w:pPr>
      <w:r w:rsidRPr="00900791">
        <w:rPr>
          <w:rFonts w:ascii="Calibri" w:hAnsi="Calibri" w:cs="Calibri"/>
        </w:rPr>
        <w:t>[3]</w:t>
      </w:r>
      <w:r w:rsidRPr="00900791">
        <w:rPr>
          <w:rFonts w:ascii="Calibri" w:hAnsi="Calibri" w:cs="Calibri"/>
        </w:rPr>
        <w:tab/>
        <w:t xml:space="preserve">GBD 2016 Causes of Death Collaborators, “Global, regional, and national age-sex specific mortality for 264 causes of death, 1980-2016: a systematic analysis for the Global Burden of Disease Study 2016,” </w:t>
      </w:r>
      <w:r w:rsidRPr="00900791">
        <w:rPr>
          <w:rFonts w:ascii="Calibri" w:hAnsi="Calibri" w:cs="Calibri"/>
          <w:i/>
          <w:iCs/>
        </w:rPr>
        <w:t>Lancet Lond. Engl.</w:t>
      </w:r>
      <w:r w:rsidRPr="00900791">
        <w:rPr>
          <w:rFonts w:ascii="Calibri" w:hAnsi="Calibri" w:cs="Calibri"/>
        </w:rPr>
        <w:t>, vol. 390, no. 10100, pp. 1151–1210, Sep. 2017.</w:t>
      </w:r>
    </w:p>
    <w:p w14:paraId="1417B0DE" w14:textId="77777777" w:rsidR="00900791" w:rsidRPr="00900791" w:rsidRDefault="00900791" w:rsidP="00900791">
      <w:pPr>
        <w:pStyle w:val="Bibliography"/>
        <w:rPr>
          <w:rFonts w:ascii="Calibri" w:hAnsi="Calibri" w:cs="Calibri"/>
        </w:rPr>
      </w:pPr>
      <w:r w:rsidRPr="00900791">
        <w:rPr>
          <w:rFonts w:ascii="Calibri" w:hAnsi="Calibri" w:cs="Calibri"/>
        </w:rPr>
        <w:t>[4]</w:t>
      </w:r>
      <w:r w:rsidRPr="00900791">
        <w:rPr>
          <w:rFonts w:ascii="Calibri" w:hAnsi="Calibri" w:cs="Calibri"/>
        </w:rPr>
        <w:tab/>
        <w:t>K. Kristensen, A. Nielsen, C. W. Berg, H. Skaug, and B. M. Bell, “</w:t>
      </w:r>
      <w:r w:rsidRPr="00900791">
        <w:rPr>
          <w:rFonts w:ascii="Calibri" w:hAnsi="Calibri" w:cs="Calibri"/>
          <w:b/>
          <w:bCs/>
        </w:rPr>
        <w:t>TMB</w:t>
      </w:r>
      <w:r w:rsidRPr="00900791">
        <w:rPr>
          <w:rFonts w:ascii="Calibri" w:hAnsi="Calibri" w:cs="Calibri"/>
        </w:rPr>
        <w:t xml:space="preserve"> : Automatic Differentiation and Laplace Approximation,” </w:t>
      </w:r>
      <w:r w:rsidRPr="00900791">
        <w:rPr>
          <w:rFonts w:ascii="Calibri" w:hAnsi="Calibri" w:cs="Calibri"/>
          <w:i/>
          <w:iCs/>
        </w:rPr>
        <w:t>J. Stat. Softw.</w:t>
      </w:r>
      <w:r w:rsidRPr="00900791">
        <w:rPr>
          <w:rFonts w:ascii="Calibri" w:hAnsi="Calibri" w:cs="Calibri"/>
        </w:rPr>
        <w:t>, vol. 70, no. 5, 2016.</w:t>
      </w:r>
    </w:p>
    <w:p w14:paraId="6BE8DE3B" w14:textId="77777777" w:rsidR="00900791" w:rsidRPr="00900791" w:rsidRDefault="00900791" w:rsidP="00900791">
      <w:pPr>
        <w:pStyle w:val="Bibliography"/>
        <w:rPr>
          <w:rFonts w:ascii="Calibri" w:hAnsi="Calibri" w:cs="Calibri"/>
        </w:rPr>
      </w:pPr>
      <w:r w:rsidRPr="00900791">
        <w:rPr>
          <w:rFonts w:ascii="Calibri" w:hAnsi="Calibri" w:cs="Calibri"/>
        </w:rPr>
        <w:t>[5]</w:t>
      </w:r>
      <w:r w:rsidRPr="00900791">
        <w:rPr>
          <w:rFonts w:ascii="Calibri" w:hAnsi="Calibri" w:cs="Calibri"/>
        </w:rPr>
        <w:tab/>
        <w:t>R Core Team, “R: a language and environment for statistical computing,” Foundation for Statistical Computing, Vienna, Austria, 2015.</w:t>
      </w:r>
    </w:p>
    <w:p w14:paraId="5FA2765E" w14:textId="77777777" w:rsidR="00900791" w:rsidRPr="00900791" w:rsidRDefault="00900791" w:rsidP="00900791">
      <w:pPr>
        <w:pStyle w:val="Bibliography"/>
        <w:rPr>
          <w:rFonts w:ascii="Calibri" w:hAnsi="Calibri" w:cs="Calibri"/>
        </w:rPr>
      </w:pPr>
      <w:r w:rsidRPr="00900791">
        <w:rPr>
          <w:rFonts w:ascii="Calibri" w:hAnsi="Calibri" w:cs="Calibri"/>
        </w:rPr>
        <w:t>[6]</w:t>
      </w:r>
      <w:r w:rsidRPr="00900791">
        <w:rPr>
          <w:rFonts w:ascii="Calibri" w:hAnsi="Calibri" w:cs="Calibri"/>
        </w:rPr>
        <w:tab/>
        <w:t xml:space="preserve">T. Srebotnjak, A. H. Mokdad, and C. J. Murray, “A novel framework for validating and applying standardized small area measurement strategies,” </w:t>
      </w:r>
      <w:r w:rsidRPr="00900791">
        <w:rPr>
          <w:rFonts w:ascii="Calibri" w:hAnsi="Calibri" w:cs="Calibri"/>
          <w:i/>
          <w:iCs/>
        </w:rPr>
        <w:t>Popul. Health Metr.</w:t>
      </w:r>
      <w:r w:rsidRPr="00900791">
        <w:rPr>
          <w:rFonts w:ascii="Calibri" w:hAnsi="Calibri" w:cs="Calibri"/>
        </w:rPr>
        <w:t>, vol. 8, p. 26, Sep. 2010.</w:t>
      </w:r>
    </w:p>
    <w:p w14:paraId="76A3D494" w14:textId="77777777" w:rsidR="00900791" w:rsidRPr="00900791" w:rsidRDefault="00900791" w:rsidP="00900791">
      <w:pPr>
        <w:pStyle w:val="Bibliography"/>
        <w:rPr>
          <w:rFonts w:ascii="Calibri" w:hAnsi="Calibri" w:cs="Calibri"/>
        </w:rPr>
      </w:pPr>
      <w:r w:rsidRPr="00900791">
        <w:rPr>
          <w:rFonts w:ascii="Calibri" w:hAnsi="Calibri" w:cs="Calibri"/>
        </w:rPr>
        <w:t>[7]</w:t>
      </w:r>
      <w:r w:rsidRPr="00900791">
        <w:rPr>
          <w:rFonts w:ascii="Calibri" w:hAnsi="Calibri" w:cs="Calibri"/>
        </w:rPr>
        <w:tab/>
        <w:t xml:space="preserve">L. Dwyer-Lindgren </w:t>
      </w:r>
      <w:r w:rsidRPr="00900791">
        <w:rPr>
          <w:rFonts w:ascii="Calibri" w:hAnsi="Calibri" w:cs="Calibri"/>
          <w:i/>
          <w:iCs/>
        </w:rPr>
        <w:t>et al.</w:t>
      </w:r>
      <w:r w:rsidRPr="00900791">
        <w:rPr>
          <w:rFonts w:ascii="Calibri" w:hAnsi="Calibri" w:cs="Calibri"/>
        </w:rPr>
        <w:t xml:space="preserve">, “US County-Level Trends in Mortality Rates for Major Causes of Death, 1980-2014,” </w:t>
      </w:r>
      <w:r w:rsidRPr="00900791">
        <w:rPr>
          <w:rFonts w:ascii="Calibri" w:hAnsi="Calibri" w:cs="Calibri"/>
          <w:i/>
          <w:iCs/>
        </w:rPr>
        <w:t>JAMA</w:t>
      </w:r>
      <w:r w:rsidRPr="00900791">
        <w:rPr>
          <w:rFonts w:ascii="Calibri" w:hAnsi="Calibri" w:cs="Calibri"/>
        </w:rPr>
        <w:t>, vol. 316, no. 22, pp. 2385–2401, 13 2016.</w:t>
      </w:r>
    </w:p>
    <w:p w14:paraId="00A82464" w14:textId="0A3F7D5B" w:rsidR="00015F3B" w:rsidRPr="00015F3B" w:rsidRDefault="00015F3B" w:rsidP="00015F3B">
      <w:pPr>
        <w:pStyle w:val="ListParagraph"/>
        <w:ind w:left="370"/>
      </w:pPr>
      <w:r>
        <w:fldChar w:fldCharType="end"/>
      </w:r>
    </w:p>
    <w:p w14:paraId="25E406D3" w14:textId="77777777" w:rsidR="009D4797" w:rsidRPr="00C12352" w:rsidRDefault="009D4797" w:rsidP="00C12352">
      <w:pPr>
        <w:rPr>
          <w:rFonts w:ascii="Arial" w:hAnsi="Arial" w:cs="Arial"/>
        </w:rPr>
      </w:pPr>
    </w:p>
    <w:p w14:paraId="37E68BAB" w14:textId="77777777" w:rsidR="00C12352" w:rsidRPr="00C12352" w:rsidRDefault="00C12352" w:rsidP="00C12352"/>
    <w:sectPr w:rsidR="00C12352" w:rsidRPr="00C12352" w:rsidSect="00270CF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40671" w14:textId="77777777" w:rsidR="001B3F41" w:rsidRDefault="001B3F41" w:rsidP="009218B2">
      <w:pPr>
        <w:spacing w:after="0" w:line="240" w:lineRule="auto"/>
      </w:pPr>
      <w:r>
        <w:separator/>
      </w:r>
    </w:p>
  </w:endnote>
  <w:endnote w:type="continuationSeparator" w:id="0">
    <w:p w14:paraId="4A643EA4" w14:textId="77777777" w:rsidR="001B3F41" w:rsidRDefault="001B3F41" w:rsidP="009218B2">
      <w:pPr>
        <w:spacing w:after="0" w:line="240" w:lineRule="auto"/>
      </w:pPr>
      <w:r>
        <w:continuationSeparator/>
      </w:r>
    </w:p>
  </w:endnote>
  <w:endnote w:type="continuationNotice" w:id="1">
    <w:p w14:paraId="3230239D" w14:textId="77777777" w:rsidR="001B3F41" w:rsidRDefault="001B3F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752587"/>
      <w:docPartObj>
        <w:docPartGallery w:val="Page Numbers (Bottom of Page)"/>
        <w:docPartUnique/>
      </w:docPartObj>
    </w:sdtPr>
    <w:sdtEndPr>
      <w:rPr>
        <w:noProof/>
      </w:rPr>
    </w:sdtEndPr>
    <w:sdtContent>
      <w:p w14:paraId="7F6DEFDA" w14:textId="38C5A542" w:rsidR="001B3F41" w:rsidRDefault="001B3F41">
        <w:pPr>
          <w:pStyle w:val="Footer"/>
          <w:jc w:val="right"/>
        </w:pPr>
        <w:r>
          <w:fldChar w:fldCharType="begin"/>
        </w:r>
        <w:r>
          <w:instrText xml:space="preserve"> PAGE   \* MERGEFORMAT </w:instrText>
        </w:r>
        <w:r>
          <w:fldChar w:fldCharType="separate"/>
        </w:r>
        <w:r w:rsidR="00F14F62">
          <w:rPr>
            <w:noProof/>
          </w:rPr>
          <w:t>16</w:t>
        </w:r>
        <w:r>
          <w:rPr>
            <w:noProof/>
          </w:rPr>
          <w:fldChar w:fldCharType="end"/>
        </w:r>
      </w:p>
    </w:sdtContent>
  </w:sdt>
  <w:p w14:paraId="37978165" w14:textId="77777777" w:rsidR="001B3F41" w:rsidRDefault="001B3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CEA92" w14:textId="77777777" w:rsidR="001B3F41" w:rsidRDefault="001B3F41" w:rsidP="009218B2">
      <w:pPr>
        <w:spacing w:after="0" w:line="240" w:lineRule="auto"/>
      </w:pPr>
      <w:r>
        <w:separator/>
      </w:r>
    </w:p>
  </w:footnote>
  <w:footnote w:type="continuationSeparator" w:id="0">
    <w:p w14:paraId="397A6275" w14:textId="77777777" w:rsidR="001B3F41" w:rsidRDefault="001B3F41" w:rsidP="009218B2">
      <w:pPr>
        <w:spacing w:after="0" w:line="240" w:lineRule="auto"/>
      </w:pPr>
      <w:r>
        <w:continuationSeparator/>
      </w:r>
    </w:p>
  </w:footnote>
  <w:footnote w:type="continuationNotice" w:id="1">
    <w:p w14:paraId="0F3223E3" w14:textId="77777777" w:rsidR="001B3F41" w:rsidRDefault="001B3F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600"/>
    <w:multiLevelType w:val="multilevel"/>
    <w:tmpl w:val="DB18D8AA"/>
    <w:lvl w:ilvl="0">
      <w:start w:val="1"/>
      <w:numFmt w:val="decimal"/>
      <w:lvlText w:val="%1.0"/>
      <w:lvlJc w:val="left"/>
      <w:pPr>
        <w:ind w:left="370" w:hanging="370"/>
      </w:pPr>
      <w:rPr>
        <w:rFonts w:hint="default"/>
      </w:rPr>
    </w:lvl>
    <w:lvl w:ilvl="1">
      <w:start w:val="1"/>
      <w:numFmt w:val="decimal"/>
      <w:lvlText w:val="%1.%2"/>
      <w:lvlJc w:val="left"/>
      <w:pPr>
        <w:ind w:left="1090" w:hanging="3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C881761"/>
    <w:multiLevelType w:val="multilevel"/>
    <w:tmpl w:val="0FDA70B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62286A0D"/>
    <w:multiLevelType w:val="hybridMultilevel"/>
    <w:tmpl w:val="6D18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B258D3"/>
    <w:multiLevelType w:val="hybridMultilevel"/>
    <w:tmpl w:val="AA00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9C42F5"/>
    <w:multiLevelType w:val="hybridMultilevel"/>
    <w:tmpl w:val="D078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BF8"/>
    <w:rsid w:val="0000240C"/>
    <w:rsid w:val="00003C80"/>
    <w:rsid w:val="000108B4"/>
    <w:rsid w:val="00013D1F"/>
    <w:rsid w:val="00015F3B"/>
    <w:rsid w:val="000371AA"/>
    <w:rsid w:val="000373CF"/>
    <w:rsid w:val="00040EAE"/>
    <w:rsid w:val="00052CA9"/>
    <w:rsid w:val="00060797"/>
    <w:rsid w:val="0006082E"/>
    <w:rsid w:val="00071343"/>
    <w:rsid w:val="00073A86"/>
    <w:rsid w:val="0007697C"/>
    <w:rsid w:val="000831F8"/>
    <w:rsid w:val="000853FE"/>
    <w:rsid w:val="0009033A"/>
    <w:rsid w:val="000957A1"/>
    <w:rsid w:val="000B3515"/>
    <w:rsid w:val="000B5B9D"/>
    <w:rsid w:val="000B7066"/>
    <w:rsid w:val="000C43FA"/>
    <w:rsid w:val="000D509F"/>
    <w:rsid w:val="000E0A9C"/>
    <w:rsid w:val="000E5CB6"/>
    <w:rsid w:val="000E6578"/>
    <w:rsid w:val="000F090D"/>
    <w:rsid w:val="000F4C64"/>
    <w:rsid w:val="000F7B9F"/>
    <w:rsid w:val="001125F7"/>
    <w:rsid w:val="001161E9"/>
    <w:rsid w:val="00116B65"/>
    <w:rsid w:val="00124522"/>
    <w:rsid w:val="00127D02"/>
    <w:rsid w:val="00130F7F"/>
    <w:rsid w:val="0013533B"/>
    <w:rsid w:val="00160453"/>
    <w:rsid w:val="00162AC3"/>
    <w:rsid w:val="001664F7"/>
    <w:rsid w:val="00176758"/>
    <w:rsid w:val="00177054"/>
    <w:rsid w:val="0018241E"/>
    <w:rsid w:val="001841A1"/>
    <w:rsid w:val="00185451"/>
    <w:rsid w:val="00193BDA"/>
    <w:rsid w:val="00195C8F"/>
    <w:rsid w:val="001A220B"/>
    <w:rsid w:val="001B1CC3"/>
    <w:rsid w:val="001B3F41"/>
    <w:rsid w:val="001C4567"/>
    <w:rsid w:val="001C5D52"/>
    <w:rsid w:val="001D43A1"/>
    <w:rsid w:val="001E3586"/>
    <w:rsid w:val="001F09C9"/>
    <w:rsid w:val="001F10CD"/>
    <w:rsid w:val="001F783A"/>
    <w:rsid w:val="00204828"/>
    <w:rsid w:val="0021268E"/>
    <w:rsid w:val="00214E56"/>
    <w:rsid w:val="00216630"/>
    <w:rsid w:val="002168D1"/>
    <w:rsid w:val="00222116"/>
    <w:rsid w:val="002315CE"/>
    <w:rsid w:val="00236CBB"/>
    <w:rsid w:val="00237CAA"/>
    <w:rsid w:val="002406A4"/>
    <w:rsid w:val="0024186F"/>
    <w:rsid w:val="00243329"/>
    <w:rsid w:val="0024651B"/>
    <w:rsid w:val="00250531"/>
    <w:rsid w:val="002527F9"/>
    <w:rsid w:val="00253BDF"/>
    <w:rsid w:val="00261A13"/>
    <w:rsid w:val="00270CF5"/>
    <w:rsid w:val="002763F8"/>
    <w:rsid w:val="00283238"/>
    <w:rsid w:val="00286E66"/>
    <w:rsid w:val="002A6761"/>
    <w:rsid w:val="002B4A8F"/>
    <w:rsid w:val="002B5111"/>
    <w:rsid w:val="002C10D1"/>
    <w:rsid w:val="002C208D"/>
    <w:rsid w:val="002C4ACB"/>
    <w:rsid w:val="002D22EC"/>
    <w:rsid w:val="002E7404"/>
    <w:rsid w:val="002F5AD3"/>
    <w:rsid w:val="003021AA"/>
    <w:rsid w:val="00311A80"/>
    <w:rsid w:val="00313D37"/>
    <w:rsid w:val="0031472D"/>
    <w:rsid w:val="00317887"/>
    <w:rsid w:val="00327867"/>
    <w:rsid w:val="00335E77"/>
    <w:rsid w:val="00337316"/>
    <w:rsid w:val="00340ED0"/>
    <w:rsid w:val="00344ED3"/>
    <w:rsid w:val="00350B00"/>
    <w:rsid w:val="00351822"/>
    <w:rsid w:val="003541DC"/>
    <w:rsid w:val="00362930"/>
    <w:rsid w:val="003670F0"/>
    <w:rsid w:val="00367604"/>
    <w:rsid w:val="003702A6"/>
    <w:rsid w:val="0037312E"/>
    <w:rsid w:val="00373FD6"/>
    <w:rsid w:val="00383227"/>
    <w:rsid w:val="003A0939"/>
    <w:rsid w:val="003A0B62"/>
    <w:rsid w:val="003A5E46"/>
    <w:rsid w:val="003B080E"/>
    <w:rsid w:val="003B285C"/>
    <w:rsid w:val="003B4776"/>
    <w:rsid w:val="003B509D"/>
    <w:rsid w:val="003D11B2"/>
    <w:rsid w:val="003D4089"/>
    <w:rsid w:val="003D515E"/>
    <w:rsid w:val="003E2017"/>
    <w:rsid w:val="003F4C33"/>
    <w:rsid w:val="003F6053"/>
    <w:rsid w:val="00400677"/>
    <w:rsid w:val="00405EB9"/>
    <w:rsid w:val="0040764A"/>
    <w:rsid w:val="00410164"/>
    <w:rsid w:val="00410E05"/>
    <w:rsid w:val="00411994"/>
    <w:rsid w:val="00412017"/>
    <w:rsid w:val="00417369"/>
    <w:rsid w:val="004245DC"/>
    <w:rsid w:val="004259B2"/>
    <w:rsid w:val="00436FFB"/>
    <w:rsid w:val="0044393C"/>
    <w:rsid w:val="00453D98"/>
    <w:rsid w:val="0046437F"/>
    <w:rsid w:val="004758C4"/>
    <w:rsid w:val="00486DD3"/>
    <w:rsid w:val="00490EFD"/>
    <w:rsid w:val="00493052"/>
    <w:rsid w:val="004965CC"/>
    <w:rsid w:val="0049676F"/>
    <w:rsid w:val="004A1984"/>
    <w:rsid w:val="004A4B93"/>
    <w:rsid w:val="004A724E"/>
    <w:rsid w:val="004B50B3"/>
    <w:rsid w:val="004B6DD2"/>
    <w:rsid w:val="004C1BC3"/>
    <w:rsid w:val="004C33E0"/>
    <w:rsid w:val="004D1E2D"/>
    <w:rsid w:val="004D41D0"/>
    <w:rsid w:val="004F2911"/>
    <w:rsid w:val="004F2CF9"/>
    <w:rsid w:val="004F6A0D"/>
    <w:rsid w:val="00500D91"/>
    <w:rsid w:val="005014C1"/>
    <w:rsid w:val="00503045"/>
    <w:rsid w:val="0050663F"/>
    <w:rsid w:val="00513130"/>
    <w:rsid w:val="00514601"/>
    <w:rsid w:val="00514EA6"/>
    <w:rsid w:val="005176A1"/>
    <w:rsid w:val="0052160E"/>
    <w:rsid w:val="00522B0B"/>
    <w:rsid w:val="00527C90"/>
    <w:rsid w:val="005402E1"/>
    <w:rsid w:val="005411B7"/>
    <w:rsid w:val="00546726"/>
    <w:rsid w:val="00550AEE"/>
    <w:rsid w:val="0055645C"/>
    <w:rsid w:val="00560704"/>
    <w:rsid w:val="00564373"/>
    <w:rsid w:val="0056638A"/>
    <w:rsid w:val="005802D0"/>
    <w:rsid w:val="00585D81"/>
    <w:rsid w:val="00586F71"/>
    <w:rsid w:val="005926C1"/>
    <w:rsid w:val="00592DF3"/>
    <w:rsid w:val="00592F7A"/>
    <w:rsid w:val="00597CB4"/>
    <w:rsid w:val="005A24B5"/>
    <w:rsid w:val="005B2587"/>
    <w:rsid w:val="005C14B7"/>
    <w:rsid w:val="005C4E55"/>
    <w:rsid w:val="005D1AF3"/>
    <w:rsid w:val="005D1D19"/>
    <w:rsid w:val="005E4867"/>
    <w:rsid w:val="005E76D6"/>
    <w:rsid w:val="005F41A3"/>
    <w:rsid w:val="0061561D"/>
    <w:rsid w:val="00617FE8"/>
    <w:rsid w:val="00621F25"/>
    <w:rsid w:val="00631491"/>
    <w:rsid w:val="00643E8C"/>
    <w:rsid w:val="006557A5"/>
    <w:rsid w:val="00666084"/>
    <w:rsid w:val="00672916"/>
    <w:rsid w:val="00692ACF"/>
    <w:rsid w:val="0069362E"/>
    <w:rsid w:val="006A4C46"/>
    <w:rsid w:val="006B0563"/>
    <w:rsid w:val="006B0804"/>
    <w:rsid w:val="006B161E"/>
    <w:rsid w:val="006B1CC7"/>
    <w:rsid w:val="006B3DB2"/>
    <w:rsid w:val="006B42A2"/>
    <w:rsid w:val="006B5A22"/>
    <w:rsid w:val="006C17A1"/>
    <w:rsid w:val="006C674A"/>
    <w:rsid w:val="006D405A"/>
    <w:rsid w:val="006E576C"/>
    <w:rsid w:val="006F1109"/>
    <w:rsid w:val="00700F0F"/>
    <w:rsid w:val="00702F23"/>
    <w:rsid w:val="00713950"/>
    <w:rsid w:val="00720630"/>
    <w:rsid w:val="0072101C"/>
    <w:rsid w:val="00741F90"/>
    <w:rsid w:val="00751056"/>
    <w:rsid w:val="00763EB1"/>
    <w:rsid w:val="00765213"/>
    <w:rsid w:val="0077395D"/>
    <w:rsid w:val="00774BAE"/>
    <w:rsid w:val="00774F25"/>
    <w:rsid w:val="0077778D"/>
    <w:rsid w:val="007806AE"/>
    <w:rsid w:val="007837E7"/>
    <w:rsid w:val="00784A88"/>
    <w:rsid w:val="007A7189"/>
    <w:rsid w:val="007B03A1"/>
    <w:rsid w:val="007C0430"/>
    <w:rsid w:val="007C7BB8"/>
    <w:rsid w:val="007D55AA"/>
    <w:rsid w:val="007D6DDD"/>
    <w:rsid w:val="007E52AE"/>
    <w:rsid w:val="00800C77"/>
    <w:rsid w:val="008103FA"/>
    <w:rsid w:val="00810600"/>
    <w:rsid w:val="00810C3C"/>
    <w:rsid w:val="00815CF8"/>
    <w:rsid w:val="008248D1"/>
    <w:rsid w:val="00827BD6"/>
    <w:rsid w:val="00834B68"/>
    <w:rsid w:val="00846A27"/>
    <w:rsid w:val="00856466"/>
    <w:rsid w:val="00866315"/>
    <w:rsid w:val="0087062F"/>
    <w:rsid w:val="00885C8C"/>
    <w:rsid w:val="00894DA1"/>
    <w:rsid w:val="00897FC4"/>
    <w:rsid w:val="008A4B87"/>
    <w:rsid w:val="008A67B6"/>
    <w:rsid w:val="008C0C32"/>
    <w:rsid w:val="008C1D84"/>
    <w:rsid w:val="008C60EA"/>
    <w:rsid w:val="008C6DA1"/>
    <w:rsid w:val="008C7A56"/>
    <w:rsid w:val="008D7C11"/>
    <w:rsid w:val="008D7F1D"/>
    <w:rsid w:val="008E1F4E"/>
    <w:rsid w:val="008E63D2"/>
    <w:rsid w:val="008E7645"/>
    <w:rsid w:val="008F5F27"/>
    <w:rsid w:val="00900791"/>
    <w:rsid w:val="0090438F"/>
    <w:rsid w:val="00906FB7"/>
    <w:rsid w:val="00913E57"/>
    <w:rsid w:val="0091535D"/>
    <w:rsid w:val="009178FD"/>
    <w:rsid w:val="009218B2"/>
    <w:rsid w:val="00944B95"/>
    <w:rsid w:val="00951370"/>
    <w:rsid w:val="0096040E"/>
    <w:rsid w:val="00971947"/>
    <w:rsid w:val="00980190"/>
    <w:rsid w:val="00991FF7"/>
    <w:rsid w:val="0099509C"/>
    <w:rsid w:val="009975C5"/>
    <w:rsid w:val="009A4BF8"/>
    <w:rsid w:val="009A6D9C"/>
    <w:rsid w:val="009B5B8F"/>
    <w:rsid w:val="009C04A9"/>
    <w:rsid w:val="009C0B84"/>
    <w:rsid w:val="009D31A2"/>
    <w:rsid w:val="009D4797"/>
    <w:rsid w:val="009D6417"/>
    <w:rsid w:val="009D7E93"/>
    <w:rsid w:val="009E05CE"/>
    <w:rsid w:val="009E4A1F"/>
    <w:rsid w:val="009F2665"/>
    <w:rsid w:val="009F3DC7"/>
    <w:rsid w:val="00A00861"/>
    <w:rsid w:val="00A148AF"/>
    <w:rsid w:val="00A16C30"/>
    <w:rsid w:val="00A22ADD"/>
    <w:rsid w:val="00A24AE7"/>
    <w:rsid w:val="00A2677C"/>
    <w:rsid w:val="00A27E19"/>
    <w:rsid w:val="00A3351D"/>
    <w:rsid w:val="00A34921"/>
    <w:rsid w:val="00A41634"/>
    <w:rsid w:val="00A64CA5"/>
    <w:rsid w:val="00A72200"/>
    <w:rsid w:val="00A74610"/>
    <w:rsid w:val="00A8628A"/>
    <w:rsid w:val="00AB2CA2"/>
    <w:rsid w:val="00AC14D6"/>
    <w:rsid w:val="00AD00DD"/>
    <w:rsid w:val="00AD10CF"/>
    <w:rsid w:val="00AD2AA2"/>
    <w:rsid w:val="00AD32BC"/>
    <w:rsid w:val="00AE7021"/>
    <w:rsid w:val="00AF5401"/>
    <w:rsid w:val="00AF7EDC"/>
    <w:rsid w:val="00B0717F"/>
    <w:rsid w:val="00B17053"/>
    <w:rsid w:val="00B23A1B"/>
    <w:rsid w:val="00B25F1E"/>
    <w:rsid w:val="00B34AA3"/>
    <w:rsid w:val="00B40566"/>
    <w:rsid w:val="00B763E1"/>
    <w:rsid w:val="00B86F00"/>
    <w:rsid w:val="00B92358"/>
    <w:rsid w:val="00B939BD"/>
    <w:rsid w:val="00B9483F"/>
    <w:rsid w:val="00BA5CF2"/>
    <w:rsid w:val="00BB2087"/>
    <w:rsid w:val="00BB29AF"/>
    <w:rsid w:val="00BB515D"/>
    <w:rsid w:val="00BC159E"/>
    <w:rsid w:val="00BC1831"/>
    <w:rsid w:val="00BC6458"/>
    <w:rsid w:val="00BD0013"/>
    <w:rsid w:val="00BE66F9"/>
    <w:rsid w:val="00BE7A62"/>
    <w:rsid w:val="00BF0FFE"/>
    <w:rsid w:val="00BF1A7A"/>
    <w:rsid w:val="00BF20BA"/>
    <w:rsid w:val="00BF67DF"/>
    <w:rsid w:val="00BF7626"/>
    <w:rsid w:val="00C101C1"/>
    <w:rsid w:val="00C12352"/>
    <w:rsid w:val="00C12CDC"/>
    <w:rsid w:val="00C20055"/>
    <w:rsid w:val="00C23536"/>
    <w:rsid w:val="00C23769"/>
    <w:rsid w:val="00C345B3"/>
    <w:rsid w:val="00C362BA"/>
    <w:rsid w:val="00C43459"/>
    <w:rsid w:val="00C61240"/>
    <w:rsid w:val="00C66FA4"/>
    <w:rsid w:val="00C9000D"/>
    <w:rsid w:val="00C9049E"/>
    <w:rsid w:val="00CA54C1"/>
    <w:rsid w:val="00CA681E"/>
    <w:rsid w:val="00CA78EF"/>
    <w:rsid w:val="00CB01E2"/>
    <w:rsid w:val="00CC0A08"/>
    <w:rsid w:val="00CC381E"/>
    <w:rsid w:val="00CC7924"/>
    <w:rsid w:val="00CD067E"/>
    <w:rsid w:val="00CD0D2B"/>
    <w:rsid w:val="00CD17F1"/>
    <w:rsid w:val="00CF5ADD"/>
    <w:rsid w:val="00D05BEA"/>
    <w:rsid w:val="00D06F40"/>
    <w:rsid w:val="00D210A9"/>
    <w:rsid w:val="00D21A94"/>
    <w:rsid w:val="00D33711"/>
    <w:rsid w:val="00D361B1"/>
    <w:rsid w:val="00D3764C"/>
    <w:rsid w:val="00D61F44"/>
    <w:rsid w:val="00D728D6"/>
    <w:rsid w:val="00D7381A"/>
    <w:rsid w:val="00D76660"/>
    <w:rsid w:val="00D81ECB"/>
    <w:rsid w:val="00D9215F"/>
    <w:rsid w:val="00D939C7"/>
    <w:rsid w:val="00DA4114"/>
    <w:rsid w:val="00DB2F36"/>
    <w:rsid w:val="00DB56B4"/>
    <w:rsid w:val="00DB762B"/>
    <w:rsid w:val="00DC34EA"/>
    <w:rsid w:val="00DC3FE9"/>
    <w:rsid w:val="00DD2C63"/>
    <w:rsid w:val="00DD2F73"/>
    <w:rsid w:val="00DD5BC9"/>
    <w:rsid w:val="00DE254C"/>
    <w:rsid w:val="00DE3163"/>
    <w:rsid w:val="00DE40A6"/>
    <w:rsid w:val="00DF18CE"/>
    <w:rsid w:val="00DF4AEF"/>
    <w:rsid w:val="00DF68CC"/>
    <w:rsid w:val="00E035CA"/>
    <w:rsid w:val="00E07393"/>
    <w:rsid w:val="00E15EA7"/>
    <w:rsid w:val="00E304CC"/>
    <w:rsid w:val="00E34701"/>
    <w:rsid w:val="00E37A16"/>
    <w:rsid w:val="00E626AE"/>
    <w:rsid w:val="00E62BEF"/>
    <w:rsid w:val="00E62F28"/>
    <w:rsid w:val="00E727B2"/>
    <w:rsid w:val="00E776EE"/>
    <w:rsid w:val="00E82300"/>
    <w:rsid w:val="00E8296A"/>
    <w:rsid w:val="00E929A5"/>
    <w:rsid w:val="00E93D47"/>
    <w:rsid w:val="00EA44D9"/>
    <w:rsid w:val="00EB1D71"/>
    <w:rsid w:val="00EB3179"/>
    <w:rsid w:val="00EB6658"/>
    <w:rsid w:val="00EC2746"/>
    <w:rsid w:val="00ED5275"/>
    <w:rsid w:val="00EE168D"/>
    <w:rsid w:val="00EE52AF"/>
    <w:rsid w:val="00EF258D"/>
    <w:rsid w:val="00F060FF"/>
    <w:rsid w:val="00F14F62"/>
    <w:rsid w:val="00F245F7"/>
    <w:rsid w:val="00F25CCB"/>
    <w:rsid w:val="00F277A2"/>
    <w:rsid w:val="00F278C2"/>
    <w:rsid w:val="00F2794F"/>
    <w:rsid w:val="00F32D38"/>
    <w:rsid w:val="00F514FE"/>
    <w:rsid w:val="00F573B8"/>
    <w:rsid w:val="00F67F5E"/>
    <w:rsid w:val="00F91BF6"/>
    <w:rsid w:val="00F96C15"/>
    <w:rsid w:val="00FA015C"/>
    <w:rsid w:val="00FB0C4C"/>
    <w:rsid w:val="00FB6F0F"/>
    <w:rsid w:val="00FD3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B80F0"/>
  <w15:chartTrackingRefBased/>
  <w15:docId w15:val="{6ACF1A69-F9C9-4C01-B8C3-6BE1BFF17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4A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2D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4BF8"/>
    <w:pPr>
      <w:spacing w:after="0" w:line="240" w:lineRule="auto"/>
    </w:pPr>
  </w:style>
  <w:style w:type="paragraph" w:styleId="Header">
    <w:name w:val="header"/>
    <w:basedOn w:val="Normal"/>
    <w:link w:val="HeaderChar"/>
    <w:uiPriority w:val="99"/>
    <w:unhideWhenUsed/>
    <w:rsid w:val="00CD0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D2B"/>
  </w:style>
  <w:style w:type="character" w:customStyle="1" w:styleId="Heading1Char">
    <w:name w:val="Heading 1 Char"/>
    <w:basedOn w:val="DefaultParagraphFont"/>
    <w:link w:val="Heading1"/>
    <w:uiPriority w:val="9"/>
    <w:rsid w:val="009E4A1F"/>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unhideWhenUsed/>
    <w:rsid w:val="009218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8B2"/>
  </w:style>
  <w:style w:type="paragraph" w:styleId="ListParagraph">
    <w:name w:val="List Paragraph"/>
    <w:basedOn w:val="Normal"/>
    <w:uiPriority w:val="34"/>
    <w:qFormat/>
    <w:rsid w:val="006B42A2"/>
    <w:pPr>
      <w:ind w:left="720"/>
      <w:contextualSpacing/>
    </w:pPr>
  </w:style>
  <w:style w:type="character" w:styleId="LineNumber">
    <w:name w:val="line number"/>
    <w:basedOn w:val="DefaultParagraphFont"/>
    <w:uiPriority w:val="99"/>
    <w:semiHidden/>
    <w:unhideWhenUsed/>
    <w:rsid w:val="006B42A2"/>
  </w:style>
  <w:style w:type="character" w:styleId="CommentReference">
    <w:name w:val="annotation reference"/>
    <w:basedOn w:val="DefaultParagraphFont"/>
    <w:uiPriority w:val="99"/>
    <w:semiHidden/>
    <w:unhideWhenUsed/>
    <w:rsid w:val="00253BDF"/>
    <w:rPr>
      <w:sz w:val="16"/>
      <w:szCs w:val="16"/>
    </w:rPr>
  </w:style>
  <w:style w:type="paragraph" w:styleId="CommentText">
    <w:name w:val="annotation text"/>
    <w:basedOn w:val="Normal"/>
    <w:link w:val="CommentTextChar"/>
    <w:uiPriority w:val="99"/>
    <w:semiHidden/>
    <w:unhideWhenUsed/>
    <w:rsid w:val="00253BDF"/>
    <w:pPr>
      <w:spacing w:line="240" w:lineRule="auto"/>
    </w:pPr>
    <w:rPr>
      <w:sz w:val="20"/>
      <w:szCs w:val="20"/>
    </w:rPr>
  </w:style>
  <w:style w:type="character" w:customStyle="1" w:styleId="CommentTextChar">
    <w:name w:val="Comment Text Char"/>
    <w:basedOn w:val="DefaultParagraphFont"/>
    <w:link w:val="CommentText"/>
    <w:uiPriority w:val="99"/>
    <w:semiHidden/>
    <w:rsid w:val="00253BDF"/>
    <w:rPr>
      <w:sz w:val="20"/>
      <w:szCs w:val="20"/>
    </w:rPr>
  </w:style>
  <w:style w:type="paragraph" w:styleId="CommentSubject">
    <w:name w:val="annotation subject"/>
    <w:basedOn w:val="CommentText"/>
    <w:next w:val="CommentText"/>
    <w:link w:val="CommentSubjectChar"/>
    <w:uiPriority w:val="99"/>
    <w:semiHidden/>
    <w:unhideWhenUsed/>
    <w:rsid w:val="00253BDF"/>
    <w:rPr>
      <w:b/>
      <w:bCs/>
    </w:rPr>
  </w:style>
  <w:style w:type="character" w:customStyle="1" w:styleId="CommentSubjectChar">
    <w:name w:val="Comment Subject Char"/>
    <w:basedOn w:val="CommentTextChar"/>
    <w:link w:val="CommentSubject"/>
    <w:uiPriority w:val="99"/>
    <w:semiHidden/>
    <w:rsid w:val="00253BDF"/>
    <w:rPr>
      <w:b/>
      <w:bCs/>
      <w:sz w:val="20"/>
      <w:szCs w:val="20"/>
    </w:rPr>
  </w:style>
  <w:style w:type="paragraph" w:styleId="BalloonText">
    <w:name w:val="Balloon Text"/>
    <w:basedOn w:val="Normal"/>
    <w:link w:val="BalloonTextChar"/>
    <w:uiPriority w:val="99"/>
    <w:semiHidden/>
    <w:unhideWhenUsed/>
    <w:rsid w:val="00253B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BDF"/>
    <w:rPr>
      <w:rFonts w:ascii="Segoe UI" w:hAnsi="Segoe UI" w:cs="Segoe UI"/>
      <w:sz w:val="18"/>
      <w:szCs w:val="18"/>
    </w:rPr>
  </w:style>
  <w:style w:type="character" w:styleId="PlaceholderText">
    <w:name w:val="Placeholder Text"/>
    <w:basedOn w:val="DefaultParagraphFont"/>
    <w:uiPriority w:val="99"/>
    <w:semiHidden/>
    <w:rsid w:val="00741F90"/>
    <w:rPr>
      <w:color w:val="808080"/>
    </w:rPr>
  </w:style>
  <w:style w:type="table" w:styleId="TableGrid">
    <w:name w:val="Table Grid"/>
    <w:basedOn w:val="TableNormal"/>
    <w:uiPriority w:val="39"/>
    <w:rsid w:val="00810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15F3B"/>
    <w:pPr>
      <w:tabs>
        <w:tab w:val="left" w:pos="384"/>
      </w:tabs>
      <w:spacing w:after="0" w:line="240" w:lineRule="auto"/>
      <w:ind w:left="384" w:hanging="384"/>
    </w:pPr>
  </w:style>
  <w:style w:type="character" w:styleId="Hyperlink">
    <w:name w:val="Hyperlink"/>
    <w:basedOn w:val="DefaultParagraphFont"/>
    <w:uiPriority w:val="99"/>
    <w:unhideWhenUsed/>
    <w:rsid w:val="00B34AA3"/>
    <w:rPr>
      <w:color w:val="0563C1" w:themeColor="hyperlink"/>
      <w:u w:val="single"/>
    </w:rPr>
  </w:style>
  <w:style w:type="character" w:customStyle="1" w:styleId="Heading2Char">
    <w:name w:val="Heading 2 Char"/>
    <w:basedOn w:val="DefaultParagraphFont"/>
    <w:link w:val="Heading2"/>
    <w:uiPriority w:val="9"/>
    <w:rsid w:val="00592DF3"/>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592DF3"/>
    <w:pPr>
      <w:outlineLvl w:val="9"/>
    </w:pPr>
  </w:style>
  <w:style w:type="paragraph" w:styleId="TOC1">
    <w:name w:val="toc 1"/>
    <w:basedOn w:val="Normal"/>
    <w:next w:val="Normal"/>
    <w:autoRedefine/>
    <w:uiPriority w:val="39"/>
    <w:unhideWhenUsed/>
    <w:rsid w:val="00592DF3"/>
    <w:pPr>
      <w:spacing w:after="100"/>
    </w:pPr>
  </w:style>
  <w:style w:type="paragraph" w:styleId="TOC2">
    <w:name w:val="toc 2"/>
    <w:basedOn w:val="Normal"/>
    <w:next w:val="Normal"/>
    <w:autoRedefine/>
    <w:uiPriority w:val="39"/>
    <w:unhideWhenUsed/>
    <w:rsid w:val="00592DF3"/>
    <w:pPr>
      <w:spacing w:after="100"/>
      <w:ind w:left="220"/>
    </w:pPr>
  </w:style>
  <w:style w:type="paragraph" w:styleId="Title">
    <w:name w:val="Title"/>
    <w:basedOn w:val="Normal"/>
    <w:next w:val="Normal"/>
    <w:link w:val="TitleChar"/>
    <w:uiPriority w:val="10"/>
    <w:qFormat/>
    <w:rsid w:val="006F11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10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8623">
      <w:bodyDiv w:val="1"/>
      <w:marLeft w:val="0"/>
      <w:marRight w:val="0"/>
      <w:marTop w:val="0"/>
      <w:marBottom w:val="0"/>
      <w:divBdr>
        <w:top w:val="none" w:sz="0" w:space="0" w:color="auto"/>
        <w:left w:val="none" w:sz="0" w:space="0" w:color="auto"/>
        <w:bottom w:val="none" w:sz="0" w:space="0" w:color="auto"/>
        <w:right w:val="none" w:sz="0" w:space="0" w:color="auto"/>
      </w:divBdr>
    </w:div>
    <w:div w:id="74717206">
      <w:bodyDiv w:val="1"/>
      <w:marLeft w:val="0"/>
      <w:marRight w:val="0"/>
      <w:marTop w:val="0"/>
      <w:marBottom w:val="0"/>
      <w:divBdr>
        <w:top w:val="none" w:sz="0" w:space="0" w:color="auto"/>
        <w:left w:val="none" w:sz="0" w:space="0" w:color="auto"/>
        <w:bottom w:val="none" w:sz="0" w:space="0" w:color="auto"/>
        <w:right w:val="none" w:sz="0" w:space="0" w:color="auto"/>
      </w:divBdr>
    </w:div>
    <w:div w:id="130099777">
      <w:bodyDiv w:val="1"/>
      <w:marLeft w:val="0"/>
      <w:marRight w:val="0"/>
      <w:marTop w:val="0"/>
      <w:marBottom w:val="0"/>
      <w:divBdr>
        <w:top w:val="none" w:sz="0" w:space="0" w:color="auto"/>
        <w:left w:val="none" w:sz="0" w:space="0" w:color="auto"/>
        <w:bottom w:val="none" w:sz="0" w:space="0" w:color="auto"/>
        <w:right w:val="none" w:sz="0" w:space="0" w:color="auto"/>
      </w:divBdr>
    </w:div>
    <w:div w:id="238758587">
      <w:bodyDiv w:val="1"/>
      <w:marLeft w:val="0"/>
      <w:marRight w:val="0"/>
      <w:marTop w:val="0"/>
      <w:marBottom w:val="0"/>
      <w:divBdr>
        <w:top w:val="none" w:sz="0" w:space="0" w:color="auto"/>
        <w:left w:val="none" w:sz="0" w:space="0" w:color="auto"/>
        <w:bottom w:val="none" w:sz="0" w:space="0" w:color="auto"/>
        <w:right w:val="none" w:sz="0" w:space="0" w:color="auto"/>
      </w:divBdr>
    </w:div>
    <w:div w:id="279999598">
      <w:bodyDiv w:val="1"/>
      <w:marLeft w:val="0"/>
      <w:marRight w:val="0"/>
      <w:marTop w:val="0"/>
      <w:marBottom w:val="0"/>
      <w:divBdr>
        <w:top w:val="none" w:sz="0" w:space="0" w:color="auto"/>
        <w:left w:val="none" w:sz="0" w:space="0" w:color="auto"/>
        <w:bottom w:val="none" w:sz="0" w:space="0" w:color="auto"/>
        <w:right w:val="none" w:sz="0" w:space="0" w:color="auto"/>
      </w:divBdr>
      <w:divsChild>
        <w:div w:id="361130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1523499">
      <w:bodyDiv w:val="1"/>
      <w:marLeft w:val="0"/>
      <w:marRight w:val="0"/>
      <w:marTop w:val="0"/>
      <w:marBottom w:val="0"/>
      <w:divBdr>
        <w:top w:val="none" w:sz="0" w:space="0" w:color="auto"/>
        <w:left w:val="none" w:sz="0" w:space="0" w:color="auto"/>
        <w:bottom w:val="none" w:sz="0" w:space="0" w:color="auto"/>
        <w:right w:val="none" w:sz="0" w:space="0" w:color="auto"/>
      </w:divBdr>
    </w:div>
    <w:div w:id="555776280">
      <w:bodyDiv w:val="1"/>
      <w:marLeft w:val="0"/>
      <w:marRight w:val="0"/>
      <w:marTop w:val="0"/>
      <w:marBottom w:val="0"/>
      <w:divBdr>
        <w:top w:val="none" w:sz="0" w:space="0" w:color="auto"/>
        <w:left w:val="none" w:sz="0" w:space="0" w:color="auto"/>
        <w:bottom w:val="none" w:sz="0" w:space="0" w:color="auto"/>
        <w:right w:val="none" w:sz="0" w:space="0" w:color="auto"/>
      </w:divBdr>
    </w:div>
    <w:div w:id="614292849">
      <w:bodyDiv w:val="1"/>
      <w:marLeft w:val="0"/>
      <w:marRight w:val="0"/>
      <w:marTop w:val="0"/>
      <w:marBottom w:val="0"/>
      <w:divBdr>
        <w:top w:val="none" w:sz="0" w:space="0" w:color="auto"/>
        <w:left w:val="none" w:sz="0" w:space="0" w:color="auto"/>
        <w:bottom w:val="none" w:sz="0" w:space="0" w:color="auto"/>
        <w:right w:val="none" w:sz="0" w:space="0" w:color="auto"/>
      </w:divBdr>
    </w:div>
    <w:div w:id="644706055">
      <w:bodyDiv w:val="1"/>
      <w:marLeft w:val="0"/>
      <w:marRight w:val="0"/>
      <w:marTop w:val="0"/>
      <w:marBottom w:val="0"/>
      <w:divBdr>
        <w:top w:val="none" w:sz="0" w:space="0" w:color="auto"/>
        <w:left w:val="none" w:sz="0" w:space="0" w:color="auto"/>
        <w:bottom w:val="none" w:sz="0" w:space="0" w:color="auto"/>
        <w:right w:val="none" w:sz="0" w:space="0" w:color="auto"/>
      </w:divBdr>
    </w:div>
    <w:div w:id="680863660">
      <w:bodyDiv w:val="1"/>
      <w:marLeft w:val="0"/>
      <w:marRight w:val="0"/>
      <w:marTop w:val="0"/>
      <w:marBottom w:val="0"/>
      <w:divBdr>
        <w:top w:val="none" w:sz="0" w:space="0" w:color="auto"/>
        <w:left w:val="none" w:sz="0" w:space="0" w:color="auto"/>
        <w:bottom w:val="none" w:sz="0" w:space="0" w:color="auto"/>
        <w:right w:val="none" w:sz="0" w:space="0" w:color="auto"/>
      </w:divBdr>
    </w:div>
    <w:div w:id="743845044">
      <w:bodyDiv w:val="1"/>
      <w:marLeft w:val="0"/>
      <w:marRight w:val="0"/>
      <w:marTop w:val="0"/>
      <w:marBottom w:val="0"/>
      <w:divBdr>
        <w:top w:val="none" w:sz="0" w:space="0" w:color="auto"/>
        <w:left w:val="none" w:sz="0" w:space="0" w:color="auto"/>
        <w:bottom w:val="none" w:sz="0" w:space="0" w:color="auto"/>
        <w:right w:val="none" w:sz="0" w:space="0" w:color="auto"/>
      </w:divBdr>
    </w:div>
    <w:div w:id="798452796">
      <w:bodyDiv w:val="1"/>
      <w:marLeft w:val="0"/>
      <w:marRight w:val="0"/>
      <w:marTop w:val="0"/>
      <w:marBottom w:val="0"/>
      <w:divBdr>
        <w:top w:val="none" w:sz="0" w:space="0" w:color="auto"/>
        <w:left w:val="none" w:sz="0" w:space="0" w:color="auto"/>
        <w:bottom w:val="none" w:sz="0" w:space="0" w:color="auto"/>
        <w:right w:val="none" w:sz="0" w:space="0" w:color="auto"/>
      </w:divBdr>
    </w:div>
    <w:div w:id="849761228">
      <w:bodyDiv w:val="1"/>
      <w:marLeft w:val="0"/>
      <w:marRight w:val="0"/>
      <w:marTop w:val="0"/>
      <w:marBottom w:val="0"/>
      <w:divBdr>
        <w:top w:val="none" w:sz="0" w:space="0" w:color="auto"/>
        <w:left w:val="none" w:sz="0" w:space="0" w:color="auto"/>
        <w:bottom w:val="none" w:sz="0" w:space="0" w:color="auto"/>
        <w:right w:val="none" w:sz="0" w:space="0" w:color="auto"/>
      </w:divBdr>
    </w:div>
    <w:div w:id="860051820">
      <w:bodyDiv w:val="1"/>
      <w:marLeft w:val="0"/>
      <w:marRight w:val="0"/>
      <w:marTop w:val="0"/>
      <w:marBottom w:val="0"/>
      <w:divBdr>
        <w:top w:val="none" w:sz="0" w:space="0" w:color="auto"/>
        <w:left w:val="none" w:sz="0" w:space="0" w:color="auto"/>
        <w:bottom w:val="none" w:sz="0" w:space="0" w:color="auto"/>
        <w:right w:val="none" w:sz="0" w:space="0" w:color="auto"/>
      </w:divBdr>
    </w:div>
    <w:div w:id="1019966228">
      <w:bodyDiv w:val="1"/>
      <w:marLeft w:val="0"/>
      <w:marRight w:val="0"/>
      <w:marTop w:val="0"/>
      <w:marBottom w:val="0"/>
      <w:divBdr>
        <w:top w:val="none" w:sz="0" w:space="0" w:color="auto"/>
        <w:left w:val="none" w:sz="0" w:space="0" w:color="auto"/>
        <w:bottom w:val="none" w:sz="0" w:space="0" w:color="auto"/>
        <w:right w:val="none" w:sz="0" w:space="0" w:color="auto"/>
      </w:divBdr>
    </w:div>
    <w:div w:id="1038356275">
      <w:bodyDiv w:val="1"/>
      <w:marLeft w:val="0"/>
      <w:marRight w:val="0"/>
      <w:marTop w:val="0"/>
      <w:marBottom w:val="0"/>
      <w:divBdr>
        <w:top w:val="none" w:sz="0" w:space="0" w:color="auto"/>
        <w:left w:val="none" w:sz="0" w:space="0" w:color="auto"/>
        <w:bottom w:val="none" w:sz="0" w:space="0" w:color="auto"/>
        <w:right w:val="none" w:sz="0" w:space="0" w:color="auto"/>
      </w:divBdr>
    </w:div>
    <w:div w:id="1588073750">
      <w:bodyDiv w:val="1"/>
      <w:marLeft w:val="0"/>
      <w:marRight w:val="0"/>
      <w:marTop w:val="0"/>
      <w:marBottom w:val="0"/>
      <w:divBdr>
        <w:top w:val="none" w:sz="0" w:space="0" w:color="auto"/>
        <w:left w:val="none" w:sz="0" w:space="0" w:color="auto"/>
        <w:bottom w:val="none" w:sz="0" w:space="0" w:color="auto"/>
        <w:right w:val="none" w:sz="0" w:space="0" w:color="auto"/>
      </w:divBdr>
    </w:div>
    <w:div w:id="1626958615">
      <w:bodyDiv w:val="1"/>
      <w:marLeft w:val="0"/>
      <w:marRight w:val="0"/>
      <w:marTop w:val="0"/>
      <w:marBottom w:val="0"/>
      <w:divBdr>
        <w:top w:val="none" w:sz="0" w:space="0" w:color="auto"/>
        <w:left w:val="none" w:sz="0" w:space="0" w:color="auto"/>
        <w:bottom w:val="none" w:sz="0" w:space="0" w:color="auto"/>
        <w:right w:val="none" w:sz="0" w:space="0" w:color="auto"/>
      </w:divBdr>
    </w:div>
    <w:div w:id="1754008723">
      <w:bodyDiv w:val="1"/>
      <w:marLeft w:val="0"/>
      <w:marRight w:val="0"/>
      <w:marTop w:val="0"/>
      <w:marBottom w:val="0"/>
      <w:divBdr>
        <w:top w:val="none" w:sz="0" w:space="0" w:color="auto"/>
        <w:left w:val="none" w:sz="0" w:space="0" w:color="auto"/>
        <w:bottom w:val="none" w:sz="0" w:space="0" w:color="auto"/>
        <w:right w:val="none" w:sz="0" w:space="0" w:color="auto"/>
      </w:divBdr>
    </w:div>
    <w:div w:id="1812556251">
      <w:bodyDiv w:val="1"/>
      <w:marLeft w:val="0"/>
      <w:marRight w:val="0"/>
      <w:marTop w:val="0"/>
      <w:marBottom w:val="0"/>
      <w:divBdr>
        <w:top w:val="none" w:sz="0" w:space="0" w:color="auto"/>
        <w:left w:val="none" w:sz="0" w:space="0" w:color="auto"/>
        <w:bottom w:val="none" w:sz="0" w:space="0" w:color="auto"/>
        <w:right w:val="none" w:sz="0" w:space="0" w:color="auto"/>
      </w:divBdr>
    </w:div>
    <w:div w:id="1837575605">
      <w:bodyDiv w:val="1"/>
      <w:marLeft w:val="0"/>
      <w:marRight w:val="0"/>
      <w:marTop w:val="0"/>
      <w:marBottom w:val="0"/>
      <w:divBdr>
        <w:top w:val="none" w:sz="0" w:space="0" w:color="auto"/>
        <w:left w:val="none" w:sz="0" w:space="0" w:color="auto"/>
        <w:bottom w:val="none" w:sz="0" w:space="0" w:color="auto"/>
        <w:right w:val="none" w:sz="0" w:space="0" w:color="auto"/>
      </w:divBdr>
    </w:div>
    <w:div w:id="1866090234">
      <w:bodyDiv w:val="1"/>
      <w:marLeft w:val="0"/>
      <w:marRight w:val="0"/>
      <w:marTop w:val="0"/>
      <w:marBottom w:val="0"/>
      <w:divBdr>
        <w:top w:val="none" w:sz="0" w:space="0" w:color="auto"/>
        <w:left w:val="none" w:sz="0" w:space="0" w:color="auto"/>
        <w:bottom w:val="none" w:sz="0" w:space="0" w:color="auto"/>
        <w:right w:val="none" w:sz="0" w:space="0" w:color="auto"/>
      </w:divBdr>
    </w:div>
    <w:div w:id="1871337635">
      <w:bodyDiv w:val="1"/>
      <w:marLeft w:val="0"/>
      <w:marRight w:val="0"/>
      <w:marTop w:val="0"/>
      <w:marBottom w:val="0"/>
      <w:divBdr>
        <w:top w:val="none" w:sz="0" w:space="0" w:color="auto"/>
        <w:left w:val="none" w:sz="0" w:space="0" w:color="auto"/>
        <w:bottom w:val="none" w:sz="0" w:space="0" w:color="auto"/>
        <w:right w:val="none" w:sz="0" w:space="0" w:color="auto"/>
      </w:divBdr>
    </w:div>
    <w:div w:id="1903562914">
      <w:bodyDiv w:val="1"/>
      <w:marLeft w:val="0"/>
      <w:marRight w:val="0"/>
      <w:marTop w:val="0"/>
      <w:marBottom w:val="0"/>
      <w:divBdr>
        <w:top w:val="none" w:sz="0" w:space="0" w:color="auto"/>
        <w:left w:val="none" w:sz="0" w:space="0" w:color="auto"/>
        <w:bottom w:val="none" w:sz="0" w:space="0" w:color="auto"/>
        <w:right w:val="none" w:sz="0" w:space="0" w:color="auto"/>
      </w:divBdr>
    </w:div>
    <w:div w:id="1908375532">
      <w:bodyDiv w:val="1"/>
      <w:marLeft w:val="0"/>
      <w:marRight w:val="0"/>
      <w:marTop w:val="0"/>
      <w:marBottom w:val="0"/>
      <w:divBdr>
        <w:top w:val="none" w:sz="0" w:space="0" w:color="auto"/>
        <w:left w:val="none" w:sz="0" w:space="0" w:color="auto"/>
        <w:bottom w:val="none" w:sz="0" w:space="0" w:color="auto"/>
        <w:right w:val="none" w:sz="0" w:space="0" w:color="auto"/>
      </w:divBdr>
    </w:div>
    <w:div w:id="2080445191">
      <w:bodyDiv w:val="1"/>
      <w:marLeft w:val="0"/>
      <w:marRight w:val="0"/>
      <w:marTop w:val="0"/>
      <w:marBottom w:val="0"/>
      <w:divBdr>
        <w:top w:val="none" w:sz="0" w:space="0" w:color="auto"/>
        <w:left w:val="none" w:sz="0" w:space="0" w:color="auto"/>
        <w:bottom w:val="none" w:sz="0" w:space="0" w:color="auto"/>
        <w:right w:val="none" w:sz="0" w:space="0" w:color="auto"/>
      </w:divBdr>
    </w:div>
    <w:div w:id="2127576169">
      <w:bodyDiv w:val="1"/>
      <w:marLeft w:val="0"/>
      <w:marRight w:val="0"/>
      <w:marTop w:val="0"/>
      <w:marBottom w:val="0"/>
      <w:divBdr>
        <w:top w:val="none" w:sz="0" w:space="0" w:color="auto"/>
        <w:left w:val="none" w:sz="0" w:space="0" w:color="auto"/>
        <w:bottom w:val="none" w:sz="0" w:space="0" w:color="auto"/>
        <w:right w:val="none" w:sz="0" w:space="0" w:color="auto"/>
      </w:divBdr>
    </w:div>
    <w:div w:id="2134248669">
      <w:bodyDiv w:val="1"/>
      <w:marLeft w:val="0"/>
      <w:marRight w:val="0"/>
      <w:marTop w:val="0"/>
      <w:marBottom w:val="0"/>
      <w:divBdr>
        <w:top w:val="none" w:sz="0" w:space="0" w:color="auto"/>
        <w:left w:val="none" w:sz="0" w:space="0" w:color="auto"/>
        <w:bottom w:val="none" w:sz="0" w:space="0" w:color="auto"/>
        <w:right w:val="none" w:sz="0" w:space="0" w:color="auto"/>
      </w:divBdr>
    </w:div>
    <w:div w:id="213590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dab.saude.gov.br/portaldab/historico_cobertura_sf.php"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9E59D-5530-4EF1-A105-5B0020202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5928</Words>
  <Characters>33793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39642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Ross</dc:creator>
  <cp:keywords/>
  <dc:description/>
  <cp:lastModifiedBy>Jennifer Ross</cp:lastModifiedBy>
  <cp:revision>3</cp:revision>
  <cp:lastPrinted>2018-06-08T20:59:00Z</cp:lastPrinted>
  <dcterms:created xsi:type="dcterms:W3CDTF">2018-08-01T22:05:00Z</dcterms:created>
  <dcterms:modified xsi:type="dcterms:W3CDTF">2018-08-01T22:06:00Z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zotero-version="5.0.35.1"&gt;&lt;session id="pQfO7X7Z"/&gt;&lt;style id="http://www.zotero.org/styles/ieee" locale="en-US" hasBibliography="1" bibliographyStyleHasBeenSet="1"/&gt;&lt;prefs&gt;&lt;pref name="fieldType" value="Field"/&gt;&lt;pref name="automaticJo</vt:lpwstr>
  </property>
  <property fmtid="{D5CDD505-2E9C-101B-9397-08002B2CF9AE}" pid="3" name="ZOTERO_PREF_2">
    <vt:lpwstr>urnalAbbreviations" value="true"/&gt;&lt;pref name="noteType" value="0"/&gt;&lt;/prefs&gt;&lt;/data&gt;</vt:lpwstr>
  </property>
</Properties>
</file>