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EEB8" w14:textId="4B1DE01C" w:rsidR="000F3917" w:rsidRDefault="0047156A">
      <w:pPr>
        <w:rPr>
          <w:rFonts w:ascii="Gentium Plus" w:hAnsi="Gentium Plus" w:cs="Gentium Plus"/>
          <w:lang w:val="en-US"/>
        </w:rPr>
      </w:pPr>
      <w:r w:rsidRPr="00464231">
        <w:rPr>
          <w:rFonts w:ascii="Gentium Plus" w:hAnsi="Gentium Plus" w:cs="Gentium Plus"/>
          <w:b/>
          <w:bCs/>
          <w:lang w:val="en-US"/>
        </w:rPr>
        <w:t xml:space="preserve">MS </w:t>
      </w:r>
      <w:r w:rsidR="00D04911">
        <w:rPr>
          <w:rFonts w:ascii="Gentium Plus" w:hAnsi="Gentium Plus" w:cs="Gentium Plus"/>
          <w:b/>
          <w:bCs/>
          <w:lang w:val="en-US"/>
        </w:rPr>
        <w:t>Bodley Add. A. 380</w:t>
      </w:r>
      <w:r w:rsidR="00464231" w:rsidRPr="00464231">
        <w:rPr>
          <w:rFonts w:ascii="Gentium Plus" w:hAnsi="Gentium Plus" w:cs="Gentium Plus"/>
          <w:b/>
          <w:bCs/>
          <w:lang w:val="en-US"/>
        </w:rPr>
        <w:tab/>
      </w:r>
      <w:r w:rsidR="00464231">
        <w:rPr>
          <w:rFonts w:ascii="Gentium Plus" w:hAnsi="Gentium Plus" w:cs="Gentium Plus"/>
          <w:lang w:val="en-US"/>
        </w:rPr>
        <w:tab/>
        <w:t>JB 7/4/21</w:t>
      </w:r>
      <w:r w:rsidR="00466F66">
        <w:rPr>
          <w:rFonts w:ascii="Gentium Plus" w:hAnsi="Gentium Plus" w:cs="Gentium Plus"/>
          <w:lang w:val="en-US"/>
        </w:rPr>
        <w:t xml:space="preserve"> + 11/6/21</w:t>
      </w:r>
    </w:p>
    <w:p w14:paraId="72D5BAC5" w14:textId="0C6B0CAF" w:rsidR="00464231" w:rsidRDefault="00464231">
      <w:pPr>
        <w:rPr>
          <w:rFonts w:ascii="Gentium Plus" w:hAnsi="Gentium Plus" w:cs="Gentium Plus"/>
          <w:lang w:val="en-US"/>
        </w:rPr>
      </w:pPr>
    </w:p>
    <w:p w14:paraId="33844481" w14:textId="35612FB9" w:rsidR="0094234A" w:rsidRDefault="00D04911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Very fragile, much thumbed, bound-in pages of differing sizes and textures. The front cover is very loose.</w:t>
      </w:r>
    </w:p>
    <w:p w14:paraId="6C708DC4" w14:textId="34FB95EF" w:rsidR="00D04911" w:rsidRDefault="00D04911">
      <w:pPr>
        <w:rPr>
          <w:rFonts w:ascii="Gentium Plus" w:hAnsi="Gentium Plus" w:cs="Gentium Plus"/>
          <w:lang w:val="en-US"/>
        </w:rPr>
      </w:pPr>
    </w:p>
    <w:p w14:paraId="32B3C3DF" w14:textId="47027ABB" w:rsidR="00D04911" w:rsidRDefault="00D04911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 xml:space="preserve">The volume is a miscellany of handwritten pieces on chronology and similar. See Mercier (1994), n.71, p.207 for its contents </w:t>
      </w:r>
      <w:r w:rsidR="00466F66">
        <w:rPr>
          <w:rFonts w:ascii="Gentium Plus" w:hAnsi="Gentium Plus" w:cs="Gentium Plus"/>
          <w:lang w:val="en-US"/>
        </w:rPr>
        <w:t xml:space="preserve">ff.153-187 + 188-212 (“In this most valuable record of Greaves’ researches, the notes which he sent to Ussher occupy ff.153-187. In the rest we have: 188-191v, notes by Ussher on Chronology; 192v-193, Funeral oration on Bainbridge by the Public Orator; several works by John Bainbridge: 194-197, De meridianorum sive longitudinorum differentiis inveniendis-Dissertatio; 198-201v, Antiprognosticon; 202-203v, Canicularia. Ad annum Canicularem et Periodum Sothiacum pertinet problema de ortu Canis Heliaco; 204-209, De Stella Veneris Diatriba; 210-212, Inventio lateris quadrati.”) </w:t>
      </w:r>
      <w:r w:rsidR="001C2D31">
        <w:rPr>
          <w:rFonts w:ascii="Gentium Plus" w:hAnsi="Gentium Plus" w:cs="Gentium Plus"/>
          <w:lang w:val="en-US"/>
        </w:rPr>
        <w:t>Mercier doesn’t list the contents that precede the Greaves bundle</w:t>
      </w:r>
      <w:r w:rsidR="00466F66">
        <w:rPr>
          <w:rFonts w:ascii="Gentium Plus" w:hAnsi="Gentium Plus" w:cs="Gentium Plus"/>
          <w:lang w:val="en-US"/>
        </w:rPr>
        <w:t xml:space="preserve">, and I haven’t been able to track down the </w:t>
      </w:r>
      <w:r w:rsidR="00466F66" w:rsidRPr="00466F66">
        <w:rPr>
          <w:rFonts w:ascii="Gentium Plus" w:hAnsi="Gentium Plus" w:cs="Gentium Plus"/>
          <w:i/>
          <w:iCs/>
          <w:lang w:val="en-US"/>
        </w:rPr>
        <w:t>Summary Catalogue</w:t>
      </w:r>
      <w:r w:rsidR="00466F66">
        <w:rPr>
          <w:rFonts w:ascii="Gentium Plus" w:hAnsi="Gentium Plus" w:cs="Gentium Plus"/>
          <w:lang w:val="en-US"/>
        </w:rPr>
        <w:t xml:space="preserve"> entry on the MS.</w:t>
      </w:r>
      <w:r w:rsidR="001C2D31">
        <w:rPr>
          <w:rFonts w:ascii="Gentium Plus" w:hAnsi="Gentium Plus" w:cs="Gentium Plus"/>
          <w:lang w:val="en-US"/>
        </w:rPr>
        <w:t xml:space="preserve"> </w:t>
      </w:r>
    </w:p>
    <w:p w14:paraId="411DE711" w14:textId="452B32F9" w:rsidR="001C2D31" w:rsidRDefault="001C2D31">
      <w:pPr>
        <w:rPr>
          <w:rFonts w:ascii="Gentium Plus" w:hAnsi="Gentium Plus" w:cs="Gentium Plus"/>
          <w:lang w:val="en-US"/>
        </w:rPr>
      </w:pPr>
    </w:p>
    <w:p w14:paraId="254F4889" w14:textId="24F6AEC0" w:rsidR="00466F66" w:rsidRPr="00466F66" w:rsidRDefault="00466F66">
      <w:pPr>
        <w:rPr>
          <w:rFonts w:ascii="Gentium Plus" w:hAnsi="Gentium Plus" w:cs="Gentium Plus"/>
          <w:b/>
          <w:bCs/>
          <w:lang w:val="en-US"/>
        </w:rPr>
      </w:pPr>
      <w:r w:rsidRPr="00466F66">
        <w:rPr>
          <w:rFonts w:ascii="Gentium Plus" w:hAnsi="Gentium Plus" w:cs="Gentium Plus"/>
          <w:b/>
          <w:bCs/>
          <w:lang w:val="en-US"/>
        </w:rPr>
        <w:t xml:space="preserve">All the following </w:t>
      </w:r>
      <w:r w:rsidR="00497672">
        <w:rPr>
          <w:rFonts w:ascii="Gentium Plus" w:hAnsi="Gentium Plus" w:cs="Gentium Plus"/>
          <w:b/>
          <w:bCs/>
          <w:lang w:val="en-US"/>
        </w:rPr>
        <w:t xml:space="preserve">up to f.191b </w:t>
      </w:r>
      <w:bookmarkStart w:id="0" w:name="_GoBack"/>
      <w:bookmarkEnd w:id="0"/>
      <w:r w:rsidRPr="00466F66">
        <w:rPr>
          <w:rFonts w:ascii="Gentium Plus" w:hAnsi="Gentium Plus" w:cs="Gentium Plus"/>
          <w:b/>
          <w:bCs/>
          <w:lang w:val="en-US"/>
        </w:rPr>
        <w:t>photographed JB 11/6/21:</w:t>
      </w:r>
    </w:p>
    <w:p w14:paraId="594AD4D3" w14:textId="5B3BE2E0" w:rsidR="00466F66" w:rsidRDefault="00466F66">
      <w:pPr>
        <w:rPr>
          <w:rFonts w:ascii="Gentium Plus" w:hAnsi="Gentium Plus" w:cs="Gentium Plus"/>
          <w:lang w:val="en-US"/>
        </w:rPr>
      </w:pPr>
      <w:r>
        <w:rPr>
          <w:rFonts w:ascii="Gentium Plus" w:hAnsi="Gentium Plus" w:cs="Gentium Plus"/>
          <w:lang w:val="en-US"/>
        </w:rPr>
        <w:t>f.152b: a note with a crossed-out reference to Ulug Beig.</w:t>
      </w:r>
    </w:p>
    <w:p w14:paraId="237B91BB" w14:textId="77777777" w:rsidR="00466F66" w:rsidRDefault="00466F66">
      <w:pPr>
        <w:rPr>
          <w:rFonts w:ascii="Gentium Plus" w:hAnsi="Gentium Plus" w:cs="Gentium Plus"/>
          <w:lang w:val="en-US"/>
        </w:rPr>
      </w:pPr>
    </w:p>
    <w:p w14:paraId="46645166" w14:textId="1555009E" w:rsidR="001C2D31" w:rsidRDefault="001C2D31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Gentium Plus"/>
          <w:lang w:val="en-US"/>
        </w:rPr>
        <w:t xml:space="preserve">ff.153a-156b: John Greaves’s draft of his letter to [Ussher], undated, on </w:t>
      </w:r>
      <w:r w:rsidRPr="008E2471">
        <w:rPr>
          <w:rFonts w:ascii="Gentium Plus" w:hAnsi="Gentium Plus" w:cs="Gentium Plus"/>
          <w:b/>
          <w:bCs/>
          <w:lang w:val="en-US"/>
        </w:rPr>
        <w:t>the situation of Byzantium and Rhodes</w:t>
      </w:r>
      <w:r>
        <w:rPr>
          <w:rFonts w:ascii="Gentium Plus" w:hAnsi="Gentium Plus" w:cs="Gentium Plus"/>
          <w:lang w:val="en-US"/>
        </w:rPr>
        <w:t xml:space="preserve">. English secretary hand and words in Arabic. </w:t>
      </w:r>
      <w:r w:rsidR="00497672" w:rsidRPr="00497672">
        <w:rPr>
          <w:rFonts w:ascii="Gentium Plus" w:hAnsi="Gentium Plus" w:cs="Gentium Plus"/>
          <w:i/>
          <w:iCs/>
          <w:highlight w:val="yellow"/>
          <w:lang w:val="en-US"/>
        </w:rPr>
        <w:t>Transcribed by Mercier pp.170-</w:t>
      </w:r>
      <w:r w:rsidR="00497672" w:rsidRPr="00497672">
        <w:rPr>
          <w:rFonts w:ascii="Gentium Plus" w:hAnsi="Gentium Plus" w:cs="Gentium Plus"/>
          <w:highlight w:val="yellow"/>
          <w:lang w:val="en-US"/>
        </w:rPr>
        <w:t>2</w:t>
      </w:r>
      <w:r w:rsidR="00497672">
        <w:rPr>
          <w:rFonts w:ascii="Gentium Plus" w:hAnsi="Gentium Plus" w:cs="Gentium Plus"/>
          <w:lang w:val="en-US"/>
        </w:rPr>
        <w:t xml:space="preserve">. </w:t>
      </w:r>
      <w:r w:rsidR="00497672" w:rsidRPr="00497672">
        <w:rPr>
          <w:rFonts w:ascii="Gentium Plus" w:hAnsi="Gentium Plus" w:cs="Gentium Plus"/>
          <w:highlight w:val="cyan"/>
          <w:lang w:val="en-US"/>
        </w:rPr>
        <w:t>Ff. 153a-156a seem to be in the hand of an amanuensis (see especially the very clumsy Arabic script on ff.154a/b and 156a) with corrections by Greaves</w:t>
      </w:r>
      <w:r w:rsidR="00497672">
        <w:rPr>
          <w:rFonts w:ascii="Gentium Plus" w:hAnsi="Gentium Plus" w:cs="Gentium Plus"/>
          <w:lang w:val="en-US"/>
        </w:rPr>
        <w:t xml:space="preserve">. </w:t>
      </w:r>
      <w:r w:rsidRPr="00497672">
        <w:rPr>
          <w:rFonts w:ascii="Gentium Plus" w:hAnsi="Gentium Plus" w:cs="Gentium Plus"/>
          <w:lang w:val="en-US"/>
        </w:rPr>
        <w:t>F</w:t>
      </w:r>
      <w:r>
        <w:rPr>
          <w:rFonts w:ascii="Gentium Plus" w:hAnsi="Gentium Plus" w:cs="Gentium Plus"/>
          <w:lang w:val="en-US"/>
        </w:rPr>
        <w:t xml:space="preserve">.156b contains extracts from “Nassir Edd.” </w:t>
      </w:r>
      <w:r>
        <w:rPr>
          <w:rFonts w:ascii="Gentium Plus" w:hAnsi="Gentium Plus" w:cs="Times New Roman" w:hint="cs"/>
          <w:rtl/>
          <w:lang w:val="en-US"/>
        </w:rPr>
        <w:t>كتاب اخلاق ناصري</w:t>
      </w:r>
      <w:r>
        <w:rPr>
          <w:rFonts w:ascii="Gentium Plus" w:hAnsi="Gentium Plus" w:cs="Times New Roman"/>
          <w:lang w:val="en-US"/>
        </w:rPr>
        <w:t xml:space="preserve">  in </w:t>
      </w:r>
      <w:r w:rsidRPr="001C2D31">
        <w:rPr>
          <w:rFonts w:ascii="Gentium Plus" w:hAnsi="Gentium Plus" w:cs="Times New Roman"/>
          <w:u w:val="single"/>
          <w:lang w:val="en-US"/>
        </w:rPr>
        <w:t>Persian</w:t>
      </w:r>
      <w:r>
        <w:rPr>
          <w:rFonts w:ascii="Gentium Plus" w:hAnsi="Gentium Plus" w:cs="Times New Roman"/>
          <w:lang w:val="en-US"/>
        </w:rPr>
        <w:t>: heads and sub-heads and an extract.</w:t>
      </w:r>
      <w:r w:rsidR="008E2471">
        <w:rPr>
          <w:rFonts w:ascii="Gentium Plus" w:hAnsi="Gentium Plus" w:cs="Times New Roman"/>
          <w:lang w:val="en-US"/>
        </w:rPr>
        <w:t xml:space="preserve"> (</w:t>
      </w:r>
      <w:r w:rsidR="008E2471" w:rsidRPr="008E2471">
        <w:rPr>
          <w:rFonts w:ascii="Gentium Plus" w:hAnsi="Gentium Plus" w:cs="Times New Roman"/>
          <w:b/>
          <w:bCs/>
          <w:lang w:val="en-US"/>
        </w:rPr>
        <w:t>Photo JB</w:t>
      </w:r>
      <w:r w:rsidR="008E2471">
        <w:rPr>
          <w:rFonts w:ascii="Gentium Plus" w:hAnsi="Gentium Plus" w:cs="Times New Roman"/>
          <w:lang w:val="en-US"/>
        </w:rPr>
        <w:t>)</w:t>
      </w:r>
    </w:p>
    <w:p w14:paraId="14B9EF80" w14:textId="3C25AC82" w:rsidR="004F4ED0" w:rsidRDefault="004F4ED0">
      <w:pPr>
        <w:rPr>
          <w:rFonts w:ascii="Gentium Plus" w:hAnsi="Gentium Plus" w:cs="Times New Roman"/>
          <w:lang w:val="en-US"/>
        </w:rPr>
      </w:pPr>
    </w:p>
    <w:p w14:paraId="0C57DB1C" w14:textId="74E5354E" w:rsidR="004F4ED0" w:rsidRDefault="004F4ED0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Further ink and pencil jottings by Greaves ff.157b, 158a.</w:t>
      </w:r>
    </w:p>
    <w:p w14:paraId="183AE1F5" w14:textId="25FB27C8" w:rsidR="004F4ED0" w:rsidRDefault="004F4ED0">
      <w:pPr>
        <w:rPr>
          <w:rFonts w:ascii="Gentium Plus" w:hAnsi="Gentium Plus" w:cs="Times New Roman"/>
          <w:lang w:val="en-US"/>
        </w:rPr>
      </w:pPr>
    </w:p>
    <w:p w14:paraId="2F31EAD7" w14:textId="6C81A587" w:rsidR="004F4ED0" w:rsidRDefault="004F4ED0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Between ff.159 and 160, a manuscript </w:t>
      </w:r>
      <w:r w:rsidRPr="004F4ED0">
        <w:rPr>
          <w:rFonts w:ascii="Gentium Plus" w:hAnsi="Gentium Plus" w:cs="Times New Roman"/>
          <w:b/>
          <w:bCs/>
          <w:lang w:val="en-US"/>
        </w:rPr>
        <w:t>map</w:t>
      </w:r>
      <w:r>
        <w:rPr>
          <w:rFonts w:ascii="Gentium Plus" w:hAnsi="Gentium Plus" w:cs="Times New Roman"/>
          <w:lang w:val="en-US"/>
        </w:rPr>
        <w:t xml:space="preserve">, drawn in ink, of Arabia, sewn on to a paper support with red thread. </w:t>
      </w:r>
    </w:p>
    <w:p w14:paraId="44B81A7D" w14:textId="65DCFD5B" w:rsidR="004F4ED0" w:rsidRDefault="004F4ED0">
      <w:pPr>
        <w:rPr>
          <w:rFonts w:ascii="Gentium Plus" w:hAnsi="Gentium Plus" w:cs="Times New Roman"/>
          <w:lang w:val="en-US"/>
        </w:rPr>
      </w:pPr>
    </w:p>
    <w:p w14:paraId="69F084FE" w14:textId="1012F6F3" w:rsidR="004F4ED0" w:rsidRDefault="004F4ED0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ff.160a/b: “I nomi antichi e moderni della prima parte dell’Asia … Di Giacobo de’ Gastaldi Piamontese, Cosmografo (in Ven 1564).” Ff.161a/b are blank but the </w:t>
      </w:r>
      <w:r w:rsidRPr="004F4ED0">
        <w:rPr>
          <w:rFonts w:ascii="Gentium Plus" w:hAnsi="Gentium Plus" w:cs="Times New Roman"/>
          <w:b/>
          <w:bCs/>
          <w:lang w:val="en-US"/>
        </w:rPr>
        <w:t>list of place names</w:t>
      </w:r>
      <w:r>
        <w:rPr>
          <w:rFonts w:ascii="Gentium Plus" w:hAnsi="Gentium Plus" w:cs="Times New Roman"/>
          <w:lang w:val="en-US"/>
        </w:rPr>
        <w:t xml:space="preserve"> continues ff.162a/b, 163a.</w:t>
      </w:r>
    </w:p>
    <w:p w14:paraId="42986F64" w14:textId="6CF6221F" w:rsidR="004F4ED0" w:rsidRDefault="004F4ED0">
      <w:pPr>
        <w:rPr>
          <w:rFonts w:ascii="Gentium Plus" w:hAnsi="Gentium Plus" w:cs="Times New Roman"/>
          <w:lang w:val="en-US"/>
        </w:rPr>
      </w:pPr>
    </w:p>
    <w:p w14:paraId="3987F473" w14:textId="7905691D" w:rsidR="004F4ED0" w:rsidRDefault="004F4ED0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ff.164b-165a: ink, </w:t>
      </w:r>
      <w:r w:rsidRPr="004F4ED0">
        <w:rPr>
          <w:rFonts w:ascii="Gentium Plus" w:hAnsi="Gentium Plus" w:cs="Times New Roman"/>
          <w:b/>
          <w:bCs/>
          <w:lang w:val="en-US"/>
        </w:rPr>
        <w:t>on a grid, key geographical points</w:t>
      </w:r>
      <w:r>
        <w:rPr>
          <w:rFonts w:ascii="Gentium Plus" w:hAnsi="Gentium Plus" w:cs="Times New Roman"/>
          <w:lang w:val="en-US"/>
        </w:rPr>
        <w:t xml:space="preserve"> in Egypt and Arabia</w:t>
      </w:r>
    </w:p>
    <w:p w14:paraId="5F9E74D2" w14:textId="2624E9F0" w:rsidR="00497672" w:rsidRDefault="00497672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f.165b Tabulae geographicae ex Ulug-Beigo</w:t>
      </w:r>
    </w:p>
    <w:p w14:paraId="712F653D" w14:textId="5FDF3194" w:rsidR="00497672" w:rsidRDefault="00497672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f.166a blank</w:t>
      </w:r>
    </w:p>
    <w:p w14:paraId="33FA8515" w14:textId="081FE0FC" w:rsidR="004F4ED0" w:rsidRDefault="004F4ED0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lastRenderedPageBreak/>
        <w:t>ff.166b-167a: ditto Anatolia and Syria (marginal comments in different hands include: “according to Dr Greaves’s own observation</w:t>
      </w:r>
      <w:r w:rsidR="004E5EB4">
        <w:rPr>
          <w:rFonts w:ascii="Gentium Plus" w:hAnsi="Gentium Plus" w:cs="Times New Roman"/>
          <w:lang w:val="en-US"/>
        </w:rPr>
        <w:t>”</w:t>
      </w:r>
      <w:r>
        <w:rPr>
          <w:rFonts w:ascii="Gentium Plus" w:hAnsi="Gentium Plus" w:cs="Times New Roman"/>
          <w:lang w:val="en-US"/>
        </w:rPr>
        <w:t xml:space="preserve">, </w:t>
      </w:r>
      <w:r w:rsidR="00084829">
        <w:rPr>
          <w:rFonts w:ascii="Gentium Plus" w:hAnsi="Gentium Plus" w:cs="Times New Roman"/>
          <w:lang w:val="en-US"/>
        </w:rPr>
        <w:t>f.166b, and “Greaves’s letter to the L</w:t>
      </w:r>
      <w:r w:rsidR="00084829" w:rsidRPr="00084829">
        <w:rPr>
          <w:rFonts w:ascii="Gentium Plus" w:hAnsi="Gentium Plus" w:cs="Times New Roman"/>
          <w:vertAlign w:val="superscript"/>
          <w:lang w:val="en-US"/>
        </w:rPr>
        <w:t>d</w:t>
      </w:r>
      <w:r w:rsidR="00084829">
        <w:rPr>
          <w:rFonts w:ascii="Gentium Plus" w:hAnsi="Gentium Plus" w:cs="Times New Roman"/>
          <w:lang w:val="en-US"/>
        </w:rPr>
        <w:t>. Primate”, f.167a)</w:t>
      </w:r>
    </w:p>
    <w:p w14:paraId="02C2A660" w14:textId="0BC0AE29" w:rsidR="00084829" w:rsidRDefault="00084829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ff.168b-169a: ditto, parts of lower Iraq, al-Baḥrayn, Arabia, Yemen, Khuzistan and </w:t>
      </w:r>
      <w:r w:rsidR="008E2471">
        <w:rPr>
          <w:rFonts w:ascii="Gentium Plus" w:hAnsi="Gentium Plus" w:cs="Times New Roman"/>
          <w:lang w:val="en-US"/>
        </w:rPr>
        <w:t>Kerman</w:t>
      </w:r>
    </w:p>
    <w:p w14:paraId="05407F37" w14:textId="18AB1674" w:rsidR="00084829" w:rsidRDefault="00084829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ff.170b-171a: inner Arabia</w:t>
      </w:r>
    </w:p>
    <w:p w14:paraId="76891124" w14:textId="4465F7AA" w:rsidR="00084829" w:rsidRDefault="00084829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ff.172b-173a: Upper Egypt and Arabia</w:t>
      </w:r>
    </w:p>
    <w:p w14:paraId="16DB0276" w14:textId="465EC993" w:rsidR="00084829" w:rsidRDefault="00084829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ff.174b-175a: northern and central Iran, Georgia, Khwarazm, part of Russia</w:t>
      </w:r>
    </w:p>
    <w:p w14:paraId="3D67D59C" w14:textId="402DB9D9" w:rsidR="00084829" w:rsidRDefault="00084829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ff.176a-177b: Eastern Iran, Sind</w:t>
      </w:r>
    </w:p>
    <w:p w14:paraId="353F7FBE" w14:textId="4A97CC41" w:rsidR="00084829" w:rsidRDefault="00084829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ff.178b-179a: Central Asia</w:t>
      </w:r>
    </w:p>
    <w:p w14:paraId="3C83BC98" w14:textId="24E6EB09" w:rsidR="00084829" w:rsidRDefault="00084829">
      <w:pPr>
        <w:rPr>
          <w:rFonts w:ascii="Gentium Plus" w:hAnsi="Gentium Plus" w:cs="Times New Roman"/>
          <w:lang w:val="en-US"/>
        </w:rPr>
      </w:pPr>
    </w:p>
    <w:p w14:paraId="49D38D9D" w14:textId="1129EA38" w:rsidR="00084829" w:rsidRDefault="00084829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f.180a: a different hand has commented “These are imperfect”:</w:t>
      </w:r>
    </w:p>
    <w:p w14:paraId="100B31F3" w14:textId="29E4EF88" w:rsidR="00084829" w:rsidRPr="00466F66" w:rsidRDefault="00084829">
      <w:pPr>
        <w:rPr>
          <w:rFonts w:ascii="Gentium Plus" w:hAnsi="Gentium Plus" w:cs="Times New Roman"/>
          <w:i/>
          <w:iCs/>
          <w:lang w:val="en-US"/>
        </w:rPr>
      </w:pPr>
      <w:r>
        <w:rPr>
          <w:rFonts w:ascii="Gentium Plus" w:hAnsi="Gentium Plus" w:cs="Times New Roman"/>
          <w:lang w:val="en-US"/>
        </w:rPr>
        <w:t xml:space="preserve">ff.180b-183b: </w:t>
      </w:r>
      <w:r w:rsidRPr="00084829">
        <w:rPr>
          <w:rFonts w:ascii="Gentium Plus" w:hAnsi="Gentium Plus" w:cs="Times New Roman"/>
          <w:b/>
          <w:bCs/>
          <w:lang w:val="en-US"/>
        </w:rPr>
        <w:t>latitudes and longitudes</w:t>
      </w:r>
      <w:r>
        <w:rPr>
          <w:rFonts w:ascii="Gentium Plus" w:hAnsi="Gentium Plus" w:cs="Times New Roman"/>
          <w:lang w:val="en-US"/>
        </w:rPr>
        <w:t xml:space="preserve"> of cities and regions (f.182b: “E Tabulis Persicis Chrysococcae …” in ink; in margin in pencil: “Hac tabella est ex editione doctissimi viri D. Balliardi tam olim exscripsi e Cod. Ms. in bibliotheca Bodleiana qui (??) nihil ab impressa differit” (followed by effaced/illegible sentence)</w:t>
      </w:r>
      <w:r w:rsidR="00466F66">
        <w:rPr>
          <w:rFonts w:ascii="Gentium Plus" w:hAnsi="Gentium Plus" w:cs="Times New Roman"/>
          <w:lang w:val="en-US"/>
        </w:rPr>
        <w:t xml:space="preserve"> </w:t>
      </w:r>
      <w:r w:rsidR="00466F66" w:rsidRPr="00497672">
        <w:rPr>
          <w:rFonts w:ascii="Gentium Plus" w:hAnsi="Gentium Plus" w:cs="Times New Roman"/>
          <w:i/>
          <w:iCs/>
          <w:highlight w:val="yellow"/>
          <w:lang w:val="en-US"/>
        </w:rPr>
        <w:t>Transcribed by Mercier</w:t>
      </w:r>
      <w:r w:rsidR="00497672" w:rsidRPr="00497672">
        <w:rPr>
          <w:rFonts w:ascii="Gentium Plus" w:hAnsi="Gentium Plus" w:cs="Times New Roman"/>
          <w:i/>
          <w:iCs/>
          <w:highlight w:val="yellow"/>
          <w:lang w:val="en-US"/>
        </w:rPr>
        <w:t xml:space="preserve"> pp.168-9</w:t>
      </w:r>
      <w:r w:rsidR="00497672">
        <w:rPr>
          <w:rFonts w:ascii="Gentium Plus" w:hAnsi="Gentium Plus" w:cs="Times New Roman"/>
          <w:i/>
          <w:iCs/>
          <w:highlight w:val="yellow"/>
          <w:lang w:val="en-US"/>
        </w:rPr>
        <w:t>.</w:t>
      </w:r>
    </w:p>
    <w:p w14:paraId="5781EB8A" w14:textId="2E35EF97" w:rsidR="00084829" w:rsidRDefault="00084829">
      <w:pPr>
        <w:rPr>
          <w:rFonts w:ascii="Gentium Plus" w:hAnsi="Gentium Plus" w:cs="Times New Roman"/>
          <w:lang w:val="en-US"/>
        </w:rPr>
      </w:pPr>
    </w:p>
    <w:p w14:paraId="66354141" w14:textId="3FFBD016" w:rsidR="00084829" w:rsidRDefault="00084829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>f.184a (see Mercier (1994) pp.168-9 for a transcript; he calls this f.180 because of the difference in foliation at the time he consulted the MS): in a faint hand, in ink: “Anno Dn</w:t>
      </w:r>
      <w:r w:rsidRPr="00084829">
        <w:rPr>
          <w:rFonts w:ascii="Gentium Plus" w:hAnsi="Gentium Plus" w:cs="Times New Roman"/>
          <w:vertAlign w:val="superscript"/>
          <w:lang w:val="en-US"/>
        </w:rPr>
        <w:t>i</w:t>
      </w:r>
      <w:r>
        <w:rPr>
          <w:rFonts w:ascii="Gentium Plus" w:hAnsi="Gentium Plus" w:cs="Times New Roman"/>
          <w:lang w:val="en-US"/>
        </w:rPr>
        <w:t xml:space="preserve"> 1639</w:t>
      </w:r>
      <w:r w:rsidRPr="00084829">
        <w:rPr>
          <w:rFonts w:ascii="Gentium Plus" w:hAnsi="Gentium Plus" w:cs="Times New Roman"/>
          <w:vertAlign w:val="superscript"/>
          <w:lang w:val="en-US"/>
        </w:rPr>
        <w:t>0</w:t>
      </w:r>
      <w:r w:rsidR="005D6384">
        <w:rPr>
          <w:rFonts w:ascii="Gentium Plus" w:hAnsi="Gentium Plus" w:cs="Times New Roman"/>
          <w:lang w:val="en-US"/>
        </w:rPr>
        <w:t xml:space="preserve"> Mense Aprilis”: </w:t>
      </w:r>
      <w:r w:rsidR="005D6384" w:rsidRPr="005D6384">
        <w:rPr>
          <w:rFonts w:ascii="Gentium Plus" w:hAnsi="Gentium Plus" w:cs="Times New Roman"/>
          <w:b/>
          <w:bCs/>
          <w:lang w:val="en-US"/>
        </w:rPr>
        <w:t>observations in various locations</w:t>
      </w:r>
      <w:r w:rsidR="005D6384">
        <w:rPr>
          <w:rFonts w:ascii="Gentium Plus" w:hAnsi="Gentium Plus" w:cs="Times New Roman"/>
          <w:lang w:val="en-US"/>
        </w:rPr>
        <w:t>; of one it is noted “hoc est, cum quadrante”; others cite MS sources.</w:t>
      </w:r>
    </w:p>
    <w:p w14:paraId="16B4D535" w14:textId="3263FE9D" w:rsidR="005D6384" w:rsidRDefault="005D6384">
      <w:pPr>
        <w:rPr>
          <w:rFonts w:ascii="Gentium Plus" w:hAnsi="Gentium Plus" w:cs="Times New Roman"/>
          <w:lang w:val="en-US"/>
        </w:rPr>
      </w:pPr>
    </w:p>
    <w:p w14:paraId="412B94E4" w14:textId="22E06D35" w:rsidR="005D6384" w:rsidRDefault="005D6384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f.185: draft </w:t>
      </w:r>
      <w:r w:rsidRPr="005D6384">
        <w:rPr>
          <w:rFonts w:ascii="Gentium Plus" w:hAnsi="Gentium Plus" w:cs="Times New Roman"/>
          <w:b/>
          <w:bCs/>
          <w:lang w:val="en-US"/>
        </w:rPr>
        <w:t>grid</w:t>
      </w:r>
      <w:r>
        <w:rPr>
          <w:rFonts w:ascii="Gentium Plus" w:hAnsi="Gentium Plus" w:cs="Times New Roman"/>
          <w:lang w:val="en-US"/>
        </w:rPr>
        <w:t xml:space="preserve"> of parts of Greece</w:t>
      </w:r>
    </w:p>
    <w:p w14:paraId="16CA4EE4" w14:textId="6A4142FD" w:rsidR="005D6384" w:rsidRDefault="005D6384">
      <w:pPr>
        <w:rPr>
          <w:rFonts w:ascii="Gentium Plus" w:hAnsi="Gentium Plus" w:cs="Times New Roman"/>
          <w:lang w:val="en-US"/>
        </w:rPr>
      </w:pPr>
    </w:p>
    <w:p w14:paraId="64B3CCA8" w14:textId="321EED21" w:rsidR="005D6384" w:rsidRDefault="005D6384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ff.186a/b: </w:t>
      </w:r>
      <w:r w:rsidRPr="005D6384">
        <w:rPr>
          <w:rFonts w:ascii="Gentium Plus" w:hAnsi="Gentium Plus" w:cs="Times New Roman"/>
          <w:b/>
          <w:bCs/>
          <w:lang w:val="en-US"/>
        </w:rPr>
        <w:t>?latitudes and longitudes</w:t>
      </w:r>
      <w:r>
        <w:rPr>
          <w:rFonts w:ascii="Gentium Plus" w:hAnsi="Gentium Plus" w:cs="Times New Roman"/>
          <w:lang w:val="en-US"/>
        </w:rPr>
        <w:t xml:space="preserve">, those on 186b headed, in Arabic script: </w:t>
      </w:r>
      <w:r w:rsidRPr="005D6384">
        <w:rPr>
          <w:rFonts w:ascii="Gentium Plus" w:hAnsi="Gentium Plus" w:cs="Times New Roman"/>
          <w:i/>
          <w:iCs/>
          <w:lang w:val="en-US"/>
        </w:rPr>
        <w:t>min ḥisāb al-Shaykh Shams al-Dīn</w:t>
      </w:r>
      <w:r>
        <w:rPr>
          <w:rFonts w:ascii="Gentium Plus" w:hAnsi="Gentium Plus" w:cs="Times New Roman"/>
          <w:lang w:val="en-US"/>
        </w:rPr>
        <w:t>, “according to the calculations of Shaykh Shams al-Dīn”, and there is a comment that these coincide with those of another MS Arabic table</w:t>
      </w:r>
    </w:p>
    <w:p w14:paraId="677BE679" w14:textId="1745A7D8" w:rsidR="005D6384" w:rsidRDefault="005D6384">
      <w:pPr>
        <w:rPr>
          <w:rFonts w:ascii="Gentium Plus" w:hAnsi="Gentium Plus" w:cs="Times New Roman"/>
          <w:lang w:val="en-US"/>
        </w:rPr>
      </w:pPr>
    </w:p>
    <w:p w14:paraId="6644D4EB" w14:textId="3BBAD760" w:rsidR="005D6384" w:rsidRDefault="005D6384">
      <w:pPr>
        <w:rPr>
          <w:rFonts w:ascii="Gentium Plus" w:hAnsi="Gentium Plus" w:cs="Times New Roman"/>
          <w:lang w:val="en-US"/>
        </w:rPr>
      </w:pPr>
      <w:r>
        <w:rPr>
          <w:rFonts w:ascii="Gentium Plus" w:hAnsi="Gentium Plus" w:cs="Times New Roman"/>
          <w:lang w:val="en-US"/>
        </w:rPr>
        <w:t xml:space="preserve">f.187b: comparative table of </w:t>
      </w:r>
      <w:r w:rsidRPr="005D6384">
        <w:rPr>
          <w:rFonts w:ascii="Gentium Plus" w:hAnsi="Gentium Plus" w:cs="Times New Roman"/>
          <w:b/>
          <w:bCs/>
          <w:lang w:val="en-US"/>
        </w:rPr>
        <w:t>dates</w:t>
      </w:r>
    </w:p>
    <w:p w14:paraId="0FE9892D" w14:textId="0D403DCC" w:rsidR="005D6384" w:rsidRDefault="005D6384">
      <w:pPr>
        <w:rPr>
          <w:rFonts w:ascii="Gentium Plus" w:hAnsi="Gentium Plus" w:cs="Times New Roman"/>
          <w:lang w:val="en-US"/>
        </w:rPr>
      </w:pPr>
    </w:p>
    <w:p w14:paraId="748F624B" w14:textId="6A5BC062" w:rsidR="005D6384" w:rsidRDefault="005D6384">
      <w:pPr>
        <w:rPr>
          <w:rFonts w:ascii="Gentium Plus" w:hAnsi="Gentium Plus" w:cs="Times New Roman"/>
          <w:lang w:val="en-GB"/>
        </w:rPr>
      </w:pPr>
      <w:r>
        <w:rPr>
          <w:rFonts w:ascii="Gentium Plus" w:hAnsi="Gentium Plus" w:cs="Times New Roman"/>
          <w:lang w:val="en-US"/>
        </w:rPr>
        <w:t>ff.188a/b-189a: “</w:t>
      </w:r>
      <w:r w:rsidRPr="005D6384">
        <w:rPr>
          <w:rFonts w:ascii="Gentium Plus" w:hAnsi="Gentium Plus" w:cs="Times New Roman"/>
          <w:i/>
          <w:iCs/>
          <w:lang w:val="en-US"/>
        </w:rPr>
        <w:t>Ex chronologi</w:t>
      </w:r>
      <w:r w:rsidRPr="005D6384">
        <w:rPr>
          <w:rFonts w:ascii="Gentium Plus" w:hAnsi="Gentium Plus" w:cs="Times New Roman"/>
          <w:i/>
          <w:iCs/>
          <w:lang w:val="en-GB"/>
        </w:rPr>
        <w:t>â nostra AEgypticâ</w:t>
      </w:r>
      <w:r>
        <w:rPr>
          <w:rFonts w:ascii="Gentium Plus" w:hAnsi="Gentium Plus" w:cs="Times New Roman"/>
          <w:lang w:val="en-GB"/>
        </w:rPr>
        <w:t xml:space="preserve">”: </w:t>
      </w:r>
      <w:r w:rsidRPr="005D6384">
        <w:rPr>
          <w:rFonts w:ascii="Gentium Plus" w:hAnsi="Gentium Plus" w:cs="Times New Roman"/>
          <w:b/>
          <w:bCs/>
          <w:lang w:val="en-GB"/>
        </w:rPr>
        <w:t>chronology of Dynasties XVIII-XXII</w:t>
      </w:r>
    </w:p>
    <w:p w14:paraId="5CF0635D" w14:textId="573A9B9A" w:rsidR="005D6384" w:rsidRDefault="005D6384">
      <w:pPr>
        <w:rPr>
          <w:rFonts w:ascii="Gentium Plus" w:hAnsi="Gentium Plus" w:cs="Times New Roman"/>
          <w:lang w:val="en-GB"/>
        </w:rPr>
      </w:pPr>
      <w:r>
        <w:rPr>
          <w:rFonts w:ascii="Gentium Plus" w:hAnsi="Gentium Plus" w:cs="Times New Roman"/>
          <w:lang w:val="en-GB"/>
        </w:rPr>
        <w:t>f.189b: further Ancient Egyptian chronologies</w:t>
      </w:r>
    </w:p>
    <w:p w14:paraId="7E705967" w14:textId="3722CB4A" w:rsidR="005D6384" w:rsidRDefault="005D6384">
      <w:pPr>
        <w:rPr>
          <w:rFonts w:ascii="Gentium Plus" w:hAnsi="Gentium Plus" w:cs="Times New Roman"/>
          <w:lang w:val="en-GB"/>
        </w:rPr>
      </w:pPr>
    </w:p>
    <w:p w14:paraId="4CDDADEC" w14:textId="4A4A5D30" w:rsidR="005D6384" w:rsidRDefault="005D6384">
      <w:pPr>
        <w:rPr>
          <w:rFonts w:ascii="Gentium Plus" w:hAnsi="Gentium Plus" w:cs="Times New Roman"/>
          <w:lang w:val="en-GB"/>
        </w:rPr>
      </w:pPr>
      <w:r>
        <w:rPr>
          <w:rFonts w:ascii="Gentium Plus" w:hAnsi="Gentium Plus" w:cs="Times New Roman"/>
          <w:lang w:val="en-GB"/>
        </w:rPr>
        <w:t xml:space="preserve">f.190a: </w:t>
      </w:r>
      <w:r w:rsidRPr="005D6384">
        <w:rPr>
          <w:rFonts w:ascii="Gentium Plus" w:hAnsi="Gentium Plus" w:cs="Times New Roman"/>
          <w:b/>
          <w:bCs/>
          <w:lang w:val="en-GB"/>
        </w:rPr>
        <w:t>Roman consular dates</w:t>
      </w:r>
      <w:r>
        <w:rPr>
          <w:rFonts w:ascii="Gentium Plus" w:hAnsi="Gentium Plus" w:cs="Times New Roman"/>
          <w:lang w:val="en-GB"/>
        </w:rPr>
        <w:t xml:space="preserve"> 268-288, f.190b: 289-311, f.191a: 312-340, f.191b: 341-366</w:t>
      </w:r>
    </w:p>
    <w:p w14:paraId="21E5E9B5" w14:textId="0C43947B" w:rsidR="005D6384" w:rsidRDefault="005D6384">
      <w:pPr>
        <w:rPr>
          <w:rFonts w:ascii="Gentium Plus" w:hAnsi="Gentium Plus" w:cs="Times New Roman"/>
          <w:lang w:val="en-GB"/>
        </w:rPr>
      </w:pPr>
    </w:p>
    <w:p w14:paraId="17A3F05A" w14:textId="7F52F13E" w:rsidR="005D6384" w:rsidRPr="00497672" w:rsidRDefault="005D6384">
      <w:pPr>
        <w:rPr>
          <w:rFonts w:ascii="Gentium Plus" w:hAnsi="Gentium Plus" w:cs="Times New Roman"/>
          <w:b/>
          <w:bCs/>
          <w:lang w:val="en-GB"/>
        </w:rPr>
      </w:pPr>
      <w:r>
        <w:rPr>
          <w:rFonts w:ascii="Gentium Plus" w:hAnsi="Gentium Plus" w:cs="Times New Roman"/>
          <w:lang w:val="en-GB"/>
        </w:rPr>
        <w:t>(ff.194a-197a: “Johannis Bainbrigii De Meridianorum … Dissertatio</w:t>
      </w:r>
      <w:r w:rsidR="0058022A">
        <w:rPr>
          <w:rFonts w:ascii="Gentium Plus" w:hAnsi="Gentium Plus" w:cs="Times New Roman"/>
          <w:lang w:val="en-GB"/>
        </w:rPr>
        <w:t>”: the pencilled letters/signs at the end could be by Greaves)</w:t>
      </w:r>
      <w:r w:rsidR="00497672">
        <w:rPr>
          <w:rFonts w:ascii="Gentium Plus" w:hAnsi="Gentium Plus" w:cs="Times New Roman"/>
          <w:lang w:val="en-GB"/>
        </w:rPr>
        <w:t xml:space="preserve"> </w:t>
      </w:r>
      <w:r w:rsidR="00497672">
        <w:rPr>
          <w:rFonts w:ascii="Gentium Plus" w:hAnsi="Gentium Plus" w:cs="Times New Roman"/>
          <w:b/>
          <w:bCs/>
          <w:lang w:val="en-GB"/>
        </w:rPr>
        <w:t>photo f.197a</w:t>
      </w:r>
    </w:p>
    <w:sectPr w:rsidR="005D6384" w:rsidRPr="00497672" w:rsidSect="008174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A1FB" w:usb2="02000009" w:usb3="00000000" w:csb0="000001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6A"/>
    <w:rsid w:val="00084829"/>
    <w:rsid w:val="000F3917"/>
    <w:rsid w:val="001C2D31"/>
    <w:rsid w:val="0023285B"/>
    <w:rsid w:val="003E0DAA"/>
    <w:rsid w:val="004008FB"/>
    <w:rsid w:val="00464231"/>
    <w:rsid w:val="00466F66"/>
    <w:rsid w:val="0047156A"/>
    <w:rsid w:val="00497672"/>
    <w:rsid w:val="004E5EB4"/>
    <w:rsid w:val="004F4ED0"/>
    <w:rsid w:val="0058022A"/>
    <w:rsid w:val="005D6384"/>
    <w:rsid w:val="008174D4"/>
    <w:rsid w:val="008E2471"/>
    <w:rsid w:val="0094234A"/>
    <w:rsid w:val="00A1430D"/>
    <w:rsid w:val="00A71707"/>
    <w:rsid w:val="00A90247"/>
    <w:rsid w:val="00B31A3C"/>
    <w:rsid w:val="00C965B9"/>
    <w:rsid w:val="00D04911"/>
    <w:rsid w:val="00D12BCA"/>
    <w:rsid w:val="00E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62D94"/>
  <w15:chartTrackingRefBased/>
  <w15:docId w15:val="{BC85AB3D-4AE1-6148-8046-FAA3F30A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Bray</dc:creator>
  <cp:keywords/>
  <dc:description/>
  <cp:lastModifiedBy>Julia Bray</cp:lastModifiedBy>
  <cp:revision>7</cp:revision>
  <dcterms:created xsi:type="dcterms:W3CDTF">2021-04-07T21:36:00Z</dcterms:created>
  <dcterms:modified xsi:type="dcterms:W3CDTF">2021-06-11T17:48:00Z</dcterms:modified>
</cp:coreProperties>
</file>