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54" w:rsidRPr="00832354" w:rsidRDefault="00832354" w:rsidP="00832354">
      <w:pPr>
        <w:spacing w:line="48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bookmarkStart w:id="0" w:name="_GoBack"/>
      <w:r w:rsidRPr="00832354">
        <w:rPr>
          <w:rFonts w:ascii="Calibri" w:eastAsia="Times New Roman" w:hAnsi="Calibri" w:cs="Times New Roman"/>
          <w:b/>
          <w:sz w:val="28"/>
          <w:szCs w:val="28"/>
        </w:rPr>
        <w:t>Supplementary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2394"/>
        <w:gridCol w:w="2394"/>
      </w:tblGrid>
      <w:tr w:rsidR="00832354" w:rsidRPr="00832354" w:rsidTr="008E16C1">
        <w:tc>
          <w:tcPr>
            <w:tcW w:w="4361" w:type="dxa"/>
            <w:shd w:val="clear" w:color="auto" w:fill="F2F2F2" w:themeFill="background1" w:themeFillShade="F2"/>
          </w:tcPr>
          <w:bookmarkEnd w:id="0"/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Type of Bleeding</w:t>
            </w:r>
          </w:p>
        </w:tc>
        <w:tc>
          <w:tcPr>
            <w:tcW w:w="2394" w:type="dxa"/>
            <w:shd w:val="clear" w:color="auto" w:fill="F2F2F2" w:themeFill="background1" w:themeFillShade="F2"/>
          </w:tcPr>
          <w:p w:rsidR="00832354" w:rsidRPr="00832354" w:rsidRDefault="00832354" w:rsidP="00832354">
            <w:pPr>
              <w:spacing w:line="360" w:lineRule="auto"/>
              <w:jc w:val="center"/>
              <w:rPr>
                <w:b/>
              </w:rPr>
            </w:pPr>
            <w:r w:rsidRPr="00832354">
              <w:rPr>
                <w:b/>
              </w:rPr>
              <w:t>Any bleeding</w:t>
            </w:r>
          </w:p>
        </w:tc>
        <w:tc>
          <w:tcPr>
            <w:tcW w:w="2394" w:type="dxa"/>
            <w:shd w:val="clear" w:color="auto" w:fill="F2F2F2" w:themeFill="background1" w:themeFillShade="F2"/>
          </w:tcPr>
          <w:p w:rsidR="00832354" w:rsidRPr="00832354" w:rsidRDefault="00832354" w:rsidP="00832354">
            <w:pPr>
              <w:spacing w:line="360" w:lineRule="auto"/>
              <w:jc w:val="center"/>
              <w:rPr>
                <w:b/>
              </w:rPr>
            </w:pPr>
            <w:r w:rsidRPr="00832354">
              <w:rPr>
                <w:b/>
              </w:rPr>
              <w:t>WHO Grade 2 or above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Oropharyngeal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75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5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Epistaxis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57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2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Haemoptysis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-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2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Eye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1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0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Musculoskeletal/deep tissue bleeding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0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0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Abnormal bleeding from invasive or procedure sites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-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5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Visible blood in urine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-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10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Haematemesis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-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2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Visible blood in stool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0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2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proofErr w:type="spellStart"/>
            <w:r w:rsidRPr="00832354">
              <w:rPr>
                <w:b/>
              </w:rPr>
              <w:t>Melaena</w:t>
            </w:r>
            <w:proofErr w:type="spellEnd"/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-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3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Abnormal vaginal bleeding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0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1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Petechiae/purpura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28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6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Bruising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42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2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CNS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-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0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Bleeding in body cavities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0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0</w:t>
            </w:r>
          </w:p>
        </w:tc>
      </w:tr>
      <w:tr w:rsidR="00832354" w:rsidRPr="00832354" w:rsidTr="008E16C1">
        <w:tc>
          <w:tcPr>
            <w:tcW w:w="4361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Total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203</w:t>
            </w:r>
          </w:p>
        </w:tc>
        <w:tc>
          <w:tcPr>
            <w:tcW w:w="2394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40</w:t>
            </w:r>
          </w:p>
        </w:tc>
      </w:tr>
    </w:tbl>
    <w:p w:rsidR="00832354" w:rsidRPr="00832354" w:rsidRDefault="00832354" w:rsidP="00832354">
      <w:pPr>
        <w:spacing w:line="240" w:lineRule="auto"/>
        <w:rPr>
          <w:rFonts w:ascii="Calibri" w:eastAsia="Times New Roman" w:hAnsi="Calibri" w:cs="Times New Roman"/>
          <w:b/>
        </w:rPr>
      </w:pPr>
    </w:p>
    <w:p w:rsidR="00832354" w:rsidRPr="00832354" w:rsidRDefault="00832354" w:rsidP="00832354">
      <w:pPr>
        <w:spacing w:line="240" w:lineRule="auto"/>
        <w:rPr>
          <w:rFonts w:ascii="Calibri" w:eastAsia="Times New Roman" w:hAnsi="Calibri" w:cs="Times New Roman"/>
          <w:b/>
        </w:rPr>
      </w:pPr>
      <w:r w:rsidRPr="00832354">
        <w:rPr>
          <w:rFonts w:ascii="Calibri" w:eastAsia="Times New Roman" w:hAnsi="Calibri" w:cs="Times New Roman"/>
          <w:b/>
        </w:rPr>
        <w:t>Supplementary Table I: Sites of bleeding. Patients may have had more than one site of bleeding on any one day.</w:t>
      </w:r>
    </w:p>
    <w:p w:rsidR="00832354" w:rsidRPr="00832354" w:rsidRDefault="00832354" w:rsidP="00832354">
      <w:pPr>
        <w:spacing w:line="480" w:lineRule="auto"/>
        <w:rPr>
          <w:rFonts w:ascii="Calibri" w:eastAsia="Times New Roman" w:hAnsi="Calibri" w:cs="Times New Roman"/>
          <w:sz w:val="24"/>
          <w:szCs w:val="24"/>
        </w:rPr>
      </w:pPr>
    </w:p>
    <w:p w:rsidR="00832354" w:rsidRPr="00832354" w:rsidRDefault="00832354" w:rsidP="00832354">
      <w:pPr>
        <w:rPr>
          <w:rFonts w:ascii="Calibri" w:eastAsia="Times New Roman" w:hAnsi="Calibri" w:cs="Times New Roman"/>
          <w:b/>
        </w:rPr>
      </w:pPr>
      <w:r w:rsidRPr="00832354">
        <w:rPr>
          <w:rFonts w:ascii="Calibri" w:eastAsia="Times New Roman" w:hAnsi="Calibri" w:cs="Times New Roman"/>
          <w:b/>
        </w:rPr>
        <w:br w:type="page"/>
      </w:r>
    </w:p>
    <w:p w:rsidR="00832354" w:rsidRPr="00832354" w:rsidRDefault="00832354" w:rsidP="00832354">
      <w:pPr>
        <w:rPr>
          <w:rFonts w:ascii="Calibri" w:eastAsia="Times New Roman" w:hAnsi="Calibri" w:cs="Times New Roman"/>
          <w:b/>
        </w:rPr>
      </w:pPr>
    </w:p>
    <w:tbl>
      <w:tblPr>
        <w:tblStyle w:val="TableGrid"/>
        <w:tblW w:w="9641" w:type="dxa"/>
        <w:tblLook w:val="04A0" w:firstRow="1" w:lastRow="0" w:firstColumn="1" w:lastColumn="0" w:noHBand="0" w:noVBand="1"/>
      </w:tblPr>
      <w:tblGrid>
        <w:gridCol w:w="1596"/>
        <w:gridCol w:w="1773"/>
        <w:gridCol w:w="1878"/>
        <w:gridCol w:w="2126"/>
        <w:gridCol w:w="2268"/>
      </w:tblGrid>
      <w:tr w:rsidR="00832354" w:rsidRPr="00832354" w:rsidTr="008E16C1">
        <w:tc>
          <w:tcPr>
            <w:tcW w:w="1596" w:type="dxa"/>
            <w:shd w:val="clear" w:color="auto" w:fill="F2F2F2" w:themeFill="background1" w:themeFillShade="F2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Reason for platelet Transfusion</w:t>
            </w:r>
          </w:p>
        </w:tc>
        <w:tc>
          <w:tcPr>
            <w:tcW w:w="1773" w:type="dxa"/>
            <w:shd w:val="clear" w:color="auto" w:fill="F2F2F2" w:themeFill="background1" w:themeFillShade="F2"/>
          </w:tcPr>
          <w:p w:rsidR="00832354" w:rsidRPr="00832354" w:rsidRDefault="00832354" w:rsidP="00832354">
            <w:pPr>
              <w:spacing w:line="360" w:lineRule="auto"/>
              <w:jc w:val="center"/>
              <w:rPr>
                <w:b/>
              </w:rPr>
            </w:pPr>
            <w:r w:rsidRPr="00832354">
              <w:rPr>
                <w:b/>
              </w:rPr>
              <w:t>Any bleeding present on day following platelet transfusion</w:t>
            </w:r>
          </w:p>
          <w:p w:rsidR="00832354" w:rsidRPr="00832354" w:rsidRDefault="00832354" w:rsidP="00832354">
            <w:pPr>
              <w:spacing w:line="360" w:lineRule="auto"/>
              <w:jc w:val="center"/>
              <w:rPr>
                <w:b/>
              </w:rPr>
            </w:pPr>
            <w:r w:rsidRPr="00832354">
              <w:rPr>
                <w:b/>
              </w:rPr>
              <w:t>N (%)</w:t>
            </w:r>
          </w:p>
        </w:tc>
        <w:tc>
          <w:tcPr>
            <w:tcW w:w="1878" w:type="dxa"/>
            <w:shd w:val="clear" w:color="auto" w:fill="F2F2F2" w:themeFill="background1" w:themeFillShade="F2"/>
          </w:tcPr>
          <w:p w:rsidR="00832354" w:rsidRPr="00832354" w:rsidRDefault="00832354" w:rsidP="00832354">
            <w:pPr>
              <w:spacing w:line="360" w:lineRule="auto"/>
              <w:jc w:val="center"/>
              <w:rPr>
                <w:b/>
              </w:rPr>
            </w:pPr>
            <w:r w:rsidRPr="00832354">
              <w:rPr>
                <w:b/>
              </w:rPr>
              <w:t>WHO grade 2 bleeding present on day following platelet transfusion</w:t>
            </w:r>
          </w:p>
          <w:p w:rsidR="00832354" w:rsidRPr="00832354" w:rsidRDefault="00832354" w:rsidP="00832354">
            <w:pPr>
              <w:spacing w:line="360" w:lineRule="auto"/>
              <w:jc w:val="center"/>
              <w:rPr>
                <w:b/>
              </w:rPr>
            </w:pPr>
            <w:r w:rsidRPr="00832354">
              <w:rPr>
                <w:b/>
              </w:rPr>
              <w:t>N (%)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832354" w:rsidRPr="00832354" w:rsidRDefault="00832354" w:rsidP="00832354">
            <w:pPr>
              <w:spacing w:line="360" w:lineRule="auto"/>
              <w:jc w:val="center"/>
              <w:rPr>
                <w:b/>
              </w:rPr>
            </w:pPr>
            <w:r w:rsidRPr="00832354">
              <w:rPr>
                <w:b/>
              </w:rPr>
              <w:t>Any bleeding present on either of the two days following platelet transfusion</w:t>
            </w:r>
          </w:p>
          <w:p w:rsidR="00832354" w:rsidRPr="00832354" w:rsidRDefault="00832354" w:rsidP="00832354">
            <w:pPr>
              <w:spacing w:line="360" w:lineRule="auto"/>
              <w:jc w:val="center"/>
              <w:rPr>
                <w:b/>
              </w:rPr>
            </w:pPr>
            <w:r w:rsidRPr="00832354">
              <w:rPr>
                <w:b/>
              </w:rPr>
              <w:t>N (%)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32354" w:rsidRPr="00832354" w:rsidRDefault="00832354" w:rsidP="00832354">
            <w:pPr>
              <w:spacing w:line="360" w:lineRule="auto"/>
              <w:jc w:val="center"/>
              <w:rPr>
                <w:b/>
              </w:rPr>
            </w:pPr>
            <w:r w:rsidRPr="00832354">
              <w:rPr>
                <w:b/>
              </w:rPr>
              <w:t>WHO grade 2 bleeding present on either of the two days following platelet transfusion</w:t>
            </w:r>
          </w:p>
          <w:p w:rsidR="00832354" w:rsidRPr="00832354" w:rsidRDefault="00832354" w:rsidP="00832354">
            <w:pPr>
              <w:spacing w:line="360" w:lineRule="auto"/>
              <w:jc w:val="center"/>
              <w:rPr>
                <w:b/>
              </w:rPr>
            </w:pPr>
            <w:r w:rsidRPr="00832354">
              <w:rPr>
                <w:b/>
              </w:rPr>
              <w:t>N (%)</w:t>
            </w:r>
          </w:p>
        </w:tc>
      </w:tr>
      <w:tr w:rsidR="00832354" w:rsidRPr="00832354" w:rsidTr="008E16C1">
        <w:tc>
          <w:tcPr>
            <w:tcW w:w="1596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Prophylaxis</w:t>
            </w:r>
          </w:p>
        </w:tc>
        <w:tc>
          <w:tcPr>
            <w:tcW w:w="1773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24/112 (21.4)</w:t>
            </w:r>
          </w:p>
        </w:tc>
        <w:tc>
          <w:tcPr>
            <w:tcW w:w="1878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3/112 (2.7)</w:t>
            </w:r>
          </w:p>
        </w:tc>
        <w:tc>
          <w:tcPr>
            <w:tcW w:w="2126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33/110 (30.0)</w:t>
            </w:r>
          </w:p>
        </w:tc>
        <w:tc>
          <w:tcPr>
            <w:tcW w:w="2268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4/110 (3.6)</w:t>
            </w:r>
          </w:p>
        </w:tc>
      </w:tr>
      <w:tr w:rsidR="00832354" w:rsidRPr="00832354" w:rsidTr="008E16C1">
        <w:tc>
          <w:tcPr>
            <w:tcW w:w="1596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Pre-procedure</w:t>
            </w:r>
          </w:p>
        </w:tc>
        <w:tc>
          <w:tcPr>
            <w:tcW w:w="1773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4/12 (33.3)</w:t>
            </w:r>
          </w:p>
        </w:tc>
        <w:tc>
          <w:tcPr>
            <w:tcW w:w="1878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1/12 (8.3)</w:t>
            </w:r>
          </w:p>
        </w:tc>
        <w:tc>
          <w:tcPr>
            <w:tcW w:w="2126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5/12 (41.7)</w:t>
            </w:r>
          </w:p>
        </w:tc>
        <w:tc>
          <w:tcPr>
            <w:tcW w:w="2268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1/12 (8.3)</w:t>
            </w:r>
          </w:p>
        </w:tc>
      </w:tr>
      <w:tr w:rsidR="00832354" w:rsidRPr="00832354" w:rsidTr="008E16C1">
        <w:tc>
          <w:tcPr>
            <w:tcW w:w="1596" w:type="dxa"/>
          </w:tcPr>
          <w:p w:rsidR="00832354" w:rsidRPr="00832354" w:rsidRDefault="00832354" w:rsidP="00832354">
            <w:pPr>
              <w:spacing w:line="360" w:lineRule="auto"/>
              <w:rPr>
                <w:b/>
              </w:rPr>
            </w:pPr>
            <w:r w:rsidRPr="00832354">
              <w:rPr>
                <w:b/>
              </w:rPr>
              <w:t>Therapeutic</w:t>
            </w:r>
          </w:p>
        </w:tc>
        <w:tc>
          <w:tcPr>
            <w:tcW w:w="1773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22/33 (66.7)</w:t>
            </w:r>
          </w:p>
        </w:tc>
        <w:tc>
          <w:tcPr>
            <w:tcW w:w="1878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9/33 (27.3)</w:t>
            </w:r>
          </w:p>
        </w:tc>
        <w:tc>
          <w:tcPr>
            <w:tcW w:w="2126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25/33 (75.8)</w:t>
            </w:r>
          </w:p>
        </w:tc>
        <w:tc>
          <w:tcPr>
            <w:tcW w:w="2268" w:type="dxa"/>
          </w:tcPr>
          <w:p w:rsidR="00832354" w:rsidRPr="00832354" w:rsidRDefault="00832354" w:rsidP="00832354">
            <w:pPr>
              <w:spacing w:line="360" w:lineRule="auto"/>
              <w:jc w:val="center"/>
            </w:pPr>
            <w:r w:rsidRPr="00832354">
              <w:t>11/33 (33.3)</w:t>
            </w:r>
          </w:p>
        </w:tc>
      </w:tr>
    </w:tbl>
    <w:p w:rsidR="00832354" w:rsidRPr="00832354" w:rsidRDefault="00832354" w:rsidP="00832354">
      <w:pPr>
        <w:rPr>
          <w:rFonts w:ascii="Calibri" w:eastAsia="Times New Roman" w:hAnsi="Calibri" w:cs="Times New Roman"/>
        </w:rPr>
      </w:pPr>
    </w:p>
    <w:p w:rsidR="00832354" w:rsidRPr="00832354" w:rsidRDefault="00832354" w:rsidP="00832354">
      <w:pPr>
        <w:spacing w:line="480" w:lineRule="auto"/>
        <w:rPr>
          <w:rFonts w:ascii="Calibri" w:eastAsia="Times New Roman" w:hAnsi="Calibri" w:cs="Times New Roman"/>
          <w:b/>
        </w:rPr>
      </w:pPr>
      <w:r w:rsidRPr="00832354">
        <w:rPr>
          <w:rFonts w:ascii="Calibri" w:eastAsia="Times New Roman" w:hAnsi="Calibri" w:cs="Times New Roman"/>
          <w:b/>
        </w:rPr>
        <w:t xml:space="preserve">Supplementary Table II: Presence of bleeding after administration of platelet transfusions, categorised in to reasons for administration of platelet transfusion. </w:t>
      </w:r>
    </w:p>
    <w:p w:rsidR="00832354" w:rsidRPr="00832354" w:rsidRDefault="00832354" w:rsidP="00832354">
      <w:pPr>
        <w:spacing w:line="480" w:lineRule="auto"/>
        <w:rPr>
          <w:rFonts w:ascii="Calibri" w:eastAsia="Times New Roman" w:hAnsi="Calibri" w:cs="Times New Roman"/>
        </w:rPr>
      </w:pPr>
      <w:r w:rsidRPr="00832354">
        <w:rPr>
          <w:rFonts w:ascii="Calibri" w:eastAsia="Times New Roman" w:hAnsi="Calibri" w:cs="Times New Roman"/>
        </w:rPr>
        <w:t xml:space="preserve">Bleeding data were available for 158 of 163 separate transfusion episodes given during the study period. Participants were discharged home on the same day as the platelet transfusion for 5 transfusion episodes. Bleeding data were available for both of the following two days for 156 separate transfusion episodes. </w:t>
      </w:r>
    </w:p>
    <w:p w:rsidR="00832354" w:rsidRPr="00832354" w:rsidRDefault="00832354" w:rsidP="00832354">
      <w:pPr>
        <w:rPr>
          <w:rFonts w:ascii="Calibri" w:eastAsia="Times New Roman" w:hAnsi="Calibri" w:cs="Times New Roman"/>
        </w:rPr>
      </w:pPr>
      <w:r w:rsidRPr="00832354">
        <w:rPr>
          <w:rFonts w:ascii="Calibri" w:eastAsia="Times New Roman" w:hAnsi="Calibri" w:cs="Times New Roman"/>
        </w:rPr>
        <w:br w:type="page"/>
      </w:r>
    </w:p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916"/>
        <w:gridCol w:w="1335"/>
        <w:gridCol w:w="923"/>
        <w:gridCol w:w="806"/>
        <w:gridCol w:w="1273"/>
        <w:gridCol w:w="915"/>
        <w:gridCol w:w="12"/>
        <w:gridCol w:w="917"/>
        <w:gridCol w:w="1251"/>
        <w:gridCol w:w="929"/>
      </w:tblGrid>
      <w:tr w:rsidR="00832354" w:rsidRPr="00832354" w:rsidTr="008E16C1">
        <w:tc>
          <w:tcPr>
            <w:tcW w:w="5000" w:type="pct"/>
            <w:gridSpan w:val="11"/>
            <w:shd w:val="clear" w:color="auto" w:fill="F2F2F2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  <w:sz w:val="6"/>
              </w:rPr>
            </w:pPr>
          </w:p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WHO Grade 2 or above bleeding</w:t>
            </w:r>
          </w:p>
        </w:tc>
      </w:tr>
      <w:tr w:rsidR="00832354" w:rsidRPr="00832354" w:rsidTr="008E16C1">
        <w:tc>
          <w:tcPr>
            <w:tcW w:w="337" w:type="pct"/>
          </w:tcPr>
          <w:p w:rsidR="00832354" w:rsidRPr="00832354" w:rsidRDefault="00832354" w:rsidP="00832354">
            <w:pPr>
              <w:outlineLvl w:val="0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595" w:type="pct"/>
            <w:gridSpan w:val="3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  <w:sz w:val="4"/>
              </w:rPr>
            </w:pPr>
          </w:p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Unadjusted Odds Ratio</w:t>
            </w:r>
          </w:p>
        </w:tc>
        <w:tc>
          <w:tcPr>
            <w:tcW w:w="1511" w:type="pct"/>
            <w:gridSpan w:val="4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  <w:sz w:val="4"/>
              </w:rPr>
            </w:pPr>
          </w:p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Odds Ratio adjusted for TPC</w:t>
            </w:r>
          </w:p>
        </w:tc>
        <w:tc>
          <w:tcPr>
            <w:tcW w:w="1558" w:type="pct"/>
            <w:gridSpan w:val="3"/>
          </w:tcPr>
          <w:p w:rsidR="00832354" w:rsidRPr="00832354" w:rsidRDefault="00832354" w:rsidP="00832354">
            <w:pPr>
              <w:spacing w:line="360" w:lineRule="auto"/>
              <w:ind w:left="-217" w:firstLine="217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  <w:sz w:val="4"/>
              </w:rPr>
            </w:pPr>
          </w:p>
          <w:p w:rsidR="00832354" w:rsidRPr="00832354" w:rsidRDefault="00832354" w:rsidP="00832354">
            <w:pPr>
              <w:spacing w:line="360" w:lineRule="auto"/>
              <w:ind w:left="-217" w:firstLine="217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Odds Ratio adjusted for AIPN</w:t>
            </w:r>
          </w:p>
        </w:tc>
      </w:tr>
      <w:tr w:rsidR="00832354" w:rsidRPr="00832354" w:rsidTr="008E16C1">
        <w:tc>
          <w:tcPr>
            <w:tcW w:w="337" w:type="pct"/>
          </w:tcPr>
          <w:p w:rsidR="00832354" w:rsidRPr="00832354" w:rsidRDefault="00832354" w:rsidP="00832354">
            <w:pPr>
              <w:outlineLvl w:val="0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60" w:type="pct"/>
          </w:tcPr>
          <w:p w:rsidR="00832354" w:rsidRPr="00832354" w:rsidRDefault="00832354" w:rsidP="00832354">
            <w:pPr>
              <w:spacing w:line="360" w:lineRule="auto"/>
              <w:ind w:right="-109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Odds ratio†</w:t>
            </w:r>
          </w:p>
        </w:tc>
        <w:tc>
          <w:tcPr>
            <w:tcW w:w="671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95% CI</w:t>
            </w:r>
          </w:p>
        </w:tc>
        <w:tc>
          <w:tcPr>
            <w:tcW w:w="464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P value</w:t>
            </w:r>
          </w:p>
        </w:tc>
        <w:tc>
          <w:tcPr>
            <w:tcW w:w="405" w:type="pct"/>
          </w:tcPr>
          <w:p w:rsidR="00832354" w:rsidRPr="00832354" w:rsidRDefault="00832354" w:rsidP="00832354">
            <w:pPr>
              <w:spacing w:line="360" w:lineRule="auto"/>
              <w:ind w:right="-107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Odds ratio†</w:t>
            </w:r>
          </w:p>
        </w:tc>
        <w:tc>
          <w:tcPr>
            <w:tcW w:w="640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95% CI</w:t>
            </w:r>
          </w:p>
        </w:tc>
        <w:tc>
          <w:tcPr>
            <w:tcW w:w="466" w:type="pct"/>
            <w:gridSpan w:val="2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P value</w:t>
            </w:r>
          </w:p>
        </w:tc>
        <w:tc>
          <w:tcPr>
            <w:tcW w:w="461" w:type="pct"/>
          </w:tcPr>
          <w:p w:rsidR="00832354" w:rsidRPr="00832354" w:rsidRDefault="00832354" w:rsidP="00832354">
            <w:pPr>
              <w:spacing w:line="360" w:lineRule="auto"/>
              <w:ind w:right="-103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Odds ratio†</w:t>
            </w:r>
          </w:p>
        </w:tc>
        <w:tc>
          <w:tcPr>
            <w:tcW w:w="629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95% CI</w:t>
            </w:r>
          </w:p>
        </w:tc>
        <w:tc>
          <w:tcPr>
            <w:tcW w:w="468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P value</w:t>
            </w:r>
          </w:p>
        </w:tc>
      </w:tr>
      <w:tr w:rsidR="00832354" w:rsidRPr="00832354" w:rsidTr="008E16C1">
        <w:tc>
          <w:tcPr>
            <w:tcW w:w="337" w:type="pct"/>
          </w:tcPr>
          <w:p w:rsidR="00832354" w:rsidRPr="00832354" w:rsidRDefault="00832354" w:rsidP="00832354">
            <w:pPr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TPC</w:t>
            </w:r>
          </w:p>
        </w:tc>
        <w:tc>
          <w:tcPr>
            <w:tcW w:w="460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0.69</w:t>
            </w:r>
          </w:p>
        </w:tc>
        <w:tc>
          <w:tcPr>
            <w:tcW w:w="671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0.51 to 0.93</w:t>
            </w:r>
          </w:p>
        </w:tc>
        <w:tc>
          <w:tcPr>
            <w:tcW w:w="464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0.014*</w:t>
            </w:r>
          </w:p>
        </w:tc>
        <w:tc>
          <w:tcPr>
            <w:tcW w:w="405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640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467" w:type="pct"/>
            <w:gridSpan w:val="2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0.66</w:t>
            </w:r>
          </w:p>
        </w:tc>
        <w:tc>
          <w:tcPr>
            <w:tcW w:w="629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0.41 to 1.05</w:t>
            </w:r>
          </w:p>
        </w:tc>
        <w:tc>
          <w:tcPr>
            <w:tcW w:w="468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0.079</w:t>
            </w:r>
          </w:p>
        </w:tc>
      </w:tr>
      <w:tr w:rsidR="00832354" w:rsidRPr="00832354" w:rsidTr="008E16C1">
        <w:tc>
          <w:tcPr>
            <w:tcW w:w="337" w:type="pct"/>
          </w:tcPr>
          <w:p w:rsidR="00832354" w:rsidRPr="00832354" w:rsidRDefault="00832354" w:rsidP="00832354">
            <w:pPr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IPF</w:t>
            </w:r>
          </w:p>
        </w:tc>
        <w:tc>
          <w:tcPr>
            <w:tcW w:w="460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0.99</w:t>
            </w:r>
          </w:p>
        </w:tc>
        <w:tc>
          <w:tcPr>
            <w:tcW w:w="671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0.89 to 1.09</w:t>
            </w:r>
          </w:p>
        </w:tc>
        <w:tc>
          <w:tcPr>
            <w:tcW w:w="464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0.808</w:t>
            </w:r>
          </w:p>
        </w:tc>
        <w:tc>
          <w:tcPr>
            <w:tcW w:w="405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0.97</w:t>
            </w:r>
          </w:p>
        </w:tc>
        <w:tc>
          <w:tcPr>
            <w:tcW w:w="640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0.87 to 1.08</w:t>
            </w:r>
          </w:p>
        </w:tc>
        <w:tc>
          <w:tcPr>
            <w:tcW w:w="460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0.557</w:t>
            </w:r>
          </w:p>
        </w:tc>
        <w:tc>
          <w:tcPr>
            <w:tcW w:w="467" w:type="pct"/>
            <w:gridSpan w:val="2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1.09</w:t>
            </w:r>
          </w:p>
        </w:tc>
        <w:tc>
          <w:tcPr>
            <w:tcW w:w="629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0.97 to 1.22</w:t>
            </w:r>
          </w:p>
        </w:tc>
        <w:tc>
          <w:tcPr>
            <w:tcW w:w="468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0.133</w:t>
            </w:r>
          </w:p>
        </w:tc>
      </w:tr>
      <w:tr w:rsidR="00832354" w:rsidRPr="00832354" w:rsidTr="008E16C1">
        <w:tc>
          <w:tcPr>
            <w:tcW w:w="337" w:type="pct"/>
          </w:tcPr>
          <w:p w:rsidR="00832354" w:rsidRPr="00832354" w:rsidRDefault="00832354" w:rsidP="00832354">
            <w:pPr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AIPN</w:t>
            </w:r>
          </w:p>
        </w:tc>
        <w:tc>
          <w:tcPr>
            <w:tcW w:w="460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0.67</w:t>
            </w:r>
          </w:p>
        </w:tc>
        <w:tc>
          <w:tcPr>
            <w:tcW w:w="671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0.49 to 0.93</w:t>
            </w:r>
          </w:p>
        </w:tc>
        <w:tc>
          <w:tcPr>
            <w:tcW w:w="464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0.016*</w:t>
            </w:r>
          </w:p>
        </w:tc>
        <w:tc>
          <w:tcPr>
            <w:tcW w:w="405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0.77</w:t>
            </w:r>
          </w:p>
        </w:tc>
        <w:tc>
          <w:tcPr>
            <w:tcW w:w="640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0.56 to 1.06</w:t>
            </w:r>
          </w:p>
        </w:tc>
        <w:tc>
          <w:tcPr>
            <w:tcW w:w="460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0.106</w:t>
            </w:r>
          </w:p>
        </w:tc>
        <w:tc>
          <w:tcPr>
            <w:tcW w:w="467" w:type="pct"/>
            <w:gridSpan w:val="2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629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468" w:type="pct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2354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</w:tbl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</w:pPr>
    </w:p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30480</wp:posOffset>
                </wp:positionV>
                <wp:extent cx="6332220" cy="2766060"/>
                <wp:effectExtent l="0" t="4445" r="1905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276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354" w:rsidRPr="00C93B1C" w:rsidRDefault="00832354" w:rsidP="00832354">
                            <w:pPr>
                              <w:spacing w:line="480" w:lineRule="auto"/>
                              <w:contextualSpacing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Supplementary Table III</w:t>
                            </w:r>
                            <w:r w:rsidRPr="0054593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Associations between p</w:t>
                            </w:r>
                            <w:r w:rsidRPr="0054593A">
                              <w:rPr>
                                <w:b/>
                                <w:sz w:val="24"/>
                                <w:szCs w:val="24"/>
                              </w:rPr>
                              <w:t>latelet parameter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54593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54593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bleeding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within 2 days of blood sampling. </w:t>
                            </w:r>
                            <w:r w:rsidRPr="00853DD5">
                              <w:rPr>
                                <w:sz w:val="24"/>
                                <w:szCs w:val="24"/>
                              </w:rPr>
                              <w:t>Associations are expressed as unadjusted odds ratios and as odds ratios adjusted for either TPC or AIPN. All odds ratios account for repeated measures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54593A">
                              <w:rPr>
                                <w:sz w:val="24"/>
                                <w:szCs w:val="24"/>
                              </w:rPr>
                              <w:t xml:space="preserve">TPC = total platelet count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(w</w:t>
                            </w:r>
                            <w:r w:rsidRPr="0054593A">
                              <w:rPr>
                                <w:sz w:val="24"/>
                                <w:szCs w:val="24"/>
                              </w:rPr>
                              <w:t>hen platelet count ≤ 50 x 10</w:t>
                            </w:r>
                            <w:r w:rsidRPr="0054593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9</w:t>
                            </w:r>
                            <w:r w:rsidRPr="0054593A">
                              <w:rPr>
                                <w:sz w:val="24"/>
                                <w:szCs w:val="24"/>
                              </w:rPr>
                              <w:t>/L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);</w:t>
                            </w:r>
                            <w:r w:rsidRPr="0054593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AIPN = </w:t>
                            </w:r>
                            <w:r w:rsidRPr="00A321CA">
                              <w:rPr>
                                <w:sz w:val="24"/>
                                <w:szCs w:val="24"/>
                              </w:rPr>
                              <w:t xml:space="preserve">absolute immature platelet number; IPF = immature platelet fraction.    * = P &lt; 0.05; ** = P &lt; 0.01. </w:t>
                            </w:r>
                            <w:r w:rsidRPr="00A321CA">
                              <w:rPr>
                                <w:b/>
                                <w:sz w:val="24"/>
                                <w:szCs w:val="24"/>
                              </w:rPr>
                              <w:t>† The odds ratio for TPC is for every 10 x 10</w:t>
                            </w:r>
                            <w:r w:rsidRPr="00A321CA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9</w:t>
                            </w:r>
                            <w:r w:rsidRPr="00A321CA">
                              <w:rPr>
                                <w:b/>
                                <w:sz w:val="24"/>
                                <w:szCs w:val="24"/>
                              </w:rPr>
                              <w:t>/L rise in platelet count. The odds ratio for IPF is for every percent rise in IPF. The odds ratio for AIPN is for every 0.5 x 10</w:t>
                            </w:r>
                            <w:r w:rsidRPr="00A321CA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9</w:t>
                            </w:r>
                            <w:r w:rsidRPr="00A321CA">
                              <w:rPr>
                                <w:b/>
                                <w:sz w:val="24"/>
                                <w:szCs w:val="24"/>
                              </w:rPr>
                              <w:t>/L rise in AIPN.</w:t>
                            </w:r>
                            <w:r w:rsidRPr="00C93B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32354" w:rsidRPr="0054593A" w:rsidRDefault="00832354" w:rsidP="00832354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32354" w:rsidRPr="004C352B" w:rsidRDefault="00832354" w:rsidP="008323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2354" w:rsidRDefault="00832354" w:rsidP="008323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2354" w:rsidRDefault="00832354" w:rsidP="008323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pt;margin-top:2.4pt;width:498.6pt;height:2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" stroked="f" strokeweight=".5pt">
                <v:textbox>
                  <w:txbxContent>
                    <w:p w:rsidR="00832354" w:rsidRPr="00C93B1C" w:rsidRDefault="00832354" w:rsidP="00832354">
                      <w:pPr>
                        <w:spacing w:line="480" w:lineRule="auto"/>
                        <w:contextualSpacing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Supplementary Table III</w:t>
                      </w:r>
                      <w:r w:rsidRPr="0054593A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Associations between p</w:t>
                      </w:r>
                      <w:r w:rsidRPr="0054593A">
                        <w:rPr>
                          <w:b/>
                          <w:sz w:val="24"/>
                          <w:szCs w:val="24"/>
                        </w:rPr>
                        <w:t>latelet parameter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Pr="0054593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and </w:t>
                      </w:r>
                      <w:r w:rsidRPr="0054593A">
                        <w:rPr>
                          <w:b/>
                          <w:sz w:val="24"/>
                          <w:szCs w:val="24"/>
                        </w:rPr>
                        <w:t xml:space="preserve">bleeding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within 2 days of blood sampling. </w:t>
                      </w:r>
                      <w:r w:rsidRPr="00853DD5">
                        <w:rPr>
                          <w:sz w:val="24"/>
                          <w:szCs w:val="24"/>
                        </w:rPr>
                        <w:t>Associations are expressed as unadjusted odds ratios and as odds ratios adjusted for either TPC or AIPN. All odds ratios account for repeated measures</w:t>
                      </w:r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54593A">
                        <w:rPr>
                          <w:sz w:val="24"/>
                          <w:szCs w:val="24"/>
                        </w:rPr>
                        <w:t xml:space="preserve">TPC = total platelet count </w:t>
                      </w:r>
                      <w:r>
                        <w:rPr>
                          <w:sz w:val="24"/>
                          <w:szCs w:val="24"/>
                        </w:rPr>
                        <w:t>(w</w:t>
                      </w:r>
                      <w:r w:rsidRPr="0054593A">
                        <w:rPr>
                          <w:sz w:val="24"/>
                          <w:szCs w:val="24"/>
                        </w:rPr>
                        <w:t>hen platelet count ≤ 50 x 10</w:t>
                      </w:r>
                      <w:r w:rsidRPr="0054593A">
                        <w:rPr>
                          <w:sz w:val="24"/>
                          <w:szCs w:val="24"/>
                          <w:vertAlign w:val="superscript"/>
                        </w:rPr>
                        <w:t>9</w:t>
                      </w:r>
                      <w:r w:rsidRPr="0054593A">
                        <w:rPr>
                          <w:sz w:val="24"/>
                          <w:szCs w:val="24"/>
                        </w:rPr>
                        <w:t>/L</w:t>
                      </w:r>
                      <w:r>
                        <w:rPr>
                          <w:sz w:val="24"/>
                          <w:szCs w:val="24"/>
                        </w:rPr>
                        <w:t>);</w:t>
                      </w:r>
                      <w:r w:rsidRPr="0054593A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AIPN = </w:t>
                      </w:r>
                      <w:r w:rsidRPr="00A321CA">
                        <w:rPr>
                          <w:sz w:val="24"/>
                          <w:szCs w:val="24"/>
                        </w:rPr>
                        <w:t xml:space="preserve">absolute immature platelet number; IPF = immature platelet fraction.    * = P &lt; 0.05; ** = P &lt; 0.01. </w:t>
                      </w:r>
                      <w:r w:rsidRPr="00A321CA">
                        <w:rPr>
                          <w:b/>
                          <w:sz w:val="24"/>
                          <w:szCs w:val="24"/>
                        </w:rPr>
                        <w:t>† The odds ratio for TPC is for every 10 x 10</w:t>
                      </w:r>
                      <w:r w:rsidRPr="00A321CA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9</w:t>
                      </w:r>
                      <w:r w:rsidRPr="00A321CA">
                        <w:rPr>
                          <w:b/>
                          <w:sz w:val="24"/>
                          <w:szCs w:val="24"/>
                        </w:rPr>
                        <w:t>/L rise in platelet count. The odds ratio for IPF is for every percent rise in IPF. The odds ratio for AIPN is for every 0.5 x 10</w:t>
                      </w:r>
                      <w:r w:rsidRPr="00A321CA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9</w:t>
                      </w:r>
                      <w:r w:rsidRPr="00A321CA">
                        <w:rPr>
                          <w:b/>
                          <w:sz w:val="24"/>
                          <w:szCs w:val="24"/>
                        </w:rPr>
                        <w:t>/L rise in AIPN.</w:t>
                      </w:r>
                      <w:r w:rsidRPr="00C93B1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832354" w:rsidRPr="0054593A" w:rsidRDefault="00832354" w:rsidP="00832354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:rsidR="00832354" w:rsidRPr="004C352B" w:rsidRDefault="00832354" w:rsidP="0083235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2354" w:rsidRDefault="00832354" w:rsidP="0083235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2354" w:rsidRDefault="00832354" w:rsidP="00832354"/>
                  </w:txbxContent>
                </v:textbox>
              </v:shape>
            </w:pict>
          </mc:Fallback>
        </mc:AlternateContent>
      </w:r>
    </w:p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</w:pPr>
    </w:p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</w:pPr>
    </w:p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</w:pPr>
    </w:p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</w:pPr>
    </w:p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</w:pPr>
    </w:p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</w:pPr>
    </w:p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</w:pPr>
    </w:p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</w:pPr>
    </w:p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</w:pPr>
    </w:p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</w:pPr>
    </w:p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</w:pPr>
    </w:p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</w:pPr>
    </w:p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</w:pPr>
      <w:r w:rsidRPr="00832354">
        <w:rPr>
          <w:rFonts w:ascii="Calibri" w:eastAsia="Times New Roman" w:hAnsi="Calibri" w:cs="Times New Roman"/>
          <w:sz w:val="20"/>
          <w:szCs w:val="20"/>
        </w:rPr>
        <w:br w:type="page"/>
      </w:r>
    </w:p>
    <w:p w:rsidR="00832354" w:rsidRPr="00832354" w:rsidRDefault="00832354" w:rsidP="00832354">
      <w:pPr>
        <w:rPr>
          <w:rFonts w:ascii="Calibri" w:eastAsia="Times New Roman" w:hAnsi="Calibri" w:cs="Times New Roman"/>
          <w:sz w:val="20"/>
          <w:szCs w:val="20"/>
        </w:rPr>
        <w:sectPr w:rsidR="00832354" w:rsidRPr="00832354" w:rsidSect="003672C3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276"/>
        <w:gridCol w:w="1417"/>
        <w:gridCol w:w="1276"/>
        <w:gridCol w:w="1276"/>
        <w:gridCol w:w="1417"/>
        <w:gridCol w:w="1276"/>
      </w:tblGrid>
      <w:tr w:rsidR="00832354" w:rsidRPr="00832354" w:rsidTr="008E16C1">
        <w:tc>
          <w:tcPr>
            <w:tcW w:w="9322" w:type="dxa"/>
            <w:gridSpan w:val="7"/>
            <w:shd w:val="clear" w:color="auto" w:fill="F2F2F2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  <w:sz w:val="4"/>
              </w:rPr>
            </w:pPr>
          </w:p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  <w:b/>
              </w:rPr>
            </w:pPr>
            <w:r w:rsidRPr="00832354">
              <w:rPr>
                <w:rFonts w:ascii="Calibri" w:eastAsia="Times New Roman" w:hAnsi="Calibri" w:cs="Times New Roman"/>
                <w:b/>
              </w:rPr>
              <w:t>WHO Grade 2 or above bleeding</w:t>
            </w:r>
          </w:p>
        </w:tc>
      </w:tr>
      <w:tr w:rsidR="00832354" w:rsidRPr="00832354" w:rsidTr="008E16C1">
        <w:tc>
          <w:tcPr>
            <w:tcW w:w="1384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969" w:type="dxa"/>
            <w:gridSpan w:val="3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  <w:b/>
              </w:rPr>
              <w:t>Unadjusted Odds Ratio</w:t>
            </w:r>
          </w:p>
        </w:tc>
        <w:tc>
          <w:tcPr>
            <w:tcW w:w="3969" w:type="dxa"/>
            <w:gridSpan w:val="3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  <w:b/>
              </w:rPr>
              <w:t>Odds Ratio adjusted for TPC</w:t>
            </w:r>
          </w:p>
        </w:tc>
      </w:tr>
      <w:tr w:rsidR="00832354" w:rsidRPr="00832354" w:rsidTr="008E16C1">
        <w:tc>
          <w:tcPr>
            <w:tcW w:w="1384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ind w:right="-108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Odds ratio†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95% CI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P value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ind w:right="-108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Odds ratio†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95% CI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P value</w:t>
            </w:r>
          </w:p>
        </w:tc>
      </w:tr>
      <w:tr w:rsidR="00832354" w:rsidRPr="00832354" w:rsidTr="008E16C1">
        <w:tc>
          <w:tcPr>
            <w:tcW w:w="1384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Times New Roman"/>
                <w:b/>
              </w:rPr>
            </w:pPr>
            <w:r w:rsidRPr="00832354">
              <w:rPr>
                <w:rFonts w:ascii="Calibri" w:eastAsia="Times New Roman" w:hAnsi="Calibri" w:cs="Times New Roman"/>
                <w:b/>
              </w:rPr>
              <w:t>EXTEM CT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0.99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0.97 to 1.02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0.576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1.00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0.97 to 1.02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0.682</w:t>
            </w:r>
          </w:p>
        </w:tc>
      </w:tr>
      <w:tr w:rsidR="00832354" w:rsidRPr="00832354" w:rsidTr="008E16C1">
        <w:tc>
          <w:tcPr>
            <w:tcW w:w="1384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Times New Roman"/>
                <w:b/>
              </w:rPr>
            </w:pPr>
            <w:r w:rsidRPr="00832354">
              <w:rPr>
                <w:rFonts w:ascii="Calibri" w:eastAsia="Times New Roman" w:hAnsi="Calibri" w:cs="Times New Roman"/>
                <w:b/>
              </w:rPr>
              <w:t>EXTEM CFT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1.00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 xml:space="preserve">1.00 to 1.00 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0.300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1.00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1.00 to 1.00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0.835</w:t>
            </w:r>
          </w:p>
        </w:tc>
      </w:tr>
      <w:tr w:rsidR="00832354" w:rsidRPr="00832354" w:rsidTr="008E16C1">
        <w:tc>
          <w:tcPr>
            <w:tcW w:w="1384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Times New Roman"/>
                <w:b/>
              </w:rPr>
            </w:pPr>
            <w:r w:rsidRPr="00832354">
              <w:rPr>
                <w:rFonts w:ascii="Calibri" w:eastAsia="Times New Roman" w:hAnsi="Calibri" w:cs="Times New Roman"/>
                <w:b/>
              </w:rPr>
              <w:t>EXTEM MCF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0.93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0.89 to 0.97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0.001**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0.95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0.90 to 1.00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0.041*</w:t>
            </w:r>
          </w:p>
        </w:tc>
      </w:tr>
      <w:tr w:rsidR="00832354" w:rsidRPr="00832354" w:rsidTr="008E16C1">
        <w:tc>
          <w:tcPr>
            <w:tcW w:w="1384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Times New Roman"/>
                <w:b/>
              </w:rPr>
            </w:pPr>
            <w:r w:rsidRPr="00832354">
              <w:rPr>
                <w:rFonts w:ascii="Calibri" w:eastAsia="Times New Roman" w:hAnsi="Calibri" w:cs="Times New Roman"/>
                <w:b/>
              </w:rPr>
              <w:t>EXTEM ML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0.85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0.72 to 1.00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0.060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0.91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0.77 to 1.08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0.286</w:t>
            </w:r>
          </w:p>
        </w:tc>
      </w:tr>
      <w:tr w:rsidR="00832354" w:rsidRPr="00832354" w:rsidTr="008E16C1">
        <w:tc>
          <w:tcPr>
            <w:tcW w:w="1384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Times New Roman"/>
                <w:b/>
              </w:rPr>
            </w:pPr>
            <w:r w:rsidRPr="00832354">
              <w:rPr>
                <w:rFonts w:ascii="Calibri" w:eastAsia="Times New Roman" w:hAnsi="Calibri" w:cs="Times New Roman"/>
                <w:b/>
              </w:rPr>
              <w:t>INTEM CT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1.00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0.98 to 1.03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0.828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1.00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0.98 to 1.03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0.912</w:t>
            </w:r>
          </w:p>
        </w:tc>
      </w:tr>
      <w:tr w:rsidR="00832354" w:rsidRPr="00832354" w:rsidTr="008E16C1">
        <w:tc>
          <w:tcPr>
            <w:tcW w:w="1384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Times New Roman"/>
                <w:b/>
              </w:rPr>
            </w:pPr>
            <w:r w:rsidRPr="00832354">
              <w:rPr>
                <w:rFonts w:ascii="Calibri" w:eastAsia="Times New Roman" w:hAnsi="Calibri" w:cs="Times New Roman"/>
                <w:b/>
              </w:rPr>
              <w:t>INTEM CFT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1.00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1.00 to 1.00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0.140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1.00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1.00 to 1.00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0.603</w:t>
            </w:r>
          </w:p>
        </w:tc>
      </w:tr>
      <w:tr w:rsidR="00832354" w:rsidRPr="00832354" w:rsidTr="008E16C1">
        <w:tc>
          <w:tcPr>
            <w:tcW w:w="1384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Times New Roman"/>
                <w:b/>
              </w:rPr>
            </w:pPr>
            <w:r w:rsidRPr="00832354">
              <w:rPr>
                <w:rFonts w:ascii="Calibri" w:eastAsia="Times New Roman" w:hAnsi="Calibri" w:cs="Times New Roman"/>
                <w:b/>
              </w:rPr>
              <w:t>INTEM MCF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0.93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0.88 to 0.97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0.001**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0.94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0.88 to 1.00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0.057</w:t>
            </w:r>
          </w:p>
        </w:tc>
      </w:tr>
      <w:tr w:rsidR="00832354" w:rsidRPr="00832354" w:rsidTr="008E16C1">
        <w:tc>
          <w:tcPr>
            <w:tcW w:w="1384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Times New Roman"/>
                <w:b/>
              </w:rPr>
            </w:pPr>
            <w:r w:rsidRPr="00832354">
              <w:rPr>
                <w:rFonts w:ascii="Calibri" w:eastAsia="Times New Roman" w:hAnsi="Calibri" w:cs="Times New Roman"/>
                <w:b/>
              </w:rPr>
              <w:t>INTEM ML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0.83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0.65 to 1.06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0.134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0.89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0.70 to 1.14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0.365</w:t>
            </w:r>
          </w:p>
        </w:tc>
      </w:tr>
      <w:tr w:rsidR="00832354" w:rsidRPr="00832354" w:rsidTr="008E16C1">
        <w:tc>
          <w:tcPr>
            <w:tcW w:w="1384" w:type="dxa"/>
          </w:tcPr>
          <w:p w:rsidR="00832354" w:rsidRPr="00832354" w:rsidRDefault="00832354" w:rsidP="00832354">
            <w:pPr>
              <w:outlineLvl w:val="0"/>
              <w:rPr>
                <w:rFonts w:ascii="Calibri" w:eastAsia="Times New Roman" w:hAnsi="Calibri" w:cs="Times New Roman"/>
                <w:b/>
              </w:rPr>
            </w:pPr>
            <w:r w:rsidRPr="00832354">
              <w:rPr>
                <w:rFonts w:ascii="Calibri" w:eastAsia="Times New Roman" w:hAnsi="Calibri" w:cs="Times New Roman"/>
                <w:b/>
              </w:rPr>
              <w:t>FIBTEM MCF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0.99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0.93 to 1.06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0.743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1.00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0.92 to 1.07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0.913</w:t>
            </w:r>
          </w:p>
        </w:tc>
      </w:tr>
      <w:tr w:rsidR="00832354" w:rsidRPr="00832354" w:rsidTr="008E16C1">
        <w:tc>
          <w:tcPr>
            <w:tcW w:w="1384" w:type="dxa"/>
          </w:tcPr>
          <w:p w:rsidR="00832354" w:rsidRPr="00832354" w:rsidRDefault="00832354" w:rsidP="00832354">
            <w:pPr>
              <w:outlineLvl w:val="0"/>
              <w:rPr>
                <w:rFonts w:ascii="Calibri" w:eastAsia="Times New Roman" w:hAnsi="Calibri" w:cs="Times New Roman"/>
                <w:b/>
              </w:rPr>
            </w:pPr>
            <w:r w:rsidRPr="00832354">
              <w:rPr>
                <w:rFonts w:ascii="Calibri" w:eastAsia="Times New Roman" w:hAnsi="Calibri" w:cs="Times New Roman"/>
                <w:b/>
              </w:rPr>
              <w:t>FIBTEM ML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1.03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0.89 to 1.19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0.709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1.03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0.87 to 1.22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0.722</w:t>
            </w:r>
          </w:p>
        </w:tc>
      </w:tr>
      <w:tr w:rsidR="00832354" w:rsidRPr="00832354" w:rsidTr="008E16C1">
        <w:tc>
          <w:tcPr>
            <w:tcW w:w="1384" w:type="dxa"/>
          </w:tcPr>
          <w:p w:rsidR="00832354" w:rsidRPr="00832354" w:rsidRDefault="00832354" w:rsidP="00832354">
            <w:pPr>
              <w:outlineLvl w:val="0"/>
              <w:rPr>
                <w:rFonts w:ascii="Calibri" w:eastAsia="Times New Roman" w:hAnsi="Calibri" w:cs="Times New Roman"/>
                <w:b/>
              </w:rPr>
            </w:pPr>
            <w:r w:rsidRPr="00832354">
              <w:rPr>
                <w:rFonts w:ascii="Calibri" w:eastAsia="Times New Roman" w:hAnsi="Calibri" w:cs="Times New Roman"/>
                <w:b/>
              </w:rPr>
              <w:t>PT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0.94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0.77 to 1.14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0.500</w:t>
            </w:r>
          </w:p>
        </w:tc>
        <w:tc>
          <w:tcPr>
            <w:tcW w:w="3969" w:type="dxa"/>
            <w:gridSpan w:val="3"/>
            <w:vMerge w:val="restart"/>
            <w:shd w:val="clear" w:color="auto" w:fill="F2F2F2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</w:p>
        </w:tc>
      </w:tr>
      <w:tr w:rsidR="00832354" w:rsidRPr="00832354" w:rsidTr="008E16C1">
        <w:tc>
          <w:tcPr>
            <w:tcW w:w="1384" w:type="dxa"/>
          </w:tcPr>
          <w:p w:rsidR="00832354" w:rsidRPr="00832354" w:rsidRDefault="00832354" w:rsidP="00832354">
            <w:pPr>
              <w:outlineLvl w:val="0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832354">
              <w:rPr>
                <w:rFonts w:ascii="Calibri" w:eastAsia="Times New Roman" w:hAnsi="Calibri" w:cs="Times New Roman"/>
                <w:b/>
              </w:rPr>
              <w:t>aPTT</w:t>
            </w:r>
            <w:proofErr w:type="spellEnd"/>
          </w:p>
        </w:tc>
        <w:tc>
          <w:tcPr>
            <w:tcW w:w="1276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1.05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0.99 to 1.10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  <w:r w:rsidRPr="00832354">
              <w:rPr>
                <w:rFonts w:ascii="Calibri" w:eastAsia="Times New Roman" w:hAnsi="Calibri" w:cs="Times New Roman"/>
              </w:rPr>
              <w:t>0.104</w:t>
            </w:r>
          </w:p>
        </w:tc>
        <w:tc>
          <w:tcPr>
            <w:tcW w:w="3969" w:type="dxa"/>
            <w:gridSpan w:val="3"/>
            <w:vMerge/>
            <w:shd w:val="clear" w:color="auto" w:fill="F2F2F2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</w:p>
        </w:tc>
      </w:tr>
      <w:tr w:rsidR="00832354" w:rsidRPr="00832354" w:rsidTr="008E16C1">
        <w:tc>
          <w:tcPr>
            <w:tcW w:w="1384" w:type="dxa"/>
          </w:tcPr>
          <w:p w:rsidR="00832354" w:rsidRPr="00832354" w:rsidRDefault="00832354" w:rsidP="00832354">
            <w:pPr>
              <w:outlineLvl w:val="0"/>
              <w:rPr>
                <w:rFonts w:ascii="Calibri" w:eastAsia="Times New Roman" w:hAnsi="Calibri" w:cs="Times New Roman"/>
                <w:b/>
              </w:rPr>
            </w:pPr>
            <w:r w:rsidRPr="00832354">
              <w:rPr>
                <w:rFonts w:ascii="Calibri" w:eastAsia="Times New Roman" w:hAnsi="Calibri" w:cs="Times New Roman"/>
                <w:b/>
              </w:rPr>
              <w:t>Fibrinogen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</w:rPr>
              <w:t>1.05</w:t>
            </w:r>
          </w:p>
        </w:tc>
        <w:tc>
          <w:tcPr>
            <w:tcW w:w="1417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</w:rPr>
              <w:t>0.82 to 1.34</w:t>
            </w:r>
          </w:p>
        </w:tc>
        <w:tc>
          <w:tcPr>
            <w:tcW w:w="1276" w:type="dxa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</w:rPr>
              <w:t>0.726</w:t>
            </w:r>
          </w:p>
        </w:tc>
        <w:tc>
          <w:tcPr>
            <w:tcW w:w="3969" w:type="dxa"/>
            <w:gridSpan w:val="3"/>
            <w:vMerge/>
            <w:shd w:val="clear" w:color="auto" w:fill="F2F2F2"/>
          </w:tcPr>
          <w:p w:rsidR="00832354" w:rsidRPr="00832354" w:rsidRDefault="00832354" w:rsidP="00832354">
            <w:pPr>
              <w:jc w:val="center"/>
              <w:outlineLvl w:val="0"/>
              <w:rPr>
                <w:rFonts w:ascii="Calibri" w:eastAsia="Times New Roman" w:hAnsi="Calibri" w:cs="Times New Roman"/>
              </w:rPr>
            </w:pPr>
          </w:p>
        </w:tc>
      </w:tr>
    </w:tbl>
    <w:p w:rsidR="00832354" w:rsidRPr="00832354" w:rsidRDefault="00832354" w:rsidP="00832354">
      <w:pPr>
        <w:spacing w:line="360" w:lineRule="auto"/>
        <w:contextualSpacing/>
        <w:rPr>
          <w:rFonts w:ascii="Calibri" w:eastAsia="Times New Roman" w:hAnsi="Calibri" w:cs="Times New Roman"/>
          <w:b/>
          <w:sz w:val="24"/>
        </w:rPr>
      </w:pPr>
    </w:p>
    <w:p w:rsidR="00832354" w:rsidRPr="00832354" w:rsidRDefault="00832354" w:rsidP="00832354">
      <w:pPr>
        <w:spacing w:line="36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832354">
        <w:rPr>
          <w:rFonts w:ascii="Calibri" w:eastAsia="Times New Roman" w:hAnsi="Calibri" w:cs="Times New Roman"/>
          <w:b/>
          <w:sz w:val="24"/>
          <w:szCs w:val="24"/>
        </w:rPr>
        <w:t xml:space="preserve">Supplementary Table IV: Association between ROTEM parameters and plasma coagulation test results and bleeding with 2 days of blood sampling. </w:t>
      </w:r>
      <w:r w:rsidRPr="00832354">
        <w:rPr>
          <w:rFonts w:ascii="Calibri" w:eastAsia="Times New Roman" w:hAnsi="Calibri" w:cs="Times New Roman"/>
          <w:sz w:val="24"/>
          <w:szCs w:val="24"/>
        </w:rPr>
        <w:t xml:space="preserve">The associations between ROTEM parameters and bleeding are presented as unadjusted odds ratios and as odds ratios adjusted for TPC. The plasma coagulation test (PT, </w:t>
      </w:r>
      <w:proofErr w:type="spellStart"/>
      <w:r w:rsidRPr="00832354">
        <w:rPr>
          <w:rFonts w:ascii="Calibri" w:eastAsia="Times New Roman" w:hAnsi="Calibri" w:cs="Times New Roman"/>
          <w:sz w:val="24"/>
          <w:szCs w:val="24"/>
        </w:rPr>
        <w:t>aPTT</w:t>
      </w:r>
      <w:proofErr w:type="spellEnd"/>
      <w:r w:rsidRPr="00832354">
        <w:rPr>
          <w:rFonts w:ascii="Calibri" w:eastAsia="Times New Roman" w:hAnsi="Calibri" w:cs="Times New Roman"/>
          <w:sz w:val="24"/>
          <w:szCs w:val="24"/>
        </w:rPr>
        <w:t xml:space="preserve"> and CF) results are presented as odds ratios unadjusted for TPC. All odds ratios account for repeated measures. CT = clot time; CFT = clot formation time; MCF = maximum clot firmness; ML = maximum </w:t>
      </w:r>
      <w:proofErr w:type="spellStart"/>
      <w:r w:rsidRPr="00832354">
        <w:rPr>
          <w:rFonts w:ascii="Calibri" w:eastAsia="Times New Roman" w:hAnsi="Calibri" w:cs="Times New Roman"/>
          <w:sz w:val="24"/>
          <w:szCs w:val="24"/>
        </w:rPr>
        <w:t>lysis</w:t>
      </w:r>
      <w:proofErr w:type="spellEnd"/>
      <w:r w:rsidRPr="00832354">
        <w:rPr>
          <w:rFonts w:ascii="Calibri" w:eastAsia="Times New Roman" w:hAnsi="Calibri" w:cs="Times New Roman"/>
          <w:sz w:val="24"/>
          <w:szCs w:val="24"/>
        </w:rPr>
        <w:t xml:space="preserve">; PT-prothrombin time; </w:t>
      </w:r>
      <w:proofErr w:type="spellStart"/>
      <w:r w:rsidRPr="00832354">
        <w:rPr>
          <w:rFonts w:ascii="Calibri" w:eastAsia="Times New Roman" w:hAnsi="Calibri" w:cs="Times New Roman"/>
          <w:sz w:val="24"/>
          <w:szCs w:val="24"/>
        </w:rPr>
        <w:t>aPTT</w:t>
      </w:r>
      <w:proofErr w:type="spellEnd"/>
      <w:r w:rsidRPr="00832354">
        <w:rPr>
          <w:rFonts w:ascii="Calibri" w:eastAsia="Times New Roman" w:hAnsi="Calibri" w:cs="Times New Roman"/>
          <w:sz w:val="24"/>
          <w:szCs w:val="24"/>
        </w:rPr>
        <w:t xml:space="preserve">-activated partial </w:t>
      </w:r>
      <w:proofErr w:type="spellStart"/>
      <w:r w:rsidRPr="00832354">
        <w:rPr>
          <w:rFonts w:ascii="Calibri" w:eastAsia="Times New Roman" w:hAnsi="Calibri" w:cs="Times New Roman"/>
          <w:sz w:val="24"/>
          <w:szCs w:val="24"/>
        </w:rPr>
        <w:t>thromboplastin</w:t>
      </w:r>
      <w:proofErr w:type="spellEnd"/>
      <w:r w:rsidRPr="00832354">
        <w:rPr>
          <w:rFonts w:ascii="Calibri" w:eastAsia="Times New Roman" w:hAnsi="Calibri" w:cs="Times New Roman"/>
          <w:sz w:val="24"/>
          <w:szCs w:val="24"/>
        </w:rPr>
        <w:t xml:space="preserve"> time; CF-</w:t>
      </w:r>
      <w:proofErr w:type="spellStart"/>
      <w:r w:rsidRPr="00832354">
        <w:rPr>
          <w:rFonts w:ascii="Calibri" w:eastAsia="Times New Roman" w:hAnsi="Calibri" w:cs="Times New Roman"/>
          <w:sz w:val="24"/>
          <w:szCs w:val="24"/>
        </w:rPr>
        <w:t>Clauss</w:t>
      </w:r>
      <w:proofErr w:type="spellEnd"/>
      <w:r w:rsidRPr="00832354">
        <w:rPr>
          <w:rFonts w:ascii="Calibri" w:eastAsia="Times New Roman" w:hAnsi="Calibri" w:cs="Times New Roman"/>
          <w:sz w:val="24"/>
          <w:szCs w:val="24"/>
        </w:rPr>
        <w:t xml:space="preserve"> fibrinogen.* = P &lt; 0.05; ** = P &lt; 0.01. </w:t>
      </w:r>
    </w:p>
    <w:p w:rsidR="00832354" w:rsidRPr="00832354" w:rsidRDefault="00832354" w:rsidP="00832354">
      <w:pPr>
        <w:spacing w:line="360" w:lineRule="auto"/>
        <w:contextualSpacing/>
        <w:rPr>
          <w:rFonts w:ascii="Calibri" w:eastAsia="Times New Roman" w:hAnsi="Calibri" w:cs="Times New Roman"/>
          <w:b/>
        </w:rPr>
      </w:pPr>
      <w:r w:rsidRPr="00832354">
        <w:rPr>
          <w:rFonts w:ascii="Calibri" w:eastAsia="Times New Roman" w:hAnsi="Calibri" w:cs="Times New Roman"/>
          <w:b/>
          <w:sz w:val="24"/>
          <w:szCs w:val="24"/>
        </w:rPr>
        <w:t xml:space="preserve">† All ROTEM, PT, </w:t>
      </w:r>
      <w:proofErr w:type="spellStart"/>
      <w:r w:rsidRPr="00832354">
        <w:rPr>
          <w:rFonts w:ascii="Calibri" w:eastAsia="Times New Roman" w:hAnsi="Calibri" w:cs="Times New Roman"/>
          <w:b/>
          <w:sz w:val="24"/>
          <w:szCs w:val="24"/>
        </w:rPr>
        <w:t>aPTT</w:t>
      </w:r>
      <w:proofErr w:type="spellEnd"/>
      <w:r w:rsidRPr="00832354">
        <w:rPr>
          <w:rFonts w:ascii="Calibri" w:eastAsia="Times New Roman" w:hAnsi="Calibri" w:cs="Times New Roman"/>
          <w:b/>
          <w:sz w:val="24"/>
          <w:szCs w:val="24"/>
        </w:rPr>
        <w:t xml:space="preserve"> and fibrinogen results are presented as the odds ratio for each integer rise in the specific parameter. The haematocrit odds ratio is for every 5% rise in the haematocrit.</w:t>
      </w:r>
      <w:r w:rsidRPr="00832354">
        <w:rPr>
          <w:rFonts w:ascii="Calibri" w:eastAsia="Times New Roman" w:hAnsi="Calibri" w:cs="Times New Roman"/>
          <w:b/>
        </w:rPr>
        <w:br w:type="page"/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989"/>
        <w:gridCol w:w="1985"/>
        <w:gridCol w:w="1984"/>
        <w:gridCol w:w="2097"/>
      </w:tblGrid>
      <w:tr w:rsidR="00832354" w:rsidRPr="00832354" w:rsidTr="008E16C1">
        <w:tc>
          <w:tcPr>
            <w:tcW w:w="9581" w:type="dxa"/>
            <w:gridSpan w:val="5"/>
            <w:shd w:val="clear" w:color="auto" w:fill="F2F2F2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  <w:sz w:val="4"/>
              </w:rPr>
            </w:pPr>
          </w:p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Any Bleeding</w:t>
            </w:r>
          </w:p>
        </w:tc>
      </w:tr>
      <w:tr w:rsidR="00832354" w:rsidRPr="00832354" w:rsidTr="008E16C1">
        <w:tc>
          <w:tcPr>
            <w:tcW w:w="1526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989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 xml:space="preserve">Sensitivity </w:t>
            </w:r>
          </w:p>
        </w:tc>
        <w:tc>
          <w:tcPr>
            <w:tcW w:w="1985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Specificity</w:t>
            </w:r>
          </w:p>
        </w:tc>
        <w:tc>
          <w:tcPr>
            <w:tcW w:w="1984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PPV</w:t>
            </w:r>
          </w:p>
        </w:tc>
        <w:tc>
          <w:tcPr>
            <w:tcW w:w="2097" w:type="dxa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NPV</w:t>
            </w:r>
          </w:p>
        </w:tc>
      </w:tr>
      <w:tr w:rsidR="00832354" w:rsidRPr="00832354" w:rsidTr="008E16C1">
        <w:tc>
          <w:tcPr>
            <w:tcW w:w="1526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TPC ≤ 10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20.3%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88.1%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33.7%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78.9%</w:t>
            </w:r>
          </w:p>
        </w:tc>
      </w:tr>
      <w:tr w:rsidR="00832354" w:rsidRPr="00832354" w:rsidTr="008E16C1">
        <w:tc>
          <w:tcPr>
            <w:tcW w:w="1526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TPC ≤ 20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50.6%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66.5%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30.9%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82.0%</w:t>
            </w:r>
          </w:p>
        </w:tc>
      </w:tr>
      <w:tr w:rsidR="00832354" w:rsidRPr="00832354" w:rsidTr="008E16C1">
        <w:tc>
          <w:tcPr>
            <w:tcW w:w="1526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TPC ≤ 30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75.6%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44.2%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28.6%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86.0%</w:t>
            </w:r>
          </w:p>
        </w:tc>
      </w:tr>
      <w:tr w:rsidR="00832354" w:rsidRPr="00832354" w:rsidTr="008E16C1">
        <w:tc>
          <w:tcPr>
            <w:tcW w:w="1526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TPC ≤ 40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84.3%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34.0%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27.4%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88.0%</w:t>
            </w:r>
          </w:p>
        </w:tc>
      </w:tr>
      <w:tr w:rsidR="00832354" w:rsidRPr="00832354" w:rsidTr="008E16C1">
        <w:tc>
          <w:tcPr>
            <w:tcW w:w="1526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TPC ≤ 50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90.1%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24.6%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26.1%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89.4%</w:t>
            </w:r>
          </w:p>
        </w:tc>
      </w:tr>
      <w:tr w:rsidR="00832354" w:rsidRPr="00832354" w:rsidTr="008E16C1">
        <w:tc>
          <w:tcPr>
            <w:tcW w:w="1526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32354">
              <w:rPr>
                <w:rFonts w:ascii="Calibri" w:eastAsia="Times New Roman" w:hAnsi="Calibri" w:cs="Times New Roman"/>
                <w:b/>
                <w:color w:val="000000"/>
              </w:rPr>
              <w:t>AIPN &lt;0.5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31.0%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85.1%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42.3%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77.7%</w:t>
            </w:r>
          </w:p>
        </w:tc>
      </w:tr>
      <w:tr w:rsidR="00832354" w:rsidRPr="00832354" w:rsidTr="008E16C1">
        <w:tc>
          <w:tcPr>
            <w:tcW w:w="1526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32354">
              <w:rPr>
                <w:rFonts w:ascii="Calibri" w:eastAsia="Times New Roman" w:hAnsi="Calibri" w:cs="Times New Roman"/>
                <w:b/>
                <w:color w:val="000000"/>
              </w:rPr>
              <w:t>AIPN &lt;1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66.2%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57.7%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35.6%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82.9%</w:t>
            </w:r>
          </w:p>
        </w:tc>
      </w:tr>
      <w:tr w:rsidR="00832354" w:rsidRPr="00832354" w:rsidTr="008E16C1">
        <w:tc>
          <w:tcPr>
            <w:tcW w:w="1526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32354">
              <w:rPr>
                <w:rFonts w:ascii="Calibri" w:eastAsia="Times New Roman" w:hAnsi="Calibri" w:cs="Times New Roman"/>
                <w:b/>
                <w:color w:val="000000"/>
              </w:rPr>
              <w:t>AIPN &lt;1.5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83.1%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38.3%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32.2%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86.5%</w:t>
            </w:r>
          </w:p>
        </w:tc>
      </w:tr>
      <w:tr w:rsidR="00832354" w:rsidRPr="00832354" w:rsidTr="008E16C1">
        <w:tc>
          <w:tcPr>
            <w:tcW w:w="1526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32354">
              <w:rPr>
                <w:rFonts w:ascii="Calibri" w:eastAsia="Times New Roman" w:hAnsi="Calibri" w:cs="Times New Roman"/>
                <w:b/>
                <w:color w:val="000000"/>
              </w:rPr>
              <w:t>AIPN &lt;2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90.1%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30.3%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31.4%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89.7%</w:t>
            </w:r>
          </w:p>
        </w:tc>
      </w:tr>
      <w:tr w:rsidR="00832354" w:rsidRPr="00832354" w:rsidTr="008E16C1">
        <w:tc>
          <w:tcPr>
            <w:tcW w:w="1526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32354">
              <w:rPr>
                <w:rFonts w:ascii="Calibri" w:eastAsia="Times New Roman" w:hAnsi="Calibri" w:cs="Times New Roman"/>
                <w:b/>
                <w:color w:val="000000"/>
              </w:rPr>
              <w:t>AIPN &lt;2.5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90.1%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25.9%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30.0%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88.1%</w:t>
            </w:r>
          </w:p>
        </w:tc>
      </w:tr>
      <w:tr w:rsidR="00832354" w:rsidRPr="00832354" w:rsidTr="008E16C1">
        <w:tc>
          <w:tcPr>
            <w:tcW w:w="9581" w:type="dxa"/>
            <w:gridSpan w:val="5"/>
            <w:shd w:val="clear" w:color="auto" w:fill="F2F2F2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sz w:val="4"/>
              </w:rPr>
            </w:pPr>
          </w:p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32354">
              <w:rPr>
                <w:rFonts w:ascii="Calibri" w:eastAsia="Times New Roman" w:hAnsi="Calibri" w:cs="Times New Roman"/>
                <w:b/>
                <w:color w:val="000000"/>
              </w:rPr>
              <w:t>WHO Grade 2 or above Bleeding</w:t>
            </w:r>
          </w:p>
        </w:tc>
      </w:tr>
      <w:tr w:rsidR="00832354" w:rsidRPr="00832354" w:rsidTr="008E16C1">
        <w:tc>
          <w:tcPr>
            <w:tcW w:w="1526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TPC ≤ 10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23.1%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86.7%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8.7%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95.4%</w:t>
            </w:r>
          </w:p>
        </w:tc>
      </w:tr>
      <w:tr w:rsidR="00832354" w:rsidRPr="00832354" w:rsidTr="008E16C1">
        <w:tc>
          <w:tcPr>
            <w:tcW w:w="1526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TPC ≤ 20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53.8%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63.5%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7.4%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96.2%</w:t>
            </w:r>
          </w:p>
        </w:tc>
      </w:tr>
      <w:tr w:rsidR="00832354" w:rsidRPr="00832354" w:rsidTr="008E16C1">
        <w:tc>
          <w:tcPr>
            <w:tcW w:w="1526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TPC ≤ 30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76.9%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40.6%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6.6%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97.0%</w:t>
            </w:r>
          </w:p>
        </w:tc>
      </w:tr>
      <w:tr w:rsidR="00832354" w:rsidRPr="00832354" w:rsidTr="008E16C1">
        <w:tc>
          <w:tcPr>
            <w:tcW w:w="1526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TPC ≤ 40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87.2%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30.8%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6.4%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97.8%</w:t>
            </w:r>
          </w:p>
        </w:tc>
      </w:tr>
      <w:tr w:rsidR="00832354" w:rsidRPr="00832354" w:rsidTr="008E16C1">
        <w:tc>
          <w:tcPr>
            <w:tcW w:w="1526" w:type="dxa"/>
          </w:tcPr>
          <w:p w:rsidR="00832354" w:rsidRPr="00832354" w:rsidRDefault="00832354" w:rsidP="00832354">
            <w:pPr>
              <w:spacing w:line="360" w:lineRule="auto"/>
              <w:contextualSpacing/>
              <w:outlineLvl w:val="0"/>
              <w:rPr>
                <w:rFonts w:ascii="Calibri" w:eastAsia="Times New Roman" w:hAnsi="Calibri" w:cs="Calibri"/>
                <w:b/>
              </w:rPr>
            </w:pPr>
            <w:r w:rsidRPr="00832354">
              <w:rPr>
                <w:rFonts w:ascii="Calibri" w:eastAsia="Times New Roman" w:hAnsi="Calibri" w:cs="Calibri"/>
                <w:b/>
              </w:rPr>
              <w:t>TPC ≤ 50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89.7%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21.8%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5.9%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97.5%</w:t>
            </w:r>
          </w:p>
        </w:tc>
      </w:tr>
      <w:tr w:rsidR="00832354" w:rsidRPr="00832354" w:rsidTr="008E16C1">
        <w:tc>
          <w:tcPr>
            <w:tcW w:w="1526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32354">
              <w:rPr>
                <w:rFonts w:ascii="Calibri" w:eastAsia="Times New Roman" w:hAnsi="Calibri" w:cs="Times New Roman"/>
                <w:b/>
                <w:color w:val="000000"/>
              </w:rPr>
              <w:t>AIPN &lt;0.5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47.4%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83.0%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17.3%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95.5%</w:t>
            </w:r>
          </w:p>
        </w:tc>
      </w:tr>
      <w:tr w:rsidR="00832354" w:rsidRPr="00832354" w:rsidTr="008E16C1">
        <w:tc>
          <w:tcPr>
            <w:tcW w:w="1526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32354">
              <w:rPr>
                <w:rFonts w:ascii="Calibri" w:eastAsia="Times New Roman" w:hAnsi="Calibri" w:cs="Times New Roman"/>
                <w:b/>
                <w:color w:val="000000"/>
              </w:rPr>
              <w:t>AIPN &lt;1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84.2%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54.2%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12.1%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97.9%</w:t>
            </w:r>
          </w:p>
        </w:tc>
      </w:tr>
      <w:tr w:rsidR="00832354" w:rsidRPr="00832354" w:rsidTr="008E16C1">
        <w:tc>
          <w:tcPr>
            <w:tcW w:w="1526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32354">
              <w:rPr>
                <w:rFonts w:ascii="Calibri" w:eastAsia="Times New Roman" w:hAnsi="Calibri" w:cs="Times New Roman"/>
                <w:b/>
                <w:color w:val="000000"/>
              </w:rPr>
              <w:t>AIPN &lt;1.5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94.7%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34.8%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9.8%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98.9%</w:t>
            </w:r>
          </w:p>
        </w:tc>
      </w:tr>
      <w:tr w:rsidR="00832354" w:rsidRPr="00832354" w:rsidTr="008E16C1">
        <w:tc>
          <w:tcPr>
            <w:tcW w:w="1526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32354">
              <w:rPr>
                <w:rFonts w:ascii="Calibri" w:eastAsia="Times New Roman" w:hAnsi="Calibri" w:cs="Times New Roman"/>
                <w:b/>
                <w:color w:val="000000"/>
              </w:rPr>
              <w:t>AIPN &lt;2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26.9%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9.3%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832354" w:rsidRPr="00832354" w:rsidTr="008E16C1">
        <w:tc>
          <w:tcPr>
            <w:tcW w:w="1526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32354">
              <w:rPr>
                <w:rFonts w:ascii="Calibri" w:eastAsia="Times New Roman" w:hAnsi="Calibri" w:cs="Times New Roman"/>
                <w:b/>
                <w:color w:val="000000"/>
              </w:rPr>
              <w:t>AIPN &lt;2.5</w:t>
            </w:r>
          </w:p>
        </w:tc>
        <w:tc>
          <w:tcPr>
            <w:tcW w:w="1989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985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23.3%</w:t>
            </w:r>
          </w:p>
        </w:tc>
        <w:tc>
          <w:tcPr>
            <w:tcW w:w="1984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8.9%</w:t>
            </w:r>
          </w:p>
        </w:tc>
        <w:tc>
          <w:tcPr>
            <w:tcW w:w="2097" w:type="dxa"/>
            <w:vAlign w:val="bottom"/>
          </w:tcPr>
          <w:p w:rsidR="00832354" w:rsidRPr="00832354" w:rsidRDefault="00832354" w:rsidP="00832354">
            <w:pPr>
              <w:spacing w:line="360" w:lineRule="auto"/>
              <w:contextualSpacing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32354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</w:tbl>
    <w:p w:rsidR="00832354" w:rsidRPr="00832354" w:rsidRDefault="00832354" w:rsidP="00832354">
      <w:pPr>
        <w:ind w:left="720"/>
        <w:rPr>
          <w:rFonts w:ascii="Calibri" w:eastAsia="Times New Roman" w:hAnsi="Calibri" w:cs="Times New Roman"/>
          <w:sz w:val="20"/>
          <w:szCs w:val="20"/>
        </w:rPr>
      </w:pPr>
      <w:r w:rsidRPr="00832354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975EC" wp14:editId="409DBFEB">
                <wp:simplePos x="0" y="0"/>
                <wp:positionH relativeFrom="column">
                  <wp:posOffset>-129540</wp:posOffset>
                </wp:positionH>
                <wp:positionV relativeFrom="paragraph">
                  <wp:posOffset>299720</wp:posOffset>
                </wp:positionV>
                <wp:extent cx="6156960" cy="1158240"/>
                <wp:effectExtent l="3810" t="4445" r="1905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354" w:rsidRPr="003672C3" w:rsidRDefault="00832354" w:rsidP="00832354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321CA">
                              <w:rPr>
                                <w:b/>
                                <w:sz w:val="24"/>
                                <w:szCs w:val="24"/>
                              </w:rPr>
                              <w:t>Supplementary Table V:</w:t>
                            </w:r>
                            <w:r w:rsidRPr="003672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Predictive value of total platelet count (TPC) and absolute immature platelet number (AIPN) for any bleeding within 1 day of blood sampling. </w:t>
                            </w:r>
                            <w:r w:rsidRPr="003672C3">
                              <w:rPr>
                                <w:sz w:val="24"/>
                                <w:szCs w:val="24"/>
                              </w:rPr>
                              <w:t>Data are presented for sensitivity, specificity, positive predictive Value (PPV) and negative predictive value (NPV) of different threshold values for TPC and AIPN.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-10.2pt;margin-top:23.6pt;width:484.8pt;height:9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" stroked="f" strokeweight=".5pt">
                <v:textbox>
                  <w:txbxContent>
                    <w:p w:rsidR="00832354" w:rsidRPr="003672C3" w:rsidRDefault="00832354" w:rsidP="00832354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A321CA">
                        <w:rPr>
                          <w:b/>
                          <w:sz w:val="24"/>
                          <w:szCs w:val="24"/>
                        </w:rPr>
                        <w:t>Supplementary Table V:</w:t>
                      </w:r>
                      <w:r w:rsidRPr="003672C3">
                        <w:rPr>
                          <w:b/>
                          <w:sz w:val="24"/>
                          <w:szCs w:val="24"/>
                        </w:rPr>
                        <w:t xml:space="preserve"> Predictive value of total platelet count (TPC) and absolute immature platelet number (AIPN) for any bleeding within 1 day of blood sampling. </w:t>
                      </w:r>
                      <w:r w:rsidRPr="003672C3">
                        <w:rPr>
                          <w:sz w:val="24"/>
                          <w:szCs w:val="24"/>
                        </w:rPr>
                        <w:t>Data are presented for sensitivity, specificity, positive predictive Value (PPV) and negative predictive value (NPV) of different threshold values for TPC and AIPN.</w:t>
                      </w:r>
                    </w:p>
                  </w:txbxContent>
                </v:textbox>
              </v:shape>
            </w:pict>
          </mc:Fallback>
        </mc:AlternateContent>
      </w:r>
    </w:p>
    <w:p w:rsidR="00832354" w:rsidRPr="00832354" w:rsidRDefault="00832354" w:rsidP="00832354">
      <w:pPr>
        <w:rPr>
          <w:rFonts w:ascii="Calibri" w:eastAsia="Times New Roman" w:hAnsi="Calibri" w:cs="Times New Roman"/>
        </w:rPr>
      </w:pPr>
    </w:p>
    <w:p w:rsidR="00361D0C" w:rsidRDefault="00361D0C"/>
    <w:sectPr w:rsidR="00361D0C" w:rsidSect="00364F0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33D6">
      <w:pPr>
        <w:spacing w:after="0" w:line="240" w:lineRule="auto"/>
      </w:pPr>
      <w:r>
        <w:separator/>
      </w:r>
    </w:p>
  </w:endnote>
  <w:endnote w:type="continuationSeparator" w:id="0">
    <w:p w:rsidR="00000000" w:rsidRDefault="0067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47" w:rsidRDefault="00425DE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33D6">
      <w:rPr>
        <w:noProof/>
      </w:rPr>
      <w:t>2</w:t>
    </w:r>
    <w:r>
      <w:rPr>
        <w:noProof/>
      </w:rPr>
      <w:fldChar w:fldCharType="end"/>
    </w:r>
  </w:p>
  <w:p w:rsidR="004B4947" w:rsidRDefault="006733D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33D6">
      <w:pPr>
        <w:spacing w:after="0" w:line="240" w:lineRule="auto"/>
      </w:pPr>
      <w:r>
        <w:separator/>
      </w:r>
    </w:p>
  </w:footnote>
  <w:footnote w:type="continuationSeparator" w:id="0">
    <w:p w:rsidR="00000000" w:rsidRDefault="0067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47" w:rsidRDefault="006733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54"/>
    <w:rsid w:val="001334CE"/>
    <w:rsid w:val="002C7BDA"/>
    <w:rsid w:val="00361D0C"/>
    <w:rsid w:val="00425DED"/>
    <w:rsid w:val="00671E6E"/>
    <w:rsid w:val="006733D6"/>
    <w:rsid w:val="00832354"/>
    <w:rsid w:val="00860317"/>
    <w:rsid w:val="00B01EC9"/>
    <w:rsid w:val="00D55497"/>
    <w:rsid w:val="00E73EA3"/>
    <w:rsid w:val="00F2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2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354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32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354"/>
    <w:rPr>
      <w:lang w:val="en-GB"/>
    </w:rPr>
  </w:style>
  <w:style w:type="table" w:styleId="TableGrid">
    <w:name w:val="Table Grid"/>
    <w:basedOn w:val="TableNormal"/>
    <w:uiPriority w:val="99"/>
    <w:rsid w:val="0083235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2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354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32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354"/>
    <w:rPr>
      <w:lang w:val="en-GB"/>
    </w:rPr>
  </w:style>
  <w:style w:type="table" w:styleId="TableGrid">
    <w:name w:val="Table Grid"/>
    <w:basedOn w:val="TableNormal"/>
    <w:uiPriority w:val="99"/>
    <w:rsid w:val="0083235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659</Words>
  <Characters>3761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</dc:creator>
  <cp:lastModifiedBy>Sue Walton</cp:lastModifiedBy>
  <cp:revision>2</cp:revision>
  <dcterms:created xsi:type="dcterms:W3CDTF">2014-04-14T08:29:00Z</dcterms:created>
  <dcterms:modified xsi:type="dcterms:W3CDTF">2014-04-14T08:29:00Z</dcterms:modified>
</cp:coreProperties>
</file>