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AEDDD" w14:textId="77777777" w:rsidR="000E4CD1" w:rsidRPr="004D3F8E" w:rsidRDefault="0065307C" w:rsidP="0065307C">
      <w:pPr>
        <w:pStyle w:val="Heading2"/>
      </w:pPr>
      <w:r w:rsidRPr="004D3F8E">
        <w:t>S3 Additional characteristics of previously excluded studies</w:t>
      </w:r>
    </w:p>
    <w:tbl>
      <w:tblPr>
        <w:tblStyle w:val="TableGrid"/>
        <w:tblW w:w="14175" w:type="dxa"/>
        <w:tblInd w:w="-572" w:type="dxa"/>
        <w:tblLook w:val="04A0" w:firstRow="1" w:lastRow="0" w:firstColumn="1" w:lastColumn="0" w:noHBand="0" w:noVBand="1"/>
      </w:tblPr>
      <w:tblGrid>
        <w:gridCol w:w="878"/>
        <w:gridCol w:w="1347"/>
        <w:gridCol w:w="1826"/>
        <w:gridCol w:w="2148"/>
        <w:gridCol w:w="1008"/>
        <w:gridCol w:w="1399"/>
        <w:gridCol w:w="1008"/>
        <w:gridCol w:w="1274"/>
        <w:gridCol w:w="1008"/>
        <w:gridCol w:w="1442"/>
        <w:gridCol w:w="1008"/>
        <w:gridCol w:w="1614"/>
      </w:tblGrid>
      <w:tr w:rsidR="00617322" w:rsidRPr="004D3F8E" w14:paraId="3E5BEFCB" w14:textId="77777777" w:rsidTr="002C39B5">
        <w:trPr>
          <w:cantSplit/>
          <w:trHeight w:val="606"/>
          <w:tblHeader/>
        </w:trPr>
        <w:tc>
          <w:tcPr>
            <w:tcW w:w="709" w:type="dxa"/>
            <w:vMerge w:val="restart"/>
            <w:shd w:val="clear" w:color="auto" w:fill="E7E6E6" w:themeFill="background2"/>
            <w:noWrap/>
            <w:hideMark/>
          </w:tcPr>
          <w:p w14:paraId="5D63EB0F" w14:textId="77777777" w:rsidR="00617322" w:rsidRPr="004D3F8E" w:rsidRDefault="00617322" w:rsidP="0065307C">
            <w:pPr>
              <w:rPr>
                <w:rFonts w:eastAsia="Times New Roman" w:cstheme="minorHAnsi"/>
                <w:b/>
                <w:bCs/>
                <w:sz w:val="20"/>
                <w:szCs w:val="20"/>
                <w:lang w:eastAsia="en-GB"/>
              </w:rPr>
            </w:pPr>
            <w:r w:rsidRPr="004D3F8E">
              <w:rPr>
                <w:rFonts w:eastAsia="Times New Roman" w:cstheme="minorHAnsi"/>
                <w:b/>
                <w:bCs/>
                <w:sz w:val="20"/>
                <w:szCs w:val="20"/>
                <w:lang w:eastAsia="en-GB"/>
              </w:rPr>
              <w:t>Study ID</w:t>
            </w:r>
          </w:p>
        </w:tc>
        <w:tc>
          <w:tcPr>
            <w:tcW w:w="1500" w:type="dxa"/>
            <w:vMerge w:val="restart"/>
            <w:shd w:val="clear" w:color="auto" w:fill="E7E6E6" w:themeFill="background2"/>
            <w:noWrap/>
            <w:hideMark/>
          </w:tcPr>
          <w:p w14:paraId="5D3D8BFE" w14:textId="77777777" w:rsidR="00617322" w:rsidRPr="004D3F8E" w:rsidRDefault="00617322" w:rsidP="0065307C">
            <w:pPr>
              <w:rPr>
                <w:rFonts w:eastAsia="Times New Roman" w:cstheme="minorHAnsi"/>
                <w:b/>
                <w:bCs/>
                <w:sz w:val="20"/>
                <w:szCs w:val="20"/>
                <w:lang w:eastAsia="en-GB"/>
              </w:rPr>
            </w:pPr>
            <w:r w:rsidRPr="004D3F8E">
              <w:rPr>
                <w:rFonts w:eastAsia="Times New Roman" w:cstheme="minorHAnsi"/>
                <w:b/>
                <w:bCs/>
                <w:sz w:val="20"/>
                <w:szCs w:val="20"/>
                <w:lang w:eastAsia="en-GB"/>
              </w:rPr>
              <w:t>Country</w:t>
            </w:r>
          </w:p>
        </w:tc>
        <w:tc>
          <w:tcPr>
            <w:tcW w:w="2044" w:type="dxa"/>
            <w:vMerge w:val="restart"/>
            <w:shd w:val="clear" w:color="auto" w:fill="E7E6E6" w:themeFill="background2"/>
            <w:noWrap/>
            <w:hideMark/>
          </w:tcPr>
          <w:p w14:paraId="1D307E8B" w14:textId="77777777" w:rsidR="00617322" w:rsidRPr="004D3F8E" w:rsidRDefault="00617322" w:rsidP="0065307C">
            <w:pPr>
              <w:rPr>
                <w:rFonts w:eastAsia="Times New Roman" w:cstheme="minorHAnsi"/>
                <w:b/>
                <w:bCs/>
                <w:sz w:val="20"/>
                <w:szCs w:val="20"/>
                <w:lang w:eastAsia="en-GB"/>
              </w:rPr>
            </w:pPr>
            <w:r w:rsidRPr="004D3F8E">
              <w:rPr>
                <w:rFonts w:eastAsia="Times New Roman" w:cstheme="minorHAnsi"/>
                <w:b/>
                <w:bCs/>
                <w:sz w:val="20"/>
                <w:szCs w:val="20"/>
                <w:lang w:eastAsia="en-GB"/>
              </w:rPr>
              <w:t>Funding</w:t>
            </w:r>
          </w:p>
        </w:tc>
        <w:tc>
          <w:tcPr>
            <w:tcW w:w="2410" w:type="dxa"/>
            <w:vMerge w:val="restart"/>
            <w:shd w:val="clear" w:color="auto" w:fill="E7E6E6" w:themeFill="background2"/>
            <w:noWrap/>
            <w:hideMark/>
          </w:tcPr>
          <w:p w14:paraId="68736A38" w14:textId="77777777" w:rsidR="00617322" w:rsidRPr="004D3F8E" w:rsidRDefault="00617322" w:rsidP="0065307C">
            <w:pPr>
              <w:rPr>
                <w:rFonts w:eastAsia="Times New Roman" w:cstheme="minorHAnsi"/>
                <w:b/>
                <w:bCs/>
                <w:sz w:val="20"/>
                <w:szCs w:val="20"/>
                <w:lang w:eastAsia="en-GB"/>
              </w:rPr>
            </w:pPr>
            <w:r w:rsidRPr="004D3F8E">
              <w:rPr>
                <w:rFonts w:eastAsia="Times New Roman" w:cstheme="minorHAnsi"/>
                <w:b/>
                <w:bCs/>
                <w:sz w:val="20"/>
                <w:szCs w:val="20"/>
                <w:lang w:eastAsia="en-GB"/>
              </w:rPr>
              <w:t>Declarations of interest</w:t>
            </w:r>
          </w:p>
        </w:tc>
        <w:tc>
          <w:tcPr>
            <w:tcW w:w="2675" w:type="dxa"/>
            <w:gridSpan w:val="2"/>
            <w:shd w:val="clear" w:color="auto" w:fill="E7E6E6" w:themeFill="background2"/>
            <w:noWrap/>
            <w:hideMark/>
          </w:tcPr>
          <w:p w14:paraId="2EBECA60" w14:textId="77777777" w:rsidR="00617322" w:rsidRPr="004D3F8E" w:rsidRDefault="00617322" w:rsidP="0065307C">
            <w:pPr>
              <w:rPr>
                <w:rFonts w:eastAsia="Times New Roman" w:cstheme="minorHAnsi"/>
                <w:b/>
                <w:bCs/>
                <w:sz w:val="20"/>
                <w:szCs w:val="20"/>
                <w:lang w:eastAsia="en-GB"/>
              </w:rPr>
            </w:pPr>
            <w:r w:rsidRPr="004D3F8E">
              <w:rPr>
                <w:rFonts w:eastAsia="Times New Roman" w:cstheme="minorHAnsi"/>
                <w:b/>
                <w:bCs/>
                <w:sz w:val="20"/>
                <w:szCs w:val="20"/>
                <w:lang w:eastAsia="en-GB"/>
              </w:rPr>
              <w:t>Random sequence generation</w:t>
            </w:r>
          </w:p>
        </w:tc>
        <w:tc>
          <w:tcPr>
            <w:tcW w:w="2533" w:type="dxa"/>
            <w:gridSpan w:val="2"/>
            <w:shd w:val="clear" w:color="auto" w:fill="E7E6E6" w:themeFill="background2"/>
            <w:noWrap/>
            <w:hideMark/>
          </w:tcPr>
          <w:p w14:paraId="68668B28" w14:textId="77777777" w:rsidR="00617322" w:rsidRPr="004D3F8E" w:rsidRDefault="00617322" w:rsidP="0065307C">
            <w:pPr>
              <w:rPr>
                <w:rFonts w:eastAsia="Times New Roman" w:cstheme="minorHAnsi"/>
                <w:b/>
                <w:bCs/>
                <w:sz w:val="20"/>
                <w:szCs w:val="20"/>
                <w:lang w:eastAsia="en-GB"/>
              </w:rPr>
            </w:pPr>
            <w:r w:rsidRPr="004D3F8E">
              <w:rPr>
                <w:rFonts w:eastAsia="Times New Roman" w:cstheme="minorHAnsi"/>
                <w:b/>
                <w:bCs/>
                <w:sz w:val="20"/>
                <w:szCs w:val="20"/>
                <w:lang w:eastAsia="en-GB"/>
              </w:rPr>
              <w:t>Allocation concealment</w:t>
            </w:r>
          </w:p>
        </w:tc>
        <w:tc>
          <w:tcPr>
            <w:tcW w:w="2723" w:type="dxa"/>
            <w:gridSpan w:val="2"/>
            <w:shd w:val="clear" w:color="auto" w:fill="E7E6E6" w:themeFill="background2"/>
            <w:noWrap/>
            <w:hideMark/>
          </w:tcPr>
          <w:p w14:paraId="40F565E8" w14:textId="77777777" w:rsidR="00617322" w:rsidRPr="004D3F8E" w:rsidRDefault="00617322" w:rsidP="0065307C">
            <w:pPr>
              <w:rPr>
                <w:rFonts w:eastAsia="Times New Roman" w:cstheme="minorHAnsi"/>
                <w:b/>
                <w:bCs/>
                <w:sz w:val="20"/>
                <w:szCs w:val="20"/>
                <w:lang w:eastAsia="en-GB"/>
              </w:rPr>
            </w:pPr>
            <w:r w:rsidRPr="004D3F8E">
              <w:rPr>
                <w:rFonts w:eastAsia="Times New Roman" w:cstheme="minorHAnsi"/>
                <w:b/>
                <w:bCs/>
                <w:sz w:val="20"/>
                <w:szCs w:val="20"/>
                <w:lang w:eastAsia="en-GB"/>
              </w:rPr>
              <w:t>Blinding of outcome measure</w:t>
            </w:r>
          </w:p>
        </w:tc>
        <w:tc>
          <w:tcPr>
            <w:tcW w:w="2919" w:type="dxa"/>
            <w:gridSpan w:val="2"/>
            <w:shd w:val="clear" w:color="auto" w:fill="E7E6E6" w:themeFill="background2"/>
            <w:noWrap/>
            <w:hideMark/>
          </w:tcPr>
          <w:p w14:paraId="21535019" w14:textId="77777777" w:rsidR="00617322" w:rsidRPr="004D3F8E" w:rsidRDefault="00617322" w:rsidP="0065307C">
            <w:pPr>
              <w:rPr>
                <w:rFonts w:eastAsia="Times New Roman" w:cstheme="minorHAnsi"/>
                <w:b/>
                <w:bCs/>
                <w:sz w:val="20"/>
                <w:szCs w:val="20"/>
                <w:lang w:eastAsia="en-GB"/>
              </w:rPr>
            </w:pPr>
            <w:r w:rsidRPr="004D3F8E">
              <w:rPr>
                <w:rFonts w:eastAsia="Times New Roman" w:cstheme="minorHAnsi"/>
                <w:b/>
                <w:bCs/>
                <w:sz w:val="20"/>
                <w:szCs w:val="20"/>
                <w:lang w:eastAsia="en-GB"/>
              </w:rPr>
              <w:t>Attrition</w:t>
            </w:r>
          </w:p>
          <w:p w14:paraId="14348841" w14:textId="77777777" w:rsidR="00617322" w:rsidRPr="004D3F8E" w:rsidRDefault="00617322" w:rsidP="0065307C">
            <w:pPr>
              <w:rPr>
                <w:rFonts w:eastAsia="Times New Roman" w:cstheme="minorHAnsi"/>
                <w:b/>
                <w:bCs/>
                <w:sz w:val="20"/>
                <w:szCs w:val="20"/>
                <w:lang w:eastAsia="en-GB"/>
              </w:rPr>
            </w:pPr>
          </w:p>
        </w:tc>
      </w:tr>
      <w:tr w:rsidR="00617322" w:rsidRPr="004D3F8E" w14:paraId="0E70420F" w14:textId="77777777" w:rsidTr="002C39B5">
        <w:trPr>
          <w:cantSplit/>
          <w:trHeight w:val="300"/>
        </w:trPr>
        <w:tc>
          <w:tcPr>
            <w:tcW w:w="709" w:type="dxa"/>
            <w:vMerge/>
            <w:shd w:val="clear" w:color="auto" w:fill="E7E6E6" w:themeFill="background2"/>
            <w:noWrap/>
          </w:tcPr>
          <w:p w14:paraId="42E6A0CF" w14:textId="77777777" w:rsidR="00617322" w:rsidRPr="004D3F8E" w:rsidRDefault="00617322" w:rsidP="0065307C">
            <w:pPr>
              <w:rPr>
                <w:rFonts w:eastAsia="Times New Roman" w:cstheme="minorHAnsi"/>
                <w:color w:val="000000"/>
                <w:sz w:val="20"/>
                <w:szCs w:val="20"/>
                <w:lang w:eastAsia="en-GB"/>
              </w:rPr>
            </w:pPr>
          </w:p>
        </w:tc>
        <w:tc>
          <w:tcPr>
            <w:tcW w:w="1500" w:type="dxa"/>
            <w:vMerge/>
            <w:shd w:val="clear" w:color="auto" w:fill="E7E6E6" w:themeFill="background2"/>
            <w:noWrap/>
          </w:tcPr>
          <w:p w14:paraId="24B4021D" w14:textId="77777777" w:rsidR="00617322" w:rsidRPr="004D3F8E" w:rsidRDefault="00617322" w:rsidP="0065307C">
            <w:pPr>
              <w:rPr>
                <w:rFonts w:eastAsia="Times New Roman" w:cstheme="minorHAnsi"/>
                <w:color w:val="000000"/>
                <w:sz w:val="20"/>
                <w:szCs w:val="20"/>
                <w:lang w:eastAsia="en-GB"/>
              </w:rPr>
            </w:pPr>
          </w:p>
        </w:tc>
        <w:tc>
          <w:tcPr>
            <w:tcW w:w="2044" w:type="dxa"/>
            <w:vMerge/>
            <w:shd w:val="clear" w:color="auto" w:fill="E7E6E6" w:themeFill="background2"/>
            <w:noWrap/>
          </w:tcPr>
          <w:p w14:paraId="28C1CF01" w14:textId="77777777" w:rsidR="00617322" w:rsidRPr="004D3F8E" w:rsidRDefault="00617322" w:rsidP="0065307C">
            <w:pPr>
              <w:rPr>
                <w:rFonts w:eastAsia="Times New Roman" w:cstheme="minorHAnsi"/>
                <w:color w:val="000000"/>
                <w:sz w:val="20"/>
                <w:szCs w:val="20"/>
                <w:lang w:eastAsia="en-GB"/>
              </w:rPr>
            </w:pPr>
          </w:p>
        </w:tc>
        <w:tc>
          <w:tcPr>
            <w:tcW w:w="2410" w:type="dxa"/>
            <w:vMerge/>
            <w:shd w:val="clear" w:color="auto" w:fill="E7E6E6" w:themeFill="background2"/>
            <w:noWrap/>
          </w:tcPr>
          <w:p w14:paraId="2E2F233E" w14:textId="77777777" w:rsidR="00617322" w:rsidRPr="004D3F8E" w:rsidRDefault="00617322" w:rsidP="0065307C">
            <w:pPr>
              <w:rPr>
                <w:rFonts w:eastAsia="Times New Roman" w:cstheme="minorHAnsi"/>
                <w:color w:val="000000"/>
                <w:sz w:val="20"/>
                <w:szCs w:val="20"/>
                <w:lang w:eastAsia="en-GB"/>
              </w:rPr>
            </w:pPr>
          </w:p>
        </w:tc>
        <w:tc>
          <w:tcPr>
            <w:tcW w:w="1115" w:type="dxa"/>
            <w:shd w:val="clear" w:color="auto" w:fill="E7E6E6" w:themeFill="background2"/>
            <w:noWrap/>
          </w:tcPr>
          <w:p w14:paraId="6167DF1B" w14:textId="678141DD" w:rsidR="00617322" w:rsidRPr="004D3F8E" w:rsidRDefault="00617322"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Judgement</w:t>
            </w:r>
          </w:p>
        </w:tc>
        <w:tc>
          <w:tcPr>
            <w:tcW w:w="1560" w:type="dxa"/>
            <w:shd w:val="clear" w:color="auto" w:fill="E7E6E6" w:themeFill="background2"/>
            <w:noWrap/>
          </w:tcPr>
          <w:p w14:paraId="68E709FD" w14:textId="1E1293F2" w:rsidR="00617322" w:rsidRPr="004D3F8E" w:rsidRDefault="002C39B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Support for judgement</w:t>
            </w:r>
          </w:p>
        </w:tc>
        <w:tc>
          <w:tcPr>
            <w:tcW w:w="1115" w:type="dxa"/>
            <w:shd w:val="clear" w:color="auto" w:fill="E7E6E6" w:themeFill="background2"/>
            <w:noWrap/>
          </w:tcPr>
          <w:p w14:paraId="0277206E" w14:textId="16D088B5" w:rsidR="00617322" w:rsidRPr="004D3F8E" w:rsidRDefault="00617322"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Judgement</w:t>
            </w:r>
          </w:p>
        </w:tc>
        <w:tc>
          <w:tcPr>
            <w:tcW w:w="1418" w:type="dxa"/>
            <w:shd w:val="clear" w:color="auto" w:fill="E7E6E6" w:themeFill="background2"/>
            <w:noWrap/>
          </w:tcPr>
          <w:p w14:paraId="2F23D68E" w14:textId="3562F8BC" w:rsidR="00617322" w:rsidRPr="004D3F8E" w:rsidRDefault="002C39B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Support for judgement</w:t>
            </w:r>
          </w:p>
        </w:tc>
        <w:tc>
          <w:tcPr>
            <w:tcW w:w="1115" w:type="dxa"/>
            <w:shd w:val="clear" w:color="auto" w:fill="E7E6E6" w:themeFill="background2"/>
            <w:noWrap/>
          </w:tcPr>
          <w:p w14:paraId="0CEAE114" w14:textId="59194280" w:rsidR="00617322" w:rsidRPr="004D3F8E" w:rsidRDefault="00617322"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Judgement</w:t>
            </w:r>
          </w:p>
        </w:tc>
        <w:tc>
          <w:tcPr>
            <w:tcW w:w="1608" w:type="dxa"/>
            <w:shd w:val="clear" w:color="auto" w:fill="E7E6E6" w:themeFill="background2"/>
            <w:noWrap/>
          </w:tcPr>
          <w:p w14:paraId="29C97E6E" w14:textId="21FC5906" w:rsidR="00617322" w:rsidRPr="004D3F8E" w:rsidRDefault="002C39B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Support for judgement</w:t>
            </w:r>
          </w:p>
        </w:tc>
        <w:tc>
          <w:tcPr>
            <w:tcW w:w="1115" w:type="dxa"/>
            <w:shd w:val="clear" w:color="auto" w:fill="E7E6E6" w:themeFill="background2"/>
            <w:noWrap/>
          </w:tcPr>
          <w:p w14:paraId="32040459" w14:textId="39190291" w:rsidR="00617322" w:rsidRPr="004D3F8E" w:rsidRDefault="00617322"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Judgement</w:t>
            </w:r>
          </w:p>
        </w:tc>
        <w:tc>
          <w:tcPr>
            <w:tcW w:w="1804" w:type="dxa"/>
            <w:shd w:val="clear" w:color="auto" w:fill="E7E6E6" w:themeFill="background2"/>
            <w:noWrap/>
          </w:tcPr>
          <w:p w14:paraId="5F27A19F" w14:textId="4FDDE41A" w:rsidR="00617322" w:rsidRPr="004D3F8E" w:rsidRDefault="002C39B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Support for judgement</w:t>
            </w:r>
          </w:p>
        </w:tc>
      </w:tr>
      <w:tr w:rsidR="003D1321" w:rsidRPr="004D3F8E" w14:paraId="28D97AB7" w14:textId="77777777" w:rsidTr="00617322">
        <w:trPr>
          <w:cantSplit/>
          <w:trHeight w:val="300"/>
        </w:trPr>
        <w:tc>
          <w:tcPr>
            <w:tcW w:w="709" w:type="dxa"/>
            <w:noWrap/>
            <w:hideMark/>
          </w:tcPr>
          <w:p w14:paraId="680B11D7"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Ashraf 2009</w:t>
            </w:r>
          </w:p>
        </w:tc>
        <w:tc>
          <w:tcPr>
            <w:tcW w:w="1500" w:type="dxa"/>
            <w:noWrap/>
            <w:hideMark/>
          </w:tcPr>
          <w:p w14:paraId="0BB84FC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Denmark</w:t>
            </w:r>
          </w:p>
        </w:tc>
        <w:tc>
          <w:tcPr>
            <w:tcW w:w="2044" w:type="dxa"/>
            <w:noWrap/>
            <w:hideMark/>
          </w:tcPr>
          <w:p w14:paraId="38DA5E7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"The study was funded by a governmental grant."</w:t>
            </w:r>
          </w:p>
        </w:tc>
        <w:tc>
          <w:tcPr>
            <w:tcW w:w="2410" w:type="dxa"/>
            <w:noWrap/>
            <w:hideMark/>
          </w:tcPr>
          <w:p w14:paraId="2C67B448"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"PT serves on advisory boards for Pfizer, Sanofi Aventis and GSK and has been a speaker at events sponsored by the same companies regarding smoking cessation treatments. MD serves on advisory boards for Pfizer and GSK and has been a speaker at events sponsored by the same companies regarding smoking cessation treatments."</w:t>
            </w:r>
          </w:p>
        </w:tc>
        <w:tc>
          <w:tcPr>
            <w:tcW w:w="1115" w:type="dxa"/>
            <w:noWrap/>
            <w:hideMark/>
          </w:tcPr>
          <w:p w14:paraId="217C03F4"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560" w:type="dxa"/>
            <w:noWrap/>
            <w:hideMark/>
          </w:tcPr>
          <w:p w14:paraId="2DB05A4B"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Quote: "Participants were randomised by a computer program (random permuted blocks of 10 participants)"</w:t>
            </w:r>
          </w:p>
        </w:tc>
        <w:tc>
          <w:tcPr>
            <w:tcW w:w="1115" w:type="dxa"/>
            <w:noWrap/>
            <w:hideMark/>
          </w:tcPr>
          <w:p w14:paraId="6184C0FE"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3CECB0A2"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5F4100F4"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5BCE8321"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biochemically validated</w:t>
            </w:r>
          </w:p>
        </w:tc>
        <w:tc>
          <w:tcPr>
            <w:tcW w:w="1115" w:type="dxa"/>
            <w:noWrap/>
            <w:hideMark/>
          </w:tcPr>
          <w:p w14:paraId="1C8977C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804" w:type="dxa"/>
            <w:noWrap/>
            <w:hideMark/>
          </w:tcPr>
          <w:p w14:paraId="60C60C79" w14:textId="043110EB"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similar between study arms (however, follow</w:t>
            </w:r>
            <w:r w:rsidR="004E062B" w:rsidRPr="004D3F8E">
              <w:rPr>
                <w:rFonts w:eastAsia="Times New Roman" w:cstheme="minorHAnsi"/>
                <w:color w:val="000000"/>
                <w:sz w:val="20"/>
                <w:szCs w:val="20"/>
                <w:lang w:eastAsia="en-GB"/>
              </w:rPr>
              <w:t>-</w:t>
            </w:r>
            <w:r w:rsidRPr="004D3F8E">
              <w:rPr>
                <w:rFonts w:eastAsia="Times New Roman" w:cstheme="minorHAnsi"/>
                <w:color w:val="000000"/>
                <w:sz w:val="20"/>
                <w:szCs w:val="20"/>
                <w:lang w:eastAsia="en-GB"/>
              </w:rPr>
              <w:t>up numbers include</w:t>
            </w:r>
            <w:r w:rsidR="004E062B" w:rsidRPr="004D3F8E">
              <w:rPr>
                <w:rFonts w:eastAsia="Times New Roman" w:cstheme="minorHAnsi"/>
                <w:color w:val="000000"/>
                <w:sz w:val="20"/>
                <w:szCs w:val="20"/>
                <w:lang w:eastAsia="en-GB"/>
              </w:rPr>
              <w:t>d</w:t>
            </w:r>
            <w:r w:rsidRPr="004D3F8E">
              <w:rPr>
                <w:rFonts w:eastAsia="Times New Roman" w:cstheme="minorHAnsi"/>
                <w:color w:val="000000"/>
                <w:sz w:val="20"/>
                <w:szCs w:val="20"/>
                <w:lang w:eastAsia="en-GB"/>
              </w:rPr>
              <w:t xml:space="preserve"> recruited former smokers; follow</w:t>
            </w:r>
            <w:r w:rsidR="00F033AF" w:rsidRPr="004D3F8E">
              <w:rPr>
                <w:rFonts w:eastAsia="Times New Roman" w:cstheme="minorHAnsi"/>
                <w:color w:val="000000"/>
                <w:sz w:val="20"/>
                <w:szCs w:val="20"/>
                <w:lang w:eastAsia="en-GB"/>
              </w:rPr>
              <w:t>-</w:t>
            </w:r>
            <w:r w:rsidRPr="004D3F8E">
              <w:rPr>
                <w:rFonts w:eastAsia="Times New Roman" w:cstheme="minorHAnsi"/>
                <w:color w:val="000000"/>
                <w:sz w:val="20"/>
                <w:szCs w:val="20"/>
                <w:lang w:eastAsia="en-GB"/>
              </w:rPr>
              <w:t>up numbers for recruited smokers not separately reported).</w:t>
            </w:r>
          </w:p>
        </w:tc>
      </w:tr>
      <w:tr w:rsidR="004271EB" w:rsidRPr="004D3F8E" w14:paraId="0C01BA3C" w14:textId="77777777" w:rsidTr="00617322">
        <w:trPr>
          <w:cantSplit/>
          <w:trHeight w:val="300"/>
        </w:trPr>
        <w:tc>
          <w:tcPr>
            <w:tcW w:w="709" w:type="dxa"/>
            <w:noWrap/>
            <w:hideMark/>
          </w:tcPr>
          <w:p w14:paraId="3A458284" w14:textId="77777777"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Bakkevig 2000</w:t>
            </w:r>
          </w:p>
        </w:tc>
        <w:tc>
          <w:tcPr>
            <w:tcW w:w="1500" w:type="dxa"/>
            <w:noWrap/>
            <w:hideMark/>
          </w:tcPr>
          <w:p w14:paraId="17ACD919" w14:textId="77777777"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Norway</w:t>
            </w:r>
          </w:p>
        </w:tc>
        <w:tc>
          <w:tcPr>
            <w:tcW w:w="2044" w:type="dxa"/>
            <w:noWrap/>
            <w:hideMark/>
          </w:tcPr>
          <w:p w14:paraId="445A4B71" w14:textId="77777777"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"The study was supported by the Norwegian Medical Association, administered through the Quality Guarantee Fund, the County Medical Administration of Vestfold, CIBA-Geigy Norway, the Norwegian Cancer Society and the Norwegian National Health Association."</w:t>
            </w:r>
          </w:p>
        </w:tc>
        <w:tc>
          <w:tcPr>
            <w:tcW w:w="2410" w:type="dxa"/>
          </w:tcPr>
          <w:p w14:paraId="7C601A31" w14:textId="1E87833C"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0DD9D745" w14:textId="77777777"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560" w:type="dxa"/>
            <w:noWrap/>
            <w:hideMark/>
          </w:tcPr>
          <w:p w14:paraId="79242324" w14:textId="77777777"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Stated randomised but method not reported</w:t>
            </w:r>
          </w:p>
        </w:tc>
        <w:tc>
          <w:tcPr>
            <w:tcW w:w="1115" w:type="dxa"/>
            <w:noWrap/>
            <w:hideMark/>
          </w:tcPr>
          <w:p w14:paraId="7A651B4E" w14:textId="77777777"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13D569AA" w14:textId="77777777"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7D4348A4" w14:textId="77777777"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1946AA06" w14:textId="77777777"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biochemically validated</w:t>
            </w:r>
          </w:p>
        </w:tc>
        <w:tc>
          <w:tcPr>
            <w:tcW w:w="1115" w:type="dxa"/>
            <w:noWrap/>
            <w:hideMark/>
          </w:tcPr>
          <w:p w14:paraId="46F57821" w14:textId="77777777"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High</w:t>
            </w:r>
          </w:p>
        </w:tc>
        <w:tc>
          <w:tcPr>
            <w:tcW w:w="1804" w:type="dxa"/>
            <w:noWrap/>
            <w:hideMark/>
          </w:tcPr>
          <w:p w14:paraId="520E5C8F" w14:textId="77777777" w:rsidR="004271EB" w:rsidRPr="004D3F8E" w:rsidRDefault="004271EB"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Very high rate of attrition, and attrition rates differed between study arms</w:t>
            </w:r>
          </w:p>
        </w:tc>
      </w:tr>
      <w:tr w:rsidR="003D1321" w:rsidRPr="004D3F8E" w14:paraId="50F58B33" w14:textId="77777777" w:rsidTr="00617322">
        <w:trPr>
          <w:cantSplit/>
          <w:trHeight w:val="300"/>
        </w:trPr>
        <w:tc>
          <w:tcPr>
            <w:tcW w:w="709" w:type="dxa"/>
            <w:noWrap/>
            <w:hideMark/>
          </w:tcPr>
          <w:p w14:paraId="395252E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lastRenderedPageBreak/>
              <w:t>Bock 2012</w:t>
            </w:r>
          </w:p>
        </w:tc>
        <w:tc>
          <w:tcPr>
            <w:tcW w:w="1500" w:type="dxa"/>
            <w:noWrap/>
            <w:hideMark/>
          </w:tcPr>
          <w:p w14:paraId="26446B1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USA</w:t>
            </w:r>
          </w:p>
        </w:tc>
        <w:tc>
          <w:tcPr>
            <w:tcW w:w="2044" w:type="dxa"/>
            <w:noWrap/>
            <w:hideMark/>
          </w:tcPr>
          <w:p w14:paraId="29CC7FFC"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"This study was funded by a grant from the National Center for Complementary and Alternative Medicine (NCCAM) to Dr. Bock (AT003669)."</w:t>
            </w:r>
          </w:p>
        </w:tc>
        <w:tc>
          <w:tcPr>
            <w:tcW w:w="2410" w:type="dxa"/>
            <w:noWrap/>
            <w:hideMark/>
          </w:tcPr>
          <w:p w14:paraId="2556B659"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 competing financial interests exist for any of the authors."</w:t>
            </w:r>
          </w:p>
        </w:tc>
        <w:tc>
          <w:tcPr>
            <w:tcW w:w="1115" w:type="dxa"/>
            <w:noWrap/>
            <w:hideMark/>
          </w:tcPr>
          <w:p w14:paraId="0A9E38F8"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560" w:type="dxa"/>
            <w:noWrap/>
            <w:hideMark/>
          </w:tcPr>
          <w:p w14:paraId="72FC4441"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Stated randomised but method not reported</w:t>
            </w:r>
          </w:p>
        </w:tc>
        <w:tc>
          <w:tcPr>
            <w:tcW w:w="1115" w:type="dxa"/>
            <w:noWrap/>
            <w:hideMark/>
          </w:tcPr>
          <w:p w14:paraId="52D35A5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113E793B"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24BD7EF0"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14BB8100"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biochemically validated</w:t>
            </w:r>
          </w:p>
        </w:tc>
        <w:tc>
          <w:tcPr>
            <w:tcW w:w="1115" w:type="dxa"/>
            <w:noWrap/>
            <w:hideMark/>
          </w:tcPr>
          <w:p w14:paraId="78509F3C"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804" w:type="dxa"/>
            <w:noWrap/>
            <w:hideMark/>
          </w:tcPr>
          <w:p w14:paraId="47F9B084"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rates not reported</w:t>
            </w:r>
          </w:p>
        </w:tc>
      </w:tr>
      <w:tr w:rsidR="003D1321" w:rsidRPr="004D3F8E" w14:paraId="63A4E1F6" w14:textId="77777777" w:rsidTr="00617322">
        <w:trPr>
          <w:cantSplit/>
          <w:trHeight w:val="300"/>
        </w:trPr>
        <w:tc>
          <w:tcPr>
            <w:tcW w:w="709" w:type="dxa"/>
            <w:noWrap/>
            <w:hideMark/>
          </w:tcPr>
          <w:p w14:paraId="76E9F5CC"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Calabro 2011</w:t>
            </w:r>
          </w:p>
        </w:tc>
        <w:tc>
          <w:tcPr>
            <w:tcW w:w="1500" w:type="dxa"/>
            <w:noWrap/>
            <w:hideMark/>
          </w:tcPr>
          <w:p w14:paraId="08877DE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USA</w:t>
            </w:r>
          </w:p>
        </w:tc>
        <w:tc>
          <w:tcPr>
            <w:tcW w:w="2044" w:type="dxa"/>
            <w:noWrap/>
            <w:hideMark/>
          </w:tcPr>
          <w:p w14:paraId="50F51ACC"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"NIH/NCI R01 CA69425."</w:t>
            </w:r>
          </w:p>
        </w:tc>
        <w:tc>
          <w:tcPr>
            <w:tcW w:w="2410" w:type="dxa"/>
            <w:noWrap/>
            <w:hideMark/>
          </w:tcPr>
          <w:p w14:paraId="6611D9D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"Authors of the paper do not have a direct financial relation with NicAlert or any other study-related commercial interests."</w:t>
            </w:r>
          </w:p>
        </w:tc>
        <w:tc>
          <w:tcPr>
            <w:tcW w:w="1115" w:type="dxa"/>
            <w:noWrap/>
            <w:hideMark/>
          </w:tcPr>
          <w:p w14:paraId="55DE6C10"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560" w:type="dxa"/>
            <w:noWrap/>
            <w:hideMark/>
          </w:tcPr>
          <w:p w14:paraId="50E477AE"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Quote: "The simple randomization sequence was generated by a statistical software package."</w:t>
            </w:r>
          </w:p>
        </w:tc>
        <w:tc>
          <w:tcPr>
            <w:tcW w:w="1115" w:type="dxa"/>
            <w:noWrap/>
            <w:hideMark/>
          </w:tcPr>
          <w:p w14:paraId="67D02E31"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388901CA"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7B16831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608" w:type="dxa"/>
            <w:noWrap/>
            <w:hideMark/>
          </w:tcPr>
          <w:p w14:paraId="29B0DC7C" w14:textId="1CD57C83"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biochemically validated in 58% of abstinent participants, but self</w:t>
            </w:r>
            <w:r w:rsidR="00222E25" w:rsidRPr="004D3F8E">
              <w:rPr>
                <w:rFonts w:eastAsia="Times New Roman" w:cstheme="minorHAnsi"/>
                <w:color w:val="000000"/>
                <w:sz w:val="20"/>
                <w:szCs w:val="20"/>
                <w:lang w:eastAsia="en-GB"/>
              </w:rPr>
              <w:t>-</w:t>
            </w:r>
            <w:r w:rsidRPr="004D3F8E">
              <w:rPr>
                <w:rFonts w:eastAsia="Times New Roman" w:cstheme="minorHAnsi"/>
                <w:color w:val="000000"/>
                <w:sz w:val="20"/>
                <w:szCs w:val="20"/>
                <w:lang w:eastAsia="en-GB"/>
              </w:rPr>
              <w:t>reported abstinence rates used in results</w:t>
            </w:r>
          </w:p>
        </w:tc>
        <w:tc>
          <w:tcPr>
            <w:tcW w:w="1115" w:type="dxa"/>
            <w:noWrap/>
            <w:hideMark/>
          </w:tcPr>
          <w:p w14:paraId="010738B9"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High</w:t>
            </w:r>
          </w:p>
        </w:tc>
        <w:tc>
          <w:tcPr>
            <w:tcW w:w="1804" w:type="dxa"/>
            <w:noWrap/>
            <w:hideMark/>
          </w:tcPr>
          <w:p w14:paraId="0D17C31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rate of 46%, and substantial difference in attrition between study arms</w:t>
            </w:r>
          </w:p>
        </w:tc>
      </w:tr>
      <w:tr w:rsidR="003D1321" w:rsidRPr="004D3F8E" w14:paraId="6B44285D" w14:textId="77777777" w:rsidTr="00617322">
        <w:trPr>
          <w:cantSplit/>
          <w:trHeight w:val="300"/>
        </w:trPr>
        <w:tc>
          <w:tcPr>
            <w:tcW w:w="709" w:type="dxa"/>
            <w:noWrap/>
            <w:hideMark/>
          </w:tcPr>
          <w:p w14:paraId="477D891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Dallery 2013</w:t>
            </w:r>
          </w:p>
        </w:tc>
        <w:tc>
          <w:tcPr>
            <w:tcW w:w="1500" w:type="dxa"/>
            <w:noWrap/>
            <w:hideMark/>
          </w:tcPr>
          <w:p w14:paraId="360072D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USA</w:t>
            </w:r>
          </w:p>
        </w:tc>
        <w:tc>
          <w:tcPr>
            <w:tcW w:w="4454" w:type="dxa"/>
            <w:gridSpan w:val="2"/>
            <w:noWrap/>
            <w:hideMark/>
          </w:tcPr>
          <w:p w14:paraId="4A43AE1A"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"The research and preparation of this paper were supported by National Institutes of Health Grants P30DA029926 and R01DA019580."</w:t>
            </w:r>
          </w:p>
        </w:tc>
        <w:tc>
          <w:tcPr>
            <w:tcW w:w="1115" w:type="dxa"/>
            <w:noWrap/>
            <w:hideMark/>
          </w:tcPr>
          <w:p w14:paraId="217AF42A"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560" w:type="dxa"/>
            <w:noWrap/>
            <w:hideMark/>
          </w:tcPr>
          <w:p w14:paraId="04F5A52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Stated randomised but method not reported</w:t>
            </w:r>
          </w:p>
        </w:tc>
        <w:tc>
          <w:tcPr>
            <w:tcW w:w="1115" w:type="dxa"/>
            <w:noWrap/>
            <w:hideMark/>
          </w:tcPr>
          <w:p w14:paraId="5ECCD3D4"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72E75AFB"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309A4FC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2AF2B9FE"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biochemically validated</w:t>
            </w:r>
          </w:p>
        </w:tc>
        <w:tc>
          <w:tcPr>
            <w:tcW w:w="1115" w:type="dxa"/>
            <w:noWrap/>
            <w:hideMark/>
          </w:tcPr>
          <w:p w14:paraId="3CD60A0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804" w:type="dxa"/>
            <w:noWrap/>
            <w:hideMark/>
          </w:tcPr>
          <w:p w14:paraId="7A4CB18B"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rates not reported</w:t>
            </w:r>
          </w:p>
        </w:tc>
      </w:tr>
      <w:tr w:rsidR="00222E25" w:rsidRPr="004D3F8E" w14:paraId="6D0F6633" w14:textId="77777777" w:rsidTr="00617322">
        <w:trPr>
          <w:cantSplit/>
          <w:trHeight w:val="300"/>
        </w:trPr>
        <w:tc>
          <w:tcPr>
            <w:tcW w:w="709" w:type="dxa"/>
            <w:noWrap/>
            <w:hideMark/>
          </w:tcPr>
          <w:p w14:paraId="30CD7631" w14:textId="77777777" w:rsidR="00222E25" w:rsidRPr="004D3F8E" w:rsidRDefault="00222E2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Hall 2011</w:t>
            </w:r>
            <w:r w:rsidRPr="004D3F8E">
              <w:rPr>
                <w:rStyle w:val="FootnoteReference"/>
                <w:rFonts w:eastAsia="Times New Roman" w:cstheme="minorHAnsi"/>
                <w:color w:val="000000"/>
                <w:sz w:val="20"/>
                <w:szCs w:val="20"/>
                <w:lang w:eastAsia="en-GB"/>
              </w:rPr>
              <w:footnoteReference w:id="1"/>
            </w:r>
          </w:p>
        </w:tc>
        <w:tc>
          <w:tcPr>
            <w:tcW w:w="1500" w:type="dxa"/>
            <w:noWrap/>
            <w:hideMark/>
          </w:tcPr>
          <w:p w14:paraId="30942091" w14:textId="77777777" w:rsidR="00222E25" w:rsidRPr="004D3F8E" w:rsidRDefault="00222E2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USA</w:t>
            </w:r>
          </w:p>
        </w:tc>
        <w:tc>
          <w:tcPr>
            <w:tcW w:w="2044" w:type="dxa"/>
            <w:noWrap/>
            <w:hideMark/>
          </w:tcPr>
          <w:p w14:paraId="5CC6F2AA" w14:textId="77777777" w:rsidR="00222E25" w:rsidRPr="004D3F8E" w:rsidRDefault="00222E2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"This study was supported by the National Institute on Drug Abuse (awards R01 DA02538, K05 DA016752, K23 DA018691, and P50 DA09253)."</w:t>
            </w:r>
          </w:p>
        </w:tc>
        <w:tc>
          <w:tcPr>
            <w:tcW w:w="2410" w:type="dxa"/>
          </w:tcPr>
          <w:p w14:paraId="77B547B6" w14:textId="4A122275" w:rsidR="00222E25" w:rsidRPr="004D3F8E" w:rsidRDefault="00222E2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008CF90C" w14:textId="77777777" w:rsidR="00222E25" w:rsidRPr="004D3F8E" w:rsidRDefault="00222E2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560" w:type="dxa"/>
            <w:noWrap/>
            <w:hideMark/>
          </w:tcPr>
          <w:p w14:paraId="3B3AF270" w14:textId="77777777" w:rsidR="00222E25" w:rsidRPr="004D3F8E" w:rsidRDefault="00222E2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Stated randomised but method not reported</w:t>
            </w:r>
          </w:p>
        </w:tc>
        <w:tc>
          <w:tcPr>
            <w:tcW w:w="1115" w:type="dxa"/>
            <w:noWrap/>
            <w:hideMark/>
          </w:tcPr>
          <w:p w14:paraId="5F738B8D" w14:textId="77777777" w:rsidR="00222E25" w:rsidRPr="004D3F8E" w:rsidRDefault="00222E2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6EBD95DC" w14:textId="77777777" w:rsidR="00222E25" w:rsidRPr="004D3F8E" w:rsidRDefault="00222E2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7A2AF980" w14:textId="77777777" w:rsidR="00222E25" w:rsidRPr="004D3F8E" w:rsidRDefault="00222E2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5DB2A8F2" w14:textId="77777777" w:rsidR="00222E25" w:rsidRPr="004D3F8E" w:rsidRDefault="00222E2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biochemically validated</w:t>
            </w:r>
          </w:p>
        </w:tc>
        <w:tc>
          <w:tcPr>
            <w:tcW w:w="1115" w:type="dxa"/>
            <w:noWrap/>
            <w:hideMark/>
          </w:tcPr>
          <w:p w14:paraId="2A083916" w14:textId="77777777" w:rsidR="00222E25" w:rsidRPr="004D3F8E" w:rsidRDefault="00222E25" w:rsidP="00E11B21">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804" w:type="dxa"/>
            <w:noWrap/>
            <w:hideMark/>
          </w:tcPr>
          <w:p w14:paraId="1882CD6C" w14:textId="77777777" w:rsidR="00222E25" w:rsidRPr="004D3F8E" w:rsidRDefault="00222E25"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did not differ substantially between study arms</w:t>
            </w:r>
          </w:p>
        </w:tc>
      </w:tr>
      <w:tr w:rsidR="003D1321" w:rsidRPr="004D3F8E" w14:paraId="4C9BA9E1" w14:textId="77777777" w:rsidTr="00617322">
        <w:trPr>
          <w:cantSplit/>
          <w:trHeight w:val="300"/>
        </w:trPr>
        <w:tc>
          <w:tcPr>
            <w:tcW w:w="709" w:type="dxa"/>
            <w:noWrap/>
            <w:hideMark/>
          </w:tcPr>
          <w:p w14:paraId="02D094B0"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lastRenderedPageBreak/>
              <w:t>Linke 2012</w:t>
            </w:r>
          </w:p>
        </w:tc>
        <w:tc>
          <w:tcPr>
            <w:tcW w:w="1500" w:type="dxa"/>
            <w:noWrap/>
            <w:hideMark/>
          </w:tcPr>
          <w:p w14:paraId="16E4D59E"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USA</w:t>
            </w:r>
          </w:p>
        </w:tc>
        <w:tc>
          <w:tcPr>
            <w:tcW w:w="2044" w:type="dxa"/>
            <w:noWrap/>
            <w:hideMark/>
          </w:tcPr>
          <w:p w14:paraId="63E3D249" w14:textId="77777777" w:rsidR="00E11B21" w:rsidRPr="004D3F8E" w:rsidRDefault="00E11B21" w:rsidP="003D1321">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w:t>
            </w:r>
            <w:r w:rsidR="003D1321" w:rsidRPr="004D3F8E">
              <w:rPr>
                <w:rFonts w:eastAsia="Times New Roman" w:cstheme="minorHAnsi"/>
                <w:color w:val="000000"/>
                <w:sz w:val="20"/>
                <w:szCs w:val="20"/>
                <w:lang w:eastAsia="en-GB"/>
              </w:rPr>
              <w:t>d</w:t>
            </w:r>
          </w:p>
        </w:tc>
        <w:tc>
          <w:tcPr>
            <w:tcW w:w="2410" w:type="dxa"/>
            <w:noWrap/>
            <w:hideMark/>
          </w:tcPr>
          <w:p w14:paraId="36071ABA" w14:textId="77777777" w:rsidR="00E11B21" w:rsidRPr="004D3F8E" w:rsidRDefault="003D13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4999341A"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560" w:type="dxa"/>
            <w:noWrap/>
            <w:hideMark/>
          </w:tcPr>
          <w:p w14:paraId="15709DD1"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Participants randomized by coin toss</w:t>
            </w:r>
          </w:p>
        </w:tc>
        <w:tc>
          <w:tcPr>
            <w:tcW w:w="1115" w:type="dxa"/>
            <w:noWrap/>
            <w:hideMark/>
          </w:tcPr>
          <w:p w14:paraId="1C6322A2"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2234742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51599539"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74BE925B" w14:textId="22303B6C"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not</w:t>
            </w:r>
            <w:r w:rsidR="004D3F8E">
              <w:rPr>
                <w:rFonts w:eastAsia="Times New Roman" w:cstheme="minorHAnsi"/>
                <w:color w:val="000000"/>
                <w:sz w:val="20"/>
                <w:szCs w:val="20"/>
                <w:lang w:eastAsia="en-GB"/>
              </w:rPr>
              <w:t xml:space="preserve"> </w:t>
            </w:r>
            <w:r w:rsidRPr="004D3F8E">
              <w:rPr>
                <w:rFonts w:eastAsia="Times New Roman" w:cstheme="minorHAnsi"/>
                <w:color w:val="000000"/>
                <w:sz w:val="20"/>
                <w:szCs w:val="20"/>
                <w:lang w:eastAsia="en-GB"/>
              </w:rPr>
              <w:t>biochemically validated, but same amount of face-to-face contact in each study group</w:t>
            </w:r>
          </w:p>
        </w:tc>
        <w:tc>
          <w:tcPr>
            <w:tcW w:w="1115" w:type="dxa"/>
            <w:noWrap/>
            <w:hideMark/>
          </w:tcPr>
          <w:p w14:paraId="4E01A76A"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804" w:type="dxa"/>
            <w:noWrap/>
            <w:hideMark/>
          </w:tcPr>
          <w:p w14:paraId="30807F2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rates similar between study arms</w:t>
            </w:r>
          </w:p>
        </w:tc>
      </w:tr>
      <w:tr w:rsidR="003D1321" w:rsidRPr="004D3F8E" w14:paraId="1823A463" w14:textId="77777777" w:rsidTr="00617322">
        <w:trPr>
          <w:cantSplit/>
          <w:trHeight w:val="300"/>
        </w:trPr>
        <w:tc>
          <w:tcPr>
            <w:tcW w:w="709" w:type="dxa"/>
            <w:noWrap/>
            <w:hideMark/>
          </w:tcPr>
          <w:p w14:paraId="0AD0EFF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Marks 2002</w:t>
            </w:r>
            <w:r w:rsidRPr="004D3F8E">
              <w:rPr>
                <w:rStyle w:val="FootnoteReference"/>
                <w:rFonts w:eastAsia="Times New Roman" w:cstheme="minorHAnsi"/>
                <w:color w:val="000000"/>
                <w:sz w:val="20"/>
                <w:szCs w:val="20"/>
                <w:lang w:eastAsia="en-GB"/>
              </w:rPr>
              <w:footnoteReference w:id="2"/>
            </w:r>
          </w:p>
        </w:tc>
        <w:tc>
          <w:tcPr>
            <w:tcW w:w="1500" w:type="dxa"/>
            <w:noWrap/>
            <w:hideMark/>
          </w:tcPr>
          <w:p w14:paraId="0E2904B4"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UK</w:t>
            </w:r>
          </w:p>
        </w:tc>
        <w:tc>
          <w:tcPr>
            <w:tcW w:w="2044" w:type="dxa"/>
            <w:noWrap/>
            <w:hideMark/>
          </w:tcPr>
          <w:p w14:paraId="56A61AA5" w14:textId="31A7B8AD" w:rsidR="00E11B21" w:rsidRPr="004D3F8E" w:rsidRDefault="00A16AB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w:t>
            </w:r>
            <w:r w:rsidR="00E11B21" w:rsidRPr="004D3F8E">
              <w:rPr>
                <w:rFonts w:eastAsia="Times New Roman" w:cstheme="minorHAnsi"/>
                <w:color w:val="000000"/>
                <w:sz w:val="20"/>
                <w:szCs w:val="20"/>
                <w:lang w:eastAsia="en-GB"/>
              </w:rPr>
              <w:t>ot reported</w:t>
            </w:r>
          </w:p>
        </w:tc>
        <w:tc>
          <w:tcPr>
            <w:tcW w:w="2410" w:type="dxa"/>
            <w:noWrap/>
            <w:hideMark/>
          </w:tcPr>
          <w:p w14:paraId="3D59210E" w14:textId="4E31B9C0" w:rsidR="00E11B21" w:rsidRPr="004D3F8E" w:rsidRDefault="00A16AB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w:t>
            </w:r>
            <w:r w:rsidR="00E11B21" w:rsidRPr="004D3F8E">
              <w:rPr>
                <w:rFonts w:eastAsia="Times New Roman" w:cstheme="minorHAnsi"/>
                <w:color w:val="000000"/>
                <w:sz w:val="20"/>
                <w:szCs w:val="20"/>
                <w:lang w:eastAsia="en-GB"/>
              </w:rPr>
              <w:t>ot reported</w:t>
            </w:r>
          </w:p>
        </w:tc>
        <w:tc>
          <w:tcPr>
            <w:tcW w:w="1115" w:type="dxa"/>
            <w:noWrap/>
            <w:hideMark/>
          </w:tcPr>
          <w:p w14:paraId="1F55EC41"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560" w:type="dxa"/>
            <w:noWrap/>
            <w:hideMark/>
          </w:tcPr>
          <w:p w14:paraId="3E554F1B"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Stated randomised but method not reported</w:t>
            </w:r>
          </w:p>
        </w:tc>
        <w:tc>
          <w:tcPr>
            <w:tcW w:w="1115" w:type="dxa"/>
            <w:noWrap/>
            <w:hideMark/>
          </w:tcPr>
          <w:p w14:paraId="69C8A250"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5107B94B"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305C511B"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60A050F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biochemically validated</w:t>
            </w:r>
          </w:p>
        </w:tc>
        <w:tc>
          <w:tcPr>
            <w:tcW w:w="1115" w:type="dxa"/>
            <w:noWrap/>
            <w:hideMark/>
          </w:tcPr>
          <w:p w14:paraId="01503ED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804" w:type="dxa"/>
            <w:noWrap/>
            <w:hideMark/>
          </w:tcPr>
          <w:p w14:paraId="7E86E59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was similar between study arms</w:t>
            </w:r>
          </w:p>
        </w:tc>
      </w:tr>
      <w:tr w:rsidR="003D1321" w:rsidRPr="004D3F8E" w14:paraId="6E45204B" w14:textId="77777777" w:rsidTr="00617322">
        <w:trPr>
          <w:cantSplit/>
          <w:trHeight w:val="300"/>
        </w:trPr>
        <w:tc>
          <w:tcPr>
            <w:tcW w:w="709" w:type="dxa"/>
            <w:noWrap/>
            <w:hideMark/>
          </w:tcPr>
          <w:p w14:paraId="2A661BA5"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McClure 2009</w:t>
            </w:r>
          </w:p>
        </w:tc>
        <w:tc>
          <w:tcPr>
            <w:tcW w:w="1500" w:type="dxa"/>
            <w:noWrap/>
            <w:hideMark/>
          </w:tcPr>
          <w:p w14:paraId="2A3F4CD4"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USA</w:t>
            </w:r>
          </w:p>
        </w:tc>
        <w:tc>
          <w:tcPr>
            <w:tcW w:w="2044" w:type="dxa"/>
            <w:noWrap/>
            <w:hideMark/>
          </w:tcPr>
          <w:p w14:paraId="59732A38"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"This study was supported by the National Cancer Institute (R01 CA100341) and Group Health."</w:t>
            </w:r>
          </w:p>
        </w:tc>
        <w:tc>
          <w:tcPr>
            <w:tcW w:w="2410" w:type="dxa"/>
            <w:noWrap/>
            <w:hideMark/>
          </w:tcPr>
          <w:p w14:paraId="322791F1"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"The authors have no financial conflicts of interest or other competing interests to disclose."</w:t>
            </w:r>
          </w:p>
        </w:tc>
        <w:tc>
          <w:tcPr>
            <w:tcW w:w="1115" w:type="dxa"/>
            <w:noWrap/>
            <w:hideMark/>
          </w:tcPr>
          <w:p w14:paraId="33169E19"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560" w:type="dxa"/>
            <w:noWrap/>
            <w:hideMark/>
          </w:tcPr>
          <w:p w14:paraId="05BBECDE"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Quote: "Eligible smokers were randomized to treatment using an automated randomization algorithm"</w:t>
            </w:r>
          </w:p>
        </w:tc>
        <w:tc>
          <w:tcPr>
            <w:tcW w:w="1115" w:type="dxa"/>
            <w:noWrap/>
            <w:hideMark/>
          </w:tcPr>
          <w:p w14:paraId="157AB494"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1F6E4086"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63AE1557"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2875A172"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not biochemically validated, but contact identical between study arms</w:t>
            </w:r>
          </w:p>
        </w:tc>
        <w:tc>
          <w:tcPr>
            <w:tcW w:w="1115" w:type="dxa"/>
            <w:noWrap/>
            <w:hideMark/>
          </w:tcPr>
          <w:p w14:paraId="43BF4909"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804" w:type="dxa"/>
            <w:noWrap/>
            <w:hideMark/>
          </w:tcPr>
          <w:p w14:paraId="1C61C812"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similar between study arms</w:t>
            </w:r>
          </w:p>
        </w:tc>
      </w:tr>
      <w:tr w:rsidR="003D1321" w:rsidRPr="004D3F8E" w14:paraId="6E213E14" w14:textId="77777777" w:rsidTr="00617322">
        <w:trPr>
          <w:cantSplit/>
          <w:trHeight w:val="300"/>
        </w:trPr>
        <w:tc>
          <w:tcPr>
            <w:tcW w:w="709" w:type="dxa"/>
            <w:noWrap/>
            <w:hideMark/>
          </w:tcPr>
          <w:p w14:paraId="6CF4E191"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lastRenderedPageBreak/>
              <w:t>Reitzel 2011</w:t>
            </w:r>
          </w:p>
        </w:tc>
        <w:tc>
          <w:tcPr>
            <w:tcW w:w="1500" w:type="dxa"/>
            <w:noWrap/>
            <w:hideMark/>
          </w:tcPr>
          <w:p w14:paraId="097E6F7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USA</w:t>
            </w:r>
          </w:p>
        </w:tc>
        <w:tc>
          <w:tcPr>
            <w:tcW w:w="2044" w:type="dxa"/>
            <w:noWrap/>
            <w:hideMark/>
          </w:tcPr>
          <w:p w14:paraId="5287D2F8"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"The manuscript was supported by grants from the National Institute of Drug Abuse (R29DA11194 to D.W. Wetter) and the NIH through The University of Texas MD Anderson Cancer Center Support Grant (CA016672)."</w:t>
            </w:r>
          </w:p>
        </w:tc>
        <w:tc>
          <w:tcPr>
            <w:tcW w:w="2410" w:type="dxa"/>
            <w:noWrap/>
            <w:hideMark/>
          </w:tcPr>
          <w:p w14:paraId="3FB555A7"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 potential conflicts of interest were disclosed."</w:t>
            </w:r>
          </w:p>
        </w:tc>
        <w:tc>
          <w:tcPr>
            <w:tcW w:w="1115" w:type="dxa"/>
            <w:noWrap/>
            <w:hideMark/>
          </w:tcPr>
          <w:p w14:paraId="2AA3AE2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560" w:type="dxa"/>
            <w:noWrap/>
            <w:hideMark/>
          </w:tcPr>
          <w:p w14:paraId="645DCB4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Stated randomised but method not reported</w:t>
            </w:r>
          </w:p>
        </w:tc>
        <w:tc>
          <w:tcPr>
            <w:tcW w:w="1115" w:type="dxa"/>
            <w:noWrap/>
            <w:hideMark/>
          </w:tcPr>
          <w:p w14:paraId="7D4BBE26"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5DCABED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46078AC8"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2A63E43D" w14:textId="48CE5F09"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biochemically validated</w:t>
            </w:r>
          </w:p>
        </w:tc>
        <w:tc>
          <w:tcPr>
            <w:tcW w:w="1115" w:type="dxa"/>
            <w:noWrap/>
            <w:hideMark/>
          </w:tcPr>
          <w:p w14:paraId="5537B9D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804" w:type="dxa"/>
            <w:noWrap/>
            <w:hideMark/>
          </w:tcPr>
          <w:p w14:paraId="55E28550"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rates not reported</w:t>
            </w:r>
          </w:p>
        </w:tc>
      </w:tr>
      <w:tr w:rsidR="00C1485D" w:rsidRPr="004D3F8E" w14:paraId="4C0D7FBF" w14:textId="77777777" w:rsidTr="00617322">
        <w:trPr>
          <w:cantSplit/>
          <w:trHeight w:val="300"/>
        </w:trPr>
        <w:tc>
          <w:tcPr>
            <w:tcW w:w="709" w:type="dxa"/>
            <w:noWrap/>
            <w:hideMark/>
          </w:tcPr>
          <w:p w14:paraId="0C577450" w14:textId="77777777"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Russell 1979</w:t>
            </w:r>
          </w:p>
        </w:tc>
        <w:tc>
          <w:tcPr>
            <w:tcW w:w="1500" w:type="dxa"/>
            <w:noWrap/>
            <w:hideMark/>
          </w:tcPr>
          <w:p w14:paraId="1215DC09" w14:textId="77777777"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UK</w:t>
            </w:r>
          </w:p>
        </w:tc>
        <w:tc>
          <w:tcPr>
            <w:tcW w:w="2044" w:type="dxa"/>
            <w:noWrap/>
            <w:hideMark/>
          </w:tcPr>
          <w:p w14:paraId="2DD4D5FB" w14:textId="77777777"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"Financial support was provided by the Department of Health and Social Security and the Medical Research Council."</w:t>
            </w:r>
          </w:p>
        </w:tc>
        <w:tc>
          <w:tcPr>
            <w:tcW w:w="2410" w:type="dxa"/>
          </w:tcPr>
          <w:p w14:paraId="7F59AC4A" w14:textId="3365B411"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2E3386A6" w14:textId="77777777"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High</w:t>
            </w:r>
          </w:p>
        </w:tc>
        <w:tc>
          <w:tcPr>
            <w:tcW w:w="1560" w:type="dxa"/>
            <w:noWrap/>
            <w:hideMark/>
          </w:tcPr>
          <w:p w14:paraId="09C15A36" w14:textId="77777777"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Quote: "eligible patients were assigned according to their day of attendance, those attending on a certain day being allocated to the same group."</w:t>
            </w:r>
          </w:p>
        </w:tc>
        <w:tc>
          <w:tcPr>
            <w:tcW w:w="1115" w:type="dxa"/>
            <w:noWrap/>
            <w:hideMark/>
          </w:tcPr>
          <w:p w14:paraId="59AE7D2B" w14:textId="77777777"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1604B344" w14:textId="77777777"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4D5DE69C" w14:textId="77777777"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2664BD46" w14:textId="5FB9C78A"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Only 23 participants had their abstinence biochemically validated, but amounts of contact differed minimally between study arms</w:t>
            </w:r>
          </w:p>
        </w:tc>
        <w:tc>
          <w:tcPr>
            <w:tcW w:w="1115" w:type="dxa"/>
            <w:noWrap/>
            <w:hideMark/>
          </w:tcPr>
          <w:p w14:paraId="01BDEEAA" w14:textId="77777777"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804" w:type="dxa"/>
            <w:noWrap/>
            <w:hideMark/>
          </w:tcPr>
          <w:p w14:paraId="6E79A721" w14:textId="77777777" w:rsidR="00C1485D" w:rsidRPr="004D3F8E" w:rsidRDefault="00C1485D"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rates were similar between study arms</w:t>
            </w:r>
          </w:p>
        </w:tc>
      </w:tr>
      <w:tr w:rsidR="00964121" w:rsidRPr="004D3F8E" w14:paraId="0F041BD4" w14:textId="77777777" w:rsidTr="00617322">
        <w:trPr>
          <w:cantSplit/>
          <w:trHeight w:val="300"/>
        </w:trPr>
        <w:tc>
          <w:tcPr>
            <w:tcW w:w="709" w:type="dxa"/>
            <w:noWrap/>
            <w:hideMark/>
          </w:tcPr>
          <w:p w14:paraId="3CEA9C60" w14:textId="77777777"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 xml:space="preserve">Secades-Villa 2009 </w:t>
            </w:r>
          </w:p>
        </w:tc>
        <w:tc>
          <w:tcPr>
            <w:tcW w:w="1500" w:type="dxa"/>
            <w:noWrap/>
            <w:hideMark/>
          </w:tcPr>
          <w:p w14:paraId="0F7DEE7D" w14:textId="77777777"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Spain</w:t>
            </w:r>
          </w:p>
        </w:tc>
        <w:tc>
          <w:tcPr>
            <w:tcW w:w="2044" w:type="dxa"/>
            <w:noWrap/>
            <w:hideMark/>
          </w:tcPr>
          <w:p w14:paraId="080963CB" w14:textId="77777777"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"This study was supported by research grant no. MB-02-506-2 from the University of Oviedo (Spain)."</w:t>
            </w:r>
          </w:p>
        </w:tc>
        <w:tc>
          <w:tcPr>
            <w:tcW w:w="2410" w:type="dxa"/>
          </w:tcPr>
          <w:p w14:paraId="53363923" w14:textId="5CE371C6"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623ADEEF" w14:textId="77777777"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560" w:type="dxa"/>
            <w:noWrap/>
            <w:hideMark/>
          </w:tcPr>
          <w:p w14:paraId="07877442" w14:textId="77777777"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Stated randomised, but method of randomisation not reported</w:t>
            </w:r>
          </w:p>
        </w:tc>
        <w:tc>
          <w:tcPr>
            <w:tcW w:w="1115" w:type="dxa"/>
            <w:noWrap/>
            <w:hideMark/>
          </w:tcPr>
          <w:p w14:paraId="7283BDFF" w14:textId="77777777"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431CDE6A" w14:textId="77777777"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458D6F3C" w14:textId="77777777"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5DF12BC2" w14:textId="77777777"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was biochemically validated</w:t>
            </w:r>
          </w:p>
        </w:tc>
        <w:tc>
          <w:tcPr>
            <w:tcW w:w="1115" w:type="dxa"/>
            <w:noWrap/>
            <w:hideMark/>
          </w:tcPr>
          <w:p w14:paraId="08289EF3" w14:textId="77777777"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804" w:type="dxa"/>
            <w:noWrap/>
            <w:hideMark/>
          </w:tcPr>
          <w:p w14:paraId="19669238" w14:textId="2834D5AD" w:rsidR="00964121" w:rsidRPr="004D3F8E" w:rsidRDefault="009641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rates were very low (98.8% of participants found at 12 months follow</w:t>
            </w:r>
            <w:r w:rsidR="00CA14F2" w:rsidRPr="004D3F8E">
              <w:rPr>
                <w:rFonts w:eastAsia="Times New Roman" w:cstheme="minorHAnsi"/>
                <w:color w:val="000000"/>
                <w:sz w:val="20"/>
                <w:szCs w:val="20"/>
                <w:lang w:eastAsia="en-GB"/>
              </w:rPr>
              <w:t>-</w:t>
            </w:r>
            <w:r w:rsidRPr="004D3F8E">
              <w:rPr>
                <w:rFonts w:eastAsia="Times New Roman" w:cstheme="minorHAnsi"/>
                <w:color w:val="000000"/>
                <w:sz w:val="20"/>
                <w:szCs w:val="20"/>
                <w:lang w:eastAsia="en-GB"/>
              </w:rPr>
              <w:t>up)</w:t>
            </w:r>
          </w:p>
        </w:tc>
      </w:tr>
      <w:tr w:rsidR="003D1321" w:rsidRPr="004D3F8E" w14:paraId="30946709" w14:textId="77777777" w:rsidTr="00617322">
        <w:trPr>
          <w:cantSplit/>
          <w:trHeight w:val="300"/>
        </w:trPr>
        <w:tc>
          <w:tcPr>
            <w:tcW w:w="709" w:type="dxa"/>
            <w:noWrap/>
            <w:hideMark/>
          </w:tcPr>
          <w:p w14:paraId="2BAC514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lastRenderedPageBreak/>
              <w:t xml:space="preserve">Stanczyk 2016 </w:t>
            </w:r>
          </w:p>
        </w:tc>
        <w:tc>
          <w:tcPr>
            <w:tcW w:w="1500" w:type="dxa"/>
            <w:noWrap/>
            <w:hideMark/>
          </w:tcPr>
          <w:p w14:paraId="0CB80D82"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Netherlands</w:t>
            </w:r>
          </w:p>
        </w:tc>
        <w:tc>
          <w:tcPr>
            <w:tcW w:w="2044" w:type="dxa"/>
            <w:noWrap/>
            <w:hideMark/>
          </w:tcPr>
          <w:p w14:paraId="0BEAE47C"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"This work was supported by ZonMw, the Netherlands Organisation for Health Research and Development (grant number: 20011007)."</w:t>
            </w:r>
          </w:p>
        </w:tc>
        <w:tc>
          <w:tcPr>
            <w:tcW w:w="2410" w:type="dxa"/>
            <w:noWrap/>
            <w:hideMark/>
          </w:tcPr>
          <w:p w14:paraId="4D4C1B9F" w14:textId="2F645B14"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 xml:space="preserve">"Hein de Vries is scientific director of Vision2-Health, a company that licenses </w:t>
            </w:r>
            <w:proofErr w:type="gramStart"/>
            <w:r w:rsidRPr="004D3F8E">
              <w:rPr>
                <w:rFonts w:eastAsia="Times New Roman" w:cstheme="minorHAnsi"/>
                <w:color w:val="000000"/>
                <w:sz w:val="20"/>
                <w:szCs w:val="20"/>
                <w:lang w:eastAsia="en-GB"/>
              </w:rPr>
              <w:t>evidence</w:t>
            </w:r>
            <w:r w:rsidR="004D3F8E">
              <w:rPr>
                <w:rFonts w:eastAsia="Times New Roman" w:cstheme="minorHAnsi"/>
                <w:color w:val="000000"/>
                <w:sz w:val="20"/>
                <w:szCs w:val="20"/>
                <w:lang w:eastAsia="en-GB"/>
              </w:rPr>
              <w:t xml:space="preserve"> </w:t>
            </w:r>
            <w:r w:rsidRPr="004D3F8E">
              <w:rPr>
                <w:rFonts w:eastAsia="Times New Roman" w:cstheme="minorHAnsi"/>
                <w:color w:val="000000"/>
                <w:sz w:val="20"/>
                <w:szCs w:val="20"/>
                <w:lang w:eastAsia="en-GB"/>
              </w:rPr>
              <w:t>based</w:t>
            </w:r>
            <w:proofErr w:type="gramEnd"/>
            <w:r w:rsidRPr="004D3F8E">
              <w:rPr>
                <w:rFonts w:eastAsia="Times New Roman" w:cstheme="minorHAnsi"/>
                <w:color w:val="000000"/>
                <w:sz w:val="20"/>
                <w:szCs w:val="20"/>
                <w:lang w:eastAsia="en-GB"/>
              </w:rPr>
              <w:t xml:space="preserve"> computer-tailored health communication tools."</w:t>
            </w:r>
          </w:p>
        </w:tc>
        <w:tc>
          <w:tcPr>
            <w:tcW w:w="1115" w:type="dxa"/>
            <w:noWrap/>
            <w:hideMark/>
          </w:tcPr>
          <w:p w14:paraId="7BCC93E6"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560" w:type="dxa"/>
            <w:noWrap/>
            <w:hideMark/>
          </w:tcPr>
          <w:p w14:paraId="7252E965"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Stated randomised but method not reported</w:t>
            </w:r>
          </w:p>
        </w:tc>
        <w:tc>
          <w:tcPr>
            <w:tcW w:w="1115" w:type="dxa"/>
            <w:noWrap/>
            <w:hideMark/>
          </w:tcPr>
          <w:p w14:paraId="71D0B7DB"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6F2A499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4456EC05"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55A94984"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biochemically validated</w:t>
            </w:r>
          </w:p>
        </w:tc>
        <w:tc>
          <w:tcPr>
            <w:tcW w:w="1115" w:type="dxa"/>
            <w:noWrap/>
            <w:hideMark/>
          </w:tcPr>
          <w:p w14:paraId="5A7634A7"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804" w:type="dxa"/>
            <w:noWrap/>
            <w:hideMark/>
          </w:tcPr>
          <w:p w14:paraId="03CED37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rates similar between study arms</w:t>
            </w:r>
          </w:p>
        </w:tc>
      </w:tr>
      <w:tr w:rsidR="003D1321" w:rsidRPr="004D3F8E" w14:paraId="35112455" w14:textId="77777777" w:rsidTr="00617322">
        <w:trPr>
          <w:cantSplit/>
          <w:trHeight w:val="300"/>
        </w:trPr>
        <w:tc>
          <w:tcPr>
            <w:tcW w:w="709" w:type="dxa"/>
            <w:noWrap/>
            <w:hideMark/>
          </w:tcPr>
          <w:p w14:paraId="48418B14"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lastRenderedPageBreak/>
              <w:t>Virtanen 2015</w:t>
            </w:r>
          </w:p>
        </w:tc>
        <w:tc>
          <w:tcPr>
            <w:tcW w:w="1500" w:type="dxa"/>
            <w:noWrap/>
            <w:hideMark/>
          </w:tcPr>
          <w:p w14:paraId="15814AB2"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Sweden</w:t>
            </w:r>
          </w:p>
        </w:tc>
        <w:tc>
          <w:tcPr>
            <w:tcW w:w="2044" w:type="dxa"/>
            <w:noWrap/>
            <w:hideMark/>
          </w:tcPr>
          <w:p w14:paraId="1C1B4CA2" w14:textId="7917C71A"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"The work of Maria R. Galanti, Suvi Virtanen and Izla Rohyo was supported by grant awarded by the National Board of Health and Welfare (contract grant nr. 2.4-43860/2011). The</w:t>
            </w:r>
            <w:r w:rsidR="004D3F8E">
              <w:rPr>
                <w:rFonts w:eastAsia="Times New Roman" w:cstheme="minorHAnsi"/>
                <w:color w:val="000000"/>
                <w:sz w:val="20"/>
                <w:szCs w:val="20"/>
                <w:lang w:eastAsia="en-GB"/>
              </w:rPr>
              <w:t xml:space="preserve"> </w:t>
            </w:r>
            <w:r w:rsidRPr="004D3F8E">
              <w:rPr>
                <w:rFonts w:eastAsia="Times New Roman" w:cstheme="minorHAnsi"/>
                <w:color w:val="000000"/>
                <w:sz w:val="20"/>
                <w:szCs w:val="20"/>
                <w:lang w:eastAsia="en-GB"/>
              </w:rPr>
              <w:t>work of Zangin Zeebari</w:t>
            </w:r>
            <w:r w:rsidR="004D3F8E">
              <w:rPr>
                <w:rFonts w:eastAsia="Times New Roman" w:cstheme="minorHAnsi"/>
                <w:color w:val="000000"/>
                <w:sz w:val="20"/>
                <w:szCs w:val="20"/>
                <w:lang w:eastAsia="en-GB"/>
              </w:rPr>
              <w:t xml:space="preserve"> </w:t>
            </w:r>
            <w:r w:rsidRPr="004D3F8E">
              <w:rPr>
                <w:rFonts w:eastAsia="Times New Roman" w:cstheme="minorHAnsi"/>
                <w:color w:val="000000"/>
                <w:sz w:val="20"/>
                <w:szCs w:val="20"/>
                <w:lang w:eastAsia="en-GB"/>
              </w:rPr>
              <w:t>was due as part of his employment at the Centre for Epidemiology and Community Medicine, Stockholm County Council. The funding agencies had no role in study design; collection, analysis, and interpretation of data; writing the report; and the decision to submit the report for publication."</w:t>
            </w:r>
          </w:p>
        </w:tc>
        <w:tc>
          <w:tcPr>
            <w:tcW w:w="2410" w:type="dxa"/>
            <w:noWrap/>
            <w:hideMark/>
          </w:tcPr>
          <w:p w14:paraId="5E579EA5" w14:textId="20F8E99B"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"The authors declare that there are no conflicts of interest. No financial disclosures</w:t>
            </w:r>
            <w:r w:rsidR="0038565E" w:rsidRPr="004D3F8E">
              <w:rPr>
                <w:rFonts w:eastAsia="Times New Roman" w:cstheme="minorHAnsi"/>
                <w:color w:val="000000"/>
                <w:sz w:val="20"/>
                <w:szCs w:val="20"/>
                <w:lang w:eastAsia="en-GB"/>
              </w:rPr>
              <w:t xml:space="preserve"> </w:t>
            </w:r>
            <w:r w:rsidRPr="004D3F8E">
              <w:rPr>
                <w:rFonts w:eastAsia="Times New Roman" w:cstheme="minorHAnsi"/>
                <w:color w:val="000000"/>
                <w:sz w:val="20"/>
                <w:szCs w:val="20"/>
                <w:lang w:eastAsia="en-GB"/>
              </w:rPr>
              <w:t>were reported by the authors of this paper."</w:t>
            </w:r>
          </w:p>
        </w:tc>
        <w:tc>
          <w:tcPr>
            <w:tcW w:w="1115" w:type="dxa"/>
            <w:noWrap/>
            <w:hideMark/>
          </w:tcPr>
          <w:p w14:paraId="626DF7D5"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560" w:type="dxa"/>
            <w:noWrap/>
            <w:hideMark/>
          </w:tcPr>
          <w:p w14:paraId="2FC982B1"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Participants randomised using a computer-generated random sequence</w:t>
            </w:r>
          </w:p>
        </w:tc>
        <w:tc>
          <w:tcPr>
            <w:tcW w:w="1115" w:type="dxa"/>
            <w:noWrap/>
            <w:hideMark/>
          </w:tcPr>
          <w:p w14:paraId="60A791B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178F373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6C46D362"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74284797"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not biochemically validated, but contact similar between study arms</w:t>
            </w:r>
          </w:p>
        </w:tc>
        <w:tc>
          <w:tcPr>
            <w:tcW w:w="1115" w:type="dxa"/>
            <w:noWrap/>
            <w:hideMark/>
          </w:tcPr>
          <w:p w14:paraId="484F68C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804" w:type="dxa"/>
            <w:noWrap/>
            <w:hideMark/>
          </w:tcPr>
          <w:p w14:paraId="2972D2E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similar between study arms</w:t>
            </w:r>
          </w:p>
        </w:tc>
      </w:tr>
      <w:tr w:rsidR="003D1321" w:rsidRPr="004D3F8E" w14:paraId="135D64AC" w14:textId="77777777" w:rsidTr="00617322">
        <w:trPr>
          <w:cantSplit/>
          <w:trHeight w:val="300"/>
        </w:trPr>
        <w:tc>
          <w:tcPr>
            <w:tcW w:w="709" w:type="dxa"/>
            <w:noWrap/>
            <w:hideMark/>
          </w:tcPr>
          <w:p w14:paraId="6DABB0DC"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Wang 2017b</w:t>
            </w:r>
          </w:p>
        </w:tc>
        <w:tc>
          <w:tcPr>
            <w:tcW w:w="1500" w:type="dxa"/>
            <w:noWrap/>
            <w:hideMark/>
          </w:tcPr>
          <w:p w14:paraId="6EACDBE9"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China</w:t>
            </w:r>
          </w:p>
        </w:tc>
        <w:tc>
          <w:tcPr>
            <w:tcW w:w="2044" w:type="dxa"/>
            <w:noWrap/>
            <w:hideMark/>
          </w:tcPr>
          <w:p w14:paraId="787D5A60"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"The Quit-To-Win Contest is funded by the Hong Kong Council on Smoking and Health."</w:t>
            </w:r>
          </w:p>
        </w:tc>
        <w:tc>
          <w:tcPr>
            <w:tcW w:w="2410" w:type="dxa"/>
            <w:noWrap/>
            <w:hideMark/>
          </w:tcPr>
          <w:p w14:paraId="7C0101E4"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"None reported"</w:t>
            </w:r>
          </w:p>
        </w:tc>
        <w:tc>
          <w:tcPr>
            <w:tcW w:w="1115" w:type="dxa"/>
            <w:noWrap/>
            <w:hideMark/>
          </w:tcPr>
          <w:p w14:paraId="4DB2931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560" w:type="dxa"/>
            <w:noWrap/>
            <w:hideMark/>
          </w:tcPr>
          <w:p w14:paraId="56C2D98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Stated randomised but method not reported</w:t>
            </w:r>
          </w:p>
        </w:tc>
        <w:tc>
          <w:tcPr>
            <w:tcW w:w="1115" w:type="dxa"/>
            <w:noWrap/>
            <w:hideMark/>
          </w:tcPr>
          <w:p w14:paraId="0C1F5AD9"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29ECEBA8"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0119680C"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46B949EF"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biochemically validated</w:t>
            </w:r>
          </w:p>
        </w:tc>
        <w:tc>
          <w:tcPr>
            <w:tcW w:w="1115" w:type="dxa"/>
            <w:noWrap/>
            <w:hideMark/>
          </w:tcPr>
          <w:p w14:paraId="4D562ACB"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804" w:type="dxa"/>
            <w:noWrap/>
            <w:hideMark/>
          </w:tcPr>
          <w:p w14:paraId="7DB4924C"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rates similar between study arms</w:t>
            </w:r>
          </w:p>
        </w:tc>
      </w:tr>
      <w:tr w:rsidR="0038565E" w:rsidRPr="004D3F8E" w14:paraId="5D2627A2" w14:textId="77777777" w:rsidTr="00617322">
        <w:trPr>
          <w:cantSplit/>
          <w:trHeight w:val="300"/>
        </w:trPr>
        <w:tc>
          <w:tcPr>
            <w:tcW w:w="709" w:type="dxa"/>
            <w:noWrap/>
            <w:hideMark/>
          </w:tcPr>
          <w:p w14:paraId="00EBE617" w14:textId="77777777"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lastRenderedPageBreak/>
              <w:t>Wilson 1988</w:t>
            </w:r>
          </w:p>
        </w:tc>
        <w:tc>
          <w:tcPr>
            <w:tcW w:w="1500" w:type="dxa"/>
            <w:noWrap/>
            <w:hideMark/>
          </w:tcPr>
          <w:p w14:paraId="74E6BE65" w14:textId="77777777"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Canada</w:t>
            </w:r>
          </w:p>
        </w:tc>
        <w:tc>
          <w:tcPr>
            <w:tcW w:w="2044" w:type="dxa"/>
            <w:noWrap/>
            <w:hideMark/>
          </w:tcPr>
          <w:p w14:paraId="5B15AA97" w14:textId="77777777"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"This study was supported by grant ROI CA38334 from the National Institutes of Health."</w:t>
            </w:r>
          </w:p>
        </w:tc>
        <w:tc>
          <w:tcPr>
            <w:tcW w:w="2410" w:type="dxa"/>
          </w:tcPr>
          <w:p w14:paraId="036F5E50" w14:textId="0E9A4A76"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6281DF4E" w14:textId="77777777"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560" w:type="dxa"/>
            <w:noWrap/>
            <w:hideMark/>
          </w:tcPr>
          <w:p w14:paraId="2B608EAD" w14:textId="77777777"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Stated randomised but method not reported</w:t>
            </w:r>
          </w:p>
        </w:tc>
        <w:tc>
          <w:tcPr>
            <w:tcW w:w="1115" w:type="dxa"/>
            <w:noWrap/>
            <w:hideMark/>
          </w:tcPr>
          <w:p w14:paraId="324E466F" w14:textId="77777777"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418" w:type="dxa"/>
            <w:noWrap/>
            <w:hideMark/>
          </w:tcPr>
          <w:p w14:paraId="7FF0E404" w14:textId="77777777"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Not reported</w:t>
            </w:r>
          </w:p>
        </w:tc>
        <w:tc>
          <w:tcPr>
            <w:tcW w:w="1115" w:type="dxa"/>
            <w:noWrap/>
            <w:hideMark/>
          </w:tcPr>
          <w:p w14:paraId="57686989" w14:textId="77777777"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608" w:type="dxa"/>
            <w:noWrap/>
            <w:hideMark/>
          </w:tcPr>
          <w:p w14:paraId="5BA57ED1" w14:textId="177B3A9D"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was biochemically validated</w:t>
            </w:r>
          </w:p>
        </w:tc>
        <w:tc>
          <w:tcPr>
            <w:tcW w:w="1115" w:type="dxa"/>
            <w:noWrap/>
            <w:hideMark/>
          </w:tcPr>
          <w:p w14:paraId="76FEEDCA" w14:textId="77777777"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Low</w:t>
            </w:r>
          </w:p>
        </w:tc>
        <w:tc>
          <w:tcPr>
            <w:tcW w:w="1804" w:type="dxa"/>
            <w:noWrap/>
            <w:hideMark/>
          </w:tcPr>
          <w:p w14:paraId="2CF564BB" w14:textId="77777777" w:rsidR="0038565E" w:rsidRPr="004D3F8E" w:rsidRDefault="0038565E"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Attrition was very low (4.5%)</w:t>
            </w:r>
          </w:p>
        </w:tc>
      </w:tr>
      <w:tr w:rsidR="003D1321" w:rsidRPr="004D3F8E" w14:paraId="14A31D1F" w14:textId="77777777" w:rsidTr="00617322">
        <w:trPr>
          <w:cantSplit/>
          <w:trHeight w:val="300"/>
        </w:trPr>
        <w:tc>
          <w:tcPr>
            <w:tcW w:w="709" w:type="dxa"/>
            <w:noWrap/>
            <w:hideMark/>
          </w:tcPr>
          <w:p w14:paraId="1BCB598E"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Wittchen 2011</w:t>
            </w:r>
          </w:p>
        </w:tc>
        <w:tc>
          <w:tcPr>
            <w:tcW w:w="1500" w:type="dxa"/>
            <w:noWrap/>
            <w:hideMark/>
          </w:tcPr>
          <w:p w14:paraId="63375F0C"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Germany</w:t>
            </w:r>
          </w:p>
        </w:tc>
        <w:tc>
          <w:tcPr>
            <w:tcW w:w="2044" w:type="dxa"/>
            <w:noWrap/>
            <w:hideMark/>
          </w:tcPr>
          <w:p w14:paraId="5E462D9E" w14:textId="43836115"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"ASAT is sponsored by a federal grant of the Federal Ministry of Education and Research (01EB 0440 ‐ 0441, 01EB 0142). During the preparatory phase of the study</w:t>
            </w:r>
            <w:r w:rsidR="004D3F8E">
              <w:rPr>
                <w:rFonts w:eastAsia="Times New Roman" w:cstheme="minorHAnsi"/>
                <w:color w:val="000000"/>
                <w:sz w:val="20"/>
                <w:szCs w:val="20"/>
                <w:lang w:eastAsia="en-GB"/>
              </w:rPr>
              <w:t>,</w:t>
            </w:r>
            <w:r w:rsidRPr="004D3F8E">
              <w:rPr>
                <w:rFonts w:eastAsia="Times New Roman" w:cstheme="minorHAnsi"/>
                <w:color w:val="000000"/>
                <w:sz w:val="20"/>
                <w:szCs w:val="20"/>
                <w:lang w:eastAsia="en-GB"/>
              </w:rPr>
              <w:t xml:space="preserve"> we received further support of GlaxoSmithKline GmbH &amp; Co. KG (Munich), GlaxoSmithKline Consumer Health Care GmbH &amp; Co KG (Buehl) and Pharmacia GmbH (Erlangen). They provided the mandatory treatment manuals for use of their products."</w:t>
            </w:r>
          </w:p>
        </w:tc>
        <w:tc>
          <w:tcPr>
            <w:tcW w:w="2410" w:type="dxa"/>
            <w:noWrap/>
            <w:hideMark/>
          </w:tcPr>
          <w:p w14:paraId="4550F392"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"All authors declare that they do not have any competing interests."</w:t>
            </w:r>
          </w:p>
        </w:tc>
        <w:tc>
          <w:tcPr>
            <w:tcW w:w="1115" w:type="dxa"/>
            <w:noWrap/>
            <w:hideMark/>
          </w:tcPr>
          <w:p w14:paraId="4D9CF477"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Unclear</w:t>
            </w:r>
          </w:p>
        </w:tc>
        <w:tc>
          <w:tcPr>
            <w:tcW w:w="1560" w:type="dxa"/>
            <w:noWrap/>
            <w:hideMark/>
          </w:tcPr>
          <w:p w14:paraId="195B5D90"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Stated randomised but sequence generation method not reported</w:t>
            </w:r>
          </w:p>
        </w:tc>
        <w:tc>
          <w:tcPr>
            <w:tcW w:w="1115" w:type="dxa"/>
            <w:noWrap/>
            <w:hideMark/>
          </w:tcPr>
          <w:p w14:paraId="6121191B"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High</w:t>
            </w:r>
          </w:p>
        </w:tc>
        <w:tc>
          <w:tcPr>
            <w:tcW w:w="1418" w:type="dxa"/>
            <w:noWrap/>
            <w:hideMark/>
          </w:tcPr>
          <w:p w14:paraId="4DCCF8B3" w14:textId="0BFA4C90"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Allocation not concealed. Some checks in place to ensure study perso</w:t>
            </w:r>
            <w:r w:rsidR="00CF29C3" w:rsidRPr="004D3F8E">
              <w:rPr>
                <w:rFonts w:eastAsia="Times New Roman" w:cstheme="minorHAnsi"/>
                <w:color w:val="000000"/>
                <w:sz w:val="20"/>
                <w:szCs w:val="20"/>
                <w:lang w:eastAsia="en-GB"/>
              </w:rPr>
              <w:t>n</w:t>
            </w:r>
            <w:r w:rsidRPr="004D3F8E">
              <w:rPr>
                <w:rFonts w:eastAsia="Times New Roman" w:cstheme="minorHAnsi"/>
                <w:color w:val="000000"/>
                <w:sz w:val="20"/>
                <w:szCs w:val="20"/>
                <w:lang w:eastAsia="en-GB"/>
              </w:rPr>
              <w:t>nel followed procedure, but only implemented in 15% of settings.</w:t>
            </w:r>
          </w:p>
        </w:tc>
        <w:tc>
          <w:tcPr>
            <w:tcW w:w="1115" w:type="dxa"/>
            <w:noWrap/>
            <w:hideMark/>
          </w:tcPr>
          <w:p w14:paraId="4B6DC757"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High</w:t>
            </w:r>
          </w:p>
        </w:tc>
        <w:tc>
          <w:tcPr>
            <w:tcW w:w="1608" w:type="dxa"/>
            <w:noWrap/>
            <w:hideMark/>
          </w:tcPr>
          <w:p w14:paraId="4D85260D"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Abstinence not biochemically validated and differing face-to-face contact between study arms</w:t>
            </w:r>
          </w:p>
        </w:tc>
        <w:tc>
          <w:tcPr>
            <w:tcW w:w="1115" w:type="dxa"/>
            <w:noWrap/>
            <w:hideMark/>
          </w:tcPr>
          <w:p w14:paraId="0811AB93"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High</w:t>
            </w:r>
          </w:p>
        </w:tc>
        <w:tc>
          <w:tcPr>
            <w:tcW w:w="1804" w:type="dxa"/>
            <w:noWrap/>
            <w:hideMark/>
          </w:tcPr>
          <w:p w14:paraId="28EFDAA1" w14:textId="77777777" w:rsidR="00E11B21" w:rsidRPr="004D3F8E" w:rsidRDefault="00E11B21" w:rsidP="0065307C">
            <w:pPr>
              <w:rPr>
                <w:rFonts w:eastAsia="Times New Roman" w:cstheme="minorHAnsi"/>
                <w:color w:val="000000"/>
                <w:sz w:val="20"/>
                <w:szCs w:val="20"/>
                <w:lang w:eastAsia="en-GB"/>
              </w:rPr>
            </w:pPr>
            <w:r w:rsidRPr="004D3F8E">
              <w:rPr>
                <w:rFonts w:eastAsia="Times New Roman" w:cstheme="minorHAnsi"/>
                <w:color w:val="000000"/>
                <w:sz w:val="20"/>
                <w:szCs w:val="20"/>
                <w:lang w:eastAsia="en-GB"/>
              </w:rPr>
              <w:t>Substantial difference in attrition rates between study arms</w:t>
            </w:r>
          </w:p>
        </w:tc>
      </w:tr>
    </w:tbl>
    <w:p w14:paraId="50A0DE71" w14:textId="3A9A1B3F" w:rsidR="0065307C" w:rsidRPr="004D3F8E" w:rsidRDefault="00FC1565">
      <w:pPr>
        <w:rPr>
          <w:rFonts w:cstheme="minorHAnsi"/>
          <w:sz w:val="20"/>
          <w:szCs w:val="20"/>
        </w:rPr>
      </w:pPr>
      <w:r w:rsidRPr="004D3F8E">
        <w:rPr>
          <w:rFonts w:cstheme="minorHAnsi"/>
          <w:sz w:val="20"/>
          <w:szCs w:val="20"/>
        </w:rPr>
        <w:t>GSK: GlaxoSmithKline</w:t>
      </w:r>
      <w:r w:rsidR="0094181B" w:rsidRPr="004D3F8E">
        <w:rPr>
          <w:rFonts w:cstheme="minorHAnsi"/>
          <w:sz w:val="20"/>
          <w:szCs w:val="20"/>
        </w:rPr>
        <w:t>.</w:t>
      </w:r>
    </w:p>
    <w:sectPr w:rsidR="0065307C" w:rsidRPr="004D3F8E" w:rsidSect="003D1321">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689C9" w14:textId="77777777" w:rsidR="00553F56" w:rsidRDefault="00553F56" w:rsidP="00E11B21">
      <w:pPr>
        <w:spacing w:after="0" w:line="240" w:lineRule="auto"/>
      </w:pPr>
      <w:r>
        <w:separator/>
      </w:r>
    </w:p>
  </w:endnote>
  <w:endnote w:type="continuationSeparator" w:id="0">
    <w:p w14:paraId="784C749A" w14:textId="77777777" w:rsidR="00553F56" w:rsidRDefault="00553F56" w:rsidP="00E1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6526688"/>
      <w:docPartObj>
        <w:docPartGallery w:val="Page Numbers (Bottom of Page)"/>
        <w:docPartUnique/>
      </w:docPartObj>
    </w:sdtPr>
    <w:sdtEndPr>
      <w:rPr>
        <w:noProof/>
      </w:rPr>
    </w:sdtEndPr>
    <w:sdtContent>
      <w:p w14:paraId="011FEA71" w14:textId="77777777" w:rsidR="00E11B21" w:rsidRDefault="00E11B21">
        <w:pPr>
          <w:pStyle w:val="Footer"/>
          <w:jc w:val="center"/>
        </w:pPr>
        <w:r>
          <w:fldChar w:fldCharType="begin"/>
        </w:r>
        <w:r>
          <w:instrText xml:space="preserve"> PAGE   \* MERGEFORMAT </w:instrText>
        </w:r>
        <w:r>
          <w:fldChar w:fldCharType="separate"/>
        </w:r>
        <w:r w:rsidR="003D1321">
          <w:rPr>
            <w:noProof/>
          </w:rPr>
          <w:t>2</w:t>
        </w:r>
        <w:r>
          <w:rPr>
            <w:noProof/>
          </w:rPr>
          <w:fldChar w:fldCharType="end"/>
        </w:r>
      </w:p>
    </w:sdtContent>
  </w:sdt>
  <w:p w14:paraId="4071AF17" w14:textId="77777777" w:rsidR="00E11B21" w:rsidRDefault="00E11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BDD2D" w14:textId="77777777" w:rsidR="00553F56" w:rsidRDefault="00553F56" w:rsidP="00E11B21">
      <w:pPr>
        <w:spacing w:after="0" w:line="240" w:lineRule="auto"/>
      </w:pPr>
      <w:r>
        <w:separator/>
      </w:r>
    </w:p>
  </w:footnote>
  <w:footnote w:type="continuationSeparator" w:id="0">
    <w:p w14:paraId="723F947C" w14:textId="77777777" w:rsidR="00553F56" w:rsidRDefault="00553F56" w:rsidP="00E11B21">
      <w:pPr>
        <w:spacing w:after="0" w:line="240" w:lineRule="auto"/>
      </w:pPr>
      <w:r>
        <w:continuationSeparator/>
      </w:r>
    </w:p>
  </w:footnote>
  <w:footnote w:id="1">
    <w:p w14:paraId="22F3E30B" w14:textId="535F47A3" w:rsidR="00222E25" w:rsidRDefault="00222E25" w:rsidP="00E11B21">
      <w:pPr>
        <w:pStyle w:val="FootnoteText"/>
      </w:pPr>
      <w:r>
        <w:rPr>
          <w:rStyle w:val="FootnoteReference"/>
        </w:rPr>
        <w:footnoteRef/>
      </w:r>
      <w:r>
        <w:t xml:space="preserve"> Also judged at high risk of other bias: </w:t>
      </w:r>
      <w:r>
        <w:rPr>
          <w:rFonts w:eastAsia="Times New Roman" w:cstheme="minorHAnsi"/>
          <w:color w:val="000000"/>
          <w:lang w:eastAsia="en-GB"/>
        </w:rPr>
        <w:t>r</w:t>
      </w:r>
      <w:r w:rsidRPr="0065307C">
        <w:rPr>
          <w:rFonts w:eastAsia="Times New Roman" w:cstheme="minorHAnsi"/>
          <w:color w:val="000000"/>
          <w:lang w:eastAsia="en-GB"/>
        </w:rPr>
        <w:t xml:space="preserve">esults data extracted from plot with software </w:t>
      </w:r>
      <w:r>
        <w:rPr>
          <w:rFonts w:eastAsia="Times New Roman" w:cstheme="minorHAnsi"/>
          <w:color w:val="000000"/>
          <w:lang w:eastAsia="en-GB"/>
        </w:rPr>
        <w:t>–</w:t>
      </w:r>
      <w:r w:rsidRPr="0065307C">
        <w:rPr>
          <w:rFonts w:eastAsia="Times New Roman" w:cstheme="minorHAnsi"/>
          <w:color w:val="000000"/>
          <w:lang w:eastAsia="en-GB"/>
        </w:rPr>
        <w:t xml:space="preserve"> percentages applied to completers as denominator (actual denominator not reported</w:t>
      </w:r>
      <w:r w:rsidR="001C163D">
        <w:rPr>
          <w:rFonts w:eastAsia="Times New Roman" w:cstheme="minorHAnsi"/>
          <w:color w:val="000000"/>
          <w:lang w:eastAsia="en-GB"/>
        </w:rPr>
        <w:t>).</w:t>
      </w:r>
    </w:p>
  </w:footnote>
  <w:footnote w:id="2">
    <w:p w14:paraId="0159DA5E" w14:textId="40FBD9EA" w:rsidR="00E11B21" w:rsidRDefault="00E11B21">
      <w:pPr>
        <w:pStyle w:val="FootnoteText"/>
      </w:pPr>
      <w:r>
        <w:rPr>
          <w:rStyle w:val="FootnoteReference"/>
        </w:rPr>
        <w:footnoteRef/>
      </w:r>
      <w:r>
        <w:t xml:space="preserve"> Also judged to be at unclear risk of other bias: </w:t>
      </w:r>
      <w:r w:rsidR="00C1485D">
        <w:rPr>
          <w:rFonts w:eastAsia="Times New Roman" w:cstheme="minorHAnsi"/>
          <w:color w:val="000000"/>
          <w:lang w:eastAsia="en-GB"/>
        </w:rPr>
        <w:t>i</w:t>
      </w:r>
      <w:r w:rsidRPr="0065307C">
        <w:rPr>
          <w:rFonts w:eastAsia="Times New Roman" w:cstheme="minorHAnsi"/>
          <w:color w:val="000000"/>
          <w:lang w:eastAsia="en-GB"/>
        </w:rPr>
        <w:t xml:space="preserve">ntervention arm advised that they could use </w:t>
      </w:r>
      <w:r w:rsidR="00C1485D">
        <w:rPr>
          <w:rFonts w:eastAsia="Times New Roman" w:cstheme="minorHAnsi"/>
          <w:color w:val="000000"/>
          <w:lang w:eastAsia="en-GB"/>
        </w:rPr>
        <w:t>nicotine replacement</w:t>
      </w:r>
      <w:r w:rsidRPr="0065307C">
        <w:rPr>
          <w:rFonts w:eastAsia="Times New Roman" w:cstheme="minorHAnsi"/>
          <w:color w:val="000000"/>
          <w:lang w:eastAsia="en-GB"/>
        </w:rPr>
        <w:t xml:space="preserve"> </w:t>
      </w:r>
      <w:r w:rsidR="00C1485D">
        <w:rPr>
          <w:rFonts w:eastAsia="Times New Roman" w:cstheme="minorHAnsi"/>
          <w:color w:val="000000"/>
          <w:lang w:eastAsia="en-GB"/>
        </w:rPr>
        <w:t xml:space="preserve">therapy </w:t>
      </w:r>
      <w:r w:rsidRPr="0065307C">
        <w:rPr>
          <w:rFonts w:eastAsia="Times New Roman" w:cstheme="minorHAnsi"/>
          <w:color w:val="000000"/>
          <w:lang w:eastAsia="en-GB"/>
        </w:rPr>
        <w:t>as an adjunct, but this was not provided</w:t>
      </w:r>
      <w:r w:rsidR="00C1485D">
        <w:rPr>
          <w:rFonts w:eastAsia="Times New Roman" w:cstheme="minorHAnsi"/>
          <w:color w:val="000000"/>
          <w:lang w:eastAsia="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7C"/>
    <w:rsid w:val="000E4CD1"/>
    <w:rsid w:val="001C163D"/>
    <w:rsid w:val="00222E25"/>
    <w:rsid w:val="002C39B5"/>
    <w:rsid w:val="0038565E"/>
    <w:rsid w:val="00386604"/>
    <w:rsid w:val="003D1321"/>
    <w:rsid w:val="004271EB"/>
    <w:rsid w:val="004D3F8E"/>
    <w:rsid w:val="004E062B"/>
    <w:rsid w:val="00553F56"/>
    <w:rsid w:val="00617322"/>
    <w:rsid w:val="0065307C"/>
    <w:rsid w:val="0094181B"/>
    <w:rsid w:val="00964121"/>
    <w:rsid w:val="00A16ABD"/>
    <w:rsid w:val="00B04F45"/>
    <w:rsid w:val="00C1485D"/>
    <w:rsid w:val="00CA14F2"/>
    <w:rsid w:val="00CF29C3"/>
    <w:rsid w:val="00E11B21"/>
    <w:rsid w:val="00E54BB9"/>
    <w:rsid w:val="00F033AF"/>
    <w:rsid w:val="00FC1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ACC8"/>
  <w15:chartTrackingRefBased/>
  <w15:docId w15:val="{F199D0DE-97B8-4AAE-A24C-D7C87444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530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307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1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1B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B21"/>
    <w:rPr>
      <w:sz w:val="20"/>
      <w:szCs w:val="20"/>
    </w:rPr>
  </w:style>
  <w:style w:type="character" w:styleId="FootnoteReference">
    <w:name w:val="footnote reference"/>
    <w:basedOn w:val="DefaultParagraphFont"/>
    <w:uiPriority w:val="99"/>
    <w:semiHidden/>
    <w:unhideWhenUsed/>
    <w:rsid w:val="00E11B21"/>
    <w:rPr>
      <w:vertAlign w:val="superscript"/>
    </w:rPr>
  </w:style>
  <w:style w:type="paragraph" w:styleId="Header">
    <w:name w:val="header"/>
    <w:basedOn w:val="Normal"/>
    <w:link w:val="HeaderChar"/>
    <w:uiPriority w:val="99"/>
    <w:unhideWhenUsed/>
    <w:rsid w:val="00E11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B21"/>
  </w:style>
  <w:style w:type="paragraph" w:styleId="Footer">
    <w:name w:val="footer"/>
    <w:basedOn w:val="Normal"/>
    <w:link w:val="FooterChar"/>
    <w:uiPriority w:val="99"/>
    <w:unhideWhenUsed/>
    <w:rsid w:val="00E11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0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79FC5-FC35-4431-B62C-13963931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Hartmann-Boyce</dc:creator>
  <cp:keywords/>
  <dc:description/>
  <cp:lastModifiedBy>Anne Lawson</cp:lastModifiedBy>
  <cp:revision>19</cp:revision>
  <dcterms:created xsi:type="dcterms:W3CDTF">2020-12-08T14:16:00Z</dcterms:created>
  <dcterms:modified xsi:type="dcterms:W3CDTF">2020-12-09T19:11:00Z</dcterms:modified>
</cp:coreProperties>
</file>