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F37F2" w14:textId="1DCCB946" w:rsidR="00E176CC" w:rsidRPr="00E176CC" w:rsidRDefault="00E176CC" w:rsidP="00E176CC">
      <w:pPr>
        <w:pStyle w:val="Heading1"/>
      </w:pPr>
      <w:r w:rsidRPr="00E176CC">
        <w:t>IFTRA 8th Biennial Conference, Johannesburg, South Africa, June 15-19, 2026</w:t>
      </w:r>
    </w:p>
    <w:p w14:paraId="32D49FC7" w14:textId="74B9FFFE" w:rsidR="00E176CC" w:rsidRDefault="00E176CC" w:rsidP="00E176CC">
      <w:r>
        <w:t>Dr Sara Ratner, University of Oxford</w:t>
      </w:r>
    </w:p>
    <w:p w14:paraId="47B473F3" w14:textId="5C216991" w:rsidR="00E176CC" w:rsidRDefault="00E176CC" w:rsidP="00E176CC">
      <w:pPr>
        <w:rPr>
          <w:b/>
          <w:bCs/>
        </w:rPr>
      </w:pPr>
      <w:r w:rsidRPr="00E176CC">
        <w:rPr>
          <w:b/>
          <w:bCs/>
          <w:noProof/>
        </w:rPr>
        <w:drawing>
          <wp:inline distT="0" distB="0" distL="0" distR="0" wp14:anchorId="08DBC236" wp14:editId="10B927CB">
            <wp:extent cx="1441286" cy="1585664"/>
            <wp:effectExtent l="0" t="0" r="0" b="0"/>
            <wp:docPr id="13521614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161424" name=""/>
                    <pic:cNvPicPr/>
                  </pic:nvPicPr>
                  <pic:blipFill>
                    <a:blip r:embed="rId5"/>
                    <a:stretch>
                      <a:fillRect/>
                    </a:stretch>
                  </pic:blipFill>
                  <pic:spPr>
                    <a:xfrm>
                      <a:off x="0" y="0"/>
                      <a:ext cx="1454565" cy="1600274"/>
                    </a:xfrm>
                    <a:prstGeom prst="rect">
                      <a:avLst/>
                    </a:prstGeom>
                  </pic:spPr>
                </pic:pic>
              </a:graphicData>
            </a:graphic>
          </wp:inline>
        </w:drawing>
      </w:r>
    </w:p>
    <w:p w14:paraId="221DE45F" w14:textId="741373C1" w:rsidR="00E176CC" w:rsidRPr="00E176CC" w:rsidRDefault="00E176CC" w:rsidP="00E176CC">
      <w:r w:rsidRPr="00E176CC">
        <w:t>Founder of AI in Education at Oxford University (AIEOU) in the Department of Education,</w:t>
      </w:r>
      <w:r w:rsidR="00043DA7">
        <w:t xml:space="preserve"> </w:t>
      </w:r>
      <w:r w:rsidRPr="00E176CC">
        <w:t>University of Oxford. S</w:t>
      </w:r>
      <w:r>
        <w:t xml:space="preserve">ara </w:t>
      </w:r>
      <w:r w:rsidRPr="00E176CC">
        <w:t xml:space="preserve">began her career as a </w:t>
      </w:r>
      <w:r>
        <w:t>teache</w:t>
      </w:r>
      <w:r w:rsidRPr="00E176CC">
        <w:t>r before moving into senior roles in EdTech, leading the delivery of digital assessments for the OECD. Her research sits at the intersection of policy, pedagogy, and technology, with a focus on participatory and human-centred approaches to AI.</w:t>
      </w:r>
      <w:r>
        <w:t xml:space="preserve"> </w:t>
      </w:r>
      <w:r w:rsidR="00043DA7">
        <w:t>Through</w:t>
      </w:r>
      <w:r w:rsidRPr="00E176CC">
        <w:t xml:space="preserve"> the Learning in Families through Technology (LiFT) project, Sara has </w:t>
      </w:r>
      <w:r>
        <w:t xml:space="preserve">also </w:t>
      </w:r>
      <w:r w:rsidRPr="00E176CC">
        <w:t xml:space="preserve">been </w:t>
      </w:r>
      <w:r w:rsidR="00043DA7">
        <w:t>collaborating</w:t>
      </w:r>
      <w:r w:rsidRPr="00E176CC">
        <w:t xml:space="preserve"> with industry partners </w:t>
      </w:r>
      <w:r>
        <w:t>to</w:t>
      </w:r>
      <w:r w:rsidRPr="00E176CC">
        <w:t xml:space="preserve"> co-develop </w:t>
      </w:r>
      <w:r w:rsidRPr="00043DA7">
        <w:rPr>
          <w:i/>
          <w:iCs/>
        </w:rPr>
        <w:t>Let’s Story</w:t>
      </w:r>
      <w:r>
        <w:t xml:space="preserve"> which</w:t>
      </w:r>
      <w:r w:rsidRPr="00E176CC">
        <w:t xml:space="preserve"> has</w:t>
      </w:r>
      <w:r>
        <w:t xml:space="preserve"> provided free reading materials to more than</w:t>
      </w:r>
      <w:r w:rsidRPr="00E176CC">
        <w:t xml:space="preserve"> </w:t>
      </w:r>
      <w:r>
        <w:t>6</w:t>
      </w:r>
      <w:r w:rsidRPr="00E176CC">
        <w:t xml:space="preserve"> million </w:t>
      </w:r>
      <w:r>
        <w:t>families</w:t>
      </w:r>
      <w:r w:rsidRPr="00E176CC">
        <w:t xml:space="preserve"> </w:t>
      </w:r>
      <w:r>
        <w:t>in</w:t>
      </w:r>
      <w:r w:rsidRPr="00E176CC">
        <w:t xml:space="preserve"> </w:t>
      </w:r>
      <w:r>
        <w:t>18</w:t>
      </w:r>
      <w:r w:rsidRPr="00E176CC">
        <w:t xml:space="preserve"> languages</w:t>
      </w:r>
      <w:r>
        <w:t>,</w:t>
      </w:r>
      <w:r w:rsidRPr="00E176CC">
        <w:t xml:space="preserve"> receiv</w:t>
      </w:r>
      <w:r>
        <w:t>ing</w:t>
      </w:r>
      <w:r w:rsidRPr="00E176CC">
        <w:t xml:space="preserve"> </w:t>
      </w:r>
      <w:r>
        <w:t>international recognition.</w:t>
      </w:r>
      <w:r w:rsidRPr="00E176CC">
        <w:t xml:space="preserve"> </w:t>
      </w:r>
    </w:p>
    <w:p w14:paraId="00D4E0DA" w14:textId="77777777" w:rsidR="00E176CC" w:rsidRDefault="00E176CC" w:rsidP="00E176CC"/>
    <w:p w14:paraId="7EE3F808" w14:textId="77777777" w:rsidR="00043DA7" w:rsidRDefault="00043DA7" w:rsidP="00E176CC"/>
    <w:p w14:paraId="005774B7" w14:textId="77777777" w:rsidR="00043DA7" w:rsidRDefault="00043DA7" w:rsidP="00E176CC"/>
    <w:p w14:paraId="4F117B26" w14:textId="77777777" w:rsidR="00043DA7" w:rsidRDefault="00043DA7" w:rsidP="00E176CC"/>
    <w:p w14:paraId="7684D5A6" w14:textId="77777777" w:rsidR="00043DA7" w:rsidRDefault="00043DA7" w:rsidP="00E176CC"/>
    <w:p w14:paraId="2083F76D" w14:textId="77777777" w:rsidR="00043DA7" w:rsidRDefault="00043DA7" w:rsidP="00E176CC"/>
    <w:p w14:paraId="03E0E7F2" w14:textId="77777777" w:rsidR="00043DA7" w:rsidRDefault="00043DA7" w:rsidP="00E176CC"/>
    <w:p w14:paraId="30C6D273" w14:textId="77777777" w:rsidR="00043DA7" w:rsidRDefault="00043DA7" w:rsidP="00E176CC"/>
    <w:p w14:paraId="2EF34678" w14:textId="77777777" w:rsidR="00043DA7" w:rsidRDefault="00043DA7" w:rsidP="00E176CC"/>
    <w:p w14:paraId="388DE2CB" w14:textId="77777777" w:rsidR="00043DA7" w:rsidRDefault="00043DA7" w:rsidP="00E176CC"/>
    <w:p w14:paraId="29EF9F76" w14:textId="77777777" w:rsidR="00043DA7" w:rsidRDefault="00043DA7" w:rsidP="00E176CC"/>
    <w:p w14:paraId="7138CFFB" w14:textId="77777777" w:rsidR="00043DA7" w:rsidRDefault="00043DA7" w:rsidP="00E176CC"/>
    <w:p w14:paraId="429FACBC" w14:textId="77777777" w:rsidR="00043DA7" w:rsidRPr="00E176CC" w:rsidRDefault="00043DA7" w:rsidP="00E176CC"/>
    <w:p w14:paraId="0B2F768E" w14:textId="4F4C742D" w:rsidR="00E176CC" w:rsidRPr="005F3155" w:rsidRDefault="00043DA7" w:rsidP="005F3155">
      <w:pPr>
        <w:pStyle w:val="Heading1"/>
        <w:jc w:val="center"/>
        <w:rPr>
          <w:sz w:val="28"/>
          <w:szCs w:val="28"/>
        </w:rPr>
      </w:pPr>
      <w:r w:rsidRPr="005F3155">
        <w:rPr>
          <w:sz w:val="28"/>
          <w:szCs w:val="28"/>
        </w:rPr>
        <w:lastRenderedPageBreak/>
        <w:t xml:space="preserve">Artificial Intelligence </w:t>
      </w:r>
      <w:r w:rsidR="006569D1">
        <w:rPr>
          <w:sz w:val="28"/>
          <w:szCs w:val="28"/>
        </w:rPr>
        <w:t>and</w:t>
      </w:r>
      <w:r w:rsidRPr="005F3155">
        <w:rPr>
          <w:sz w:val="28"/>
          <w:szCs w:val="28"/>
        </w:rPr>
        <w:t xml:space="preserve"> the Teaching Profession</w:t>
      </w:r>
    </w:p>
    <w:p w14:paraId="36E3CCC6" w14:textId="4FFAB447" w:rsidR="00E176CC" w:rsidRPr="00A26A61" w:rsidRDefault="00043DA7" w:rsidP="00043DA7">
      <w:pPr>
        <w:spacing w:after="0" w:line="240" w:lineRule="auto"/>
        <w:jc w:val="center"/>
      </w:pPr>
      <w:r w:rsidRPr="00A26A61">
        <w:t>Dr Sara Ratner</w:t>
      </w:r>
    </w:p>
    <w:p w14:paraId="5C33A1B1" w14:textId="48D061AA" w:rsidR="00E176CC" w:rsidRPr="00A26A61" w:rsidRDefault="00043DA7" w:rsidP="00043DA7">
      <w:pPr>
        <w:spacing w:after="0" w:line="240" w:lineRule="auto"/>
        <w:jc w:val="center"/>
      </w:pPr>
      <w:r w:rsidRPr="00A26A61">
        <w:t>Principal Investigator</w:t>
      </w:r>
    </w:p>
    <w:p w14:paraId="43CEF45E" w14:textId="334D71D3" w:rsidR="00E176CC" w:rsidRPr="00043DA7" w:rsidRDefault="00043DA7" w:rsidP="00043DA7">
      <w:pPr>
        <w:spacing w:after="0" w:line="240" w:lineRule="auto"/>
        <w:jc w:val="center"/>
      </w:pPr>
      <w:r w:rsidRPr="00043DA7">
        <w:t>AI in Education Oxford U</w:t>
      </w:r>
      <w:r>
        <w:t>niversity (AIEOU)</w:t>
      </w:r>
    </w:p>
    <w:p w14:paraId="758197A8" w14:textId="6CAB7244" w:rsidR="00E176CC" w:rsidRPr="00043DA7" w:rsidRDefault="00043DA7" w:rsidP="00043DA7">
      <w:pPr>
        <w:spacing w:after="0" w:line="240" w:lineRule="auto"/>
        <w:jc w:val="center"/>
      </w:pPr>
      <w:r>
        <w:t>Department of Education, University of Oxford</w:t>
      </w:r>
    </w:p>
    <w:p w14:paraId="07A3FC40" w14:textId="1FF2A42B" w:rsidR="00E176CC" w:rsidRPr="00E176CC" w:rsidRDefault="00E176CC" w:rsidP="00043DA7">
      <w:pPr>
        <w:spacing w:after="0" w:line="240" w:lineRule="auto"/>
        <w:jc w:val="center"/>
      </w:pPr>
      <w:r w:rsidRPr="00E176CC">
        <w:t xml:space="preserve">Email: </w:t>
      </w:r>
      <w:hyperlink r:id="rId6" w:history="1">
        <w:r w:rsidR="00043DA7" w:rsidRPr="00225C2F">
          <w:rPr>
            <w:rStyle w:val="Hyperlink"/>
          </w:rPr>
          <w:t>sara.ratner@education.ox.ac.uk</w:t>
        </w:r>
      </w:hyperlink>
      <w:r w:rsidR="00043DA7">
        <w:t xml:space="preserve"> </w:t>
      </w:r>
    </w:p>
    <w:p w14:paraId="19EDA143" w14:textId="77777777" w:rsidR="00E176CC" w:rsidRPr="00E176CC" w:rsidRDefault="00E176CC" w:rsidP="00E176CC"/>
    <w:p w14:paraId="3910CC3D" w14:textId="1D81DC50" w:rsidR="00E176CC" w:rsidRDefault="00E176CC" w:rsidP="00E176CC">
      <w:pPr>
        <w:rPr>
          <w:b/>
          <w:bCs/>
        </w:rPr>
      </w:pPr>
      <w:r w:rsidRPr="004F31BF">
        <w:rPr>
          <w:b/>
          <w:bCs/>
        </w:rPr>
        <w:t>Abstract:</w:t>
      </w:r>
    </w:p>
    <w:p w14:paraId="77C0F1D0" w14:textId="36477942" w:rsidR="007012C1" w:rsidRDefault="007012C1" w:rsidP="00A55CEE">
      <w:pPr>
        <w:spacing w:after="0" w:line="240" w:lineRule="auto"/>
        <w:ind w:left="1134" w:right="1371"/>
      </w:pPr>
      <w:r w:rsidRPr="00902E59">
        <w:t>This paper examines how artificial intelligence (AI) is reshaping the epistemic conditions of education and the implications for the teaching profession and its regulation. Drawing on a participatory global research agenda (AIEOU), international competency frameworks (UNESCO), and empirical evidence from Bangladesh</w:t>
      </w:r>
      <w:r w:rsidR="00A55CEE">
        <w:t xml:space="preserve"> (Asian Development Bank)</w:t>
      </w:r>
      <w:r w:rsidRPr="00902E59">
        <w:t>, the paper argues that AI is not only introducing new tools, but transforming how knowledge is produced, evaluated, and taught. It introduces the concept of epistemic confidence as a unifying construct for understanding these changes, defined as the capacity to evaluate, question, and act on knowledge under conditions of uncertainty. The paper concludes by outlining implications for teacher regulatory authorities, including a shift from competence to professional judgement, and from static standards to more dynamic, participatory models of governance.</w:t>
      </w:r>
    </w:p>
    <w:p w14:paraId="1B8C384B" w14:textId="77777777" w:rsidR="004F31BF" w:rsidRPr="004F31BF" w:rsidRDefault="004F31BF" w:rsidP="00E176CC">
      <w:pPr>
        <w:rPr>
          <w:b/>
          <w:bCs/>
        </w:rPr>
      </w:pPr>
    </w:p>
    <w:p w14:paraId="47732618" w14:textId="47DFE883" w:rsidR="002F489D" w:rsidRDefault="00E176CC" w:rsidP="00E176CC">
      <w:r w:rsidRPr="004F31BF">
        <w:rPr>
          <w:b/>
          <w:bCs/>
        </w:rPr>
        <w:t>Keywords:</w:t>
      </w:r>
      <w:r w:rsidR="004F31BF">
        <w:t xml:space="preserve"> AI, teaching profession, epistemic confidence, professional judgement</w:t>
      </w:r>
    </w:p>
    <w:p w14:paraId="1FDE9845" w14:textId="77777777" w:rsidR="001F41FD" w:rsidRPr="001F41FD" w:rsidRDefault="001F41FD" w:rsidP="001F41FD">
      <w:pPr>
        <w:pStyle w:val="Heading1"/>
      </w:pPr>
      <w:r w:rsidRPr="001F41FD">
        <w:t>Introduction</w:t>
      </w:r>
    </w:p>
    <w:p w14:paraId="22ABD827" w14:textId="40E8665C" w:rsidR="001F41FD" w:rsidRPr="001F41FD" w:rsidRDefault="001F41FD" w:rsidP="001F41FD">
      <w:r w:rsidRPr="001F41FD">
        <w:t>When we speak about artificial intelligence</w:t>
      </w:r>
      <w:r w:rsidR="000B79AF">
        <w:t xml:space="preserve"> (AI)</w:t>
      </w:r>
      <w:r w:rsidRPr="001F41FD">
        <w:t xml:space="preserve"> applied to the teaching profession, we often begin with tools, efficiencies, and new classroom practices. We ask how AI can support lesson planning, assessment design, or feedback generation. These are important questions, and they are already shaping classrooms across the world. However, </w:t>
      </w:r>
      <w:r w:rsidR="000B79AF">
        <w:t>perhaps</w:t>
      </w:r>
      <w:r w:rsidRPr="001F41FD">
        <w:t xml:space="preserve"> the most profound application of AI to the teaching profession is not what it allows teachers to do, but how it </w:t>
      </w:r>
      <w:r>
        <w:t>augments</w:t>
      </w:r>
      <w:r w:rsidRPr="001F41FD">
        <w:t xml:space="preserve"> what it means to be a teacher</w:t>
      </w:r>
      <w:r w:rsidR="006569D1">
        <w:t xml:space="preserve"> and the impact of that on educational outcomes for all learners</w:t>
      </w:r>
      <w:r w:rsidRPr="001F41FD">
        <w:t>.</w:t>
      </w:r>
    </w:p>
    <w:p w14:paraId="3590103C" w14:textId="13A5D047" w:rsidR="001F41FD" w:rsidRPr="001F41FD" w:rsidRDefault="001F41FD" w:rsidP="001F41FD">
      <w:r w:rsidRPr="001F41FD">
        <w:t xml:space="preserve">The young people currently sitting in our classrooms will enter a world saturated with artificial intelligence. AI will influence how knowledge is generated, how arguments are formed, how decisions are made, and how authority is signalled. </w:t>
      </w:r>
      <w:r w:rsidR="00F5243C">
        <w:t>More</w:t>
      </w:r>
      <w:r w:rsidR="00526E4B">
        <w:t xml:space="preserve"> than ever, t</w:t>
      </w:r>
      <w:r w:rsidR="00451F78" w:rsidRPr="00451F78">
        <w:t>he role of teachers</w:t>
      </w:r>
      <w:r w:rsidR="00526E4B">
        <w:t xml:space="preserve"> </w:t>
      </w:r>
      <w:r w:rsidR="00451F78" w:rsidRPr="00451F78">
        <w:t>increasingly involves supporting young people to develop the capacity to engage with knowledge critically and confidently in this context.</w:t>
      </w:r>
    </w:p>
    <w:p w14:paraId="454E76E6" w14:textId="03FF1158" w:rsidR="006569D1" w:rsidRPr="001F41FD" w:rsidRDefault="001F41FD" w:rsidP="001F41FD">
      <w:r w:rsidRPr="001F41FD">
        <w:t xml:space="preserve">This paper argues that </w:t>
      </w:r>
      <w:r w:rsidR="00F5243C">
        <w:t>AI</w:t>
      </w:r>
      <w:r w:rsidRPr="001F41FD">
        <w:t xml:space="preserve"> is not simply introducing new tools into education</w:t>
      </w:r>
      <w:r w:rsidR="00F5243C">
        <w:t>,</w:t>
      </w:r>
      <w:r w:rsidRPr="001F41FD">
        <w:t xml:space="preserve"> </w:t>
      </w:r>
      <w:r w:rsidR="00F5243C">
        <w:t>i</w:t>
      </w:r>
      <w:r w:rsidRPr="001F41FD">
        <w:t xml:space="preserve">t is reshaping the epistemic conditions under which teaching and learning take place. In response, the </w:t>
      </w:r>
      <w:r w:rsidRPr="001F41FD">
        <w:lastRenderedPageBreak/>
        <w:t xml:space="preserve">teaching profession must </w:t>
      </w:r>
      <w:r w:rsidR="006569D1">
        <w:t xml:space="preserve">also </w:t>
      </w:r>
      <w:r w:rsidRPr="001F41FD">
        <w:t>be augmented, and teacher regulation must evolve, to prioritise epistemic confidence, human agency, and collective responsibility.</w:t>
      </w:r>
      <w:r w:rsidR="00721FFB">
        <w:t xml:space="preserve"> </w:t>
      </w:r>
      <w:r w:rsidR="00C13128">
        <w:t>Accordingly, the</w:t>
      </w:r>
      <w:r w:rsidR="00721FFB" w:rsidRPr="00721FFB">
        <w:t xml:space="preserve"> paper proceeds in four parts. First, it outlines the changing epistemic landscape of education. Second, it examines emerging frameworks for teacher professionalism. Third, it draws on empirical evidence from Bangladesh to ground these developments. Finally, it considers implications for teacher regulation.</w:t>
      </w:r>
    </w:p>
    <w:p w14:paraId="05E8B80F" w14:textId="58A779DB" w:rsidR="001F41FD" w:rsidRPr="001F41FD" w:rsidRDefault="005C40CB" w:rsidP="005C40CB">
      <w:pPr>
        <w:pStyle w:val="Heading1"/>
      </w:pPr>
      <w:r>
        <w:t>Navigating Complexity in Education Systems</w:t>
      </w:r>
    </w:p>
    <w:p w14:paraId="2ACD7174" w14:textId="4D1D4C88" w:rsidR="0072003B" w:rsidRDefault="001F41FD" w:rsidP="001F41FD">
      <w:r w:rsidRPr="001F41FD">
        <w:t>Across global education systems, teachers and students are operating in conditions of increasing complexity. Assessment structures are shifting, institutional policies are evolving unevenly, and guidance around AI remains fragmented. At the same time, students are navigating algorithmic information environments, social media ecosystems, and broader societal uncertainties.</w:t>
      </w:r>
      <w:r w:rsidR="0097259B">
        <w:t xml:space="preserve"> </w:t>
      </w:r>
      <w:r w:rsidR="00847B3A">
        <w:t>Navigating all of that complexity and uncertainty requires</w:t>
      </w:r>
      <w:r w:rsidR="00737F8E">
        <w:t xml:space="preserve"> </w:t>
      </w:r>
      <w:r w:rsidR="00362A6E">
        <w:t xml:space="preserve">collective effort. </w:t>
      </w:r>
      <w:r w:rsidR="00ED0DF9" w:rsidRPr="00ED0DF9">
        <w:t xml:space="preserve">When </w:t>
      </w:r>
      <w:r w:rsidR="00362A6E">
        <w:t xml:space="preserve">a ship’s crew </w:t>
      </w:r>
      <w:r w:rsidR="00ED0DF9" w:rsidRPr="00ED0DF9">
        <w:t>navigat</w:t>
      </w:r>
      <w:r w:rsidR="00362A6E">
        <w:t>es</w:t>
      </w:r>
      <w:r w:rsidR="00ED0DF9" w:rsidRPr="00ED0DF9">
        <w:t xml:space="preserve"> rough seas</w:t>
      </w:r>
      <w:r w:rsidR="00362A6E">
        <w:t xml:space="preserve"> they do </w:t>
      </w:r>
      <w:r w:rsidR="00ED0DF9" w:rsidRPr="00ED0DF9">
        <w:t>not rely on a single instrument or a fixed route</w:t>
      </w:r>
      <w:r w:rsidR="004C5368">
        <w:t>, o</w:t>
      </w:r>
      <w:r w:rsidR="00ED0DF9" w:rsidRPr="00ED0DF9">
        <w:t xml:space="preserve">rientation emerges through a combination of stable reference points, critical use of tools, </w:t>
      </w:r>
      <w:r w:rsidR="00611A9D">
        <w:t xml:space="preserve">calibration </w:t>
      </w:r>
      <w:r w:rsidR="00ED0DF9" w:rsidRPr="00ED0DF9">
        <w:t>and ongoing adjustment.</w:t>
      </w:r>
      <w:r w:rsidR="006A2CF7">
        <w:t xml:space="preserve"> The same can be applied i</w:t>
      </w:r>
      <w:r w:rsidR="00ED0DF9" w:rsidRPr="00ED0DF9">
        <w:t>n educational contexts</w:t>
      </w:r>
      <w:r w:rsidR="006A2CF7">
        <w:t xml:space="preserve">. </w:t>
      </w:r>
    </w:p>
    <w:p w14:paraId="493D75E1" w14:textId="0FA2F009" w:rsidR="0072003B" w:rsidRPr="0072003B" w:rsidRDefault="0072003B" w:rsidP="0072003B">
      <w:pPr>
        <w:pStyle w:val="Heading2"/>
      </w:pPr>
      <w:r w:rsidRPr="0072003B">
        <w:t>Stable Reference Points</w:t>
      </w:r>
    </w:p>
    <w:p w14:paraId="512827AD" w14:textId="77777777" w:rsidR="00E4213E" w:rsidRDefault="00E4213E" w:rsidP="00997D67">
      <w:r w:rsidRPr="00E4213E">
        <w:t>To begin, anchoring on enduring human values is essential. The University of Oxford has always and will always prioritise human creativity, curiosity, and judgement. These are critical competencies that students and scholars dedicate their lives to developing. Such values remain stable reference points, no matter how complex the landscape to be navigated. At the same time, the need to critically engage with the tools available is recognised, in this case the opportunity to augment teaching, learning, and research with AI.</w:t>
      </w:r>
    </w:p>
    <w:p w14:paraId="72ADE276" w14:textId="1E4334F8" w:rsidR="00997D67" w:rsidRPr="00997D67" w:rsidRDefault="00997D67" w:rsidP="00997D67">
      <w:r w:rsidRPr="00997D67">
        <w:t>This emphasis on human-centred values is not unique to a single institution. International frameworks similarly foreground the importance of human agency and ethical responsibility in AI-mediated education</w:t>
      </w:r>
      <w:r w:rsidR="00E4213E">
        <w:t xml:space="preserve"> (OECD, 2025; UNESCO, 2024)</w:t>
      </w:r>
      <w:r w:rsidRPr="00997D67">
        <w:t>. In parallel, global policy discourse increasingly highlights the need to preserve human judgement, dignity, and social interaction as central to educational practice in the age of AI.</w:t>
      </w:r>
    </w:p>
    <w:p w14:paraId="13D5AEEC" w14:textId="77777777" w:rsidR="00997D67" w:rsidRPr="00997D67" w:rsidRDefault="00997D67" w:rsidP="00997D67">
      <w:r w:rsidRPr="00997D67">
        <w:t xml:space="preserve">At the level of classroom practice, these reference points are equally visible. Teachers continue to prioritise dialogue, interpretation, and relational understanding, particularly in areas where meaning is negotiated rather than retrieved. This is evident, for example, in the teaching of writing, where the value lies not only in the final product, but in the process of drafting, reflection, and revision. Similarly, in subjects such as history or literature, the </w:t>
      </w:r>
      <w:r w:rsidRPr="00997D67">
        <w:lastRenderedPageBreak/>
        <w:t>interpretation of sources and the construction of argument remain fundamentally human endeavours, even when AI tools are available to generate content.</w:t>
      </w:r>
    </w:p>
    <w:p w14:paraId="716EF9EC" w14:textId="74D16FD6" w:rsidR="00997D67" w:rsidRDefault="00997D67" w:rsidP="001F41FD">
      <w:r w:rsidRPr="00997D67">
        <w:t>These examples suggest that while the tools and contexts of education are evolving rapidly, the underlying purposes of education remain more stable. The challenge, therefore, is not to replace these reference points, but to hold them more deliberately as educators navigate increasingly complex and AI-mediated environments.</w:t>
      </w:r>
    </w:p>
    <w:p w14:paraId="59CFE649" w14:textId="7FC7EE58" w:rsidR="0080377A" w:rsidRDefault="0080377A" w:rsidP="0080377A">
      <w:pPr>
        <w:pStyle w:val="Heading2"/>
      </w:pPr>
      <w:r>
        <w:t>Critical Use of Tools</w:t>
      </w:r>
    </w:p>
    <w:p w14:paraId="020E8EE1" w14:textId="6CD9C208" w:rsidR="002B79F6" w:rsidRPr="002B79F6" w:rsidRDefault="002B79F6" w:rsidP="002B79F6">
      <w:r w:rsidRPr="002B79F6">
        <w:t>The University of Oxford was one of the first institutions to offer ChatGPT to all staff and students, a decision grounded as much in equity as in innovation. These tools cannot solely be the preserve of those who can afford access. However, access alone is not sufficient. The critical question is not whether AI tools are available, but how they are used, interpreted, and evaluated in practice.</w:t>
      </w:r>
    </w:p>
    <w:p w14:paraId="038BFEAC" w14:textId="77777777" w:rsidR="002B79F6" w:rsidRPr="002B79F6" w:rsidRDefault="002B79F6" w:rsidP="002B79F6">
      <w:r w:rsidRPr="002B79F6">
        <w:t>In conditions of complexity, tools function as instruments for navigation rather than sources of authority. They can provide direction, generate possibilities, and extend human capacity, but they cannot replace professional judgement. Generative AI systems, in particular, produce outputs that are fluent, plausible, and often persuasive, yet not necessarily accurate, reliable, or contextually appropriate. This creates a new challenge for educators and learners alike: the need to interrogate outputs rather than accept them at face value.</w:t>
      </w:r>
    </w:p>
    <w:p w14:paraId="2CB5B10E" w14:textId="77777777" w:rsidR="002B79F6" w:rsidRPr="002B79F6" w:rsidRDefault="002B79F6" w:rsidP="002B79F6">
      <w:r w:rsidRPr="002B79F6">
        <w:t>A critical use of AI therefore requires an understanding of both capability and limitation. This includes recognising the probabilistic nature of AI-generated responses, the potential for bias embedded in training data, and the absence of genuine understanding behind generated outputs. It also involves asking new kinds of questions: What is the source of this information? What assumptions underpin it? How confident should I be in its validity, and why?</w:t>
      </w:r>
    </w:p>
    <w:p w14:paraId="515622C5" w14:textId="77777777" w:rsidR="002B79F6" w:rsidRPr="002B79F6" w:rsidRDefault="002B79F6" w:rsidP="002B79F6">
      <w:r w:rsidRPr="002B79F6">
        <w:t>This aligns with emerging institutional approaches to AI governance, particularly within research-intensive environments. Universities are beginning to develop formal guidance on the responsible use of generative AI, emphasising transparency, accountability, and appropriate human oversight (Boon et al., 2025). At the same time, there is growing recognition that existing governance structures may need to be re-evaluated and adapted in response to AI, rather than simply extended. Work on the ethics of AI in research highlights the need to revisit established review processes to ensure they remain fit for purpose in contexts where knowledge production is increasingly mediated by complex and opaque systems (</w:t>
      </w:r>
      <w:proofErr w:type="spellStart"/>
      <w:r w:rsidRPr="002B79F6">
        <w:t>Kerasidou</w:t>
      </w:r>
      <w:proofErr w:type="spellEnd"/>
      <w:r w:rsidRPr="002B79F6">
        <w:t xml:space="preserve"> et al., 2026). These developments offer a useful parallel for education, </w:t>
      </w:r>
      <w:r w:rsidRPr="002B79F6">
        <w:lastRenderedPageBreak/>
        <w:t>where similar questions of responsibility, oversight, and professional judgement are beginning to emerge.</w:t>
      </w:r>
    </w:p>
    <w:p w14:paraId="13CA5E33" w14:textId="099D5166" w:rsidR="002B79F6" w:rsidRPr="002B79F6" w:rsidRDefault="002B79F6" w:rsidP="002B79F6">
      <w:r w:rsidRPr="002B79F6">
        <w:t>At the level of classroom practice, this may involve using AI not as a provider of answers, but as a prompt for critique, comparison, and reflection. For example, students might be asked to evaluate multiple AI-generated responses, identify inconsistencies, or refine outputs through iterative questioning. In doing so, the tool becomes a site of inquiry rather than a substitute for thinking.</w:t>
      </w:r>
      <w:r w:rsidR="00A26A61">
        <w:t xml:space="preserve"> </w:t>
      </w:r>
      <w:r w:rsidRPr="002B79F6">
        <w:t>The critical use of tools, therefore, is not simply a technical skill. It is an epistemic practice. It requires the capacity to engage with AI outputs thoughtfully, to hold them at a distance, and to integrate them into broader processes of reasoning and judgement. In this sense, critical engagement with AI becomes a central component of epistemic confidence in an AI-mediated world.</w:t>
      </w:r>
    </w:p>
    <w:p w14:paraId="35C43760" w14:textId="4008CC08" w:rsidR="0080377A" w:rsidRDefault="00611A9D" w:rsidP="0080377A">
      <w:pPr>
        <w:pStyle w:val="Heading2"/>
      </w:pPr>
      <w:r>
        <w:t xml:space="preserve">Calibration </w:t>
      </w:r>
    </w:p>
    <w:p w14:paraId="45489996" w14:textId="436ECBDA" w:rsidR="006569D1" w:rsidRDefault="0080377A" w:rsidP="001F41FD">
      <w:r>
        <w:t>Calibration is an essential feature of navigation</w:t>
      </w:r>
      <w:r w:rsidR="00A57014">
        <w:t xml:space="preserve"> at sea</w:t>
      </w:r>
      <w:r>
        <w:t xml:space="preserve">. </w:t>
      </w:r>
      <w:r w:rsidR="00A57014">
        <w:t>This includes the calibration of the tools as well as the sailors c</w:t>
      </w:r>
      <w:r w:rsidR="00ED0DF9" w:rsidRPr="00ED0DF9">
        <w:t>apacity to assess how confident one should be in a given judgement and to adjust that confidence in light of new evidence.</w:t>
      </w:r>
      <w:r w:rsidR="00364218">
        <w:t xml:space="preserve"> </w:t>
      </w:r>
      <w:r w:rsidR="00FB1D1C">
        <w:t>Th</w:t>
      </w:r>
      <w:r w:rsidR="00FB1D1C" w:rsidRPr="001F41FD">
        <w:t>rough the work of AI in Education at Oxford University (AIEOU), we have sought to understand these shifts</w:t>
      </w:r>
      <w:r w:rsidR="00FB1D1C">
        <w:t xml:space="preserve"> </w:t>
      </w:r>
      <w:r w:rsidR="00FB1D1C" w:rsidRPr="001F41FD">
        <w:t>by listening</w:t>
      </w:r>
      <w:r w:rsidR="008E2842">
        <w:t xml:space="preserve"> and contributing to the growing body of evidence the field requires</w:t>
      </w:r>
      <w:r w:rsidR="00FB1D1C" w:rsidRPr="001F41FD">
        <w:t>. Through participatory workshops, surveys, and cross-sector dialogues involving educators, policymakers, technologists, and researchers, we developed a shared research agenda for AI in education</w:t>
      </w:r>
      <w:r w:rsidR="00FB1D1C">
        <w:t xml:space="preserve"> (Ratner et al., 2026)</w:t>
      </w:r>
      <w:r w:rsidR="00FB1D1C" w:rsidRPr="001F41FD">
        <w:t>.</w:t>
      </w:r>
      <w:r w:rsidR="00FB1D1C">
        <w:t xml:space="preserve"> Over 550 collaborators working in AI from more than 100 countries shared their most pressing research questions and they were thematically analysed.</w:t>
      </w:r>
      <w:r w:rsidR="008E2842">
        <w:t xml:space="preserve"> </w:t>
      </w:r>
      <w:r w:rsidR="006569D1">
        <w:t xml:space="preserve">Subsequently, </w:t>
      </w:r>
      <w:r w:rsidR="003A564C" w:rsidRPr="003A564C">
        <w:t>The AIEOU shared research agenda identified ten interconnected domains that reflect the breadth and complexity of AI in education, spanning pedagogical, ethical, cognitive, and systemic dimensions</w:t>
      </w:r>
      <w:r w:rsidR="00221AE4">
        <w:t xml:space="preserve"> (Ratner et al., 2026)</w:t>
      </w:r>
      <w:r w:rsidR="003A564C" w:rsidRPr="003A564C">
        <w:t>.</w:t>
      </w:r>
    </w:p>
    <w:p w14:paraId="599607FC" w14:textId="15087A9A" w:rsidR="006569D1" w:rsidRPr="003A564C" w:rsidRDefault="006569D1" w:rsidP="001F41FD">
      <w:pPr>
        <w:rPr>
          <w:b/>
          <w:bCs/>
        </w:rPr>
      </w:pPr>
      <w:r w:rsidRPr="003A564C">
        <w:rPr>
          <w:b/>
          <w:bCs/>
        </w:rPr>
        <w:t>Table 1. AIEOU Shared Research Priorities</w:t>
      </w:r>
    </w:p>
    <w:tbl>
      <w:tblPr>
        <w:tblStyle w:val="TableGrid"/>
        <w:tblW w:w="0" w:type="auto"/>
        <w:tblInd w:w="108" w:type="dxa"/>
        <w:tblLook w:val="04A0" w:firstRow="1" w:lastRow="0" w:firstColumn="1" w:lastColumn="0" w:noHBand="0" w:noVBand="1"/>
      </w:tblPr>
      <w:tblGrid>
        <w:gridCol w:w="461"/>
        <w:gridCol w:w="3230"/>
        <w:gridCol w:w="5340"/>
      </w:tblGrid>
      <w:tr w:rsidR="003A564C" w:rsidRPr="003A564C" w14:paraId="5084B384" w14:textId="77777777" w:rsidTr="00C11D5A">
        <w:tc>
          <w:tcPr>
            <w:tcW w:w="353" w:type="dxa"/>
            <w:hideMark/>
          </w:tcPr>
          <w:p w14:paraId="0832DDF6" w14:textId="1E7469D7" w:rsidR="003A564C" w:rsidRPr="003A564C" w:rsidRDefault="003A564C" w:rsidP="003A564C">
            <w:pPr>
              <w:spacing w:line="240" w:lineRule="auto"/>
              <w:jc w:val="center"/>
              <w:rPr>
                <w:b/>
                <w:bCs/>
              </w:rPr>
            </w:pPr>
          </w:p>
        </w:tc>
        <w:tc>
          <w:tcPr>
            <w:tcW w:w="3230" w:type="dxa"/>
            <w:hideMark/>
          </w:tcPr>
          <w:p w14:paraId="2279E0AA" w14:textId="77777777" w:rsidR="003A564C" w:rsidRPr="003A564C" w:rsidRDefault="003A564C" w:rsidP="003A564C">
            <w:pPr>
              <w:spacing w:line="240" w:lineRule="auto"/>
              <w:jc w:val="center"/>
              <w:rPr>
                <w:b/>
                <w:bCs/>
              </w:rPr>
            </w:pPr>
            <w:r w:rsidRPr="003A564C">
              <w:rPr>
                <w:b/>
                <w:bCs/>
              </w:rPr>
              <w:t>Research Theme</w:t>
            </w:r>
          </w:p>
        </w:tc>
        <w:tc>
          <w:tcPr>
            <w:tcW w:w="5340" w:type="dxa"/>
            <w:hideMark/>
          </w:tcPr>
          <w:p w14:paraId="38AC995F" w14:textId="77777777" w:rsidR="003A564C" w:rsidRPr="003A564C" w:rsidRDefault="003A564C" w:rsidP="003A564C">
            <w:pPr>
              <w:spacing w:line="240" w:lineRule="auto"/>
              <w:jc w:val="center"/>
              <w:rPr>
                <w:b/>
                <w:bCs/>
              </w:rPr>
            </w:pPr>
            <w:r w:rsidRPr="003A564C">
              <w:rPr>
                <w:b/>
                <w:bCs/>
              </w:rPr>
              <w:t>Focus Area</w:t>
            </w:r>
          </w:p>
        </w:tc>
      </w:tr>
      <w:tr w:rsidR="003A564C" w:rsidRPr="003A564C" w14:paraId="18511C66" w14:textId="77777777" w:rsidTr="00C11D5A">
        <w:tc>
          <w:tcPr>
            <w:tcW w:w="353" w:type="dxa"/>
            <w:vAlign w:val="center"/>
            <w:hideMark/>
          </w:tcPr>
          <w:p w14:paraId="0DE7BF46" w14:textId="77777777" w:rsidR="003A564C" w:rsidRPr="003A564C" w:rsidRDefault="003A564C" w:rsidP="00C11D5A">
            <w:pPr>
              <w:spacing w:line="240" w:lineRule="auto"/>
              <w:jc w:val="center"/>
            </w:pPr>
            <w:r w:rsidRPr="003A564C">
              <w:t>1</w:t>
            </w:r>
          </w:p>
        </w:tc>
        <w:tc>
          <w:tcPr>
            <w:tcW w:w="3230" w:type="dxa"/>
            <w:hideMark/>
          </w:tcPr>
          <w:p w14:paraId="7C350019" w14:textId="77777777" w:rsidR="003A564C" w:rsidRPr="003A564C" w:rsidRDefault="003A564C" w:rsidP="003A564C">
            <w:pPr>
              <w:spacing w:line="240" w:lineRule="auto"/>
              <w:jc w:val="center"/>
              <w:rPr>
                <w:sz w:val="6"/>
                <w:szCs w:val="6"/>
              </w:rPr>
            </w:pPr>
          </w:p>
          <w:p w14:paraId="484C1C78" w14:textId="60DF93C6" w:rsidR="003A564C" w:rsidRDefault="003A564C" w:rsidP="003A564C">
            <w:pPr>
              <w:spacing w:line="240" w:lineRule="auto"/>
              <w:jc w:val="center"/>
            </w:pPr>
            <w:r w:rsidRPr="003A564C">
              <w:t>Human-centred education</w:t>
            </w:r>
          </w:p>
          <w:p w14:paraId="11219C58" w14:textId="77777777" w:rsidR="003A564C" w:rsidRDefault="003A564C" w:rsidP="003A564C">
            <w:pPr>
              <w:spacing w:line="240" w:lineRule="auto"/>
              <w:jc w:val="center"/>
            </w:pPr>
            <w:r w:rsidRPr="003A564C">
              <w:t>and human flourishing</w:t>
            </w:r>
          </w:p>
          <w:p w14:paraId="771BC3D8" w14:textId="77777777" w:rsidR="003A564C" w:rsidRPr="003A564C" w:rsidRDefault="003A564C" w:rsidP="003A564C">
            <w:pPr>
              <w:spacing w:line="240" w:lineRule="auto"/>
              <w:jc w:val="center"/>
              <w:rPr>
                <w:sz w:val="6"/>
                <w:szCs w:val="6"/>
              </w:rPr>
            </w:pPr>
          </w:p>
          <w:p w14:paraId="0EA19EA0" w14:textId="28686735" w:rsidR="003A564C" w:rsidRPr="003A564C" w:rsidRDefault="003A564C" w:rsidP="003A564C">
            <w:pPr>
              <w:spacing w:line="240" w:lineRule="auto"/>
              <w:jc w:val="center"/>
            </w:pPr>
          </w:p>
        </w:tc>
        <w:tc>
          <w:tcPr>
            <w:tcW w:w="5340" w:type="dxa"/>
            <w:hideMark/>
          </w:tcPr>
          <w:p w14:paraId="23DB33E8" w14:textId="77777777" w:rsidR="00C11D5A" w:rsidRPr="00C11D5A" w:rsidRDefault="00C11D5A" w:rsidP="003A564C">
            <w:pPr>
              <w:spacing w:line="240" w:lineRule="auto"/>
              <w:jc w:val="center"/>
              <w:rPr>
                <w:sz w:val="6"/>
                <w:szCs w:val="6"/>
              </w:rPr>
            </w:pPr>
          </w:p>
          <w:p w14:paraId="2DEFC9C1" w14:textId="4E2CB2FB" w:rsidR="003A564C" w:rsidRDefault="003A564C" w:rsidP="003A564C">
            <w:pPr>
              <w:spacing w:line="240" w:lineRule="auto"/>
              <w:jc w:val="center"/>
            </w:pPr>
            <w:r w:rsidRPr="003A564C">
              <w:t xml:space="preserve">Ensuring AI supports wellbeing, </w:t>
            </w:r>
          </w:p>
          <w:p w14:paraId="694F0A75" w14:textId="6B36BCA4" w:rsidR="003A564C" w:rsidRPr="003A564C" w:rsidRDefault="003A564C" w:rsidP="003A564C">
            <w:pPr>
              <w:spacing w:line="240" w:lineRule="auto"/>
              <w:jc w:val="center"/>
            </w:pPr>
            <w:r w:rsidRPr="003A564C">
              <w:t>dignity, and meaningful learning</w:t>
            </w:r>
          </w:p>
        </w:tc>
      </w:tr>
      <w:tr w:rsidR="003A564C" w:rsidRPr="003A564C" w14:paraId="59EC0FCE" w14:textId="77777777" w:rsidTr="00C11D5A">
        <w:tc>
          <w:tcPr>
            <w:tcW w:w="353" w:type="dxa"/>
            <w:vAlign w:val="center"/>
            <w:hideMark/>
          </w:tcPr>
          <w:p w14:paraId="7ABB2C20" w14:textId="77777777" w:rsidR="003A564C" w:rsidRPr="003A564C" w:rsidRDefault="003A564C" w:rsidP="00C11D5A">
            <w:pPr>
              <w:spacing w:line="240" w:lineRule="auto"/>
              <w:jc w:val="center"/>
            </w:pPr>
            <w:r w:rsidRPr="003A564C">
              <w:t>2</w:t>
            </w:r>
          </w:p>
        </w:tc>
        <w:tc>
          <w:tcPr>
            <w:tcW w:w="3230" w:type="dxa"/>
            <w:hideMark/>
          </w:tcPr>
          <w:p w14:paraId="7405EBBA" w14:textId="77777777" w:rsidR="003A564C" w:rsidRPr="003A564C" w:rsidRDefault="003A564C" w:rsidP="003A564C">
            <w:pPr>
              <w:spacing w:line="240" w:lineRule="auto"/>
              <w:jc w:val="center"/>
              <w:rPr>
                <w:sz w:val="6"/>
                <w:szCs w:val="6"/>
              </w:rPr>
            </w:pPr>
          </w:p>
          <w:p w14:paraId="5F71471C" w14:textId="517797C3" w:rsidR="003A564C" w:rsidRDefault="003A564C" w:rsidP="003A564C">
            <w:pPr>
              <w:spacing w:line="240" w:lineRule="auto"/>
              <w:jc w:val="center"/>
            </w:pPr>
            <w:r w:rsidRPr="003A564C">
              <w:t>Teaching, learning,</w:t>
            </w:r>
          </w:p>
          <w:p w14:paraId="56A0DF55" w14:textId="77777777" w:rsidR="003A564C" w:rsidRDefault="003A564C" w:rsidP="003A564C">
            <w:pPr>
              <w:spacing w:line="240" w:lineRule="auto"/>
              <w:jc w:val="center"/>
            </w:pPr>
            <w:r w:rsidRPr="003A564C">
              <w:t>and pedagogy</w:t>
            </w:r>
          </w:p>
          <w:p w14:paraId="70E785EC" w14:textId="77777777" w:rsidR="003A564C" w:rsidRPr="003A564C" w:rsidRDefault="003A564C" w:rsidP="003A564C">
            <w:pPr>
              <w:spacing w:line="240" w:lineRule="auto"/>
              <w:jc w:val="center"/>
              <w:rPr>
                <w:sz w:val="6"/>
                <w:szCs w:val="6"/>
              </w:rPr>
            </w:pPr>
          </w:p>
          <w:p w14:paraId="7998B4DE" w14:textId="2AECF49F" w:rsidR="003A564C" w:rsidRPr="003A564C" w:rsidRDefault="003A564C" w:rsidP="003A564C">
            <w:pPr>
              <w:spacing w:line="240" w:lineRule="auto"/>
              <w:jc w:val="center"/>
            </w:pPr>
          </w:p>
        </w:tc>
        <w:tc>
          <w:tcPr>
            <w:tcW w:w="5340" w:type="dxa"/>
            <w:hideMark/>
          </w:tcPr>
          <w:p w14:paraId="130D2509" w14:textId="77777777" w:rsidR="00C11D5A" w:rsidRPr="00C11D5A" w:rsidRDefault="00C11D5A" w:rsidP="003A564C">
            <w:pPr>
              <w:spacing w:line="240" w:lineRule="auto"/>
              <w:jc w:val="center"/>
              <w:rPr>
                <w:sz w:val="6"/>
                <w:szCs w:val="6"/>
              </w:rPr>
            </w:pPr>
          </w:p>
          <w:p w14:paraId="0B9F0592" w14:textId="2B631443" w:rsidR="003A564C" w:rsidRDefault="003A564C" w:rsidP="003A564C">
            <w:pPr>
              <w:spacing w:line="240" w:lineRule="auto"/>
              <w:jc w:val="center"/>
            </w:pPr>
            <w:r w:rsidRPr="003A564C">
              <w:t xml:space="preserve">Understanding how AI reshapes instructional </w:t>
            </w:r>
          </w:p>
          <w:p w14:paraId="725FA28E" w14:textId="57C06993" w:rsidR="003A564C" w:rsidRPr="003A564C" w:rsidRDefault="003A564C" w:rsidP="003A564C">
            <w:pPr>
              <w:spacing w:line="240" w:lineRule="auto"/>
              <w:jc w:val="center"/>
            </w:pPr>
            <w:r w:rsidRPr="003A564C">
              <w:t>practices and learning design</w:t>
            </w:r>
          </w:p>
        </w:tc>
      </w:tr>
      <w:tr w:rsidR="003A564C" w:rsidRPr="003A564C" w14:paraId="66769241" w14:textId="77777777" w:rsidTr="00C11D5A">
        <w:tc>
          <w:tcPr>
            <w:tcW w:w="353" w:type="dxa"/>
            <w:vAlign w:val="center"/>
            <w:hideMark/>
          </w:tcPr>
          <w:p w14:paraId="5027332B" w14:textId="77777777" w:rsidR="003A564C" w:rsidRPr="003A564C" w:rsidRDefault="003A564C" w:rsidP="00C11D5A">
            <w:pPr>
              <w:spacing w:line="240" w:lineRule="auto"/>
              <w:jc w:val="center"/>
            </w:pPr>
            <w:r w:rsidRPr="003A564C">
              <w:t>3</w:t>
            </w:r>
          </w:p>
        </w:tc>
        <w:tc>
          <w:tcPr>
            <w:tcW w:w="3230" w:type="dxa"/>
            <w:hideMark/>
          </w:tcPr>
          <w:p w14:paraId="6C367C28" w14:textId="77777777" w:rsidR="003A564C" w:rsidRPr="003A564C" w:rsidRDefault="003A564C" w:rsidP="003A564C">
            <w:pPr>
              <w:spacing w:line="240" w:lineRule="auto"/>
              <w:jc w:val="center"/>
              <w:rPr>
                <w:sz w:val="6"/>
                <w:szCs w:val="6"/>
              </w:rPr>
            </w:pPr>
          </w:p>
          <w:p w14:paraId="04706819" w14:textId="74A4AAB9" w:rsidR="003A564C" w:rsidRDefault="003A564C" w:rsidP="003A564C">
            <w:pPr>
              <w:spacing w:line="240" w:lineRule="auto"/>
              <w:jc w:val="center"/>
            </w:pPr>
            <w:r w:rsidRPr="003A564C">
              <w:t>Cognition, metacognition,</w:t>
            </w:r>
          </w:p>
          <w:p w14:paraId="3CFDCCB8" w14:textId="77777777" w:rsidR="003A564C" w:rsidRDefault="003A564C" w:rsidP="003A564C">
            <w:pPr>
              <w:spacing w:line="240" w:lineRule="auto"/>
              <w:jc w:val="center"/>
            </w:pPr>
            <w:r w:rsidRPr="003A564C">
              <w:t>and learning sciences</w:t>
            </w:r>
          </w:p>
          <w:p w14:paraId="38CE886B" w14:textId="77777777" w:rsidR="003A564C" w:rsidRPr="003A564C" w:rsidRDefault="003A564C" w:rsidP="003A564C">
            <w:pPr>
              <w:spacing w:line="240" w:lineRule="auto"/>
              <w:jc w:val="center"/>
              <w:rPr>
                <w:sz w:val="6"/>
                <w:szCs w:val="6"/>
              </w:rPr>
            </w:pPr>
          </w:p>
          <w:p w14:paraId="0AE2D097" w14:textId="17C1E4BA" w:rsidR="003A564C" w:rsidRPr="003A564C" w:rsidRDefault="003A564C" w:rsidP="003A564C">
            <w:pPr>
              <w:spacing w:line="240" w:lineRule="auto"/>
              <w:jc w:val="center"/>
            </w:pPr>
          </w:p>
        </w:tc>
        <w:tc>
          <w:tcPr>
            <w:tcW w:w="5340" w:type="dxa"/>
            <w:hideMark/>
          </w:tcPr>
          <w:p w14:paraId="4A97AF95" w14:textId="77777777" w:rsidR="00C11D5A" w:rsidRPr="00C11D5A" w:rsidRDefault="00C11D5A" w:rsidP="003A564C">
            <w:pPr>
              <w:spacing w:line="240" w:lineRule="auto"/>
              <w:jc w:val="center"/>
              <w:rPr>
                <w:sz w:val="6"/>
                <w:szCs w:val="6"/>
              </w:rPr>
            </w:pPr>
          </w:p>
          <w:p w14:paraId="5B148089" w14:textId="7A5283D0" w:rsidR="003A564C" w:rsidRDefault="003A564C" w:rsidP="003A564C">
            <w:pPr>
              <w:spacing w:line="240" w:lineRule="auto"/>
              <w:jc w:val="center"/>
            </w:pPr>
            <w:r w:rsidRPr="003A564C">
              <w:t xml:space="preserve">Exploring how AI affects thinking, </w:t>
            </w:r>
          </w:p>
          <w:p w14:paraId="3A68EDC6" w14:textId="6EA56B5B" w:rsidR="003A564C" w:rsidRPr="003A564C" w:rsidRDefault="003A564C" w:rsidP="003A564C">
            <w:pPr>
              <w:spacing w:line="240" w:lineRule="auto"/>
              <w:jc w:val="center"/>
            </w:pPr>
            <w:r w:rsidRPr="003A564C">
              <w:t>knowing, and learning processes</w:t>
            </w:r>
          </w:p>
        </w:tc>
      </w:tr>
      <w:tr w:rsidR="003A564C" w:rsidRPr="003A564C" w14:paraId="614671A6" w14:textId="77777777" w:rsidTr="00C11D5A">
        <w:tc>
          <w:tcPr>
            <w:tcW w:w="353" w:type="dxa"/>
            <w:vAlign w:val="center"/>
            <w:hideMark/>
          </w:tcPr>
          <w:p w14:paraId="6DD5B2D5" w14:textId="77777777" w:rsidR="003A564C" w:rsidRPr="003A564C" w:rsidRDefault="003A564C" w:rsidP="00C11D5A">
            <w:pPr>
              <w:spacing w:line="240" w:lineRule="auto"/>
              <w:jc w:val="center"/>
            </w:pPr>
            <w:r w:rsidRPr="003A564C">
              <w:t>4</w:t>
            </w:r>
          </w:p>
        </w:tc>
        <w:tc>
          <w:tcPr>
            <w:tcW w:w="3230" w:type="dxa"/>
            <w:hideMark/>
          </w:tcPr>
          <w:p w14:paraId="74D1FA2A" w14:textId="77777777" w:rsidR="003A564C" w:rsidRPr="003A564C" w:rsidRDefault="003A564C" w:rsidP="003A564C">
            <w:pPr>
              <w:spacing w:line="240" w:lineRule="auto"/>
              <w:jc w:val="center"/>
              <w:rPr>
                <w:sz w:val="6"/>
                <w:szCs w:val="6"/>
              </w:rPr>
            </w:pPr>
          </w:p>
          <w:p w14:paraId="73F71BC3" w14:textId="0145FB9A" w:rsidR="003A564C" w:rsidRDefault="003A564C" w:rsidP="003A564C">
            <w:pPr>
              <w:spacing w:line="240" w:lineRule="auto"/>
              <w:jc w:val="center"/>
            </w:pPr>
            <w:r w:rsidRPr="003A564C">
              <w:t>Equity, inclusion,</w:t>
            </w:r>
          </w:p>
          <w:p w14:paraId="419EDE41" w14:textId="77777777" w:rsidR="003A564C" w:rsidRDefault="003A564C" w:rsidP="003A564C">
            <w:pPr>
              <w:spacing w:line="240" w:lineRule="auto"/>
              <w:jc w:val="center"/>
            </w:pPr>
            <w:r w:rsidRPr="003A564C">
              <w:t>and global justice</w:t>
            </w:r>
          </w:p>
          <w:p w14:paraId="4BF3AC15" w14:textId="77777777" w:rsidR="003A564C" w:rsidRPr="003A564C" w:rsidRDefault="003A564C" w:rsidP="003A564C">
            <w:pPr>
              <w:spacing w:line="240" w:lineRule="auto"/>
              <w:jc w:val="center"/>
              <w:rPr>
                <w:sz w:val="6"/>
                <w:szCs w:val="6"/>
              </w:rPr>
            </w:pPr>
          </w:p>
          <w:p w14:paraId="3A3A92CF" w14:textId="67564738" w:rsidR="003A564C" w:rsidRPr="003A564C" w:rsidRDefault="003A564C" w:rsidP="003A564C">
            <w:pPr>
              <w:spacing w:line="240" w:lineRule="auto"/>
              <w:jc w:val="center"/>
            </w:pPr>
          </w:p>
        </w:tc>
        <w:tc>
          <w:tcPr>
            <w:tcW w:w="5340" w:type="dxa"/>
            <w:hideMark/>
          </w:tcPr>
          <w:p w14:paraId="4F9C28A0" w14:textId="77777777" w:rsidR="00C11D5A" w:rsidRPr="00C11D5A" w:rsidRDefault="00C11D5A" w:rsidP="003A564C">
            <w:pPr>
              <w:spacing w:line="240" w:lineRule="auto"/>
              <w:jc w:val="center"/>
              <w:rPr>
                <w:sz w:val="6"/>
                <w:szCs w:val="6"/>
              </w:rPr>
            </w:pPr>
          </w:p>
          <w:p w14:paraId="112DFED1" w14:textId="3837CC0F" w:rsidR="003A564C" w:rsidRDefault="003A564C" w:rsidP="003A564C">
            <w:pPr>
              <w:spacing w:line="240" w:lineRule="auto"/>
              <w:jc w:val="center"/>
            </w:pPr>
            <w:r w:rsidRPr="003A564C">
              <w:t xml:space="preserve">Addressing </w:t>
            </w:r>
            <w:r>
              <w:t xml:space="preserve">representation, </w:t>
            </w:r>
            <w:r w:rsidRPr="003A564C">
              <w:t xml:space="preserve">bias, </w:t>
            </w:r>
          </w:p>
          <w:p w14:paraId="741EEBBC" w14:textId="5FF69138" w:rsidR="003A564C" w:rsidRPr="003A564C" w:rsidRDefault="003A564C" w:rsidP="003A564C">
            <w:pPr>
              <w:spacing w:line="240" w:lineRule="auto"/>
              <w:jc w:val="center"/>
            </w:pPr>
            <w:r>
              <w:t xml:space="preserve">and access </w:t>
            </w:r>
            <w:r w:rsidRPr="003A564C">
              <w:t>in AI-enabled education</w:t>
            </w:r>
          </w:p>
        </w:tc>
      </w:tr>
      <w:tr w:rsidR="003A564C" w:rsidRPr="003A564C" w14:paraId="34E3144D" w14:textId="77777777" w:rsidTr="00C11D5A">
        <w:tc>
          <w:tcPr>
            <w:tcW w:w="353" w:type="dxa"/>
            <w:vAlign w:val="center"/>
            <w:hideMark/>
          </w:tcPr>
          <w:p w14:paraId="6682CBF0" w14:textId="77777777" w:rsidR="003A564C" w:rsidRPr="003A564C" w:rsidRDefault="003A564C" w:rsidP="00C11D5A">
            <w:pPr>
              <w:spacing w:line="240" w:lineRule="auto"/>
              <w:jc w:val="center"/>
            </w:pPr>
            <w:r w:rsidRPr="003A564C">
              <w:t>5</w:t>
            </w:r>
          </w:p>
        </w:tc>
        <w:tc>
          <w:tcPr>
            <w:tcW w:w="3230" w:type="dxa"/>
            <w:hideMark/>
          </w:tcPr>
          <w:p w14:paraId="11F17DBF" w14:textId="77777777" w:rsidR="003A564C" w:rsidRPr="003A564C" w:rsidRDefault="003A564C" w:rsidP="003A564C">
            <w:pPr>
              <w:spacing w:line="240" w:lineRule="auto"/>
              <w:jc w:val="center"/>
              <w:rPr>
                <w:sz w:val="6"/>
                <w:szCs w:val="6"/>
              </w:rPr>
            </w:pPr>
          </w:p>
          <w:p w14:paraId="5DDA0ACF" w14:textId="36771871" w:rsidR="003A564C" w:rsidRDefault="003A564C" w:rsidP="003A564C">
            <w:pPr>
              <w:spacing w:line="240" w:lineRule="auto"/>
              <w:jc w:val="center"/>
            </w:pPr>
            <w:r w:rsidRPr="003A564C">
              <w:t>Ethics, safety,</w:t>
            </w:r>
          </w:p>
          <w:p w14:paraId="2CF191A1" w14:textId="77777777" w:rsidR="003A564C" w:rsidRDefault="003A564C" w:rsidP="003A564C">
            <w:pPr>
              <w:spacing w:line="240" w:lineRule="auto"/>
              <w:jc w:val="center"/>
            </w:pPr>
            <w:r w:rsidRPr="003A564C">
              <w:t>and integrity</w:t>
            </w:r>
          </w:p>
          <w:p w14:paraId="29CC16A6" w14:textId="77777777" w:rsidR="003A564C" w:rsidRPr="003A564C" w:rsidRDefault="003A564C" w:rsidP="003A564C">
            <w:pPr>
              <w:spacing w:line="240" w:lineRule="auto"/>
              <w:jc w:val="center"/>
              <w:rPr>
                <w:sz w:val="6"/>
                <w:szCs w:val="6"/>
              </w:rPr>
            </w:pPr>
          </w:p>
          <w:p w14:paraId="42D69FD6" w14:textId="69F101AC" w:rsidR="003A564C" w:rsidRPr="003A564C" w:rsidRDefault="003A564C" w:rsidP="003A564C">
            <w:pPr>
              <w:spacing w:line="240" w:lineRule="auto"/>
              <w:jc w:val="center"/>
            </w:pPr>
          </w:p>
        </w:tc>
        <w:tc>
          <w:tcPr>
            <w:tcW w:w="5340" w:type="dxa"/>
            <w:hideMark/>
          </w:tcPr>
          <w:p w14:paraId="128C1E75" w14:textId="77777777" w:rsidR="00C11D5A" w:rsidRPr="00C11D5A" w:rsidRDefault="00C11D5A" w:rsidP="003A564C">
            <w:pPr>
              <w:spacing w:line="240" w:lineRule="auto"/>
              <w:jc w:val="center"/>
              <w:rPr>
                <w:sz w:val="6"/>
                <w:szCs w:val="6"/>
              </w:rPr>
            </w:pPr>
          </w:p>
          <w:p w14:paraId="78A54720" w14:textId="34CF5F69" w:rsidR="003A564C" w:rsidRDefault="003A564C" w:rsidP="003A564C">
            <w:pPr>
              <w:spacing w:line="240" w:lineRule="auto"/>
              <w:jc w:val="center"/>
            </w:pPr>
            <w:r w:rsidRPr="003A564C">
              <w:t xml:space="preserve">Ensuring responsible, safe, and </w:t>
            </w:r>
          </w:p>
          <w:p w14:paraId="3EBEB2ED" w14:textId="2C9559DD" w:rsidR="003A564C" w:rsidRPr="003A564C" w:rsidRDefault="003A564C" w:rsidP="003A564C">
            <w:pPr>
              <w:spacing w:line="240" w:lineRule="auto"/>
              <w:jc w:val="center"/>
            </w:pPr>
            <w:r w:rsidRPr="003A564C">
              <w:t>trustworthy use of AI in education</w:t>
            </w:r>
          </w:p>
        </w:tc>
      </w:tr>
      <w:tr w:rsidR="003A564C" w:rsidRPr="003A564C" w14:paraId="618A2985" w14:textId="77777777" w:rsidTr="00C11D5A">
        <w:tc>
          <w:tcPr>
            <w:tcW w:w="353" w:type="dxa"/>
            <w:vAlign w:val="center"/>
            <w:hideMark/>
          </w:tcPr>
          <w:p w14:paraId="068E9E86" w14:textId="77777777" w:rsidR="003A564C" w:rsidRPr="003A564C" w:rsidRDefault="003A564C" w:rsidP="00C11D5A">
            <w:pPr>
              <w:spacing w:line="240" w:lineRule="auto"/>
              <w:jc w:val="center"/>
            </w:pPr>
            <w:r w:rsidRPr="003A564C">
              <w:lastRenderedPageBreak/>
              <w:t>6</w:t>
            </w:r>
          </w:p>
        </w:tc>
        <w:tc>
          <w:tcPr>
            <w:tcW w:w="3230" w:type="dxa"/>
            <w:hideMark/>
          </w:tcPr>
          <w:p w14:paraId="3F29B47B" w14:textId="77777777" w:rsidR="003A564C" w:rsidRPr="003A564C" w:rsidRDefault="003A564C" w:rsidP="003A564C">
            <w:pPr>
              <w:spacing w:line="240" w:lineRule="auto"/>
              <w:jc w:val="center"/>
              <w:rPr>
                <w:sz w:val="6"/>
                <w:szCs w:val="6"/>
              </w:rPr>
            </w:pPr>
          </w:p>
          <w:p w14:paraId="1F722E5D" w14:textId="7871C1EE" w:rsidR="003A564C" w:rsidRDefault="003A564C" w:rsidP="003A564C">
            <w:pPr>
              <w:spacing w:line="240" w:lineRule="auto"/>
              <w:jc w:val="center"/>
            </w:pPr>
            <w:r w:rsidRPr="003A564C">
              <w:t>Agency, autonomy,</w:t>
            </w:r>
          </w:p>
          <w:p w14:paraId="7A7ACF02" w14:textId="784E7B94" w:rsidR="003A564C" w:rsidRDefault="003A564C" w:rsidP="003A564C">
            <w:pPr>
              <w:spacing w:line="240" w:lineRule="auto"/>
              <w:jc w:val="center"/>
            </w:pPr>
            <w:r w:rsidRPr="003A564C">
              <w:t>and participation</w:t>
            </w:r>
          </w:p>
          <w:p w14:paraId="57661242" w14:textId="77777777" w:rsidR="003A564C" w:rsidRPr="003A564C" w:rsidRDefault="003A564C" w:rsidP="003A564C">
            <w:pPr>
              <w:spacing w:line="240" w:lineRule="auto"/>
              <w:rPr>
                <w:sz w:val="6"/>
                <w:szCs w:val="6"/>
              </w:rPr>
            </w:pPr>
          </w:p>
          <w:p w14:paraId="28643846" w14:textId="10DD938C" w:rsidR="003A564C" w:rsidRPr="003A564C" w:rsidRDefault="003A564C" w:rsidP="003A564C">
            <w:pPr>
              <w:spacing w:line="240" w:lineRule="auto"/>
              <w:jc w:val="center"/>
            </w:pPr>
          </w:p>
        </w:tc>
        <w:tc>
          <w:tcPr>
            <w:tcW w:w="5340" w:type="dxa"/>
            <w:hideMark/>
          </w:tcPr>
          <w:p w14:paraId="4F1C4EBD" w14:textId="77777777" w:rsidR="003A564C" w:rsidRPr="003A564C" w:rsidRDefault="003A564C" w:rsidP="003A564C">
            <w:pPr>
              <w:spacing w:line="240" w:lineRule="auto"/>
              <w:jc w:val="center"/>
              <w:rPr>
                <w:sz w:val="6"/>
                <w:szCs w:val="6"/>
              </w:rPr>
            </w:pPr>
          </w:p>
          <w:p w14:paraId="565E68C0" w14:textId="77777777" w:rsidR="00C11D5A" w:rsidRPr="00C11D5A" w:rsidRDefault="00C11D5A" w:rsidP="003A564C">
            <w:pPr>
              <w:spacing w:line="240" w:lineRule="auto"/>
              <w:jc w:val="center"/>
              <w:rPr>
                <w:sz w:val="6"/>
                <w:szCs w:val="6"/>
              </w:rPr>
            </w:pPr>
          </w:p>
          <w:p w14:paraId="4E6DA3E5" w14:textId="247923C8" w:rsidR="003A564C" w:rsidRDefault="003A564C" w:rsidP="003A564C">
            <w:pPr>
              <w:spacing w:line="240" w:lineRule="auto"/>
              <w:jc w:val="center"/>
            </w:pPr>
            <w:r w:rsidRPr="003A564C">
              <w:t xml:space="preserve">Supporting learner and teacher voice, </w:t>
            </w:r>
          </w:p>
          <w:p w14:paraId="27CF94BF" w14:textId="77A6A0A4" w:rsidR="003A564C" w:rsidRPr="003A564C" w:rsidRDefault="003A564C" w:rsidP="003A564C">
            <w:pPr>
              <w:spacing w:line="240" w:lineRule="auto"/>
              <w:jc w:val="center"/>
            </w:pPr>
            <w:r w:rsidRPr="003A564C">
              <w:t>control, and participation in AI systems</w:t>
            </w:r>
          </w:p>
        </w:tc>
      </w:tr>
      <w:tr w:rsidR="003A564C" w:rsidRPr="003A564C" w14:paraId="45D55F01" w14:textId="77777777" w:rsidTr="00C11D5A">
        <w:tc>
          <w:tcPr>
            <w:tcW w:w="353" w:type="dxa"/>
            <w:vAlign w:val="center"/>
            <w:hideMark/>
          </w:tcPr>
          <w:p w14:paraId="0C67ADC2" w14:textId="77777777" w:rsidR="003A564C" w:rsidRPr="003A564C" w:rsidRDefault="003A564C" w:rsidP="00C11D5A">
            <w:pPr>
              <w:spacing w:line="240" w:lineRule="auto"/>
              <w:jc w:val="center"/>
            </w:pPr>
            <w:r w:rsidRPr="003A564C">
              <w:t>7</w:t>
            </w:r>
          </w:p>
        </w:tc>
        <w:tc>
          <w:tcPr>
            <w:tcW w:w="3230" w:type="dxa"/>
            <w:hideMark/>
          </w:tcPr>
          <w:p w14:paraId="6762D830" w14:textId="77777777" w:rsidR="003A564C" w:rsidRPr="003A564C" w:rsidRDefault="003A564C" w:rsidP="003A564C">
            <w:pPr>
              <w:spacing w:line="240" w:lineRule="auto"/>
              <w:jc w:val="center"/>
              <w:rPr>
                <w:sz w:val="6"/>
                <w:szCs w:val="6"/>
              </w:rPr>
            </w:pPr>
          </w:p>
          <w:p w14:paraId="059494B6" w14:textId="3019C337" w:rsidR="003A564C" w:rsidRDefault="003A564C" w:rsidP="003A564C">
            <w:pPr>
              <w:spacing w:line="240" w:lineRule="auto"/>
              <w:jc w:val="center"/>
            </w:pPr>
            <w:r w:rsidRPr="003A564C">
              <w:t>Assessment, feedback,</w:t>
            </w:r>
          </w:p>
          <w:p w14:paraId="0C908D89" w14:textId="77777777" w:rsidR="003A564C" w:rsidRDefault="003A564C" w:rsidP="003A564C">
            <w:pPr>
              <w:spacing w:line="240" w:lineRule="auto"/>
              <w:jc w:val="center"/>
            </w:pPr>
            <w:r w:rsidRPr="003A564C">
              <w:t>and academic integrity</w:t>
            </w:r>
          </w:p>
          <w:p w14:paraId="3FA6C621" w14:textId="77777777" w:rsidR="003A564C" w:rsidRPr="003A564C" w:rsidRDefault="003A564C" w:rsidP="003A564C">
            <w:pPr>
              <w:spacing w:line="240" w:lineRule="auto"/>
              <w:jc w:val="center"/>
              <w:rPr>
                <w:sz w:val="6"/>
                <w:szCs w:val="6"/>
              </w:rPr>
            </w:pPr>
          </w:p>
          <w:p w14:paraId="0081A82C" w14:textId="1D7AA83B" w:rsidR="003A564C" w:rsidRPr="003A564C" w:rsidRDefault="003A564C" w:rsidP="003A564C">
            <w:pPr>
              <w:spacing w:line="240" w:lineRule="auto"/>
              <w:jc w:val="center"/>
            </w:pPr>
          </w:p>
        </w:tc>
        <w:tc>
          <w:tcPr>
            <w:tcW w:w="5340" w:type="dxa"/>
            <w:hideMark/>
          </w:tcPr>
          <w:p w14:paraId="441F825E" w14:textId="77777777" w:rsidR="00C11D5A" w:rsidRPr="00C11D5A" w:rsidRDefault="00C11D5A" w:rsidP="003A564C">
            <w:pPr>
              <w:spacing w:line="240" w:lineRule="auto"/>
              <w:jc w:val="center"/>
              <w:rPr>
                <w:sz w:val="6"/>
                <w:szCs w:val="6"/>
              </w:rPr>
            </w:pPr>
          </w:p>
          <w:p w14:paraId="6E5382F4" w14:textId="7EE57752" w:rsidR="003A564C" w:rsidRDefault="003A564C" w:rsidP="003A564C">
            <w:pPr>
              <w:spacing w:line="240" w:lineRule="auto"/>
              <w:jc w:val="center"/>
            </w:pPr>
            <w:r w:rsidRPr="003A564C">
              <w:t xml:space="preserve">Rethinking evaluation, authorship, </w:t>
            </w:r>
          </w:p>
          <w:p w14:paraId="091D5869" w14:textId="14D3B45E" w:rsidR="003A564C" w:rsidRPr="003A564C" w:rsidRDefault="003A564C" w:rsidP="003A564C">
            <w:pPr>
              <w:spacing w:line="240" w:lineRule="auto"/>
              <w:jc w:val="center"/>
            </w:pPr>
            <w:r w:rsidRPr="003A564C">
              <w:t>and feedback in AI-mediated contexts</w:t>
            </w:r>
          </w:p>
        </w:tc>
      </w:tr>
      <w:tr w:rsidR="003A564C" w:rsidRPr="003A564C" w14:paraId="22C36D25" w14:textId="77777777" w:rsidTr="00C11D5A">
        <w:tc>
          <w:tcPr>
            <w:tcW w:w="353" w:type="dxa"/>
            <w:vAlign w:val="center"/>
            <w:hideMark/>
          </w:tcPr>
          <w:p w14:paraId="25AA8ACF" w14:textId="77777777" w:rsidR="003A564C" w:rsidRPr="003A564C" w:rsidRDefault="003A564C" w:rsidP="00C11D5A">
            <w:pPr>
              <w:spacing w:line="240" w:lineRule="auto"/>
              <w:jc w:val="center"/>
            </w:pPr>
            <w:r w:rsidRPr="003A564C">
              <w:t>8</w:t>
            </w:r>
          </w:p>
        </w:tc>
        <w:tc>
          <w:tcPr>
            <w:tcW w:w="3230" w:type="dxa"/>
            <w:hideMark/>
          </w:tcPr>
          <w:p w14:paraId="3E702EC7" w14:textId="77777777" w:rsidR="003A564C" w:rsidRPr="003A564C" w:rsidRDefault="003A564C" w:rsidP="003A564C">
            <w:pPr>
              <w:spacing w:line="240" w:lineRule="auto"/>
              <w:jc w:val="center"/>
              <w:rPr>
                <w:sz w:val="6"/>
                <w:szCs w:val="6"/>
              </w:rPr>
            </w:pPr>
          </w:p>
          <w:p w14:paraId="3EA93106" w14:textId="560CA704" w:rsidR="003A564C" w:rsidRDefault="003A564C" w:rsidP="003A564C">
            <w:pPr>
              <w:spacing w:line="240" w:lineRule="auto"/>
              <w:jc w:val="center"/>
            </w:pPr>
            <w:r w:rsidRPr="003A564C">
              <w:t>AI literacy and</w:t>
            </w:r>
          </w:p>
          <w:p w14:paraId="3D9415EF" w14:textId="77777777" w:rsidR="003A564C" w:rsidRDefault="003A564C" w:rsidP="003A564C">
            <w:pPr>
              <w:spacing w:line="240" w:lineRule="auto"/>
              <w:jc w:val="center"/>
            </w:pPr>
            <w:r w:rsidRPr="003A564C">
              <w:t>professional capacity</w:t>
            </w:r>
          </w:p>
          <w:p w14:paraId="28C62816" w14:textId="77777777" w:rsidR="003A564C" w:rsidRPr="003A564C" w:rsidRDefault="003A564C" w:rsidP="003A564C">
            <w:pPr>
              <w:spacing w:line="240" w:lineRule="auto"/>
              <w:jc w:val="center"/>
              <w:rPr>
                <w:sz w:val="6"/>
                <w:szCs w:val="6"/>
              </w:rPr>
            </w:pPr>
          </w:p>
          <w:p w14:paraId="1A9BF67A" w14:textId="7F857A13" w:rsidR="003A564C" w:rsidRPr="003A564C" w:rsidRDefault="003A564C" w:rsidP="003A564C">
            <w:pPr>
              <w:spacing w:line="240" w:lineRule="auto"/>
              <w:jc w:val="center"/>
            </w:pPr>
          </w:p>
        </w:tc>
        <w:tc>
          <w:tcPr>
            <w:tcW w:w="5340" w:type="dxa"/>
            <w:hideMark/>
          </w:tcPr>
          <w:p w14:paraId="33A50422" w14:textId="77777777" w:rsidR="00C11D5A" w:rsidRPr="00C11D5A" w:rsidRDefault="00C11D5A" w:rsidP="003A564C">
            <w:pPr>
              <w:spacing w:line="240" w:lineRule="auto"/>
              <w:jc w:val="center"/>
              <w:rPr>
                <w:sz w:val="6"/>
                <w:szCs w:val="6"/>
              </w:rPr>
            </w:pPr>
          </w:p>
          <w:p w14:paraId="739E9458" w14:textId="07D93A7A" w:rsidR="003A564C" w:rsidRDefault="003A564C" w:rsidP="003A564C">
            <w:pPr>
              <w:spacing w:line="240" w:lineRule="auto"/>
              <w:jc w:val="center"/>
            </w:pPr>
            <w:r w:rsidRPr="003A564C">
              <w:t xml:space="preserve">Developing competencies for </w:t>
            </w:r>
          </w:p>
          <w:p w14:paraId="6C4B608A" w14:textId="579E6BE8" w:rsidR="003A564C" w:rsidRPr="003A564C" w:rsidRDefault="003A564C" w:rsidP="003A564C">
            <w:pPr>
              <w:spacing w:line="240" w:lineRule="auto"/>
              <w:jc w:val="center"/>
            </w:pPr>
            <w:r w:rsidRPr="003A564C">
              <w:t>teachers, learners, and stakeholders</w:t>
            </w:r>
          </w:p>
        </w:tc>
      </w:tr>
      <w:tr w:rsidR="003A564C" w:rsidRPr="003A564C" w14:paraId="3DAB6C72" w14:textId="77777777" w:rsidTr="00C11D5A">
        <w:tc>
          <w:tcPr>
            <w:tcW w:w="353" w:type="dxa"/>
            <w:vAlign w:val="center"/>
            <w:hideMark/>
          </w:tcPr>
          <w:p w14:paraId="3E3EE435" w14:textId="77777777" w:rsidR="003A564C" w:rsidRPr="003A564C" w:rsidRDefault="003A564C" w:rsidP="00C11D5A">
            <w:pPr>
              <w:spacing w:line="240" w:lineRule="auto"/>
              <w:jc w:val="center"/>
            </w:pPr>
            <w:r w:rsidRPr="003A564C">
              <w:t>9</w:t>
            </w:r>
          </w:p>
        </w:tc>
        <w:tc>
          <w:tcPr>
            <w:tcW w:w="3230" w:type="dxa"/>
            <w:hideMark/>
          </w:tcPr>
          <w:p w14:paraId="77B1B4B4" w14:textId="77777777" w:rsidR="003A564C" w:rsidRPr="003A564C" w:rsidRDefault="003A564C" w:rsidP="003A564C">
            <w:pPr>
              <w:spacing w:line="240" w:lineRule="auto"/>
              <w:jc w:val="center"/>
              <w:rPr>
                <w:sz w:val="6"/>
                <w:szCs w:val="6"/>
              </w:rPr>
            </w:pPr>
          </w:p>
          <w:p w14:paraId="255FC12E" w14:textId="70BF5877" w:rsidR="003A564C" w:rsidRDefault="003A564C" w:rsidP="003A564C">
            <w:pPr>
              <w:spacing w:line="240" w:lineRule="auto"/>
              <w:jc w:val="center"/>
            </w:pPr>
            <w:r w:rsidRPr="003A564C">
              <w:t>Future of education,</w:t>
            </w:r>
          </w:p>
          <w:p w14:paraId="2B58FF98" w14:textId="77777777" w:rsidR="003A564C" w:rsidRDefault="003A564C" w:rsidP="003A564C">
            <w:pPr>
              <w:spacing w:line="240" w:lineRule="auto"/>
              <w:jc w:val="center"/>
            </w:pPr>
            <w:r w:rsidRPr="003A564C">
              <w:t>work, and institutions</w:t>
            </w:r>
          </w:p>
          <w:p w14:paraId="30C9C0CC" w14:textId="77777777" w:rsidR="003A564C" w:rsidRPr="003A564C" w:rsidRDefault="003A564C" w:rsidP="003A564C">
            <w:pPr>
              <w:spacing w:line="240" w:lineRule="auto"/>
              <w:jc w:val="center"/>
              <w:rPr>
                <w:sz w:val="6"/>
                <w:szCs w:val="6"/>
              </w:rPr>
            </w:pPr>
          </w:p>
          <w:p w14:paraId="0DC58ED6" w14:textId="7BCA9269" w:rsidR="003A564C" w:rsidRPr="003A564C" w:rsidRDefault="003A564C" w:rsidP="003A564C">
            <w:pPr>
              <w:spacing w:line="240" w:lineRule="auto"/>
              <w:jc w:val="center"/>
            </w:pPr>
          </w:p>
        </w:tc>
        <w:tc>
          <w:tcPr>
            <w:tcW w:w="5340" w:type="dxa"/>
            <w:hideMark/>
          </w:tcPr>
          <w:p w14:paraId="7354A226" w14:textId="77777777" w:rsidR="00C11D5A" w:rsidRPr="00C11D5A" w:rsidRDefault="00C11D5A" w:rsidP="003A564C">
            <w:pPr>
              <w:spacing w:line="240" w:lineRule="auto"/>
              <w:jc w:val="center"/>
              <w:rPr>
                <w:sz w:val="6"/>
                <w:szCs w:val="6"/>
              </w:rPr>
            </w:pPr>
          </w:p>
          <w:p w14:paraId="1E09E752" w14:textId="5C9C4D76" w:rsidR="003A564C" w:rsidRDefault="003A564C" w:rsidP="003A564C">
            <w:pPr>
              <w:spacing w:line="240" w:lineRule="auto"/>
              <w:jc w:val="center"/>
            </w:pPr>
            <w:r w:rsidRPr="003A564C">
              <w:t xml:space="preserve">Understanding long-term systemic </w:t>
            </w:r>
          </w:p>
          <w:p w14:paraId="6F056974" w14:textId="25ADF7D8" w:rsidR="003A564C" w:rsidRPr="003A564C" w:rsidRDefault="003A564C" w:rsidP="003A564C">
            <w:pPr>
              <w:spacing w:line="240" w:lineRule="auto"/>
              <w:jc w:val="center"/>
            </w:pPr>
            <w:r w:rsidRPr="003A564C">
              <w:t>and labour market implications</w:t>
            </w:r>
          </w:p>
        </w:tc>
      </w:tr>
      <w:tr w:rsidR="003A564C" w:rsidRPr="003A564C" w14:paraId="0849EFE4" w14:textId="77777777" w:rsidTr="00C11D5A">
        <w:tc>
          <w:tcPr>
            <w:tcW w:w="353" w:type="dxa"/>
            <w:vAlign w:val="center"/>
            <w:hideMark/>
          </w:tcPr>
          <w:p w14:paraId="746C1B11" w14:textId="77777777" w:rsidR="003A564C" w:rsidRPr="003A564C" w:rsidRDefault="003A564C" w:rsidP="00C11D5A">
            <w:pPr>
              <w:spacing w:line="240" w:lineRule="auto"/>
              <w:jc w:val="center"/>
            </w:pPr>
            <w:r w:rsidRPr="003A564C">
              <w:t>10</w:t>
            </w:r>
          </w:p>
        </w:tc>
        <w:tc>
          <w:tcPr>
            <w:tcW w:w="3230" w:type="dxa"/>
            <w:hideMark/>
          </w:tcPr>
          <w:p w14:paraId="5F292C0D" w14:textId="77777777" w:rsidR="003A564C" w:rsidRPr="003A564C" w:rsidRDefault="003A564C" w:rsidP="003A564C">
            <w:pPr>
              <w:spacing w:line="240" w:lineRule="auto"/>
              <w:jc w:val="center"/>
              <w:rPr>
                <w:sz w:val="6"/>
                <w:szCs w:val="6"/>
              </w:rPr>
            </w:pPr>
          </w:p>
          <w:p w14:paraId="63E93309" w14:textId="776E57BF" w:rsidR="003A564C" w:rsidRDefault="003A564C" w:rsidP="003A564C">
            <w:pPr>
              <w:spacing w:line="240" w:lineRule="auto"/>
              <w:jc w:val="center"/>
            </w:pPr>
            <w:r w:rsidRPr="003A564C">
              <w:t>Governance, policy,</w:t>
            </w:r>
          </w:p>
          <w:p w14:paraId="15C4A984" w14:textId="77777777" w:rsidR="003A564C" w:rsidRDefault="003A564C" w:rsidP="003A564C">
            <w:pPr>
              <w:spacing w:line="240" w:lineRule="auto"/>
              <w:jc w:val="center"/>
            </w:pPr>
            <w:r w:rsidRPr="003A564C">
              <w:t>and systems design</w:t>
            </w:r>
          </w:p>
          <w:p w14:paraId="6AD33409" w14:textId="77777777" w:rsidR="003A564C" w:rsidRPr="003A564C" w:rsidRDefault="003A564C" w:rsidP="003A564C">
            <w:pPr>
              <w:spacing w:line="240" w:lineRule="auto"/>
              <w:jc w:val="center"/>
              <w:rPr>
                <w:sz w:val="6"/>
                <w:szCs w:val="6"/>
              </w:rPr>
            </w:pPr>
          </w:p>
          <w:p w14:paraId="72574A37" w14:textId="6582BF13" w:rsidR="003A564C" w:rsidRPr="003A564C" w:rsidRDefault="003A564C" w:rsidP="003A564C">
            <w:pPr>
              <w:spacing w:line="240" w:lineRule="auto"/>
              <w:jc w:val="center"/>
            </w:pPr>
          </w:p>
        </w:tc>
        <w:tc>
          <w:tcPr>
            <w:tcW w:w="5340" w:type="dxa"/>
            <w:hideMark/>
          </w:tcPr>
          <w:p w14:paraId="1B151FB9" w14:textId="77777777" w:rsidR="00C11D5A" w:rsidRPr="00C11D5A" w:rsidRDefault="00C11D5A" w:rsidP="003A564C">
            <w:pPr>
              <w:spacing w:line="240" w:lineRule="auto"/>
              <w:jc w:val="center"/>
              <w:rPr>
                <w:sz w:val="6"/>
                <w:szCs w:val="6"/>
              </w:rPr>
            </w:pPr>
          </w:p>
          <w:p w14:paraId="6B34BA65" w14:textId="10DD766E" w:rsidR="003A564C" w:rsidRDefault="003A564C" w:rsidP="003A564C">
            <w:pPr>
              <w:spacing w:line="240" w:lineRule="auto"/>
              <w:jc w:val="center"/>
            </w:pPr>
            <w:r w:rsidRPr="003A564C">
              <w:t xml:space="preserve">Designing regulatory, institutional, </w:t>
            </w:r>
          </w:p>
          <w:p w14:paraId="19C727AE" w14:textId="7CFC040F" w:rsidR="003A564C" w:rsidRPr="003A564C" w:rsidRDefault="003A564C" w:rsidP="003A564C">
            <w:pPr>
              <w:spacing w:line="240" w:lineRule="auto"/>
              <w:jc w:val="center"/>
            </w:pPr>
            <w:r w:rsidRPr="003A564C">
              <w:t>and policy responses to AI in education</w:t>
            </w:r>
          </w:p>
        </w:tc>
      </w:tr>
    </w:tbl>
    <w:p w14:paraId="0620A27F" w14:textId="77777777" w:rsidR="00C11D5A" w:rsidRPr="00C11D5A" w:rsidRDefault="00C11D5A" w:rsidP="00C11D5A">
      <w:pPr>
        <w:jc w:val="right"/>
        <w:rPr>
          <w:i/>
          <w:iCs/>
          <w:sz w:val="6"/>
          <w:szCs w:val="6"/>
        </w:rPr>
      </w:pPr>
    </w:p>
    <w:p w14:paraId="70F13658" w14:textId="70BEAF4C" w:rsidR="00C11D5A" w:rsidRDefault="00C11D5A" w:rsidP="00C11D5A">
      <w:pPr>
        <w:jc w:val="right"/>
        <w:rPr>
          <w:i/>
          <w:iCs/>
          <w:sz w:val="20"/>
          <w:szCs w:val="20"/>
        </w:rPr>
      </w:pPr>
      <w:r w:rsidRPr="00C11D5A">
        <w:rPr>
          <w:i/>
          <w:iCs/>
          <w:sz w:val="20"/>
          <w:szCs w:val="20"/>
        </w:rPr>
        <w:t>AIEOU Shared Research Agenda (Ratner et al., 2026)</w:t>
      </w:r>
    </w:p>
    <w:p w14:paraId="6F5F5E69" w14:textId="77777777" w:rsidR="00C11D5A" w:rsidRPr="00C11D5A" w:rsidRDefault="00C11D5A" w:rsidP="00C11D5A">
      <w:pPr>
        <w:jc w:val="right"/>
        <w:rPr>
          <w:i/>
          <w:iCs/>
          <w:sz w:val="20"/>
          <w:szCs w:val="20"/>
        </w:rPr>
      </w:pPr>
    </w:p>
    <w:p w14:paraId="35A05A36" w14:textId="77777777" w:rsidR="003204BD" w:rsidRDefault="004164C9" w:rsidP="001F41FD">
      <w:r>
        <w:t xml:space="preserve">Several </w:t>
      </w:r>
      <w:r w:rsidR="00352277">
        <w:t>findings emerged</w:t>
      </w:r>
      <w:r>
        <w:t xml:space="preserve"> from this process.</w:t>
      </w:r>
      <w:r w:rsidR="001F41FD" w:rsidRPr="001F41FD">
        <w:t xml:space="preserve"> First, there is deep uncertainty around assessment, authorship, and academic integrity. Second, there are significant concerns about equity, bias, and whose knowledge is privileged within AI systems. Third, there is a clear demand for guidance that supports responsible innovation without constraining professional judgement (Ratner et al., 2026).</w:t>
      </w:r>
      <w:r w:rsidR="00B223DC">
        <w:t xml:space="preserve"> </w:t>
      </w:r>
      <w:r w:rsidR="001F41FD" w:rsidRPr="001F41FD">
        <w:t>Taken together, these concerns point to a more fundamental shift. Artificial intelligence is altering the conditions under which knowledge is produced, evaluated, and shared. It is changing not only what students learn, but how they come to know.</w:t>
      </w:r>
      <w:r w:rsidR="00B223DC">
        <w:t xml:space="preserve"> </w:t>
      </w:r>
      <w:r w:rsidR="001F41FD" w:rsidRPr="001F41FD">
        <w:t>This requires us to move beyond questions of implementation towards questions of epistemology. What counts as knowledge in an AI-mediated world? How is authority established? How do learners and teachers evaluate the reliability of information that is generated, rather than retrieved?</w:t>
      </w:r>
      <w:r w:rsidR="006569D1">
        <w:t xml:space="preserve"> </w:t>
      </w:r>
    </w:p>
    <w:p w14:paraId="631CE32D" w14:textId="108C28D0" w:rsidR="00A418CE" w:rsidRDefault="00A418CE" w:rsidP="001F41FD">
      <w:r>
        <w:t xml:space="preserve">This process is </w:t>
      </w:r>
      <w:r w:rsidR="009F6685">
        <w:t xml:space="preserve">also </w:t>
      </w:r>
      <w:r>
        <w:t>evident in the</w:t>
      </w:r>
      <w:r w:rsidRPr="00C11D5A">
        <w:t xml:space="preserve"> final years of schooling</w:t>
      </w:r>
      <w:r>
        <w:t xml:space="preserve"> where</w:t>
      </w:r>
      <w:r w:rsidRPr="00C11D5A">
        <w:t xml:space="preserve"> calibration is developmental, as students begin to move from certainty towards more nuanced and accurate self-judgement.</w:t>
      </w:r>
      <w:r>
        <w:t xml:space="preserve"> </w:t>
      </w:r>
      <w:r w:rsidRPr="001F41FD">
        <w:t>It can be seen in university interview preparation, in extended essays, and in the gradual shift from certainty to nuance. Learners begin to move beyond simply producing answers towards evaluating their own thinking.</w:t>
      </w:r>
      <w:r>
        <w:t xml:space="preserve"> </w:t>
      </w:r>
      <w:r w:rsidRPr="001F41FD">
        <w:t>Research on metacognition and self-regulated learning shows that high-performing learners monitor and adjust their thinking actively</w:t>
      </w:r>
      <w:r>
        <w:t xml:space="preserve"> (Flavell, 1979; Zimmerman, 2002)</w:t>
      </w:r>
      <w:r w:rsidRPr="001F41FD">
        <w:t>. They ask themselves not only what the answer is, but how confident they are, and why.</w:t>
      </w:r>
      <w:r>
        <w:t xml:space="preserve"> </w:t>
      </w:r>
      <w:r w:rsidR="009F6685">
        <w:t>AI</w:t>
      </w:r>
      <w:r w:rsidRPr="001F41FD">
        <w:t xml:space="preserve"> complicates this dynamic</w:t>
      </w:r>
      <w:r>
        <w:t xml:space="preserve"> considerably when</w:t>
      </w:r>
      <w:r w:rsidRPr="001F41FD">
        <w:t xml:space="preserve"> generative system</w:t>
      </w:r>
      <w:r>
        <w:t>s</w:t>
      </w:r>
      <w:r w:rsidRPr="001F41FD">
        <w:t xml:space="preserve"> produce fluent answers instantly</w:t>
      </w:r>
      <w:r>
        <w:t xml:space="preserve">, a false </w:t>
      </w:r>
      <w:r w:rsidRPr="001F41FD">
        <w:t>illusion of mastery</w:t>
      </w:r>
      <w:r>
        <w:t xml:space="preserve"> is created</w:t>
      </w:r>
      <w:r w:rsidRPr="001F41FD">
        <w:t>. Students may feel confident because the output is polished</w:t>
      </w:r>
      <w:r>
        <w:t xml:space="preserve"> yet</w:t>
      </w:r>
      <w:r w:rsidRPr="001F41FD">
        <w:t xml:space="preserve"> epistemic confidence</w:t>
      </w:r>
      <w:r w:rsidR="009F6685">
        <w:t xml:space="preserve"> when working with AI</w:t>
      </w:r>
      <w:r w:rsidRPr="001F41FD">
        <w:t xml:space="preserve"> requires something deeper</w:t>
      </w:r>
      <w:r>
        <w:t>,</w:t>
      </w:r>
      <w:r w:rsidRPr="001F41FD">
        <w:t xml:space="preserve"> the ability to evaluate that output critically.</w:t>
      </w:r>
    </w:p>
    <w:p w14:paraId="7F9C0C25" w14:textId="1034A875" w:rsidR="009F6685" w:rsidRDefault="009F6685" w:rsidP="001F41FD">
      <w:r w:rsidRPr="001F41FD">
        <w:lastRenderedPageBreak/>
        <w:t xml:space="preserve">Learning is often most powerful in the space of ‘almost knowing’, where understanding is within reach </w:t>
      </w:r>
      <w:r>
        <w:t xml:space="preserve">with support </w:t>
      </w:r>
      <w:r w:rsidRPr="001F41FD">
        <w:t>but not yet complete</w:t>
      </w:r>
      <w:r>
        <w:t xml:space="preserve"> (Vygotsky, 1978; Metcalfe, 2017)</w:t>
      </w:r>
      <w:r w:rsidRPr="001F41FD">
        <w:t>. When learners experience this state, curiosity increases. When a high-confidence answer is revealed to be incorrect, the desire to understand intensifies</w:t>
      </w:r>
      <w:r>
        <w:t xml:space="preserve"> and t</w:t>
      </w:r>
      <w:r w:rsidRPr="00DB4D08">
        <w:t>he implications of this for AI-mediated learning are significant.</w:t>
      </w:r>
      <w:r w:rsidRPr="001F41FD">
        <w:t xml:space="preserve"> If AI eliminates the experience of ‘almost knowing’ by delivering complete answers immediately, we risk flattening curiosity. If, however, AI is used to expose gaps, surface uncertainty, and provoke critique, it may amplify metacognitive growth.</w:t>
      </w:r>
      <w:r>
        <w:t xml:space="preserve"> </w:t>
      </w:r>
      <w:r w:rsidRPr="001F41FD">
        <w:t>The</w:t>
      </w:r>
      <w:r>
        <w:t>refore, the</w:t>
      </w:r>
      <w:r w:rsidRPr="001F41FD">
        <w:t xml:space="preserve"> goal is not to remove uncertainty, but to help students inhabit it productively.</w:t>
      </w:r>
      <w:r>
        <w:t xml:space="preserve"> </w:t>
      </w:r>
      <w:r w:rsidRPr="001F41FD">
        <w:t>For teachers this creates a new professional responsibility</w:t>
      </w:r>
      <w:r>
        <w:t>, t</w:t>
      </w:r>
      <w:r w:rsidRPr="001F41FD">
        <w:t>hey must design environments in which students can develop epistemic confidence in the presence of AI.</w:t>
      </w:r>
    </w:p>
    <w:p w14:paraId="1B95DCF6" w14:textId="257B51A0" w:rsidR="008E2842" w:rsidRDefault="00611A9D" w:rsidP="00611A9D">
      <w:pPr>
        <w:pStyle w:val="Heading2"/>
      </w:pPr>
      <w:r>
        <w:t xml:space="preserve">Ongoing Adjustment </w:t>
      </w:r>
    </w:p>
    <w:p w14:paraId="7EF57E19" w14:textId="77777777" w:rsidR="00F2120D" w:rsidRPr="00F2120D" w:rsidRDefault="00F2120D" w:rsidP="00F2120D">
      <w:r w:rsidRPr="00F2120D">
        <w:t>When navigating the ocean, the sailor must continually adjust to changing conditions, reading the wind, responding to currents, and setting their sails accordingly. The course is not fixed, but responsive. Attentiveness to context is therefore essential. In education, this means recognising that learning unfolds within dynamic social, cultural, and technological conditions that are constantly evolving.</w:t>
      </w:r>
    </w:p>
    <w:p w14:paraId="2AF372EE" w14:textId="77777777" w:rsidR="00F2120D" w:rsidRPr="00F2120D" w:rsidRDefault="00F2120D" w:rsidP="00F2120D">
      <w:r w:rsidRPr="00F2120D">
        <w:t>In the context of AI, this need for ongoing adjustment becomes more pronounced. Tools are updated, capabilities shift, and new ethical and pedagogical challenges emerge at pace. What may be considered appropriate use in one moment or setting may require reconsideration in another. As such, professional practice cannot be governed solely by static rules or predefined procedures. It requires the capacity to interpret context, respond to change, and exercise judgement in real time.</w:t>
      </w:r>
    </w:p>
    <w:p w14:paraId="588CD306" w14:textId="77777777" w:rsidR="00F2120D" w:rsidRPr="00F2120D" w:rsidRDefault="00F2120D" w:rsidP="00F2120D">
      <w:r w:rsidRPr="00F2120D">
        <w:t>Collective intelligence becomes critical in this process. Knowledge is not constructed in isolation, but through dialogue, shared inquiry, and the exchange of perspectives across educators, institutions, and systems. The AIEOU shared research agenda illustrates how such collaborative processes can surface diverse priorities and generate more robust understandings of complex challenges (Ratner et al., 2026). In this sense, navigating uncertainty is not an individual task, but a collective endeavour.</w:t>
      </w:r>
    </w:p>
    <w:p w14:paraId="2D8880B8" w14:textId="77777777" w:rsidR="00F2120D" w:rsidRPr="00F2120D" w:rsidRDefault="00F2120D" w:rsidP="00F2120D">
      <w:r w:rsidRPr="00F2120D">
        <w:t>For educators, this means developing practices that are iterative and reflective, where decisions are revisited, assumptions are questioned, and approaches are adapted in light of new evidence. For systems, it requires creating the conditions in which such professional learning can occur.</w:t>
      </w:r>
    </w:p>
    <w:p w14:paraId="68BEF021" w14:textId="77777777" w:rsidR="00F2120D" w:rsidRPr="00F2120D" w:rsidRDefault="00F2120D" w:rsidP="00F2120D">
      <w:r w:rsidRPr="00F2120D">
        <w:t xml:space="preserve">This has significant implications for regulators. If the landscape is dynamic, then regulatory approaches must also be adaptive. Rather than relying solely on fixed standards, there is a </w:t>
      </w:r>
      <w:r w:rsidRPr="00F2120D">
        <w:lastRenderedPageBreak/>
        <w:t>need for frameworks that support ongoing learning, professional dialogue, and responsible experimentation. Governance, in this context, becomes less about prescribing uniform responses and more about enabling informed and context-sensitive judgement.</w:t>
      </w:r>
    </w:p>
    <w:p w14:paraId="000F014D" w14:textId="4AEE1112" w:rsidR="00F2120D" w:rsidRPr="00F2120D" w:rsidRDefault="00F2120D" w:rsidP="00F2120D">
      <w:r w:rsidRPr="00F2120D">
        <w:t>Ongoing adjustment, therefore, is not simply a response to complexity. It is a professional stance. It reflects the capacity to navigate uncertainty with awareness, responsiveness, and a commitment to continuous learning. For teacher regulatory authorities, the challenge is to design systems that do not constrain this capacity</w:t>
      </w:r>
      <w:r w:rsidR="0029250C">
        <w:t xml:space="preserve"> </w:t>
      </w:r>
      <w:r w:rsidRPr="00F2120D">
        <w:t>but actively support it.</w:t>
      </w:r>
    </w:p>
    <w:p w14:paraId="01E3197B" w14:textId="77777777" w:rsidR="001F41FD" w:rsidRPr="001F41FD" w:rsidRDefault="001F41FD" w:rsidP="001F41FD">
      <w:pPr>
        <w:rPr>
          <w:b/>
          <w:bCs/>
        </w:rPr>
      </w:pPr>
      <w:r w:rsidRPr="001F41FD">
        <w:rPr>
          <w:b/>
          <w:bCs/>
        </w:rPr>
        <w:t>Reframing Teacher Professionalism Through AI Competencies</w:t>
      </w:r>
    </w:p>
    <w:p w14:paraId="629915E4" w14:textId="1C601975" w:rsidR="001F41FD" w:rsidRDefault="001F41FD" w:rsidP="001F41FD">
      <w:r w:rsidRPr="001F41FD">
        <w:t xml:space="preserve">Global </w:t>
      </w:r>
      <w:r w:rsidR="00EC2733">
        <w:t xml:space="preserve">policy makers </w:t>
      </w:r>
      <w:r w:rsidRPr="001F41FD">
        <w:t>have begun to recognise the scale of this transformation</w:t>
      </w:r>
      <w:r w:rsidR="00EC2733">
        <w:t xml:space="preserve"> and</w:t>
      </w:r>
      <w:r w:rsidRPr="001F41FD">
        <w:t xml:space="preserve"> </w:t>
      </w:r>
      <w:r w:rsidR="00EC2733">
        <w:t>t</w:t>
      </w:r>
      <w:r w:rsidRPr="001F41FD">
        <w:t xml:space="preserve">he </w:t>
      </w:r>
      <w:r w:rsidR="009F6685">
        <w:t xml:space="preserve">complexity of navigating it in schools and classrooms around the world. The </w:t>
      </w:r>
      <w:r w:rsidRPr="001F41FD">
        <w:t xml:space="preserve">UNESCO AI Competency Framework for Teachers (UNESCO, 2024) </w:t>
      </w:r>
      <w:r w:rsidR="00EC2733">
        <w:t xml:space="preserve">was a field shaping attempt to </w:t>
      </w:r>
      <w:r w:rsidRPr="001F41FD">
        <w:t>provide a comprehensive articulation of the knowledge, skills, values, and attitudes required for teachers to work effectively with AI.</w:t>
      </w:r>
      <w:r w:rsidR="00074288">
        <w:t xml:space="preserve"> </w:t>
      </w:r>
      <w:r w:rsidRPr="001F41FD">
        <w:t>The framework is structured around five interrelated competency areas: a human-centred mindset, ethics of AI, AI foundations and applications, AI pedagogy, and AI for professional development (UNESCO, 2024). These competencies develop progressively from acquisition to deepening and creation</w:t>
      </w:r>
      <w:r w:rsidR="00C11D5A">
        <w:t xml:space="preserve"> as shown in Figure 1.</w:t>
      </w:r>
    </w:p>
    <w:p w14:paraId="2C18BCD6" w14:textId="567C9000" w:rsidR="00C11D5A" w:rsidRDefault="00C11D5A" w:rsidP="001F41FD">
      <w:pPr>
        <w:rPr>
          <w:b/>
          <w:bCs/>
        </w:rPr>
      </w:pPr>
      <w:r w:rsidRPr="00C11D5A">
        <w:rPr>
          <w:b/>
          <w:bCs/>
        </w:rPr>
        <w:t xml:space="preserve">Figure 1. Competencies and Progress </w:t>
      </w:r>
      <w:r>
        <w:rPr>
          <w:b/>
          <w:bCs/>
        </w:rPr>
        <w:t xml:space="preserve">Stages </w:t>
      </w:r>
      <w:r w:rsidRPr="00C11D5A">
        <w:rPr>
          <w:b/>
          <w:bCs/>
        </w:rPr>
        <w:t xml:space="preserve">in the </w:t>
      </w:r>
      <w:r>
        <w:rPr>
          <w:b/>
          <w:bCs/>
        </w:rPr>
        <w:t xml:space="preserve">UNESCO </w:t>
      </w:r>
      <w:r w:rsidR="00074288">
        <w:rPr>
          <w:b/>
          <w:bCs/>
        </w:rPr>
        <w:t xml:space="preserve">Framework </w:t>
      </w:r>
    </w:p>
    <w:p w14:paraId="0FE6B66A" w14:textId="43410394" w:rsidR="00C11D5A" w:rsidRPr="001F41FD" w:rsidRDefault="00C4768C" w:rsidP="00C4768C">
      <w:pPr>
        <w:jc w:val="center"/>
        <w:rPr>
          <w:b/>
          <w:bCs/>
        </w:rPr>
      </w:pPr>
      <w:r w:rsidRPr="00C4768C">
        <w:rPr>
          <w:b/>
          <w:bCs/>
          <w:noProof/>
        </w:rPr>
        <w:drawing>
          <wp:inline distT="0" distB="0" distL="0" distR="0" wp14:anchorId="2BE7AA7F" wp14:editId="40684B94">
            <wp:extent cx="3192630" cy="2626918"/>
            <wp:effectExtent l="0" t="0" r="0" b="0"/>
            <wp:docPr id="13597102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710251" name=""/>
                    <pic:cNvPicPr/>
                  </pic:nvPicPr>
                  <pic:blipFill>
                    <a:blip r:embed="rId7"/>
                    <a:stretch>
                      <a:fillRect/>
                    </a:stretch>
                  </pic:blipFill>
                  <pic:spPr>
                    <a:xfrm>
                      <a:off x="0" y="0"/>
                      <a:ext cx="3201920" cy="2634562"/>
                    </a:xfrm>
                    <a:prstGeom prst="rect">
                      <a:avLst/>
                    </a:prstGeom>
                  </pic:spPr>
                </pic:pic>
              </a:graphicData>
            </a:graphic>
          </wp:inline>
        </w:drawing>
      </w:r>
    </w:p>
    <w:p w14:paraId="12F7A478" w14:textId="3C5D2043" w:rsidR="001F41FD" w:rsidRPr="001F41FD" w:rsidRDefault="001F41FD" w:rsidP="001F41FD">
      <w:r w:rsidRPr="001F41FD">
        <w:t>What is particularly significant</w:t>
      </w:r>
      <w:r w:rsidR="002C4236">
        <w:t xml:space="preserve"> throughout the UNESCO Competency Framework for teachers</w:t>
      </w:r>
      <w:r w:rsidRPr="001F41FD">
        <w:t xml:space="preserve"> is the emphasis on human agency, ethical judgement, and critical engagement</w:t>
      </w:r>
      <w:r w:rsidR="00091279">
        <w:t xml:space="preserve"> (UNESCO, 2024)</w:t>
      </w:r>
      <w:r w:rsidRPr="001F41FD">
        <w:t xml:space="preserve">. </w:t>
      </w:r>
      <w:r w:rsidR="009A0BE3">
        <w:t>It</w:t>
      </w:r>
      <w:r w:rsidRPr="001F41FD">
        <w:t xml:space="preserve"> recognises that AI systems can introduce bias, undermine privacy, and reshape decision-making processes</w:t>
      </w:r>
      <w:r w:rsidR="009A0BE3">
        <w:t xml:space="preserve"> whilst </w:t>
      </w:r>
      <w:r w:rsidRPr="001F41FD">
        <w:t>position</w:t>
      </w:r>
      <w:r w:rsidR="009A0BE3">
        <w:t>ing</w:t>
      </w:r>
      <w:r w:rsidRPr="001F41FD">
        <w:t xml:space="preserve"> teachers as active mediators of</w:t>
      </w:r>
      <w:r w:rsidR="009A0BE3">
        <w:t xml:space="preserve"> AI tools </w:t>
      </w:r>
      <w:r w:rsidR="00A20375">
        <w:t xml:space="preserve">in the classroom rather than passive recipients. </w:t>
      </w:r>
      <w:r w:rsidRPr="001F41FD">
        <w:t xml:space="preserve">This </w:t>
      </w:r>
      <w:r w:rsidR="00A20375">
        <w:t xml:space="preserve">approach </w:t>
      </w:r>
      <w:r w:rsidRPr="001F41FD">
        <w:t>reflects a shift in how teacher professionalism is conceptualised</w:t>
      </w:r>
      <w:r w:rsidR="00F62648">
        <w:t xml:space="preserve"> as t</w:t>
      </w:r>
      <w:r w:rsidRPr="001F41FD">
        <w:t xml:space="preserve">eachers are no longer defined solely by </w:t>
      </w:r>
      <w:r w:rsidRPr="001F41FD">
        <w:lastRenderedPageBreak/>
        <w:t>subject knowledge or pedagogical technique. They are increasingly required to act as designers of learning environments, evaluators of AI-generated content, and ethical agents responsible for safeguarding student learning and wellbeing.</w:t>
      </w:r>
      <w:r w:rsidR="00F62648">
        <w:t xml:space="preserve"> A significant role that requires capacity building through training, good governance and regulation. </w:t>
      </w:r>
    </w:p>
    <w:p w14:paraId="1B1CB3E6" w14:textId="70A28B05" w:rsidR="001F41FD" w:rsidRPr="001F41FD" w:rsidRDefault="001F41FD" w:rsidP="001F41FD">
      <w:r w:rsidRPr="001F41FD">
        <w:t xml:space="preserve">Importantly, </w:t>
      </w:r>
      <w:r w:rsidR="002B2E37">
        <w:t xml:space="preserve">the UNESCO Competency Framework for teachers positions </w:t>
      </w:r>
      <w:r w:rsidRPr="001F41FD">
        <w:t>AI as augmenting rather than replacing human decision-making. Teachers remain accountable for the decisions made in their classrooms</w:t>
      </w:r>
      <w:r w:rsidR="000F00B1">
        <w:t xml:space="preserve"> at all </w:t>
      </w:r>
      <w:r w:rsidR="00B3356D">
        <w:t>times</w:t>
      </w:r>
      <w:r w:rsidR="000F00B1">
        <w:t xml:space="preserve">, reinforcing </w:t>
      </w:r>
      <w:r w:rsidRPr="001F41FD">
        <w:t>the centrality of professional judgement as the tools available to teachers become more complex.</w:t>
      </w:r>
      <w:r w:rsidR="00B3356D">
        <w:t xml:space="preserve"> </w:t>
      </w:r>
      <w:r w:rsidRPr="001F41FD">
        <w:t>For teacher regulatory authorities, this raises critical questions. How should professional standards evolve to reflect these new competencies? How can systems support teachers in developing ethical and epistemic judgement, rather than simply technical proficiency? And how can regulation ensure that AI enhances, rather than diminishes, the professional status of teachers?</w:t>
      </w:r>
    </w:p>
    <w:p w14:paraId="372E3EC5" w14:textId="77777777" w:rsidR="001F41FD" w:rsidRPr="001F41FD" w:rsidRDefault="001F41FD" w:rsidP="001F41FD">
      <w:pPr>
        <w:rPr>
          <w:b/>
          <w:bCs/>
        </w:rPr>
      </w:pPr>
      <w:r w:rsidRPr="001F41FD">
        <w:rPr>
          <w:b/>
          <w:bCs/>
        </w:rPr>
        <w:t>Grounding in Practice: Lessons from Bangladesh</w:t>
      </w:r>
    </w:p>
    <w:p w14:paraId="2A4E9668" w14:textId="02BA85C8" w:rsidR="002F65E9" w:rsidRPr="002F65E9" w:rsidRDefault="001F41FD" w:rsidP="002F65E9">
      <w:r w:rsidRPr="001F41FD">
        <w:t>While global frameworks provide important guidance, it is essential to understand how these shifts are experienced in practice. Research conducted in Bangladesh offers valuable insights into how teachers are engaging with AI in real educational contexts (Asian Development Bank, 2024).</w:t>
      </w:r>
      <w:r w:rsidR="00B3356D">
        <w:t xml:space="preserve"> </w:t>
      </w:r>
      <w:r w:rsidR="002F65E9" w:rsidRPr="002F65E9">
        <w:t>Bangladesh, home to approximately 168 million people, operates one of the largest education systems globally and has made significant progress in expanding access to education over the past decade. However, with more than 40 million school-age students, the country faces substantial challenges in preparing its population for future employment, particularly as automation threatens key sectors such as garment manufacturing (Asian Development Bank, 2024). Within this context, artificial intelligence is positioned not only as a technological innovation, but as a strategic lever for national development, with increasing emphasis on digital literacy and the cultivation of skills required for a knowledge-intensive economy.</w:t>
      </w:r>
    </w:p>
    <w:p w14:paraId="22292D3D" w14:textId="437E7395" w:rsidR="002F65E9" w:rsidRDefault="002F65E9" w:rsidP="001F41FD">
      <w:r w:rsidRPr="002F65E9">
        <w:t>To examine how AI might be meaningfully integrated into education, a national needs assessment survey was conducted with 1,253 primary school teachers, the majority of whom were based in rural contexts</w:t>
      </w:r>
      <w:r w:rsidR="00C070B9">
        <w:t xml:space="preserve"> </w:t>
      </w:r>
      <w:r w:rsidR="00C070B9" w:rsidRPr="002F65E9">
        <w:t>(Asian Development Bank, 2024)</w:t>
      </w:r>
      <w:r w:rsidRPr="002F65E9">
        <w:t>. The sample represented a highly qualified and experienced teaching workforce, with a relatively balanced gender distribution. The study explored teachers’ perceptions of AI, their readiness to adopt AI-enabled tools, and the areas of practice where such tools might be most beneficial.</w:t>
      </w:r>
    </w:p>
    <w:p w14:paraId="7D3C543E" w14:textId="06F4D999" w:rsidR="001F41FD" w:rsidRPr="001F41FD" w:rsidRDefault="00470087" w:rsidP="001F41FD">
      <w:r>
        <w:t xml:space="preserve">Across the </w:t>
      </w:r>
      <w:r w:rsidR="00AD26CA">
        <w:t>sample</w:t>
      </w:r>
      <w:r>
        <w:t>, t</w:t>
      </w:r>
      <w:r w:rsidR="001F41FD" w:rsidRPr="001F41FD">
        <w:t>eachers show</w:t>
      </w:r>
      <w:r>
        <w:t xml:space="preserve">ed </w:t>
      </w:r>
      <w:r w:rsidR="001F41FD" w:rsidRPr="001F41FD">
        <w:t>strong interest in adopting AI tools and recognise their potential to enhance teaching and learning. Many report</w:t>
      </w:r>
      <w:r w:rsidR="00AD26CA">
        <w:t>ed</w:t>
      </w:r>
      <w:r w:rsidR="001F41FD" w:rsidRPr="001F41FD">
        <w:t xml:space="preserve"> feeling comfortable using AI for lesson planning, resource creation, and assessment design.</w:t>
      </w:r>
      <w:r w:rsidR="00AD26CA">
        <w:t xml:space="preserve"> </w:t>
      </w:r>
      <w:r w:rsidR="001F41FD" w:rsidRPr="001F41FD">
        <w:t>At the same time, they express</w:t>
      </w:r>
      <w:r w:rsidR="00AD26CA">
        <w:t>ed</w:t>
      </w:r>
      <w:r w:rsidR="001F41FD" w:rsidRPr="001F41FD">
        <w:t xml:space="preserve"> caution about using AI in areas that require human interaction, such as </w:t>
      </w:r>
      <w:r w:rsidR="001F41FD" w:rsidRPr="001F41FD">
        <w:lastRenderedPageBreak/>
        <w:t>communication with students and parents. These relational dimensions of teaching are seen as fundamental and irreplaceable.</w:t>
      </w:r>
      <w:r w:rsidR="009113EB">
        <w:t xml:space="preserve"> </w:t>
      </w:r>
      <w:r w:rsidR="00AD26CA">
        <w:t>Moving forward, t</w:t>
      </w:r>
      <w:r w:rsidR="001F41FD" w:rsidRPr="001F41FD">
        <w:t>raining plays a critical role in shaping teachers’ confidence and perceptions</w:t>
      </w:r>
      <w:r w:rsidR="009113EB">
        <w:t xml:space="preserve"> when it comes to AI</w:t>
      </w:r>
      <w:r w:rsidR="001F41FD" w:rsidRPr="001F41FD">
        <w:t>. Those who participated in AI training reported increased confidence and a greater willingness to integrate AI into their practice</w:t>
      </w:r>
      <w:r w:rsidR="009113EB">
        <w:t xml:space="preserve"> (Asian Development Bank, 2024)</w:t>
      </w:r>
      <w:r w:rsidR="001F41FD" w:rsidRPr="001F41FD">
        <w:t>.</w:t>
      </w:r>
      <w:r w:rsidR="00437C36">
        <w:t xml:space="preserve"> </w:t>
      </w:r>
      <w:r w:rsidR="00F12B3B" w:rsidRPr="00F12B3B">
        <w:t>These findings suggest that</w:t>
      </w:r>
      <w:r w:rsidR="00437C36">
        <w:t xml:space="preserve"> a teacher’s</w:t>
      </w:r>
      <w:r w:rsidR="00F12B3B" w:rsidRPr="00F12B3B">
        <w:t xml:space="preserve"> epistemic confidence is not fixed </w:t>
      </w:r>
      <w:r w:rsidR="00437C36">
        <w:t xml:space="preserve">and </w:t>
      </w:r>
      <w:r w:rsidR="001F41FD" w:rsidRPr="001F41FD">
        <w:t>can be developed through structured support, professional learning, and contextualised practice. However, challenges remain, including infrastructure limitations, concerns about safety and ethics, and the need for culturally relevant tools.</w:t>
      </w:r>
    </w:p>
    <w:p w14:paraId="55ED9EBB" w14:textId="5B17FE3A" w:rsidR="000C2018" w:rsidRPr="001F41FD" w:rsidRDefault="000C2018" w:rsidP="001F41FD">
      <w:r w:rsidRPr="002F65E9">
        <w:t>The findings suggest that while there is strong openness to AI adoption, effective integration is contingent upon sustained professional development, infrastructural support, and contextually appropriate implementation. Importantly, these findings reinforce the argument advanced in this paper: that the successful application of AI in education depends not only on access to tools, but on the development of professional judgement and epistemic confidence among teachers operating within complex and evolving systems (Asian Development Bank, 2024).</w:t>
      </w:r>
      <w:r w:rsidR="00093598">
        <w:t xml:space="preserve"> Such confidence can be developed </w:t>
      </w:r>
      <w:r w:rsidR="00093598" w:rsidRPr="00F12B3B">
        <w:t>through structured support, professional learning, and contextualised practice.</w:t>
      </w:r>
      <w:r w:rsidR="00093598" w:rsidRPr="001F41FD">
        <w:t xml:space="preserve"> However, challenges remain, including infrastructure limitations, concerns about safety and ethics, and the need for culturally relevant tools.</w:t>
      </w:r>
      <w:r w:rsidR="00E13DE3">
        <w:t xml:space="preserve"> </w:t>
      </w:r>
      <w:r w:rsidR="00093598" w:rsidRPr="001F41FD">
        <w:t xml:space="preserve">For regulatory bodies, this highlights the importance of moving beyond abstract standards towards practical systems of support. Professional competence in an AI-rich world cannot be </w:t>
      </w:r>
      <w:r w:rsidR="005A77BC" w:rsidRPr="001F41FD">
        <w:t>assumed</w:t>
      </w:r>
      <w:r w:rsidR="005A77BC">
        <w:t>;</w:t>
      </w:r>
      <w:r w:rsidR="00BF529F">
        <w:t xml:space="preserve"> it</w:t>
      </w:r>
      <w:r w:rsidR="00093598" w:rsidRPr="001F41FD">
        <w:t xml:space="preserve"> must be cultivated.</w:t>
      </w:r>
    </w:p>
    <w:p w14:paraId="6A2C8034" w14:textId="77777777" w:rsidR="001F41FD" w:rsidRPr="001F41FD" w:rsidRDefault="001F41FD" w:rsidP="001F41FD">
      <w:pPr>
        <w:rPr>
          <w:b/>
          <w:bCs/>
        </w:rPr>
      </w:pPr>
      <w:r w:rsidRPr="001F41FD">
        <w:rPr>
          <w:b/>
          <w:bCs/>
        </w:rPr>
        <w:t>Implications for Teacher Regulatory Authorities</w:t>
      </w:r>
    </w:p>
    <w:p w14:paraId="3E33B4C6" w14:textId="0980D8DA" w:rsidR="001F41FD" w:rsidRPr="001F41FD" w:rsidRDefault="00031927" w:rsidP="001F41FD">
      <w:r>
        <w:t xml:space="preserve">The UNESCO Competency Framework for Teachers (UNESCO, 2024) </w:t>
      </w:r>
      <w:r w:rsidR="001A1D61">
        <w:t xml:space="preserve">provides an iterative tool that </w:t>
      </w:r>
      <w:r w:rsidR="00227027">
        <w:t>lays the groundwork for regulators to shape professional learning for the educators in their local context.</w:t>
      </w:r>
      <w:r w:rsidR="001A1D61">
        <w:t xml:space="preserve"> </w:t>
      </w:r>
      <w:r w:rsidR="001F45EE">
        <w:t xml:space="preserve">Building on this, the research from the Asian Development Bank (2024) demonstrates the importance of moving beyond competence to then focus on professional teacher judgement. </w:t>
      </w:r>
      <w:r w:rsidR="001F41FD" w:rsidRPr="001F41FD">
        <w:t>Teachers must be able to make informed and ethical decisions in complex, AI-mediated environments.</w:t>
      </w:r>
      <w:r w:rsidR="00186EFF">
        <w:t xml:space="preserve"> </w:t>
      </w:r>
    </w:p>
    <w:p w14:paraId="60AAD456" w14:textId="34A69FF9" w:rsidR="001F41FD" w:rsidRPr="001F41FD" w:rsidRDefault="001F41FD" w:rsidP="001F41FD">
      <w:r w:rsidRPr="001F41FD">
        <w:t>The</w:t>
      </w:r>
      <w:r w:rsidR="0009589E">
        <w:t xml:space="preserve"> current complexities teachers are working in </w:t>
      </w:r>
      <w:r w:rsidRPr="001F41FD">
        <w:t xml:space="preserve">also </w:t>
      </w:r>
      <w:r w:rsidR="0009589E">
        <w:t xml:space="preserve">demand the </w:t>
      </w:r>
      <w:r w:rsidR="00BF529F">
        <w:t>careful</w:t>
      </w:r>
      <w:r w:rsidRPr="001F41FD">
        <w:t xml:space="preserve"> balanc</w:t>
      </w:r>
      <w:r w:rsidR="0009589E">
        <w:t>ing of</w:t>
      </w:r>
      <w:r w:rsidRPr="001F41FD">
        <w:t xml:space="preserve"> accountability with professional agency. Regulatory frameworks must address risks without constraining </w:t>
      </w:r>
      <w:r w:rsidR="00400A98">
        <w:t xml:space="preserve">a </w:t>
      </w:r>
      <w:r w:rsidRPr="001F41FD">
        <w:t>teachers’ ability to exercise professional judgemen</w:t>
      </w:r>
      <w:r w:rsidR="00400A98">
        <w:t>t which</w:t>
      </w:r>
      <w:r w:rsidRPr="001F41FD">
        <w:t xml:space="preserve"> requires trust, supported by robust professional development.</w:t>
      </w:r>
      <w:r w:rsidR="00400A98">
        <w:t xml:space="preserve"> </w:t>
      </w:r>
    </w:p>
    <w:p w14:paraId="7AED3CD1" w14:textId="3CFEE38C" w:rsidR="001F41FD" w:rsidRPr="001F41FD" w:rsidRDefault="001F41FD" w:rsidP="001F41FD">
      <w:r w:rsidRPr="001F41FD">
        <w:t xml:space="preserve">Finally, there is a need for more collective and participatory approaches to governance. The challenges posed by AI are global and evolving. Initiatives such as the AIEOU </w:t>
      </w:r>
      <w:r w:rsidR="00134CBD">
        <w:t xml:space="preserve">interdisciplinary research hub and its </w:t>
      </w:r>
      <w:r w:rsidRPr="001F41FD">
        <w:t>shared research agenda (Ratner et al., 2026) demonstrate the value of cross-sector collaboration.</w:t>
      </w:r>
      <w:r w:rsidR="00134CBD">
        <w:t xml:space="preserve"> </w:t>
      </w:r>
      <w:r w:rsidR="00120DD9">
        <w:t xml:space="preserve">Shares spaces for such conversations </w:t>
      </w:r>
      <w:r w:rsidR="00120DD9">
        <w:lastRenderedPageBreak/>
        <w:t xml:space="preserve">are imperative. </w:t>
      </w:r>
      <w:r w:rsidRPr="001F41FD">
        <w:t>Teacher regulation must become more dynamic, responsive, and collaborative, creating space for dialogue, experimentation, and shared learning</w:t>
      </w:r>
      <w:r w:rsidR="00120DD9">
        <w:t xml:space="preserve"> across the globe.</w:t>
      </w:r>
    </w:p>
    <w:p w14:paraId="7A431A74" w14:textId="55124B42" w:rsidR="001F41FD" w:rsidRPr="001F41FD" w:rsidRDefault="001F41FD" w:rsidP="001F41FD">
      <w:pPr>
        <w:rPr>
          <w:b/>
          <w:bCs/>
        </w:rPr>
      </w:pPr>
      <w:r w:rsidRPr="001F41FD">
        <w:rPr>
          <w:b/>
          <w:bCs/>
        </w:rPr>
        <w:t>Conclusion</w:t>
      </w:r>
    </w:p>
    <w:p w14:paraId="2E98440C" w14:textId="2C937372" w:rsidR="004C5139" w:rsidRPr="004C5139" w:rsidRDefault="004C5139" w:rsidP="004C5139">
      <w:r>
        <w:t>AI</w:t>
      </w:r>
      <w:r w:rsidRPr="004C5139">
        <w:t xml:space="preserve"> is often framed in terms of what it can do for </w:t>
      </w:r>
      <w:r w:rsidR="00866EB3">
        <w:t>teaching and its potential to transform education</w:t>
      </w:r>
      <w:r w:rsidRPr="004C5139">
        <w:t xml:space="preserve">. This paper has argued that its more significant impact lies in how it reshapes the conditions under which knowledge is produced, evaluated, and taught. In doing so, it </w:t>
      </w:r>
      <w:r w:rsidR="00165008">
        <w:t xml:space="preserve">is potentially </w:t>
      </w:r>
      <w:r w:rsidRPr="004C5139">
        <w:t>redefin</w:t>
      </w:r>
      <w:r w:rsidR="00165008">
        <w:t>ing</w:t>
      </w:r>
      <w:r w:rsidRPr="004C5139">
        <w:t xml:space="preserve"> what it means to teach and to learn.</w:t>
      </w:r>
    </w:p>
    <w:p w14:paraId="53C9F65E" w14:textId="462BDD05" w:rsidR="004C5139" w:rsidRPr="004C5139" w:rsidRDefault="004C5139" w:rsidP="004C5139">
      <w:r w:rsidRPr="004C5139">
        <w:t xml:space="preserve">Across global systems, teachers are navigating increasing complexity, uncertainty, and rapid technological change. The evidence presented through the AIEOU shared research agenda, the UNESCO AI Competency Framework for Teachers, and empirical findings from Bangladesh suggests that effective engagement with AI is not simply a matter of technical competence. It depends on the development of professional judgement, ethical awareness, and the capacity </w:t>
      </w:r>
      <w:r w:rsidR="00644462">
        <w:t xml:space="preserve">for educators and learners </w:t>
      </w:r>
      <w:r w:rsidRPr="004C5139">
        <w:t>to operate confidently in conditions where knowledge is no longer fixed or easily verifiable.</w:t>
      </w:r>
      <w:r w:rsidR="00644462">
        <w:t xml:space="preserve"> </w:t>
      </w:r>
      <w:r w:rsidRPr="004C5139">
        <w:t>The concept of epistemic confidence offers a way of understanding this shift. It moves beyond notions of confidence as self-belief towards a more precise capacity: the ability to evaluate, question, and act on knowledge under conditions of uncertainty. In an AI-mediated world, this becomes a central educational aim for learners, and a defining feature of teacher professionalism.</w:t>
      </w:r>
    </w:p>
    <w:p w14:paraId="05FD5AF4" w14:textId="77777777" w:rsidR="004C5139" w:rsidRPr="004C5139" w:rsidRDefault="004C5139" w:rsidP="004C5139">
      <w:r w:rsidRPr="004C5139">
        <w:t>For teacher regulatory authorities, this has important implications. Frameworks that focus solely on competence or compliance are no longer sufficient. There is a need to support the development of judgement, to balance accountability with professional agency, and to create regulatory environments that are responsive, participatory, and grounded in collective intelligence. This includes recognising that teachers require not only access to tools, but sustained opportunities for professional learning, reflection, and dialogue.</w:t>
      </w:r>
    </w:p>
    <w:p w14:paraId="32A3209B" w14:textId="619CCBD0" w:rsidR="004C5139" w:rsidRPr="004C5139" w:rsidRDefault="00085B40" w:rsidP="004C5139">
      <w:r>
        <w:t>Looking to the</w:t>
      </w:r>
      <w:r w:rsidR="004C5139" w:rsidRPr="004C5139">
        <w:t xml:space="preserve"> future of education</w:t>
      </w:r>
      <w:r>
        <w:t xml:space="preserve">, </w:t>
      </w:r>
      <w:r w:rsidR="00C124A9">
        <w:t xml:space="preserve">let’s </w:t>
      </w:r>
      <w:r w:rsidR="00451979">
        <w:t xml:space="preserve">work together to ensure it </w:t>
      </w:r>
      <w:r w:rsidR="004C5139" w:rsidRPr="004C5139">
        <w:t xml:space="preserve">will not be determined by technology alone. It </w:t>
      </w:r>
      <w:r w:rsidR="003725ED">
        <w:t xml:space="preserve">deserves to </w:t>
      </w:r>
      <w:r w:rsidR="004C5139" w:rsidRPr="004C5139">
        <w:t>be shaped by teachers</w:t>
      </w:r>
      <w:r w:rsidR="003725ED">
        <w:t xml:space="preserve">, </w:t>
      </w:r>
      <w:r w:rsidR="004C5139" w:rsidRPr="004C5139">
        <w:t>learners</w:t>
      </w:r>
      <w:r w:rsidR="003725ED">
        <w:t xml:space="preserve"> and regulators</w:t>
      </w:r>
      <w:r w:rsidR="00BC7EEE">
        <w:t xml:space="preserve"> who are working together to augment best practice through the most appropriate technological tools. </w:t>
      </w:r>
      <w:r w:rsidR="00CE0087">
        <w:t>Let’s work to ensure every teacher and learner can</w:t>
      </w:r>
      <w:r w:rsidR="004C5139" w:rsidRPr="004C5139">
        <w:t xml:space="preserve"> think with confidence in a world where knowledge itself is increasingly mediated.</w:t>
      </w:r>
    </w:p>
    <w:p w14:paraId="37F2FBB9" w14:textId="77777777" w:rsidR="00AB376A" w:rsidRDefault="00AB376A" w:rsidP="00AB376A"/>
    <w:p w14:paraId="66C95F0D" w14:textId="77777777" w:rsidR="005A77BC" w:rsidRDefault="005A77BC" w:rsidP="00AB376A"/>
    <w:p w14:paraId="718433A9" w14:textId="77777777" w:rsidR="00F5232F" w:rsidRDefault="00F5232F" w:rsidP="00AB376A">
      <w:pPr>
        <w:pStyle w:val="Heading1"/>
      </w:pPr>
    </w:p>
    <w:p w14:paraId="4994F78C" w14:textId="0DFB01E4" w:rsidR="005F3155" w:rsidRDefault="00AB376A" w:rsidP="00AB376A">
      <w:pPr>
        <w:pStyle w:val="Heading1"/>
      </w:pPr>
      <w:r>
        <w:lastRenderedPageBreak/>
        <w:t>References</w:t>
      </w:r>
    </w:p>
    <w:p w14:paraId="3FC9838A" w14:textId="77777777" w:rsidR="00AB376A" w:rsidRDefault="00AB376A" w:rsidP="005A77BC">
      <w:pPr>
        <w:spacing w:line="240" w:lineRule="auto"/>
        <w:ind w:left="720" w:hanging="720"/>
      </w:pPr>
      <w:r w:rsidRPr="00AB376A">
        <w:t xml:space="preserve">Asian Development Bank. (2024). </w:t>
      </w:r>
      <w:r w:rsidRPr="00AB376A">
        <w:rPr>
          <w:i/>
          <w:iCs/>
        </w:rPr>
        <w:t>Artificial intelligence for education in Bangladesh: Insights from the first small-scale artificial intelligence needs assessment and training for primary education teachers</w:t>
      </w:r>
      <w:r w:rsidRPr="00AB376A">
        <w:t xml:space="preserve"> (Sustainable Development Working Paper No. 101). </w:t>
      </w:r>
      <w:hyperlink r:id="rId8" w:tgtFrame="_new" w:history="1">
        <w:r w:rsidRPr="00AB376A">
          <w:rPr>
            <w:rStyle w:val="Hyperlink"/>
          </w:rPr>
          <w:t>https://doi.org/10.22617/WPS240575-2</w:t>
        </w:r>
      </w:hyperlink>
      <w:r w:rsidRPr="00AB376A">
        <w:t xml:space="preserve"> </w:t>
      </w:r>
    </w:p>
    <w:p w14:paraId="634026C8" w14:textId="55466C41" w:rsidR="00420A17" w:rsidRDefault="00420A17" w:rsidP="005A77BC">
      <w:pPr>
        <w:spacing w:line="240" w:lineRule="auto"/>
        <w:ind w:left="720" w:hanging="720"/>
      </w:pPr>
      <w:r w:rsidRPr="00420A17">
        <w:t>Boon, L., Casci, T., &amp; in Research Policy Coordination Group, A. I. (2025). Policy for using generative AI in research: guidelines for researchers and professional staff (Issue 1.0, pp. 1–8). Research Services, University of Oxford.</w:t>
      </w:r>
      <w:r>
        <w:t xml:space="preserve"> </w:t>
      </w:r>
    </w:p>
    <w:p w14:paraId="2BB16221" w14:textId="761A8B0C" w:rsidR="006569D1" w:rsidRDefault="006569D1" w:rsidP="005A77BC">
      <w:pPr>
        <w:spacing w:line="240" w:lineRule="auto"/>
        <w:ind w:left="720" w:hanging="720"/>
      </w:pPr>
      <w:r w:rsidRPr="006569D1">
        <w:t xml:space="preserve">Flavell, J. H. (1979). Metacognition and cognitive monitoring: A new area of cognitive–developmental inquiry. </w:t>
      </w:r>
      <w:r w:rsidRPr="006569D1">
        <w:rPr>
          <w:i/>
          <w:iCs/>
        </w:rPr>
        <w:t>American Psychologist, 34</w:t>
      </w:r>
      <w:r w:rsidRPr="006569D1">
        <w:t xml:space="preserve">(10), 906–911. </w:t>
      </w:r>
      <w:hyperlink r:id="rId9" w:tgtFrame="_new" w:history="1">
        <w:r w:rsidRPr="006569D1">
          <w:rPr>
            <w:rStyle w:val="Hyperlink"/>
          </w:rPr>
          <w:t>https://doi.org/10.1037/0003-066X.34.10.906</w:t>
        </w:r>
      </w:hyperlink>
    </w:p>
    <w:p w14:paraId="40B1689A" w14:textId="00E8AD59" w:rsidR="00420A17" w:rsidRDefault="00420A17" w:rsidP="005A77BC">
      <w:pPr>
        <w:spacing w:line="240" w:lineRule="auto"/>
        <w:ind w:left="720" w:hanging="720"/>
      </w:pPr>
      <w:proofErr w:type="spellStart"/>
      <w:r w:rsidRPr="00420A17">
        <w:t>Kerasidou</w:t>
      </w:r>
      <w:proofErr w:type="spellEnd"/>
      <w:r w:rsidRPr="00420A17">
        <w:t xml:space="preserve">, A., Melham, K., Giubilini, A., </w:t>
      </w:r>
      <w:proofErr w:type="spellStart"/>
      <w:r w:rsidRPr="00420A17">
        <w:t>Kerasidou</w:t>
      </w:r>
      <w:proofErr w:type="spellEnd"/>
      <w:r w:rsidRPr="00420A17">
        <w:t>, C. (</w:t>
      </w:r>
      <w:proofErr w:type="spellStart"/>
      <w:r w:rsidRPr="00420A17">
        <w:t>Xaroula</w:t>
      </w:r>
      <w:proofErr w:type="spellEnd"/>
      <w:r w:rsidRPr="00420A17">
        <w:t xml:space="preserve">), </w:t>
      </w:r>
      <w:proofErr w:type="spellStart"/>
      <w:r w:rsidRPr="00420A17">
        <w:t>Lucivero</w:t>
      </w:r>
      <w:proofErr w:type="spellEnd"/>
      <w:r w:rsidRPr="00420A17">
        <w:t xml:space="preserve">, F., Morrison, M., Georgieva, A., Fletcher, A. J., Harford, M., Johnson, C., Kaye, J., Klassen, R., Leeson, P., </w:t>
      </w:r>
      <w:proofErr w:type="spellStart"/>
      <w:r w:rsidRPr="00420A17">
        <w:t>Ndanusa</w:t>
      </w:r>
      <w:proofErr w:type="spellEnd"/>
      <w:r w:rsidRPr="00420A17">
        <w:t xml:space="preserve">, F., Nellaker, C., Novak, A., O’Connor, D., Powell, J., </w:t>
      </w:r>
      <w:proofErr w:type="spellStart"/>
      <w:r w:rsidRPr="00420A17">
        <w:t>Puspakesuma</w:t>
      </w:r>
      <w:proofErr w:type="spellEnd"/>
      <w:r w:rsidRPr="00420A17">
        <w:t xml:space="preserve">, N., … Thomson, P. (2026). Ethics Review of AI research: An approach to reviewing and revising existing governance structures. </w:t>
      </w:r>
      <w:r w:rsidRPr="00420A17">
        <w:rPr>
          <w:i/>
          <w:iCs/>
        </w:rPr>
        <w:t>Research Ethics</w:t>
      </w:r>
      <w:r w:rsidRPr="00420A17">
        <w:t xml:space="preserve">, </w:t>
      </w:r>
      <w:r w:rsidRPr="00420A17">
        <w:rPr>
          <w:i/>
          <w:iCs/>
        </w:rPr>
        <w:t>22</w:t>
      </w:r>
      <w:r w:rsidRPr="00420A17">
        <w:t>(2), 357-370.</w:t>
      </w:r>
    </w:p>
    <w:p w14:paraId="1513610F" w14:textId="621C203B" w:rsidR="006569D1" w:rsidRDefault="006569D1" w:rsidP="005A77BC">
      <w:pPr>
        <w:spacing w:line="240" w:lineRule="auto"/>
        <w:ind w:left="720" w:hanging="720"/>
      </w:pPr>
      <w:r w:rsidRPr="006569D1">
        <w:t xml:space="preserve">Metcalfe, J. (2017). Learning from errors. </w:t>
      </w:r>
      <w:r w:rsidRPr="006569D1">
        <w:rPr>
          <w:i/>
          <w:iCs/>
        </w:rPr>
        <w:t>Annual Review of Psychology, 68</w:t>
      </w:r>
      <w:r w:rsidRPr="006569D1">
        <w:t xml:space="preserve">, 465–489. </w:t>
      </w:r>
      <w:hyperlink r:id="rId10" w:tgtFrame="_new" w:history="1">
        <w:r w:rsidRPr="006569D1">
          <w:rPr>
            <w:rStyle w:val="Hyperlink"/>
          </w:rPr>
          <w:t>https://doi.org/10.1146/annurev-psych-010416-044022</w:t>
        </w:r>
      </w:hyperlink>
    </w:p>
    <w:p w14:paraId="5E8F3BE9" w14:textId="3430388E" w:rsidR="002C0E1E" w:rsidRPr="00AB376A" w:rsidRDefault="002C0E1E" w:rsidP="005A77BC">
      <w:pPr>
        <w:spacing w:line="240" w:lineRule="auto"/>
        <w:ind w:left="720" w:hanging="720"/>
      </w:pPr>
      <w:r w:rsidRPr="002C0E1E">
        <w:t xml:space="preserve">OECD (2025). Empowering learners for the age of AI: An AI literacy framework for primary and secondary education (Review draft). OECD. Paris. </w:t>
      </w:r>
      <w:hyperlink r:id="rId11" w:history="1">
        <w:r w:rsidRPr="00225C2F">
          <w:rPr>
            <w:rStyle w:val="Hyperlink"/>
          </w:rPr>
          <w:t>https://ailiteracyframework.org</w:t>
        </w:r>
      </w:hyperlink>
      <w:r>
        <w:t xml:space="preserve"> </w:t>
      </w:r>
    </w:p>
    <w:p w14:paraId="254A0560" w14:textId="77777777" w:rsidR="006569D1" w:rsidRDefault="00AB376A" w:rsidP="005A77BC">
      <w:pPr>
        <w:spacing w:line="240" w:lineRule="auto"/>
        <w:ind w:left="720" w:hanging="720"/>
      </w:pPr>
      <w:r w:rsidRPr="00AB376A">
        <w:t xml:space="preserve">Ratner, S., Nie, D., Williams, R., Wonnacott, E., &amp; Trefethen, A. (2026). </w:t>
      </w:r>
      <w:r w:rsidRPr="00AB376A">
        <w:rPr>
          <w:i/>
          <w:iCs/>
        </w:rPr>
        <w:t>AIEOU shared research agenda</w:t>
      </w:r>
      <w:r w:rsidRPr="00AB376A">
        <w:t xml:space="preserve">. Department of Education, University of Oxford. </w:t>
      </w:r>
      <w:hyperlink r:id="rId12" w:tgtFrame="_new" w:history="1">
        <w:r w:rsidRPr="00AB376A">
          <w:rPr>
            <w:rStyle w:val="Hyperlink"/>
          </w:rPr>
          <w:t>https://doi.org/10.5287/ora-nogo0ra4e</w:t>
        </w:r>
      </w:hyperlink>
      <w:r w:rsidRPr="00AB376A">
        <w:t xml:space="preserve"> </w:t>
      </w:r>
    </w:p>
    <w:p w14:paraId="68EF3E70" w14:textId="7355432B" w:rsidR="00AB376A" w:rsidRPr="00AB376A" w:rsidRDefault="006569D1" w:rsidP="005A77BC">
      <w:pPr>
        <w:spacing w:line="240" w:lineRule="auto"/>
        <w:ind w:left="720" w:hanging="720"/>
      </w:pPr>
      <w:r>
        <w:t>UNESCO.</w:t>
      </w:r>
      <w:r w:rsidRPr="00AB376A">
        <w:t xml:space="preserve"> (2024). </w:t>
      </w:r>
      <w:r w:rsidRPr="00AB376A">
        <w:rPr>
          <w:i/>
          <w:iCs/>
        </w:rPr>
        <w:t>AI competency framework for teachers</w:t>
      </w:r>
      <w:r w:rsidRPr="00AB376A">
        <w:t>. UNESCO Publishing.</w:t>
      </w:r>
      <w:r>
        <w:t xml:space="preserve"> </w:t>
      </w:r>
    </w:p>
    <w:p w14:paraId="715D8CA7" w14:textId="77777777" w:rsidR="006569D1" w:rsidRPr="006569D1" w:rsidRDefault="006569D1" w:rsidP="005A77BC">
      <w:pPr>
        <w:spacing w:line="240" w:lineRule="auto"/>
        <w:ind w:left="720" w:hanging="720"/>
      </w:pPr>
      <w:r w:rsidRPr="006569D1">
        <w:t xml:space="preserve">Vygotsky, L. S. (1978). </w:t>
      </w:r>
      <w:r w:rsidRPr="006569D1">
        <w:rPr>
          <w:i/>
          <w:iCs/>
        </w:rPr>
        <w:t>Mind in society: The development of higher psychological processes</w:t>
      </w:r>
      <w:r w:rsidRPr="006569D1">
        <w:t>. Harvard University Press.</w:t>
      </w:r>
    </w:p>
    <w:p w14:paraId="4A4F7F8E" w14:textId="77777777" w:rsidR="006569D1" w:rsidRPr="006569D1" w:rsidRDefault="006569D1" w:rsidP="005A77BC">
      <w:pPr>
        <w:spacing w:line="240" w:lineRule="auto"/>
        <w:ind w:left="720" w:hanging="720"/>
      </w:pPr>
      <w:r w:rsidRPr="006569D1">
        <w:t xml:space="preserve">Zimmerman, B. J. (2002). Becoming a self-regulated learner: An overview. </w:t>
      </w:r>
      <w:r w:rsidRPr="006569D1">
        <w:rPr>
          <w:i/>
          <w:iCs/>
        </w:rPr>
        <w:t>Theory Into Practice, 41</w:t>
      </w:r>
      <w:r w:rsidRPr="006569D1">
        <w:t xml:space="preserve">(2), 64–70. </w:t>
      </w:r>
      <w:hyperlink r:id="rId13" w:tgtFrame="_new" w:history="1">
        <w:r w:rsidRPr="006569D1">
          <w:rPr>
            <w:rStyle w:val="Hyperlink"/>
          </w:rPr>
          <w:t>https://doi.org/10.1207/s15430421tip4102_2</w:t>
        </w:r>
      </w:hyperlink>
    </w:p>
    <w:p w14:paraId="7461A872" w14:textId="77777777" w:rsidR="00043DA7" w:rsidRDefault="00043DA7" w:rsidP="00E176CC"/>
    <w:p w14:paraId="066400C7" w14:textId="77777777" w:rsidR="00902E59" w:rsidRPr="00E176CC" w:rsidRDefault="00902E59" w:rsidP="00902E59">
      <w:pPr>
        <w:spacing w:after="0" w:line="240" w:lineRule="auto"/>
        <w:ind w:right="1372"/>
      </w:pPr>
    </w:p>
    <w:sectPr w:rsidR="00902E59" w:rsidRPr="00E176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DA2660"/>
    <w:multiLevelType w:val="multilevel"/>
    <w:tmpl w:val="CA802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5968DC"/>
    <w:multiLevelType w:val="multilevel"/>
    <w:tmpl w:val="25244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3213517">
    <w:abstractNumId w:val="1"/>
  </w:num>
  <w:num w:numId="2" w16cid:durableId="2142648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176CC"/>
    <w:rsid w:val="00031927"/>
    <w:rsid w:val="00043DA7"/>
    <w:rsid w:val="00074288"/>
    <w:rsid w:val="00082030"/>
    <w:rsid w:val="00085B40"/>
    <w:rsid w:val="00091279"/>
    <w:rsid w:val="00093598"/>
    <w:rsid w:val="0009589E"/>
    <w:rsid w:val="000B79AF"/>
    <w:rsid w:val="000C2018"/>
    <w:rsid w:val="000F00B1"/>
    <w:rsid w:val="000F7208"/>
    <w:rsid w:val="00120DD9"/>
    <w:rsid w:val="00134CBD"/>
    <w:rsid w:val="00165008"/>
    <w:rsid w:val="00186EFF"/>
    <w:rsid w:val="001943DA"/>
    <w:rsid w:val="001947B9"/>
    <w:rsid w:val="001A1D61"/>
    <w:rsid w:val="001F41FD"/>
    <w:rsid w:val="001F45EE"/>
    <w:rsid w:val="00221AE4"/>
    <w:rsid w:val="00227027"/>
    <w:rsid w:val="00230086"/>
    <w:rsid w:val="002463CA"/>
    <w:rsid w:val="0029250C"/>
    <w:rsid w:val="002B2E37"/>
    <w:rsid w:val="002B79F6"/>
    <w:rsid w:val="002C0E1E"/>
    <w:rsid w:val="002C4236"/>
    <w:rsid w:val="002D5973"/>
    <w:rsid w:val="002F489D"/>
    <w:rsid w:val="002F65E9"/>
    <w:rsid w:val="003204BD"/>
    <w:rsid w:val="00352277"/>
    <w:rsid w:val="00362A6E"/>
    <w:rsid w:val="00364218"/>
    <w:rsid w:val="003725ED"/>
    <w:rsid w:val="00392E51"/>
    <w:rsid w:val="003A564C"/>
    <w:rsid w:val="003E3E6B"/>
    <w:rsid w:val="003F386E"/>
    <w:rsid w:val="003F5C24"/>
    <w:rsid w:val="00400A98"/>
    <w:rsid w:val="00407103"/>
    <w:rsid w:val="004164C9"/>
    <w:rsid w:val="00420A17"/>
    <w:rsid w:val="00437C36"/>
    <w:rsid w:val="00451979"/>
    <w:rsid w:val="00451F78"/>
    <w:rsid w:val="00470087"/>
    <w:rsid w:val="004C5139"/>
    <w:rsid w:val="004C5368"/>
    <w:rsid w:val="004F31BF"/>
    <w:rsid w:val="00504961"/>
    <w:rsid w:val="00526E4B"/>
    <w:rsid w:val="00534404"/>
    <w:rsid w:val="0056411C"/>
    <w:rsid w:val="005A2CF0"/>
    <w:rsid w:val="005A77BC"/>
    <w:rsid w:val="005C40CB"/>
    <w:rsid w:val="005F3155"/>
    <w:rsid w:val="006059E0"/>
    <w:rsid w:val="00611A9D"/>
    <w:rsid w:val="006262A5"/>
    <w:rsid w:val="00644462"/>
    <w:rsid w:val="006569D1"/>
    <w:rsid w:val="00677ABE"/>
    <w:rsid w:val="006A2CF7"/>
    <w:rsid w:val="006B0AA3"/>
    <w:rsid w:val="006D229F"/>
    <w:rsid w:val="007012C1"/>
    <w:rsid w:val="0072003B"/>
    <w:rsid w:val="00721FFB"/>
    <w:rsid w:val="00737F8E"/>
    <w:rsid w:val="00786D09"/>
    <w:rsid w:val="0080377A"/>
    <w:rsid w:val="00847B3A"/>
    <w:rsid w:val="0085407C"/>
    <w:rsid w:val="00866EB3"/>
    <w:rsid w:val="008E2842"/>
    <w:rsid w:val="008E784E"/>
    <w:rsid w:val="00902E59"/>
    <w:rsid w:val="009113EB"/>
    <w:rsid w:val="009334E9"/>
    <w:rsid w:val="00943B42"/>
    <w:rsid w:val="0097259B"/>
    <w:rsid w:val="00996C19"/>
    <w:rsid w:val="00997D67"/>
    <w:rsid w:val="009A0BE3"/>
    <w:rsid w:val="009A728F"/>
    <w:rsid w:val="009F6685"/>
    <w:rsid w:val="00A11E20"/>
    <w:rsid w:val="00A16F11"/>
    <w:rsid w:val="00A20375"/>
    <w:rsid w:val="00A25610"/>
    <w:rsid w:val="00A26A61"/>
    <w:rsid w:val="00A418CE"/>
    <w:rsid w:val="00A55CEE"/>
    <w:rsid w:val="00A57014"/>
    <w:rsid w:val="00AB376A"/>
    <w:rsid w:val="00AB4953"/>
    <w:rsid w:val="00AD26CA"/>
    <w:rsid w:val="00B05903"/>
    <w:rsid w:val="00B223DC"/>
    <w:rsid w:val="00B3356D"/>
    <w:rsid w:val="00B4262A"/>
    <w:rsid w:val="00BC7EEE"/>
    <w:rsid w:val="00BE2426"/>
    <w:rsid w:val="00BF529F"/>
    <w:rsid w:val="00C070B9"/>
    <w:rsid w:val="00C11D5A"/>
    <w:rsid w:val="00C124A9"/>
    <w:rsid w:val="00C13128"/>
    <w:rsid w:val="00C14B3C"/>
    <w:rsid w:val="00C33A30"/>
    <w:rsid w:val="00C35F6C"/>
    <w:rsid w:val="00C4768C"/>
    <w:rsid w:val="00CB1EE5"/>
    <w:rsid w:val="00CE0087"/>
    <w:rsid w:val="00CE386D"/>
    <w:rsid w:val="00DB4D08"/>
    <w:rsid w:val="00DC7D26"/>
    <w:rsid w:val="00E1161C"/>
    <w:rsid w:val="00E131D5"/>
    <w:rsid w:val="00E13DE3"/>
    <w:rsid w:val="00E176CC"/>
    <w:rsid w:val="00E21536"/>
    <w:rsid w:val="00E409CA"/>
    <w:rsid w:val="00E4213E"/>
    <w:rsid w:val="00E80FAE"/>
    <w:rsid w:val="00EC2733"/>
    <w:rsid w:val="00ED0DF9"/>
    <w:rsid w:val="00F12B3B"/>
    <w:rsid w:val="00F2120D"/>
    <w:rsid w:val="00F5232F"/>
    <w:rsid w:val="00F5243C"/>
    <w:rsid w:val="00F62648"/>
    <w:rsid w:val="00FA03BE"/>
    <w:rsid w:val="00FB1D1C"/>
    <w:rsid w:val="00FF55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E9115"/>
  <w15:chartTrackingRefBased/>
  <w15:docId w15:val="{71813B2A-E0B8-47F5-BA60-A4A5503C2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76CC"/>
    <w:pPr>
      <w:spacing w:line="360" w:lineRule="auto"/>
    </w:pPr>
    <w:rPr>
      <w:rFonts w:ascii="Arial" w:hAnsi="Arial" w:cs="Arial"/>
    </w:rPr>
  </w:style>
  <w:style w:type="paragraph" w:styleId="Heading1">
    <w:name w:val="heading 1"/>
    <w:basedOn w:val="Normal"/>
    <w:next w:val="Normal"/>
    <w:link w:val="Heading1Char"/>
    <w:uiPriority w:val="9"/>
    <w:qFormat/>
    <w:rsid w:val="00E176CC"/>
    <w:pPr>
      <w:outlineLvl w:val="0"/>
    </w:pPr>
    <w:rPr>
      <w:b/>
      <w:bCs/>
      <w:sz w:val="24"/>
      <w:szCs w:val="24"/>
    </w:rPr>
  </w:style>
  <w:style w:type="paragraph" w:styleId="Heading2">
    <w:name w:val="heading 2"/>
    <w:basedOn w:val="Normal"/>
    <w:next w:val="Normal"/>
    <w:link w:val="Heading2Char"/>
    <w:uiPriority w:val="9"/>
    <w:unhideWhenUsed/>
    <w:qFormat/>
    <w:rsid w:val="0072003B"/>
    <w:pPr>
      <w:outlineLvl w:val="1"/>
    </w:pPr>
    <w:rPr>
      <w:b/>
      <w:bCs/>
      <w:i/>
      <w:iCs/>
    </w:rPr>
  </w:style>
  <w:style w:type="paragraph" w:styleId="Heading3">
    <w:name w:val="heading 3"/>
    <w:basedOn w:val="Normal"/>
    <w:next w:val="Normal"/>
    <w:link w:val="Heading3Char"/>
    <w:uiPriority w:val="9"/>
    <w:semiHidden/>
    <w:unhideWhenUsed/>
    <w:qFormat/>
    <w:rsid w:val="00E176C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176C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176C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176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76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76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76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76CC"/>
    <w:rPr>
      <w:rFonts w:ascii="Arial" w:hAnsi="Arial" w:cs="Arial"/>
      <w:b/>
      <w:bCs/>
      <w:sz w:val="24"/>
      <w:szCs w:val="24"/>
    </w:rPr>
  </w:style>
  <w:style w:type="character" w:customStyle="1" w:styleId="Heading2Char">
    <w:name w:val="Heading 2 Char"/>
    <w:basedOn w:val="DefaultParagraphFont"/>
    <w:link w:val="Heading2"/>
    <w:uiPriority w:val="9"/>
    <w:rsid w:val="0072003B"/>
    <w:rPr>
      <w:rFonts w:ascii="Arial" w:hAnsi="Arial" w:cs="Arial"/>
      <w:b/>
      <w:bCs/>
      <w:i/>
      <w:iCs/>
    </w:rPr>
  </w:style>
  <w:style w:type="character" w:customStyle="1" w:styleId="Heading3Char">
    <w:name w:val="Heading 3 Char"/>
    <w:basedOn w:val="DefaultParagraphFont"/>
    <w:link w:val="Heading3"/>
    <w:uiPriority w:val="9"/>
    <w:semiHidden/>
    <w:rsid w:val="00E176C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176C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176C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176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76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76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76CC"/>
    <w:rPr>
      <w:rFonts w:eastAsiaTheme="majorEastAsia" w:cstheme="majorBidi"/>
      <w:color w:val="272727" w:themeColor="text1" w:themeTint="D8"/>
    </w:rPr>
  </w:style>
  <w:style w:type="paragraph" w:styleId="Title">
    <w:name w:val="Title"/>
    <w:basedOn w:val="Normal"/>
    <w:next w:val="Normal"/>
    <w:link w:val="TitleChar"/>
    <w:uiPriority w:val="10"/>
    <w:qFormat/>
    <w:rsid w:val="00E176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76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76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76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76CC"/>
    <w:pPr>
      <w:spacing w:before="160"/>
      <w:jc w:val="center"/>
    </w:pPr>
    <w:rPr>
      <w:i/>
      <w:iCs/>
      <w:color w:val="404040" w:themeColor="text1" w:themeTint="BF"/>
    </w:rPr>
  </w:style>
  <w:style w:type="character" w:customStyle="1" w:styleId="QuoteChar">
    <w:name w:val="Quote Char"/>
    <w:basedOn w:val="DefaultParagraphFont"/>
    <w:link w:val="Quote"/>
    <w:uiPriority w:val="29"/>
    <w:rsid w:val="00E176CC"/>
    <w:rPr>
      <w:i/>
      <w:iCs/>
      <w:color w:val="404040" w:themeColor="text1" w:themeTint="BF"/>
    </w:rPr>
  </w:style>
  <w:style w:type="paragraph" w:styleId="ListParagraph">
    <w:name w:val="List Paragraph"/>
    <w:basedOn w:val="Normal"/>
    <w:uiPriority w:val="34"/>
    <w:qFormat/>
    <w:rsid w:val="00E176CC"/>
    <w:pPr>
      <w:ind w:left="720"/>
      <w:contextualSpacing/>
    </w:pPr>
  </w:style>
  <w:style w:type="character" w:styleId="IntenseEmphasis">
    <w:name w:val="Intense Emphasis"/>
    <w:basedOn w:val="DefaultParagraphFont"/>
    <w:uiPriority w:val="21"/>
    <w:qFormat/>
    <w:rsid w:val="00E176CC"/>
    <w:rPr>
      <w:i/>
      <w:iCs/>
      <w:color w:val="2F5496" w:themeColor="accent1" w:themeShade="BF"/>
    </w:rPr>
  </w:style>
  <w:style w:type="paragraph" w:styleId="IntenseQuote">
    <w:name w:val="Intense Quote"/>
    <w:basedOn w:val="Normal"/>
    <w:next w:val="Normal"/>
    <w:link w:val="IntenseQuoteChar"/>
    <w:uiPriority w:val="30"/>
    <w:qFormat/>
    <w:rsid w:val="00E176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176CC"/>
    <w:rPr>
      <w:i/>
      <w:iCs/>
      <w:color w:val="2F5496" w:themeColor="accent1" w:themeShade="BF"/>
    </w:rPr>
  </w:style>
  <w:style w:type="character" w:styleId="IntenseReference">
    <w:name w:val="Intense Reference"/>
    <w:basedOn w:val="DefaultParagraphFont"/>
    <w:uiPriority w:val="32"/>
    <w:qFormat/>
    <w:rsid w:val="00E176CC"/>
    <w:rPr>
      <w:b/>
      <w:bCs/>
      <w:smallCaps/>
      <w:color w:val="2F5496" w:themeColor="accent1" w:themeShade="BF"/>
      <w:spacing w:val="5"/>
    </w:rPr>
  </w:style>
  <w:style w:type="character" w:styleId="Hyperlink">
    <w:name w:val="Hyperlink"/>
    <w:basedOn w:val="DefaultParagraphFont"/>
    <w:uiPriority w:val="99"/>
    <w:unhideWhenUsed/>
    <w:rsid w:val="00043DA7"/>
    <w:rPr>
      <w:color w:val="0563C1" w:themeColor="hyperlink"/>
      <w:u w:val="single"/>
    </w:rPr>
  </w:style>
  <w:style w:type="character" w:styleId="UnresolvedMention">
    <w:name w:val="Unresolved Mention"/>
    <w:basedOn w:val="DefaultParagraphFont"/>
    <w:uiPriority w:val="99"/>
    <w:semiHidden/>
    <w:unhideWhenUsed/>
    <w:rsid w:val="00043DA7"/>
    <w:rPr>
      <w:color w:val="605E5C"/>
      <w:shd w:val="clear" w:color="auto" w:fill="E1DFDD"/>
    </w:rPr>
  </w:style>
  <w:style w:type="table" w:styleId="TableGrid">
    <w:name w:val="Table Grid"/>
    <w:basedOn w:val="TableNormal"/>
    <w:uiPriority w:val="39"/>
    <w:rsid w:val="00C11D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2617/WPS240575-2" TargetMode="External"/><Relationship Id="rId13" Type="http://schemas.openxmlformats.org/officeDocument/2006/relationships/hyperlink" Target="https://doi.org/10.1207/s15430421tip4102_2"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s://doi.org/10.5287/ora-nogo0ra4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ra.ratner@education.ox.ac.uk" TargetMode="External"/><Relationship Id="rId11" Type="http://schemas.openxmlformats.org/officeDocument/2006/relationships/hyperlink" Target="https://ailiteracyframework.org"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doi.org/10.1146/annurev-psych-010416-044022" TargetMode="External"/><Relationship Id="rId4" Type="http://schemas.openxmlformats.org/officeDocument/2006/relationships/webSettings" Target="webSettings.xml"/><Relationship Id="rId9" Type="http://schemas.openxmlformats.org/officeDocument/2006/relationships/hyperlink" Target="https://doi.org/10.1037/0003-066X.34.10.90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557</TotalTime>
  <Pages>12</Pages>
  <Words>4358</Words>
  <Characters>24842</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Ratner</dc:creator>
  <cp:keywords/>
  <dc:description/>
  <cp:lastModifiedBy>Sara Ratner</cp:lastModifiedBy>
  <cp:revision>5</cp:revision>
  <dcterms:created xsi:type="dcterms:W3CDTF">2026-04-08T10:22:00Z</dcterms:created>
  <dcterms:modified xsi:type="dcterms:W3CDTF">2026-06-17T06:13:00Z</dcterms:modified>
</cp:coreProperties>
</file>