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3BC55" w14:textId="02DB5701" w:rsidR="001C4B9E" w:rsidRPr="00EE0CAD" w:rsidRDefault="00E45EF0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  <w:proofErr w:type="gramStart"/>
      <w:r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Conceptual</w:t>
      </w:r>
      <w:r w:rsidR="00F4144A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 xml:space="preserve"> </w:t>
      </w:r>
      <w:r w:rsidR="00EE0CAD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multiplicity</w:t>
      </w:r>
      <w:r w:rsidR="00D56C6C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 xml:space="preserve"> </w:t>
      </w:r>
      <w:r w:rsidR="00F4144A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 xml:space="preserve">or ontological </w:t>
      </w:r>
      <w:r w:rsidR="00D56C6C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politics</w:t>
      </w:r>
      <w:r w:rsidR="00F4144A"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?</w:t>
      </w:r>
      <w:proofErr w:type="gramEnd"/>
    </w:p>
    <w:p w14:paraId="7F2CD321" w14:textId="77777777" w:rsidR="00F4157D" w:rsidRPr="00F4144A" w:rsidRDefault="00F4157D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08463D10" w14:textId="77777777" w:rsidR="00995795" w:rsidRDefault="00995795" w:rsidP="0099579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Beth Greenhough</w:t>
      </w:r>
    </w:p>
    <w:p w14:paraId="09A138A0" w14:textId="73A6ECE3" w:rsidR="00995795" w:rsidRPr="00995795" w:rsidRDefault="00995795" w:rsidP="00995795">
      <w:pPr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School of Geography and the Environment and Keble College, University of Oxford</w:t>
      </w:r>
    </w:p>
    <w:p w14:paraId="708AF380" w14:textId="77777777" w:rsidR="00995795" w:rsidRPr="00995795" w:rsidRDefault="00995795" w:rsidP="00995795">
      <w:pPr>
        <w:widowControl w:val="0"/>
        <w:autoSpaceDE w:val="0"/>
        <w:autoSpaceDN w:val="0"/>
        <w:adjustRightInd w:val="0"/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Oxford University Centre for the Environment</w:t>
      </w:r>
    </w:p>
    <w:p w14:paraId="1DAC6093" w14:textId="77777777" w:rsidR="00995795" w:rsidRPr="00995795" w:rsidRDefault="00995795" w:rsidP="00995795">
      <w:pPr>
        <w:widowControl w:val="0"/>
        <w:autoSpaceDE w:val="0"/>
        <w:autoSpaceDN w:val="0"/>
        <w:adjustRightInd w:val="0"/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University of Oxford</w:t>
      </w:r>
    </w:p>
    <w:p w14:paraId="7901B09B" w14:textId="77777777" w:rsidR="00995795" w:rsidRPr="00995795" w:rsidRDefault="00995795" w:rsidP="00995795">
      <w:pPr>
        <w:widowControl w:val="0"/>
        <w:autoSpaceDE w:val="0"/>
        <w:autoSpaceDN w:val="0"/>
        <w:adjustRightInd w:val="0"/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South Parks Road</w:t>
      </w:r>
    </w:p>
    <w:p w14:paraId="7B5B5E2C" w14:textId="77777777" w:rsidR="00995795" w:rsidRPr="00995795" w:rsidRDefault="00995795" w:rsidP="00995795">
      <w:pPr>
        <w:widowControl w:val="0"/>
        <w:autoSpaceDE w:val="0"/>
        <w:autoSpaceDN w:val="0"/>
        <w:adjustRightInd w:val="0"/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 xml:space="preserve">Oxford, </w:t>
      </w:r>
    </w:p>
    <w:p w14:paraId="50E115E8" w14:textId="7B38A502" w:rsidR="00995795" w:rsidRPr="00995795" w:rsidRDefault="00995795" w:rsidP="00995795">
      <w:pPr>
        <w:widowControl w:val="0"/>
        <w:autoSpaceDE w:val="0"/>
        <w:autoSpaceDN w:val="0"/>
        <w:adjustRightInd w:val="0"/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OX1 3QY</w:t>
      </w:r>
    </w:p>
    <w:p w14:paraId="7B714AE8" w14:textId="661238D3" w:rsidR="00995795" w:rsidRPr="00995795" w:rsidRDefault="00995795" w:rsidP="00995795">
      <w:pPr>
        <w:rPr>
          <w:rFonts w:asciiTheme="majorHAnsi" w:eastAsia="Malgun Gothic" w:hAnsiTheme="majorHAnsi" w:cs="Calibri"/>
          <w:i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United Kingdom</w:t>
      </w:r>
    </w:p>
    <w:p w14:paraId="2CCFB50F" w14:textId="77777777" w:rsidR="00332E8E" w:rsidRDefault="00332E8E" w:rsidP="0099579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65DAAC82" w14:textId="6736B1E7" w:rsidR="00995795" w:rsidRPr="00F4144A" w:rsidRDefault="00332E8E" w:rsidP="0099579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beth.greenhough@ouce.ox.ac.uk</w:t>
      </w:r>
      <w:proofErr w:type="gramEnd"/>
    </w:p>
    <w:p w14:paraId="485C15F8" w14:textId="77777777" w:rsidR="00995795" w:rsidRDefault="00995795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</w:p>
    <w:p w14:paraId="33A580FA" w14:textId="31F81DF9" w:rsidR="00EE0CAD" w:rsidRPr="00EE0CAD" w:rsidRDefault="00EE0CAD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  <w:r w:rsidRPr="00EE0CA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Abstract</w:t>
      </w:r>
    </w:p>
    <w:p w14:paraId="6F51D8D4" w14:textId="781AD094" w:rsidR="00EE0CAD" w:rsidRDefault="00D4246D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Simon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>’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E91F64">
        <w:rPr>
          <w:rFonts w:asciiTheme="majorHAnsi" w:eastAsia="Malgun Gothic" w:hAnsiTheme="majorHAnsi" w:cs="Calibri"/>
          <w:sz w:val="22"/>
          <w:szCs w:val="22"/>
          <w:lang w:eastAsia="ko-KR"/>
        </w:rPr>
        <w:t>(</w:t>
      </w:r>
      <w:r w:rsidR="00735173">
        <w:rPr>
          <w:rFonts w:asciiTheme="majorHAnsi" w:eastAsia="Malgun Gothic" w:hAnsiTheme="majorHAnsi" w:cs="Calibri"/>
          <w:sz w:val="22"/>
          <w:szCs w:val="22"/>
          <w:lang w:eastAsia="ko-KR"/>
        </w:rPr>
        <w:t>forthcoming</w:t>
      </w:r>
      <w:r w:rsidR="00E91F64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>piece does an excellent job of highlighting how resilience is divergently articulated across multiple sites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however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paper is 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characterised by an oscillation between </w:t>
      </w:r>
      <w:r w:rsidR="00995795">
        <w:rPr>
          <w:rFonts w:asciiTheme="majorHAnsi" w:eastAsia="Malgun Gothic" w:hAnsiTheme="majorHAnsi" w:cs="Calibri"/>
          <w:sz w:val="22"/>
          <w:szCs w:val="22"/>
          <w:lang w:eastAsia="ko-KR"/>
        </w:rPr>
        <w:t>an examination of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995795">
        <w:rPr>
          <w:rFonts w:asciiTheme="majorHAnsi" w:eastAsia="Malgun Gothic" w:hAnsiTheme="majorHAnsi" w:cs="Calibri"/>
          <w:sz w:val="22"/>
          <w:szCs w:val="22"/>
          <w:lang w:eastAsia="ko-KR"/>
        </w:rPr>
        <w:t>contrasting</w:t>
      </w:r>
      <w:r w:rsidR="00EE0CA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discourses of </w:t>
      </w:r>
      <w:r w:rsidR="00995795">
        <w:rPr>
          <w:rFonts w:asciiTheme="majorHAnsi" w:eastAsia="Malgun Gothic" w:hAnsiTheme="majorHAnsi" w:cs="Calibri"/>
          <w:sz w:val="22"/>
          <w:szCs w:val="22"/>
          <w:lang w:eastAsia="ko-KR"/>
        </w:rPr>
        <w:t>resilience (reflected in the ways it is defined and conceptualised) and an attention to specific empirical incidents of its enactment (offering a basis for ontological politics). I argue this limits the analysis in terms of failures to engage with: (</w:t>
      </w:r>
      <w:proofErr w:type="spellStart"/>
      <w:r w:rsidR="00995795">
        <w:rPr>
          <w:rFonts w:asciiTheme="majorHAnsi" w:eastAsia="Malgun Gothic" w:hAnsiTheme="majorHAnsi" w:cs="Calibri"/>
          <w:sz w:val="22"/>
          <w:szCs w:val="22"/>
          <w:lang w:eastAsia="ko-KR"/>
        </w:rPr>
        <w:t>i</w:t>
      </w:r>
      <w:proofErr w:type="spellEnd"/>
      <w:r w:rsidR="00995795">
        <w:rPr>
          <w:rFonts w:asciiTheme="majorHAnsi" w:eastAsia="Malgun Gothic" w:hAnsiTheme="majorHAnsi" w:cs="Calibri"/>
          <w:sz w:val="22"/>
          <w:szCs w:val="22"/>
          <w:lang w:eastAsia="ko-KR"/>
        </w:rPr>
        <w:t>) the materiality of literary representation; (ii) the specificity of tactics for imagining (as opposed to intervening in) ontological futures; and (iii) the more-than-human contingencies of resilience interventions.</w:t>
      </w:r>
    </w:p>
    <w:p w14:paraId="16A2B519" w14:textId="77777777" w:rsidR="00EE0CAD" w:rsidRDefault="00EE0CAD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7B0A392D" w14:textId="380643FB" w:rsidR="00EE0CAD" w:rsidRDefault="0099579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Keywords</w:t>
      </w:r>
      <w:r>
        <w:rPr>
          <w:rFonts w:asciiTheme="majorHAnsi" w:eastAsia="Malgun Gothic" w:hAnsiTheme="majorHAnsi" w:cs="Calibri"/>
          <w:b/>
          <w:sz w:val="22"/>
          <w:szCs w:val="22"/>
          <w:lang w:eastAsia="ko-KR"/>
        </w:rPr>
        <w:t xml:space="preserve">: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resilience; ontological politics; multiplicity; e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thnography; materiality; nonhuman agency</w:t>
      </w:r>
    </w:p>
    <w:p w14:paraId="6FD01E29" w14:textId="77777777" w:rsidR="00995795" w:rsidRDefault="0099579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1E21FCF0" w14:textId="18F14859" w:rsidR="00995795" w:rsidRPr="00995795" w:rsidRDefault="00995795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  <w:r w:rsidRPr="00995795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Main text</w:t>
      </w:r>
    </w:p>
    <w:p w14:paraId="79865E3B" w14:textId="77777777" w:rsidR="001C4B9E" w:rsidRPr="00F4144A" w:rsidRDefault="001C4B9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698CADE1" w14:textId="235497A8" w:rsidR="00534B95" w:rsidRPr="00F4144A" w:rsidRDefault="001C4B9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Drawing on </w:t>
      </w:r>
      <w:proofErr w:type="spellStart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Mol’s</w:t>
      </w:r>
      <w:proofErr w:type="spellEnd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(1999; 2002)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ontological politics, Simon and </w:t>
      </w:r>
      <w:proofErr w:type="spellStart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7B3D8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(forthcoming)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seek to reclaim the concept of resilience from neoliberal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approaches that seemingly (or at least according to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their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critics)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reduce it to a </w:t>
      </w:r>
      <w:r w:rsidR="00332E8E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catchall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term for dissolving accountability and responsibility to economic and environmental victims. Drawing out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resilience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multiple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through a range political and academic interventions,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they seek to offer what </w:t>
      </w:r>
      <w:proofErr w:type="spellStart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Haraway</w:t>
      </w:r>
      <w:proofErr w:type="spellEnd"/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(1991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: 151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might term a cyborg or hybrid 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reading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, wher</w:t>
      </w:r>
      <w:r w:rsidR="00A1735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e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by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articulations of 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resilience</w:t>
      </w:r>
      <w:r w:rsid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are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‘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exceedingly unfaithful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to their 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origins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’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thereby offer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a useful basis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for ‘politi</w:t>
      </w:r>
      <w:r w:rsidR="007775E8">
        <w:rPr>
          <w:rFonts w:asciiTheme="majorHAnsi" w:eastAsia="Malgun Gothic" w:hAnsiTheme="majorHAnsi" w:cs="Calibri"/>
          <w:sz w:val="22"/>
          <w:szCs w:val="22"/>
          <w:lang w:eastAsia="ko-KR"/>
        </w:rPr>
        <w:t>cizing the concept’ (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p</w:t>
      </w:r>
      <w:r w:rsidR="007775E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32)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.</w:t>
      </w:r>
      <w:r w:rsidR="00357326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72A6B">
        <w:rPr>
          <w:rFonts w:asciiTheme="majorHAnsi" w:eastAsia="Malgun Gothic" w:hAnsiTheme="majorHAnsi" w:cs="Calibri"/>
          <w:sz w:val="22"/>
          <w:szCs w:val="22"/>
          <w:lang w:eastAsia="ko-KR"/>
        </w:rPr>
        <w:t>I</w:t>
      </w:r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 is worth </w:t>
      </w:r>
      <w:r w:rsidR="00A72A6B">
        <w:rPr>
          <w:rFonts w:asciiTheme="majorHAnsi" w:eastAsia="Malgun Gothic" w:hAnsiTheme="majorHAnsi" w:cs="Calibri"/>
          <w:sz w:val="22"/>
          <w:szCs w:val="22"/>
          <w:lang w:eastAsia="ko-KR"/>
        </w:rPr>
        <w:t>emphasising</w:t>
      </w:r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that Simon and </w:t>
      </w:r>
      <w:proofErr w:type="spellStart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7B3D8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(forthcoming) </w:t>
      </w:r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stop short (as many accuse </w:t>
      </w:r>
      <w:proofErr w:type="spellStart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her science studies contemporaries of doing) of advocating a par</w:t>
      </w:r>
      <w:r w:rsid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ticular political </w:t>
      </w:r>
      <w:proofErr w:type="spellStart"/>
      <w:r w:rsidR="00A72A6B">
        <w:rPr>
          <w:rFonts w:asciiTheme="majorHAnsi" w:eastAsia="Malgun Gothic" w:hAnsiTheme="majorHAnsi" w:cs="Calibri"/>
          <w:sz w:val="22"/>
          <w:szCs w:val="22"/>
          <w:lang w:eastAsia="ko-KR"/>
        </w:rPr>
        <w:t>positionality</w:t>
      </w:r>
      <w:proofErr w:type="spellEnd"/>
      <w:r w:rsidR="00A72A6B">
        <w:rPr>
          <w:rFonts w:asciiTheme="majorHAnsi" w:eastAsia="Malgun Gothic" w:hAnsiTheme="majorHAnsi" w:cs="Calibri"/>
          <w:sz w:val="22"/>
          <w:szCs w:val="22"/>
          <w:lang w:eastAsia="ko-KR"/>
        </w:rPr>
        <w:t>:</w:t>
      </w:r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They explicitly state that it is not their intention to contend that ‘resilience could or should be </w:t>
      </w:r>
      <w:proofErr w:type="spellStart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>recrafted</w:t>
      </w:r>
      <w:proofErr w:type="spellEnd"/>
      <w:r w:rsidR="00A72A6B" w:rsidRPr="00A72A6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for political ends’ (p9), but rather that they wish to draw attention to its ‘multiple world-making potentialities’ (p10).</w:t>
      </w:r>
      <w:r w:rsidR="00A72A6B" w:rsidRPr="00596050">
        <w:rPr>
          <w:rFonts w:asciiTheme="majorHAnsi" w:eastAsia="Malgun Gothic" w:hAnsiTheme="majorHAnsi" w:cs="Calibri"/>
          <w:sz w:val="20"/>
          <w:szCs w:val="22"/>
          <w:lang w:eastAsia="ko-KR"/>
        </w:rPr>
        <w:t xml:space="preserve"> 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Their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incisive 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analysis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therefore focuses on 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the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post-political (</w:t>
      </w:r>
      <w:proofErr w:type="spellStart"/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Syngedouw</w:t>
      </w:r>
      <w:proofErr w:type="spellEnd"/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7775E8">
        <w:rPr>
          <w:rFonts w:asciiTheme="majorHAnsi" w:eastAsia="Malgun Gothic" w:hAnsiTheme="majorHAnsi" w:cs="Calibri"/>
          <w:sz w:val="22"/>
          <w:szCs w:val="22"/>
          <w:lang w:eastAsia="ko-KR"/>
        </w:rPr>
        <w:t>2010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) or anti-political (Barry 2002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nature </w:t>
      </w:r>
      <w:r w:rsidR="00534B95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of ag</w:t>
      </w:r>
      <w:r w:rsidR="00F4144A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nostic resilience: ‘</w:t>
      </w:r>
      <w:r w:rsidR="00534B95" w:rsidRPr="00E34C1E">
        <w:rPr>
          <w:rFonts w:asciiTheme="majorHAnsi" w:eastAsia="Malgun Gothic" w:hAnsiTheme="majorHAnsi" w:cs="Calibri"/>
          <w:sz w:val="22"/>
          <w:szCs w:val="22"/>
          <w:lang w:eastAsia="ko-KR"/>
        </w:rPr>
        <w:t>that it simultaneously names the ‘cure’ and names nothing substantial at all</w:t>
      </w:r>
      <w:r w:rsidR="00F4144A">
        <w:rPr>
          <w:rFonts w:asciiTheme="majorHAnsi" w:eastAsia="Malgun Gothic" w:hAnsiTheme="majorHAnsi" w:cs="Calibri"/>
          <w:sz w:val="22"/>
          <w:szCs w:val="22"/>
          <w:lang w:eastAsia="ko-KR"/>
        </w:rPr>
        <w:t>’ (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p</w:t>
      </w:r>
      <w:r w:rsidR="00534B9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13)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but I remain unconvinced that this analysis is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one </w:t>
      </w:r>
      <w:r w:rsidR="007775E8">
        <w:rPr>
          <w:rFonts w:asciiTheme="majorHAnsi" w:eastAsia="Malgun Gothic" w:hAnsiTheme="majorHAnsi" w:cs="Calibri"/>
          <w:sz w:val="22"/>
          <w:szCs w:val="22"/>
          <w:lang w:eastAsia="ko-KR"/>
        </w:rPr>
        <w:t>consistently sustained through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an attention to ontological politics rather than conceptual ambiguity.</w:t>
      </w:r>
    </w:p>
    <w:p w14:paraId="267933A2" w14:textId="77777777" w:rsidR="00115925" w:rsidRPr="00F4144A" w:rsidRDefault="0011592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37ED62F2" w14:textId="73A03E05" w:rsidR="006736CB" w:rsidRDefault="00F4144A" w:rsidP="002E3183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In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order to illustrate 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resilience multiple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Simon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make what might be termed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 classic science studies move. They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draw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attention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to specific and contingent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networks of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relations 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that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inform particular articulations of, or claims for, resilience,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ranging from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ecological systems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to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self-help seminars. This attention to the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socio-material relations (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as 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expressed through divergent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popular, 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policy and academic articulations)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that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sustain parti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cular interpretations of resilience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highlights the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fragility and vulnerability of th</w:t>
      </w:r>
      <w:r w:rsidR="004B5E2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ose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lastRenderedPageBreak/>
        <w:t>relations</w:t>
      </w:r>
      <w:r w:rsidR="004B5E2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undermining the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seemingly universal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(post-political)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shared state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resilience </w:t>
      </w:r>
      <w:r w:rsidR="004B5E2A">
        <w:rPr>
          <w:rFonts w:asciiTheme="majorHAnsi" w:eastAsia="Malgun Gothic" w:hAnsiTheme="majorHAnsi" w:cs="Calibri"/>
          <w:sz w:val="22"/>
          <w:szCs w:val="22"/>
          <w:lang w:eastAsia="ko-KR"/>
        </w:rPr>
        <w:t>seeks to name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.</w:t>
      </w:r>
      <w:r w:rsidR="002E3183" w:rsidRP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2E3183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Re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silie</w:t>
      </w:r>
      <w:r w:rsidR="002E3183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nce in this sense proves a worthy target, and much is gained through their analysis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 terms of our understanding of how, through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concept of re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silie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nce, </w:t>
      </w:r>
      <w:r w:rsidR="002E3183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‘</w:t>
      </w:r>
      <w:r w:rsidR="002E3183" w:rsidRPr="00E34C1E">
        <w:rPr>
          <w:rFonts w:asciiTheme="majorHAnsi" w:eastAsia="Malgun Gothic" w:hAnsiTheme="majorHAnsi" w:cs="Calibri"/>
          <w:sz w:val="22"/>
          <w:szCs w:val="22"/>
          <w:lang w:eastAsia="ko-KR"/>
        </w:rPr>
        <w:t>problems are framed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’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F51A01" w:rsidRPr="00E34C1E">
        <w:rPr>
          <w:rFonts w:asciiTheme="majorHAnsi" w:eastAsia="Malgun Gothic" w:hAnsiTheme="majorHAnsi" w:cs="Calibri"/>
          <w:sz w:val="22"/>
          <w:szCs w:val="22"/>
          <w:lang w:eastAsia="ko-KR"/>
        </w:rPr>
        <w:t>(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Simon and </w:t>
      </w:r>
      <w:proofErr w:type="spellStart"/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7B3D88">
        <w:rPr>
          <w:rFonts w:asciiTheme="majorHAnsi" w:eastAsia="Malgun Gothic" w:hAnsiTheme="majorHAnsi" w:cs="Calibri"/>
          <w:sz w:val="22"/>
          <w:szCs w:val="22"/>
          <w:lang w:eastAsia="ko-KR"/>
        </w:rPr>
        <w:t>forthcoming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: 9, citing </w:t>
      </w:r>
      <w:proofErr w:type="spellStart"/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2002: viii) and rendered actionable. 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In particular they draw out a tension between the recognition of the inherent uncertainty of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events to which resilience is posed as a response and the need to try to intervene to govern such uncertainties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. In this way their piece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echoes Andersen and </w:t>
      </w:r>
      <w:proofErr w:type="spellStart"/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Adey’s</w:t>
      </w:r>
      <w:proofErr w:type="spellEnd"/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(2012) analysis of emergency, tempered by an understanding that resilience (unlike emergency) is 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envisioned as 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something not only to be managed but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also 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to be coaxed and nurtured towards self-flowering.</w:t>
      </w:r>
    </w:p>
    <w:p w14:paraId="0B84A166" w14:textId="77777777" w:rsidR="006736CB" w:rsidRDefault="006736CB" w:rsidP="002E3183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366F0353" w14:textId="7B5FA14D" w:rsidR="008060E9" w:rsidRPr="00DD40BA" w:rsidRDefault="000F7B9D" w:rsidP="00DD40BA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>W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hat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se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e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med to me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less present in this paper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were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ontological foundations of this diversity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. </w:t>
      </w:r>
      <w:r w:rsidR="00DD40BA" w:rsidRPr="00DD40BA">
        <w:rPr>
          <w:rFonts w:asciiTheme="majorHAnsi" w:eastAsia="Malgun Gothic" w:hAnsiTheme="majorHAnsi" w:cs="Calibri"/>
          <w:sz w:val="22"/>
          <w:szCs w:val="22"/>
          <w:lang w:eastAsia="ko-KR"/>
        </w:rPr>
        <w:t>Throughout the paper I found an uneasy slippage– captured in the awkward phrase ‘imagined ontology’ (p17) - between an attention to the empirical evidence for ontological politics and a focus on conceptual ambiguity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 w:rsidR="00DD40BA" w:rsidRP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or between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 attention to </w:t>
      </w:r>
      <w:r w:rsidR="00DD40BA" w:rsidRP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worlds we claim to know and the role of conceptualisation (through resilience or any other framework) in determining how we come to know this.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We learn a lot about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multiple domains 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where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concept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of 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re</w:t>
      </w:r>
      <w:r w:rsidR="00D56C6C">
        <w:rPr>
          <w:rFonts w:asciiTheme="majorHAnsi" w:eastAsia="Malgun Gothic" w:hAnsiTheme="majorHAnsi" w:cs="Calibri"/>
          <w:sz w:val="22"/>
          <w:szCs w:val="22"/>
          <w:lang w:eastAsia="ko-KR"/>
        </w:rPr>
        <w:t>silie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nce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has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been taken up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but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much 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less about how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‘</w:t>
      </w:r>
      <w:r w:rsidR="002E3183" w:rsidRPr="00E34C1E">
        <w:rPr>
          <w:rFonts w:asciiTheme="majorHAnsi" w:eastAsia="Malgun Gothic" w:hAnsiTheme="majorHAnsi" w:cs="Calibri"/>
          <w:sz w:val="22"/>
          <w:szCs w:val="22"/>
          <w:lang w:eastAsia="ko-KR"/>
        </w:rPr>
        <w:t>bodies are shaped, and lives are pushed and p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ulled into one shape or another’</w:t>
      </w:r>
      <w:r w:rsidR="002E3183" w:rsidRPr="00E34C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</w:t>
      </w:r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Simon and </w:t>
      </w:r>
      <w:proofErr w:type="spellStart"/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C5C4A">
        <w:rPr>
          <w:rFonts w:asciiTheme="majorHAnsi" w:eastAsia="Malgun Gothic" w:hAnsiTheme="majorHAnsi" w:cs="Calibri"/>
          <w:sz w:val="22"/>
          <w:szCs w:val="22"/>
          <w:lang w:eastAsia="ko-KR"/>
        </w:rPr>
        <w:t>forthcoming</w:t>
      </w:r>
      <w:bookmarkStart w:id="0" w:name="_GoBack"/>
      <w:bookmarkEnd w:id="0"/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: 9, citing </w:t>
      </w:r>
      <w:proofErr w:type="spellStart"/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 w:rsidR="002E3183">
        <w:rPr>
          <w:rFonts w:asciiTheme="majorHAnsi" w:eastAsia="Malgun Gothic" w:hAnsiTheme="majorHAnsi" w:cs="Calibri"/>
          <w:sz w:val="22"/>
          <w:szCs w:val="22"/>
          <w:lang w:eastAsia="ko-KR"/>
        </w:rPr>
        <w:t>, 2002: viii), and very little about what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actually happens on the ground.</w:t>
      </w:r>
      <w:r w:rsidR="00345FEB" w:rsidRP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There are few first-hand ethnographic insights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marked 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contrast with </w:t>
      </w:r>
      <w:proofErr w:type="spellStart"/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Mol’s</w:t>
      </w:r>
      <w:proofErr w:type="spellEnd"/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detailed engagement with the sites where athero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sclerosis in performed. Instead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Simon and Randall’s seek to evoke ontological multiplicity through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citing contrasting accounts of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ecologica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l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, security-orientated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and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psycho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logical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interventions. In places this works 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effectively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to draw attention to 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>diverse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resilie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nce enactments and interventions, such as the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example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of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14-item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R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esilience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S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cale (p16) or the discussion of competing ecological restoration practices (p22). 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However</w:t>
      </w:r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at other points</w:t>
      </w:r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focus shifts more to think-through how resilience is conceptualised, for example the discussion around how the ‘security sector borrow quite liberally from ecological and biological concepts’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(p24) and the taxonomy of ‘descriptors of resilience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’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(p25)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. Simon and Randall’s</w:t>
      </w:r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interrogation of ‘the </w:t>
      </w:r>
      <w:proofErr w:type="spellStart"/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>spatialities</w:t>
      </w:r>
      <w:proofErr w:type="spellEnd"/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of these articulations [of </w:t>
      </w:r>
      <w:proofErr w:type="spellStart"/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>resiliance</w:t>
      </w:r>
      <w:proofErr w:type="spellEnd"/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>]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’ </w:t>
      </w:r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>(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p17</w:t>
      </w:r>
      <w:r w:rsidRP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- </w:t>
      </w:r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as found, made and unfinished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- </w:t>
      </w:r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>arguably ha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 more in common with </w:t>
      </w:r>
      <w:proofErr w:type="spellStart"/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Foucaultian</w:t>
      </w:r>
      <w:proofErr w:type="spellEnd"/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discourse analysis of the multiple </w:t>
      </w:r>
      <w:proofErr w:type="spellStart"/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>spatia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lisations</w:t>
      </w:r>
      <w:proofErr w:type="spellEnd"/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of disease (</w:t>
      </w:r>
      <w:r w:rsidR="00FF6D97">
        <w:rPr>
          <w:rFonts w:asciiTheme="majorHAnsi" w:eastAsia="Malgun Gothic" w:hAnsiTheme="majorHAnsi" w:cs="Calibri"/>
          <w:sz w:val="22"/>
          <w:szCs w:val="22"/>
          <w:lang w:eastAsia="ko-KR"/>
        </w:rPr>
        <w:t>2000</w:t>
      </w:r>
      <w:r w:rsidR="008060E9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</w:t>
      </w:r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than </w:t>
      </w:r>
      <w:proofErr w:type="spellStart"/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>Mol’s</w:t>
      </w:r>
      <w:proofErr w:type="spellEnd"/>
      <w:r w:rsidR="00DD40B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(1999) ontological politics.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This tension between the analysis of discourses and the analysis of practices is key, because while an attention to the ways in whic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h things are constructed offers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for </w:t>
      </w:r>
      <w:proofErr w:type="spellStart"/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(1999: 76-77) insights into the plurality of meaning, ‘talking about reality as 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multiple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depends on another set of metaphors. Not those of perspective and construction, but rather those of intervention and performance. These suggest a reality that is 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done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and 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enacted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rather than observed’.</w:t>
      </w:r>
    </w:p>
    <w:p w14:paraId="26EC101C" w14:textId="77777777" w:rsidR="008060E9" w:rsidRDefault="008060E9" w:rsidP="002E3183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27BA6DC5" w14:textId="5750068E" w:rsidR="008060E9" w:rsidRDefault="008060E9" w:rsidP="008060E9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At this point it is important I stress that this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empirical omission does not go un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noticed by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Simon and </w:t>
      </w:r>
      <w:proofErr w:type="spellStart"/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 w:rsidR="007B3D8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(forthcoming)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, who note that</w:t>
      </w:r>
      <w:r w:rsidR="000F7B9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they draw on</w:t>
      </w:r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multiple </w:t>
      </w:r>
      <w:proofErr w:type="gramStart"/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>cases which</w:t>
      </w:r>
      <w:proofErr w:type="gramEnd"/>
      <w:r w:rsidR="00372A1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they </w:t>
      </w:r>
      <w:r w:rsidR="000F7B9D">
        <w:rPr>
          <w:rFonts w:asciiTheme="majorHAnsi" w:eastAsia="Malgun Gothic" w:hAnsiTheme="majorHAnsi" w:cs="Calibri"/>
          <w:sz w:val="22"/>
          <w:szCs w:val="22"/>
          <w:lang w:eastAsia="ko-KR"/>
        </w:rPr>
        <w:t>c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an</w:t>
      </w:r>
      <w:r w:rsidR="000F7B9D">
        <w:rPr>
          <w:rFonts w:asciiTheme="majorHAnsi" w:eastAsia="Malgun Gothic" w:hAnsiTheme="majorHAnsi" w:cs="Calibri"/>
          <w:sz w:val="22"/>
          <w:szCs w:val="22"/>
          <w:lang w:eastAsia="ko-KR"/>
        </w:rPr>
        <w:t>not ‘delicately render in all of their complexities, nor situate in their particular contexts or day-to-day work’ (6).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Instead they propose to access the ontological 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politics of resilience through numerous accounts of its deployment.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Therefore, and in order that this commentary should deliver something more than academic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pendanticalness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below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 want to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think through some of the implications of this tension between conceptual multiplicity and ontological politics, and of the limitations of analysing ontological politics through literary review.</w:t>
      </w:r>
    </w:p>
    <w:p w14:paraId="305C1829" w14:textId="77777777" w:rsidR="00F51A01" w:rsidRDefault="00F51A01" w:rsidP="002E3183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7ADA02FA" w14:textId="42B4DECC" w:rsidR="00BB1A6E" w:rsidRDefault="00357326" w:rsidP="00BB1A6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Firstly, if we study re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silie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nce multiple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through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political, popular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academic discourse, then the material cultures we pay attentio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n to might not be those concerned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with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interventions made by political actors in the name of fostering resilience,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but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to the material and technological cultures of that discourse, namely the</w:t>
      </w:r>
      <w:r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publications, computer screen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s, internet servers and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websites through which those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accounts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are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articulated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. These are </w:t>
      </w:r>
      <w:r w:rsidR="00A86A23">
        <w:rPr>
          <w:rFonts w:asciiTheme="majorHAnsi" w:eastAsia="Malgun Gothic" w:hAnsiTheme="majorHAnsi" w:cs="Calibri"/>
          <w:sz w:val="22"/>
          <w:szCs w:val="22"/>
          <w:lang w:eastAsia="ko-KR"/>
        </w:rPr>
        <w:t>also key sites for curating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resilience multiple. Might not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these architectures 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also be held to account in 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>understand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>ing</w:t>
      </w:r>
      <w:r w:rsidR="00E45EF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how resilience is performed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?</w:t>
      </w:r>
      <w:r w:rsidR="00BB1A6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Surely it matters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for 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>how these accounts of resilience are authored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published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not least in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terms of 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>determining who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m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what is in a position to generate (or challenge) such accounts.</w:t>
      </w:r>
    </w:p>
    <w:p w14:paraId="2A265A2D" w14:textId="5E016D1B" w:rsidR="00E45EF0" w:rsidRDefault="00E45EF0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6A658582" w14:textId="7883E1FE" w:rsidR="00BB1A6E" w:rsidRDefault="00BB1A6E" w:rsidP="00332E8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>Secondly, if resilience is articulated to evoke as-yet-u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nrealised futures, then how do w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 begin to engage empirically with the ‘imagined ontology of 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>resilience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’ (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p17)? 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As Simon and Randall’s (</w:t>
      </w:r>
      <w:r w:rsidR="00735173">
        <w:rPr>
          <w:rFonts w:asciiTheme="majorHAnsi" w:eastAsia="Malgun Gothic" w:hAnsiTheme="majorHAnsi" w:cs="Calibri"/>
          <w:sz w:val="22"/>
          <w:szCs w:val="22"/>
          <w:lang w:eastAsia="ko-KR"/>
        </w:rPr>
        <w:t>forthcoming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: 7) suggest,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they are concerned 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>with the ‘idealizations, visualizations, and articulations [that] make resilience what it is’. While I accept their contention that these idealizations, visualizations and articulation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s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serve to bring re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silie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nce  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‘</w:t>
      </w:r>
      <w:r w:rsidR="00DB6C58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into being, grant it capacities, which are not given but emerge—or don’t emerge, or emerge differently—in practice’ (ibid), I wonder how far an interrogation of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>accounts of ‘imagined ontologies’ can demonstrate h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ow are</w:t>
      </w:r>
      <w:r w:rsidR="00F51A01" w:rsidRPr="00F4144A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re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s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>ilient futures are made present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specific tactics used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: What are the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resilience equivalents of emergency response role-play exercises or disaster preparedness plans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?</w:t>
      </w:r>
      <w:r w:rsidR="00DB6C5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332E8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The details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concerning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how such ta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ctics are enacted are important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as they serve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to determine who and what comes to matter: to determine ontological politics. Here literary analysis might be usefully combined with ethnographic interviewing and observation as seen in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Andersen and </w:t>
      </w:r>
      <w:proofErr w:type="spellStart"/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Adey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>’s</w:t>
      </w:r>
      <w:proofErr w:type="spellEnd"/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(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>2012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)</w:t>
      </w:r>
      <w:r w:rsidR="00B42865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study of the concept of emergency.</w:t>
      </w:r>
    </w:p>
    <w:p w14:paraId="68A7213A" w14:textId="34169B05" w:rsidR="00E45EF0" w:rsidRDefault="00E45EF0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4C876697" w14:textId="055D099B" w:rsidR="00BB1A6E" w:rsidRDefault="00BB1A6E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Thirdly, Randall’s and Simon’s focus on human accounts of multiple resilience enactments results in an anthropocentric focus. 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>Largely a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bsent from their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account of ontological p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olitics are the nonhuman actors: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devices and materials so central to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Mol’s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D33D6F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(2002)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multiple performances of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atherosclerosis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are curiously silenced here. One of the key moves of ontological politics is to decentre human agency. Is resilience too not a property of and 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enacted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through more-than-human assemblages? 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>This means an attention not only to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articulations of </w:t>
      </w:r>
      <w:r w:rsidR="00C21225">
        <w:rPr>
          <w:rFonts w:asciiTheme="majorHAnsi" w:eastAsia="Malgun Gothic" w:hAnsiTheme="majorHAnsi" w:cs="Calibri"/>
          <w:sz w:val="22"/>
          <w:szCs w:val="22"/>
          <w:lang w:eastAsia="ko-KR"/>
        </w:rPr>
        <w:t>resilience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(as discussed in the 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>literature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) but to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the technologies and techniques which bring them into being, the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experimental apparatus, ecologies and technologies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which generate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more-or-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less resilie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>nt subjects and objects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.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How do those who teach </w:t>
      </w:r>
      <w:r w:rsidR="00C21225">
        <w:rPr>
          <w:rFonts w:asciiTheme="majorHAnsi" w:eastAsia="Malgun Gothic" w:hAnsiTheme="majorHAnsi" w:cs="Calibri"/>
          <w:sz w:val="22"/>
          <w:szCs w:val="22"/>
          <w:lang w:eastAsia="ko-KR"/>
        </w:rPr>
        <w:t>mindfulness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get inside another’s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head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?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W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hat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kinds of settings and paraphernalia does it take to psycho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>logically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engineer a resilient subject? The quote from </w:t>
      </w:r>
      <w:proofErr w:type="spellStart"/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Ungar</w:t>
      </w:r>
      <w:proofErr w:type="spellEnd"/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</w:t>
      </w:r>
      <w:r w:rsidR="00425AF4">
        <w:rPr>
          <w:rFonts w:asciiTheme="majorHAnsi" w:eastAsia="Malgun Gothic" w:hAnsiTheme="majorHAnsi" w:cs="Calibri"/>
          <w:sz w:val="22"/>
          <w:szCs w:val="22"/>
          <w:lang w:eastAsia="ko-KR"/>
        </w:rPr>
        <w:t>p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18) relating to the role of the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school environment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in shaping children’s resilience b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egins to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touch on how resilience comes to matter (materialises), as do the references to self-help websites (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ibid. page 15), but more detail -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and perhaps a more sustained empirical engagement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-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is needed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. A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n a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ttention to nonhuman actors offers important opportunities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to seek out instances where the disruptive potentiality of 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more-than-human agencies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challenge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s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0F7B9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how </w:t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>resilience takes place</w:t>
      </w:r>
      <w:r w:rsidR="0025371E">
        <w:rPr>
          <w:rStyle w:val="FootnoteReference"/>
          <w:rFonts w:asciiTheme="majorHAnsi" w:eastAsia="Malgun Gothic" w:hAnsiTheme="majorHAnsi" w:cs="Calibri"/>
          <w:sz w:val="22"/>
          <w:szCs w:val="22"/>
          <w:lang w:eastAsia="ko-KR"/>
        </w:rPr>
        <w:footnoteReference w:id="1"/>
      </w:r>
      <w:r w:rsidR="0025371E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. </w:t>
      </w:r>
    </w:p>
    <w:p w14:paraId="09B29FA8" w14:textId="77777777" w:rsidR="00345CC4" w:rsidRDefault="00345CC4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29A22326" w14:textId="568DE839" w:rsidR="00156C47" w:rsidRDefault="00345CC4" w:rsidP="0025371E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To conclude then, I think Simon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offer a convincing account of resilience multiple, showing how such conceptual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ambiguity -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whilst easily appropriated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to neoliberal ends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and interpreted 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as a post-political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-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might also offer opportunities for challenging such form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>ul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ations.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>However</w:t>
      </w:r>
      <w:r w:rsidR="00156C47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m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ore work need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>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to be done to explore the precise moments and empirical cases through which the multiple and different performances of resilience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‘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come to matter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’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="00F51A01">
        <w:rPr>
          <w:rFonts w:asciiTheme="majorHAnsi" w:eastAsia="Malgun Gothic" w:hAnsiTheme="majorHAnsi" w:cs="Calibri"/>
          <w:sz w:val="22"/>
          <w:szCs w:val="22"/>
          <w:lang w:eastAsia="ko-KR"/>
        </w:rPr>
        <w:t>or might be politicised.</w:t>
      </w:r>
      <w:r w:rsidR="00345FE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This could involve a range </w:t>
      </w:r>
      <w:r w:rsidR="00C21225">
        <w:rPr>
          <w:rFonts w:asciiTheme="majorHAnsi" w:eastAsia="Malgun Gothic" w:hAnsiTheme="majorHAnsi" w:cs="Calibri"/>
          <w:sz w:val="22"/>
          <w:szCs w:val="22"/>
          <w:lang w:eastAsia="ko-KR"/>
        </w:rPr>
        <w:t>of approaches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, from exploring the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materialities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of </w:t>
      </w:r>
      <w:r w:rsidR="00D4246D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popular,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academic and political debates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to engaging with tactics for envisioning resilience 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>futures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,</w:t>
      </w:r>
      <w:r w:rsidR="006C2852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to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ethnographically tracing the enactment of resilience </w:t>
      </w:r>
      <w:r w:rsidR="00596050">
        <w:rPr>
          <w:rFonts w:asciiTheme="majorHAnsi" w:eastAsia="Malgun Gothic" w:hAnsiTheme="majorHAnsi" w:cs="Calibri"/>
          <w:sz w:val="22"/>
          <w:szCs w:val="22"/>
          <w:lang w:eastAsia="ko-KR"/>
        </w:rPr>
        <w:t>through more-than-human assemblages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.</w:t>
      </w:r>
      <w:r w:rsidR="00D4246D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 xml:space="preserve"> </w:t>
      </w:r>
    </w:p>
    <w:p w14:paraId="4C2B298B" w14:textId="77777777" w:rsidR="00156C47" w:rsidRDefault="00156C47" w:rsidP="0025371E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</w:p>
    <w:p w14:paraId="1F3E20BC" w14:textId="506A9641" w:rsidR="007775E8" w:rsidRPr="00156C47" w:rsidRDefault="007775E8" w:rsidP="0025371E">
      <w:pPr>
        <w:rPr>
          <w:rFonts w:asciiTheme="majorHAnsi" w:eastAsia="Malgun Gothic" w:hAnsiTheme="majorHAnsi" w:cs="Calibri"/>
          <w:b/>
          <w:sz w:val="22"/>
          <w:szCs w:val="22"/>
          <w:lang w:eastAsia="ko-KR"/>
        </w:rPr>
      </w:pPr>
      <w:r w:rsidRPr="00156C47">
        <w:rPr>
          <w:rFonts w:asciiTheme="majorHAnsi" w:eastAsia="Malgun Gothic" w:hAnsiTheme="majorHAnsi" w:cs="Calibri"/>
          <w:b/>
          <w:sz w:val="22"/>
          <w:szCs w:val="22"/>
          <w:lang w:eastAsia="ko-KR"/>
        </w:rPr>
        <w:t>References</w:t>
      </w:r>
    </w:p>
    <w:p w14:paraId="2D7A85C5" w14:textId="77777777" w:rsid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3B7E2E77" w14:textId="544384D7" w:rsid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Andersen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Adey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(2012) Governing events and life: ‘Emergency’ in UK Civil Contingencies. </w:t>
      </w:r>
      <w:r w:rsidRPr="006736CB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Political Geography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31: 24-33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>.</w:t>
      </w:r>
    </w:p>
    <w:p w14:paraId="0D977EC5" w14:textId="77777777" w:rsid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46F155BB" w14:textId="4A0E24FC" w:rsidR="006736CB" w:rsidRDefault="006736CB" w:rsidP="006736CB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Barry A (2010) Materialist Politics: Metallurgy. In: Braun B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Whatmore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 J (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eds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) </w:t>
      </w:r>
      <w:r w:rsidRPr="006736CB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 xml:space="preserve">Political Matter: </w:t>
      </w:r>
      <w:proofErr w:type="spellStart"/>
      <w:r w:rsidRPr="006736CB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Technoscience</w:t>
      </w:r>
      <w:proofErr w:type="spellEnd"/>
      <w:r w:rsidRPr="006736CB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, Democracy and Public Life</w:t>
      </w:r>
      <w:r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.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Minneapolis MN: University of Minnesota Press, pp. 89-118.</w:t>
      </w:r>
    </w:p>
    <w:p w14:paraId="1BADB330" w14:textId="77777777" w:rsidR="006736CB" w:rsidRDefault="006736CB" w:rsidP="006736CB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71BFF188" w14:textId="2E383226" w:rsidR="006736CB" w:rsidRDefault="006736CB" w:rsidP="006736CB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Barry A (2002) The Anti-Political Economy.</w:t>
      </w:r>
      <w:proofErr w:type="gram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6736CB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Economy and Society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, 31 (2): 268-284.</w:t>
      </w:r>
    </w:p>
    <w:p w14:paraId="3372C160" w14:textId="77777777" w:rsidR="006736CB" w:rsidRDefault="006736CB" w:rsidP="006736CB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12025856" w14:textId="77777777" w:rsidR="006736CB" w:rsidRDefault="006736CB" w:rsidP="006736CB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Haraway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D J (1991)</w:t>
      </w:r>
      <w:r w:rsidRPr="007775E8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 xml:space="preserve"> Simians, Cyborgs and Women.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London: Free Association Books</w:t>
      </w:r>
    </w:p>
    <w:p w14:paraId="7F03917D" w14:textId="77777777" w:rsidR="006736CB" w:rsidRDefault="006736CB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31433B88" w14:textId="74689FE0" w:rsidR="007775E8" w:rsidRP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A</w:t>
      </w:r>
      <w:proofErr w:type="gram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(1999) Ontological politics. </w:t>
      </w:r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A word and some questions.</w:t>
      </w:r>
      <w:proofErr w:type="gram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7775E8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In: Law J and Hassard J (eds) </w:t>
      </w:r>
      <w:r w:rsidRPr="007775E8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Actor Network Theory and After.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Oxford: Blackwell, pp.</w:t>
      </w:r>
      <w:r w:rsidR="006736CB"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74-89.</w:t>
      </w:r>
    </w:p>
    <w:p w14:paraId="362CB3A2" w14:textId="77777777" w:rsidR="007775E8" w:rsidRP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011A955C" w14:textId="77777777" w:rsidR="00425AF4" w:rsidRDefault="00425AF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Mol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A (2002) </w:t>
      </w:r>
      <w:r w:rsidRPr="007775E8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The Body Multiple: Ontology in Medical Practice</w:t>
      </w:r>
      <w:r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.</w:t>
      </w:r>
      <w:r w:rsidRPr="007775E8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 xml:space="preserve"> 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Durham NC: Duke University Press.</w:t>
      </w:r>
    </w:p>
    <w:p w14:paraId="73E09008" w14:textId="77777777" w:rsidR="00425AF4" w:rsidRDefault="00425AF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09028A28" w14:textId="77777777" w:rsidR="00425AF4" w:rsidRDefault="00425AF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Philo C (2000) The Birth of the Clinic: an unknown work of medical geography. </w:t>
      </w:r>
      <w:r w:rsidRPr="00DD40BA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Area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32(1): 11-19.</w:t>
      </w:r>
    </w:p>
    <w:p w14:paraId="00977F21" w14:textId="77777777" w:rsidR="00E91F64" w:rsidRDefault="00E91F6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47A24ADA" w14:textId="2E26D6AC" w:rsidR="00E91F64" w:rsidRPr="00E91F64" w:rsidRDefault="00E91F6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Simon S and </w:t>
      </w:r>
      <w:proofErr w:type="spell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Randalls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S (forthcoming) </w:t>
      </w:r>
      <w:r w:rsidRPr="00E91F64">
        <w:rPr>
          <w:rFonts w:asciiTheme="majorHAnsi" w:eastAsia="Malgun Gothic" w:hAnsiTheme="majorHAnsi" w:cs="Calibri"/>
          <w:sz w:val="22"/>
          <w:szCs w:val="22"/>
          <w:lang w:eastAsia="ko-KR"/>
        </w:rPr>
        <w:t>Geography, Ontological Politics and the Resilient Future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>.</w:t>
      </w:r>
      <w:proofErr w:type="gram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E91F64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Dialogues in Human Geography</w:t>
      </w:r>
    </w:p>
    <w:p w14:paraId="417ADA4D" w14:textId="77777777" w:rsidR="00425AF4" w:rsidRDefault="00425AF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2115978A" w14:textId="77777777" w:rsidR="00425AF4" w:rsidRDefault="00425AF4" w:rsidP="00425AF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  <w:proofErr w:type="spellStart"/>
      <w:proofErr w:type="gramStart"/>
      <w:r>
        <w:rPr>
          <w:rFonts w:asciiTheme="majorHAnsi" w:eastAsia="Malgun Gothic" w:hAnsiTheme="majorHAnsi" w:cs="Calibri"/>
          <w:sz w:val="22"/>
          <w:szCs w:val="22"/>
          <w:lang w:eastAsia="ko-KR"/>
        </w:rPr>
        <w:t>Swyngedouw</w:t>
      </w:r>
      <w:proofErr w:type="spell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E (2010) Apocalypse Forever?</w:t>
      </w:r>
      <w:proofErr w:type="gramEnd"/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</w:t>
      </w:r>
      <w:r w:rsidRPr="007775E8">
        <w:rPr>
          <w:rFonts w:asciiTheme="majorHAnsi" w:eastAsia="Malgun Gothic" w:hAnsiTheme="majorHAnsi" w:cs="Calibri"/>
          <w:i/>
          <w:sz w:val="22"/>
          <w:szCs w:val="22"/>
          <w:lang w:eastAsia="ko-KR"/>
        </w:rPr>
        <w:t>Theory, Culture and Society</w:t>
      </w:r>
      <w:r>
        <w:rPr>
          <w:rFonts w:asciiTheme="majorHAnsi" w:eastAsia="Malgun Gothic" w:hAnsiTheme="majorHAnsi" w:cs="Calibri"/>
          <w:sz w:val="22"/>
          <w:szCs w:val="22"/>
          <w:lang w:eastAsia="ko-KR"/>
        </w:rPr>
        <w:t xml:space="preserve"> 27 (2-3): 213-232.</w:t>
      </w:r>
    </w:p>
    <w:p w14:paraId="34136F6D" w14:textId="77777777" w:rsid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7050CC7E" w14:textId="77777777" w:rsidR="007775E8" w:rsidRDefault="007775E8" w:rsidP="0025371E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6EB2A547" w14:textId="1BE5735D" w:rsidR="00E45EF0" w:rsidRDefault="00E45EF0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53ECE083" w14:textId="77777777" w:rsidR="003A7A25" w:rsidRDefault="003A7A25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31686697" w14:textId="77777777" w:rsidR="00657D54" w:rsidRDefault="00657D5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11766D57" w14:textId="77777777" w:rsidR="00657D54" w:rsidRDefault="00657D5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p w14:paraId="074D6286" w14:textId="77777777" w:rsidR="00657D54" w:rsidRPr="00F4144A" w:rsidRDefault="00657D54">
      <w:pPr>
        <w:rPr>
          <w:rFonts w:asciiTheme="majorHAnsi" w:eastAsia="Malgun Gothic" w:hAnsiTheme="majorHAnsi" w:cs="Calibri"/>
          <w:sz w:val="22"/>
          <w:szCs w:val="22"/>
          <w:lang w:eastAsia="ko-KR"/>
        </w:rPr>
      </w:pPr>
    </w:p>
    <w:sectPr w:rsidR="00657D54" w:rsidRPr="00F4144A" w:rsidSect="004F1F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DED7C" w14:textId="77777777" w:rsidR="00372A1B" w:rsidRDefault="00372A1B" w:rsidP="0025371E">
      <w:r>
        <w:separator/>
      </w:r>
    </w:p>
  </w:endnote>
  <w:endnote w:type="continuationSeparator" w:id="0">
    <w:p w14:paraId="1FD6E771" w14:textId="77777777" w:rsidR="00372A1B" w:rsidRDefault="00372A1B" w:rsidP="0025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altName w:val="HYMyeongJo-Extra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11DA3" w14:textId="77777777" w:rsidR="00372A1B" w:rsidRDefault="00372A1B" w:rsidP="0025371E">
      <w:r>
        <w:separator/>
      </w:r>
    </w:p>
  </w:footnote>
  <w:footnote w:type="continuationSeparator" w:id="0">
    <w:p w14:paraId="6144FBE4" w14:textId="77777777" w:rsidR="00372A1B" w:rsidRDefault="00372A1B" w:rsidP="0025371E">
      <w:r>
        <w:continuationSeparator/>
      </w:r>
    </w:p>
  </w:footnote>
  <w:footnote w:id="1">
    <w:p w14:paraId="291E62F2" w14:textId="6D2FA39A" w:rsidR="00372A1B" w:rsidRPr="00596050" w:rsidRDefault="00372A1B" w:rsidP="00425AF4">
      <w:pPr>
        <w:rPr>
          <w:rFonts w:asciiTheme="majorHAnsi" w:eastAsia="Malgun Gothic" w:hAnsiTheme="majorHAnsi" w:cs="Calibri"/>
          <w:sz w:val="20"/>
          <w:szCs w:val="22"/>
          <w:lang w:eastAsia="ko-KR"/>
        </w:rPr>
      </w:pPr>
      <w:r w:rsidRPr="00596050">
        <w:rPr>
          <w:rStyle w:val="FootnoteReference"/>
          <w:sz w:val="22"/>
        </w:rPr>
        <w:footnoteRef/>
      </w:r>
      <w:r w:rsidRPr="00596050">
        <w:rPr>
          <w:sz w:val="22"/>
        </w:rPr>
        <w:t xml:space="preserve"> </w:t>
      </w:r>
      <w:r w:rsidRPr="00596050">
        <w:rPr>
          <w:rFonts w:asciiTheme="majorHAnsi" w:eastAsia="Malgun Gothic" w:hAnsiTheme="majorHAnsi" w:cs="Calibri"/>
          <w:sz w:val="14"/>
          <w:szCs w:val="16"/>
          <w:lang w:eastAsia="ko-KR"/>
        </w:rPr>
        <w:t>Compare, for example, with Barry’s (</w:t>
      </w:r>
      <w:r w:rsidR="00596050">
        <w:rPr>
          <w:rFonts w:asciiTheme="majorHAnsi" w:eastAsia="Malgun Gothic" w:hAnsiTheme="majorHAnsi" w:cs="Calibri"/>
          <w:sz w:val="14"/>
          <w:szCs w:val="16"/>
          <w:lang w:eastAsia="ko-KR"/>
        </w:rPr>
        <w:t>2010</w:t>
      </w:r>
      <w:r w:rsidRPr="00596050">
        <w:rPr>
          <w:rFonts w:asciiTheme="majorHAnsi" w:eastAsia="Malgun Gothic" w:hAnsiTheme="majorHAnsi" w:cs="Calibri"/>
          <w:sz w:val="14"/>
          <w:szCs w:val="16"/>
          <w:lang w:eastAsia="ko-KR"/>
        </w:rPr>
        <w:t xml:space="preserve">) account of how the material qualities of a coating on the Baku–Tbilisi–Ceyhan </w:t>
      </w:r>
      <w:r w:rsidR="00596050">
        <w:rPr>
          <w:rFonts w:asciiTheme="majorHAnsi" w:eastAsia="Malgun Gothic" w:hAnsiTheme="majorHAnsi" w:cs="Calibri"/>
          <w:sz w:val="14"/>
          <w:szCs w:val="16"/>
          <w:lang w:eastAsia="ko-KR"/>
        </w:rPr>
        <w:t xml:space="preserve">pipeline </w:t>
      </w:r>
      <w:r w:rsidRPr="00596050">
        <w:rPr>
          <w:rFonts w:asciiTheme="majorHAnsi" w:eastAsia="Malgun Gothic" w:hAnsiTheme="majorHAnsi" w:cs="Calibri"/>
          <w:sz w:val="14"/>
          <w:szCs w:val="16"/>
          <w:lang w:eastAsia="ko-KR"/>
        </w:rPr>
        <w:t xml:space="preserve">acted as a catalyst for generating novel political responses. </w:t>
      </w:r>
    </w:p>
    <w:p w14:paraId="66E8992B" w14:textId="4CB078FD" w:rsidR="00372A1B" w:rsidRPr="0025371E" w:rsidRDefault="00372A1B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0258"/>
    <w:multiLevelType w:val="hybridMultilevel"/>
    <w:tmpl w:val="821A8C6C"/>
    <w:lvl w:ilvl="0" w:tplc="05D882A6">
      <w:start w:val="28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9E"/>
    <w:rsid w:val="00006048"/>
    <w:rsid w:val="000110B0"/>
    <w:rsid w:val="00034B00"/>
    <w:rsid w:val="000F7B9D"/>
    <w:rsid w:val="00115925"/>
    <w:rsid w:val="00156C47"/>
    <w:rsid w:val="001C4B9E"/>
    <w:rsid w:val="0025371E"/>
    <w:rsid w:val="002E3183"/>
    <w:rsid w:val="00332E8E"/>
    <w:rsid w:val="00345CC4"/>
    <w:rsid w:val="00345FEB"/>
    <w:rsid w:val="00357326"/>
    <w:rsid w:val="00372A1B"/>
    <w:rsid w:val="003A7A25"/>
    <w:rsid w:val="003C5C4A"/>
    <w:rsid w:val="00425AF4"/>
    <w:rsid w:val="00445534"/>
    <w:rsid w:val="004B5E2A"/>
    <w:rsid w:val="004D62E3"/>
    <w:rsid w:val="004F1FA6"/>
    <w:rsid w:val="00534B95"/>
    <w:rsid w:val="00596050"/>
    <w:rsid w:val="00657D54"/>
    <w:rsid w:val="006736CB"/>
    <w:rsid w:val="006C2852"/>
    <w:rsid w:val="006C3464"/>
    <w:rsid w:val="007308A5"/>
    <w:rsid w:val="00735173"/>
    <w:rsid w:val="007775E8"/>
    <w:rsid w:val="007B3D88"/>
    <w:rsid w:val="007C4104"/>
    <w:rsid w:val="008060E9"/>
    <w:rsid w:val="00995795"/>
    <w:rsid w:val="00A17355"/>
    <w:rsid w:val="00A72A6B"/>
    <w:rsid w:val="00A82FEC"/>
    <w:rsid w:val="00A86A23"/>
    <w:rsid w:val="00B42865"/>
    <w:rsid w:val="00BB1A6E"/>
    <w:rsid w:val="00C21225"/>
    <w:rsid w:val="00D33D6F"/>
    <w:rsid w:val="00D4246D"/>
    <w:rsid w:val="00D56C6C"/>
    <w:rsid w:val="00DB6C58"/>
    <w:rsid w:val="00DD40BA"/>
    <w:rsid w:val="00E348E0"/>
    <w:rsid w:val="00E45EF0"/>
    <w:rsid w:val="00E91F64"/>
    <w:rsid w:val="00E97F74"/>
    <w:rsid w:val="00EC62C1"/>
    <w:rsid w:val="00EE0CAD"/>
    <w:rsid w:val="00EE7B55"/>
    <w:rsid w:val="00F26A0D"/>
    <w:rsid w:val="00F4144A"/>
    <w:rsid w:val="00F4157D"/>
    <w:rsid w:val="00F51A01"/>
    <w:rsid w:val="00F57161"/>
    <w:rsid w:val="00F6432A"/>
    <w:rsid w:val="00FA48F2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BB0A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E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5371E"/>
  </w:style>
  <w:style w:type="character" w:customStyle="1" w:styleId="FootnoteTextChar">
    <w:name w:val="Footnote Text Char"/>
    <w:basedOn w:val="DefaultParagraphFont"/>
    <w:link w:val="FootnoteText"/>
    <w:uiPriority w:val="99"/>
    <w:rsid w:val="0025371E"/>
  </w:style>
  <w:style w:type="character" w:styleId="FootnoteReference">
    <w:name w:val="footnote reference"/>
    <w:basedOn w:val="DefaultParagraphFont"/>
    <w:uiPriority w:val="99"/>
    <w:unhideWhenUsed/>
    <w:rsid w:val="00253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E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5371E"/>
  </w:style>
  <w:style w:type="character" w:customStyle="1" w:styleId="FootnoteTextChar">
    <w:name w:val="Footnote Text Char"/>
    <w:basedOn w:val="DefaultParagraphFont"/>
    <w:link w:val="FootnoteText"/>
    <w:uiPriority w:val="99"/>
    <w:rsid w:val="0025371E"/>
  </w:style>
  <w:style w:type="character" w:styleId="FootnoteReference">
    <w:name w:val="footnote reference"/>
    <w:basedOn w:val="DefaultParagraphFont"/>
    <w:uiPriority w:val="99"/>
    <w:unhideWhenUsed/>
    <w:rsid w:val="00253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1840</Words>
  <Characters>10489</Characters>
  <Application>Microsoft Macintosh Word</Application>
  <DocSecurity>0</DocSecurity>
  <Lines>87</Lines>
  <Paragraphs>24</Paragraphs>
  <ScaleCrop>false</ScaleCrop>
  <Company>University of Oxford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Greenhough</dc:creator>
  <cp:keywords/>
  <dc:description/>
  <cp:lastModifiedBy>Beth Greenhough</cp:lastModifiedBy>
  <cp:revision>34</cp:revision>
  <dcterms:created xsi:type="dcterms:W3CDTF">2015-05-11T13:32:00Z</dcterms:created>
  <dcterms:modified xsi:type="dcterms:W3CDTF">2015-12-23T10:48:00Z</dcterms:modified>
</cp:coreProperties>
</file>