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56" w:rsidRPr="00E0310A" w:rsidRDefault="00E0310A" w:rsidP="00D81D56">
      <w:pPr>
        <w:rPr>
          <w:rFonts w:ascii="Verdana" w:hAnsi="Verdana"/>
          <w:b/>
          <w:sz w:val="20"/>
          <w:szCs w:val="20"/>
          <w:lang w:val="en-GB"/>
        </w:rPr>
      </w:pPr>
      <w:r w:rsidRPr="00E0310A">
        <w:rPr>
          <w:rFonts w:ascii="Verdana" w:hAnsi="Verdana"/>
          <w:b/>
          <w:sz w:val="20"/>
          <w:szCs w:val="20"/>
          <w:lang w:val="en-GB"/>
        </w:rPr>
        <w:t>Appendix</w:t>
      </w:r>
    </w:p>
    <w:p w:rsidR="00D81D56" w:rsidRDefault="00D81D56" w:rsidP="00D81D56">
      <w:pPr>
        <w:rPr>
          <w:rFonts w:ascii="Verdana" w:hAnsi="Verdana"/>
          <w:sz w:val="20"/>
          <w:szCs w:val="20"/>
          <w:lang w:val="en-GB"/>
        </w:rPr>
      </w:pPr>
    </w:p>
    <w:p w:rsidR="00D81D56" w:rsidRDefault="00D81D56" w:rsidP="00D81D56">
      <w:pPr>
        <w:rPr>
          <w:rFonts w:ascii="Verdana" w:hAnsi="Verdana"/>
          <w:sz w:val="20"/>
          <w:szCs w:val="20"/>
          <w:lang w:val="en-GB"/>
        </w:rPr>
      </w:pPr>
      <w:proofErr w:type="gramStart"/>
      <w:r>
        <w:rPr>
          <w:rFonts w:ascii="Verdana" w:hAnsi="Verdana"/>
          <w:sz w:val="20"/>
          <w:szCs w:val="20"/>
          <w:lang w:val="en-GB"/>
        </w:rPr>
        <w:t>Tables A1-A3 show ORs and CIs from models A and B in each of the three sensitivity analyses.</w:t>
      </w:r>
      <w:proofErr w:type="gramEnd"/>
      <w:r>
        <w:rPr>
          <w:rFonts w:ascii="Verdana" w:hAnsi="Verdana"/>
          <w:sz w:val="20"/>
          <w:szCs w:val="20"/>
          <w:lang w:val="en-GB"/>
        </w:rPr>
        <w:t xml:space="preserve"> The main findings are replicated in each instance. </w:t>
      </w:r>
    </w:p>
    <w:p w:rsidR="00D81D56" w:rsidRDefault="00D81D56" w:rsidP="00D81D56">
      <w:pPr>
        <w:rPr>
          <w:rFonts w:ascii="Verdana" w:hAnsi="Verdana"/>
          <w:sz w:val="20"/>
          <w:szCs w:val="20"/>
          <w:lang w:val="en-GB"/>
        </w:rPr>
      </w:pPr>
    </w:p>
    <w:p w:rsidR="00D81D56" w:rsidRDefault="00D81D56" w:rsidP="00D81D56">
      <w:pPr>
        <w:rPr>
          <w:rFonts w:ascii="Verdana" w:hAnsi="Verdana"/>
          <w:sz w:val="20"/>
          <w:szCs w:val="20"/>
          <w:lang w:val="en-GB"/>
        </w:rPr>
      </w:pPr>
      <w:r>
        <w:rPr>
          <w:rFonts w:ascii="Verdana" w:hAnsi="Verdana"/>
          <w:sz w:val="20"/>
          <w:szCs w:val="20"/>
          <w:lang w:val="en-GB"/>
        </w:rPr>
        <w:t xml:space="preserve">Table A4 shows results from models C and D when the sleep item was excluded from the calculation of the GHQ scores. The association with gender and the interaction between social </w:t>
      </w:r>
      <w:r w:rsidRPr="0011159C">
        <w:rPr>
          <w:rFonts w:ascii="Verdana" w:hAnsi="Verdana"/>
          <w:sz w:val="20"/>
          <w:szCs w:val="20"/>
          <w:lang w:val="en-GB"/>
        </w:rPr>
        <w:t>class</w:t>
      </w:r>
      <w:r>
        <w:rPr>
          <w:rFonts w:ascii="Verdana" w:hAnsi="Verdana"/>
          <w:sz w:val="20"/>
          <w:szCs w:val="20"/>
          <w:lang w:val="en-GB"/>
        </w:rPr>
        <w:t xml:space="preserve"> and GHQ in model C were weaker (p=0.062 and p=0.071 respectively), but model D was replicated. This indicates those associations may have been partially but not entirely due to measurement overlap between sleep and psychiatric distress, but if anything this underlines the finding that insomnia symptoms are an intrinsic part of the psychiatric distress being experienced unequally by women and those in socioeconomic disadvantage.</w:t>
      </w:r>
    </w:p>
    <w:p w:rsidR="00D81D56" w:rsidRDefault="00D81D56" w:rsidP="00D81D56">
      <w:pPr>
        <w:rPr>
          <w:rFonts w:ascii="Verdana" w:hAnsi="Verdana"/>
          <w:sz w:val="20"/>
          <w:szCs w:val="20"/>
          <w:lang w:val="en-GB"/>
        </w:rPr>
      </w:pPr>
    </w:p>
    <w:p w:rsidR="00D81D56" w:rsidRDefault="00D81D56" w:rsidP="00D81D56">
      <w:pPr>
        <w:rPr>
          <w:rFonts w:ascii="Verdana" w:hAnsi="Verdana"/>
          <w:sz w:val="20"/>
          <w:szCs w:val="20"/>
          <w:lang w:val="en-GB"/>
        </w:rPr>
      </w:pPr>
      <w:r>
        <w:rPr>
          <w:rFonts w:ascii="Verdana" w:hAnsi="Verdana"/>
          <w:sz w:val="20"/>
          <w:szCs w:val="20"/>
          <w:lang w:val="en-GB"/>
        </w:rPr>
        <w:t>Table A5 shows findings when anti-depressant medication was added to the definition of psychiatric distress. Only nine extra cases were identified at baseline, but 52 cases were added at age 57, perhaps reflecting a temporal trend of increasing anti-depressant prescription. Model D was replicated and so was Model C except that the interaction between social class and baseline GHQ in model C was not significant (p=0.115). This unexpected finding suggests that respondents from a non-manual social class were more likely to be successfully managing their distress with medication than respondents from a manual class.</w:t>
      </w:r>
    </w:p>
    <w:p w:rsidR="00D81D56" w:rsidRDefault="00D81D56" w:rsidP="00D81D56">
      <w:pPr>
        <w:rPr>
          <w:rFonts w:ascii="Verdana" w:hAnsi="Verdana"/>
          <w:sz w:val="20"/>
          <w:szCs w:val="20"/>
          <w:lang w:val="en-GB"/>
        </w:rPr>
      </w:pPr>
    </w:p>
    <w:p w:rsidR="00D81D56" w:rsidRDefault="00D81D56" w:rsidP="00D81D56">
      <w:pPr>
        <w:rPr>
          <w:rFonts w:ascii="Verdana" w:hAnsi="Verdana"/>
          <w:sz w:val="20"/>
          <w:szCs w:val="20"/>
          <w:lang w:val="en-GB"/>
        </w:rPr>
      </w:pPr>
      <w:r>
        <w:rPr>
          <w:rFonts w:ascii="Verdana" w:hAnsi="Verdana"/>
          <w:sz w:val="20"/>
          <w:szCs w:val="20"/>
          <w:lang w:val="en-GB"/>
        </w:rPr>
        <w:t>Table A6 displays results from models using continuous GHQ scores. These required the modal latent class to be treated as an observed variable (i.e. a two-step approach) because latent class membership was otherwise unstable to the addition of the age 57 GHQ scores. This caveat aside, similar results were obtained for model C, and in model D the interaction between class and baseline GHQ was reduced by 21.4% but remained significant.</w:t>
      </w:r>
    </w:p>
    <w:p w:rsidR="00D81D56" w:rsidRDefault="00D81D56" w:rsidP="00D81D56">
      <w:pPr>
        <w:rPr>
          <w:rFonts w:ascii="Verdana" w:hAnsi="Verdana"/>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A1</w:t>
      </w:r>
      <w:r w:rsidRPr="00EA4FF8">
        <w:rPr>
          <w:rFonts w:ascii="Verdana" w:hAnsi="Verdana"/>
          <w:b/>
          <w:sz w:val="20"/>
          <w:szCs w:val="20"/>
          <w:lang w:val="en-GB"/>
        </w:rPr>
        <w:t xml:space="preserve">: </w:t>
      </w:r>
      <w:r>
        <w:rPr>
          <w:rFonts w:ascii="Verdana" w:hAnsi="Verdana"/>
          <w:b/>
          <w:sz w:val="20"/>
          <w:szCs w:val="20"/>
          <w:lang w:val="en-GB"/>
        </w:rPr>
        <w:t>Odds</w:t>
      </w:r>
      <w:r w:rsidRPr="00EA4FF8">
        <w:rPr>
          <w:rFonts w:ascii="Verdana" w:hAnsi="Verdana"/>
          <w:b/>
          <w:sz w:val="20"/>
          <w:szCs w:val="20"/>
          <w:lang w:val="en-GB"/>
        </w:rPr>
        <w:t xml:space="preserve"> ratios for sleep class membership with and without adjustment for baseline psychiatric distress</w:t>
      </w:r>
      <w:r>
        <w:rPr>
          <w:rFonts w:ascii="Verdana" w:hAnsi="Verdana"/>
          <w:b/>
          <w:sz w:val="20"/>
          <w:szCs w:val="20"/>
          <w:lang w:val="en-GB"/>
        </w:rPr>
        <w:t xml:space="preserve"> </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distress</w:t>
      </w:r>
      <w:proofErr w:type="gramEnd"/>
      <w:r w:rsidRPr="00FA4B88">
        <w:rPr>
          <w:rFonts w:ascii="Verdana" w:hAnsi="Verdana"/>
          <w:sz w:val="20"/>
          <w:szCs w:val="20"/>
          <w:lang w:val="en-GB"/>
        </w:rPr>
        <w:t xml:space="preserve"> measured without the inclusion of the sleep item)</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5"/>
        <w:gridCol w:w="1338"/>
        <w:gridCol w:w="1339"/>
        <w:gridCol w:w="1338"/>
        <w:gridCol w:w="1339"/>
      </w:tblGrid>
      <w:tr w:rsidR="00D81D56" w:rsidRPr="000F3E09" w:rsidTr="00E12F93">
        <w:tc>
          <w:tcPr>
            <w:tcW w:w="3175" w:type="dxa"/>
            <w:vMerge w:val="restart"/>
          </w:tcPr>
          <w:p w:rsidR="00D81D56" w:rsidRPr="000F3E09" w:rsidRDefault="00D81D56" w:rsidP="00E12F93">
            <w:pPr>
              <w:rPr>
                <w:rFonts w:ascii="Verdana" w:hAnsi="Verdana"/>
                <w:sz w:val="16"/>
                <w:szCs w:val="16"/>
                <w:lang w:val="en-GB"/>
              </w:rPr>
            </w:pP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A</w:t>
            </w:r>
            <w:r>
              <w:rPr>
                <w:rFonts w:ascii="Verdana" w:hAnsi="Verdana"/>
                <w:sz w:val="16"/>
                <w:szCs w:val="16"/>
                <w:lang w:val="en-GB"/>
              </w:rPr>
              <w:t>: Predicting sleep</w:t>
            </w: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B</w:t>
            </w:r>
            <w:r>
              <w:rPr>
                <w:rFonts w:ascii="Verdana" w:hAnsi="Verdana"/>
                <w:sz w:val="16"/>
                <w:szCs w:val="16"/>
                <w:lang w:val="en-GB"/>
              </w:rPr>
              <w:t>: Predicting sleep with adjustment for psychiatric distress</w:t>
            </w:r>
          </w:p>
        </w:tc>
      </w:tr>
      <w:tr w:rsidR="00D81D56" w:rsidRPr="000F3E09" w:rsidTr="00E12F93">
        <w:tc>
          <w:tcPr>
            <w:tcW w:w="3175" w:type="dxa"/>
            <w:vMerge/>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Episodic Maintenance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0.85</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49-1.47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0.8</w:t>
            </w:r>
            <w:r>
              <w:rPr>
                <w:rFonts w:ascii="Verdana" w:hAnsi="Verdana"/>
                <w:sz w:val="16"/>
                <w:szCs w:val="16"/>
                <w:lang w:val="en-GB"/>
              </w:rPr>
              <w:t>0</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(0.44-1.45</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1.61</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(0.92-2.80</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51</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(0.61-3.73</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GHQ (2+)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3.67</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(1.81-7.45</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19</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(0.27-5.16</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Developing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4.20</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(2.68-6.59</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4.02</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w:t>
            </w:r>
            <w:r>
              <w:rPr>
                <w:rFonts w:ascii="Verdana" w:hAnsi="Verdana"/>
                <w:sz w:val="16"/>
                <w:szCs w:val="16"/>
                <w:lang w:val="en-GB"/>
              </w:rPr>
              <w:t>2.52-6.42</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1.86</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(1.27-2.74</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1.73*</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(1.00-2.99)</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GHQ (2+)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2.32</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(1.26-4.28</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54</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(0.40-5.97</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Chronic Mixed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1.36</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(0.78-2.36</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15</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(0.63-2.10</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3.33</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(1.69-6.57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1.10</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(0.37-3.24</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GHQ (2+) at age 36</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3.02</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(1.32-6.90</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7.92</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(2.16-29.12</w:t>
            </w:r>
            <w:r w:rsidRPr="000F3E09">
              <w:rPr>
                <w:rFonts w:ascii="Verdana" w:hAnsi="Verdana"/>
                <w:sz w:val="16"/>
                <w:szCs w:val="16"/>
                <w:lang w:val="en-GB"/>
              </w:rPr>
              <w:t>)</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D81D56" w:rsidRDefault="00D81D56" w:rsidP="00D81D56">
      <w:pPr>
        <w:rPr>
          <w:rFonts w:ascii="Verdana" w:hAnsi="Verdana"/>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A2</w:t>
      </w:r>
      <w:r w:rsidRPr="00EA4FF8">
        <w:rPr>
          <w:rFonts w:ascii="Verdana" w:hAnsi="Verdana"/>
          <w:b/>
          <w:sz w:val="20"/>
          <w:szCs w:val="20"/>
          <w:lang w:val="en-GB"/>
        </w:rPr>
        <w:t xml:space="preserve">: </w:t>
      </w:r>
      <w:r>
        <w:rPr>
          <w:rFonts w:ascii="Verdana" w:hAnsi="Verdana"/>
          <w:b/>
          <w:sz w:val="20"/>
          <w:szCs w:val="20"/>
          <w:lang w:val="en-GB"/>
        </w:rPr>
        <w:t>Odds</w:t>
      </w:r>
      <w:r w:rsidRPr="00EA4FF8">
        <w:rPr>
          <w:rFonts w:ascii="Verdana" w:hAnsi="Verdana"/>
          <w:b/>
          <w:sz w:val="20"/>
          <w:szCs w:val="20"/>
          <w:lang w:val="en-GB"/>
        </w:rPr>
        <w:t xml:space="preserve"> ratios for sleep class membership with and without adjustment for baseline psychiatric distress</w:t>
      </w:r>
      <w:r>
        <w:rPr>
          <w:rFonts w:ascii="Verdana" w:hAnsi="Verdana"/>
          <w:b/>
          <w:sz w:val="20"/>
          <w:szCs w:val="20"/>
          <w:lang w:val="en-GB"/>
        </w:rPr>
        <w:t xml:space="preserve"> </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taking</w:t>
      </w:r>
      <w:proofErr w:type="gramEnd"/>
      <w:r w:rsidRPr="00FA4B88">
        <w:rPr>
          <w:rFonts w:ascii="Verdana" w:hAnsi="Verdana"/>
          <w:sz w:val="20"/>
          <w:szCs w:val="20"/>
          <w:lang w:val="en-GB"/>
        </w:rPr>
        <w:t xml:space="preserve"> anti-depressant medication is used as an additional indicator of distress)</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5"/>
        <w:gridCol w:w="1338"/>
        <w:gridCol w:w="1339"/>
        <w:gridCol w:w="1338"/>
        <w:gridCol w:w="1339"/>
      </w:tblGrid>
      <w:tr w:rsidR="00D81D56" w:rsidRPr="000F3E09" w:rsidTr="00E12F93">
        <w:tc>
          <w:tcPr>
            <w:tcW w:w="3175" w:type="dxa"/>
            <w:vMerge w:val="restart"/>
          </w:tcPr>
          <w:p w:rsidR="00D81D56" w:rsidRPr="000F3E09" w:rsidRDefault="00D81D56" w:rsidP="00E12F93">
            <w:pPr>
              <w:rPr>
                <w:rFonts w:ascii="Verdana" w:hAnsi="Verdana"/>
                <w:sz w:val="16"/>
                <w:szCs w:val="16"/>
                <w:lang w:val="en-GB"/>
              </w:rPr>
            </w:pP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A</w:t>
            </w:r>
            <w:r>
              <w:rPr>
                <w:rFonts w:ascii="Verdana" w:hAnsi="Verdana"/>
                <w:sz w:val="16"/>
                <w:szCs w:val="16"/>
                <w:lang w:val="en-GB"/>
              </w:rPr>
              <w:t>: Predicting sleep</w:t>
            </w: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B</w:t>
            </w:r>
            <w:r>
              <w:rPr>
                <w:rFonts w:ascii="Verdana" w:hAnsi="Verdana"/>
                <w:sz w:val="16"/>
                <w:szCs w:val="16"/>
                <w:lang w:val="en-GB"/>
              </w:rPr>
              <w:t xml:space="preserve">: Predicting sleep with </w:t>
            </w:r>
            <w:r>
              <w:rPr>
                <w:rFonts w:ascii="Verdana" w:hAnsi="Verdana"/>
                <w:sz w:val="16"/>
                <w:szCs w:val="16"/>
                <w:lang w:val="en-GB"/>
              </w:rPr>
              <w:lastRenderedPageBreak/>
              <w:t>adjustment for psychiatric distress</w:t>
            </w:r>
          </w:p>
        </w:tc>
      </w:tr>
      <w:tr w:rsidR="00D81D56" w:rsidRPr="000F3E09" w:rsidTr="00E12F93">
        <w:tc>
          <w:tcPr>
            <w:tcW w:w="3175" w:type="dxa"/>
            <w:vMerge/>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Episodic Maintenance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0.85</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49-1.47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0.8</w:t>
            </w:r>
            <w:r>
              <w:rPr>
                <w:rFonts w:ascii="Verdana" w:hAnsi="Verdana"/>
                <w:sz w:val="16"/>
                <w:szCs w:val="16"/>
                <w:lang w:val="en-GB"/>
              </w:rPr>
              <w:t>1</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(0.45-1.46</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1.59</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(0.92-2.77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55</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(0.65-3.69</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Psychiatric Distress</w:t>
            </w:r>
            <w:r w:rsidRPr="000F3E09">
              <w:rPr>
                <w:rFonts w:ascii="Verdana" w:hAnsi="Verdana"/>
                <w:sz w:val="16"/>
                <w:szCs w:val="16"/>
                <w:lang w:val="en-GB"/>
              </w:rPr>
              <w:t xml:space="preserve">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3.57</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(1.82-7.02</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w:t>
            </w:r>
            <w:r>
              <w:rPr>
                <w:rFonts w:ascii="Verdana" w:hAnsi="Verdana"/>
                <w:sz w:val="16"/>
                <w:szCs w:val="16"/>
                <w:lang w:val="en-GB"/>
              </w:rPr>
              <w:t xml:space="preserve"> Distress</w:t>
            </w:r>
            <w:r w:rsidRPr="000F3E09">
              <w:rPr>
                <w:rFonts w:ascii="Verdana" w:hAnsi="Verdana"/>
                <w:sz w:val="16"/>
                <w:szCs w:val="16"/>
                <w:lang w:val="en-GB"/>
              </w:rPr>
              <w:t xml:space="preserve"> Interaction</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26</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(0.31-5.10</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Developing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4.21</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(2.68-6.60</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4.00</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w:t>
            </w:r>
            <w:r>
              <w:rPr>
                <w:rFonts w:ascii="Verdana" w:hAnsi="Verdana"/>
                <w:sz w:val="16"/>
                <w:szCs w:val="16"/>
                <w:lang w:val="en-GB"/>
              </w:rPr>
              <w:t>2.50-6.40</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1.86</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(1.27-2.72</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1.74*</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(0.99-3.04)</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Psychiatric Distress</w:t>
            </w:r>
            <w:r w:rsidRPr="000F3E09">
              <w:rPr>
                <w:rFonts w:ascii="Verdana" w:hAnsi="Verdana"/>
                <w:sz w:val="16"/>
                <w:szCs w:val="16"/>
                <w:lang w:val="en-GB"/>
              </w:rPr>
              <w:t xml:space="preserve">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2.30</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(1.23-4.29</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Social Class and Distress</w:t>
            </w:r>
            <w:r w:rsidRPr="000F3E09">
              <w:rPr>
                <w:rFonts w:ascii="Verdana" w:hAnsi="Verdana"/>
                <w:sz w:val="16"/>
                <w:szCs w:val="16"/>
                <w:lang w:val="en-GB"/>
              </w:rPr>
              <w:t xml:space="preserve">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40</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(0.36-5.43</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Chronic Mixed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1.36</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(0.78-2.37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09</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(0.59-2.01</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3.34</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(1.69-6.57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0.9</w:t>
            </w:r>
            <w:r>
              <w:rPr>
                <w:rFonts w:ascii="Verdana" w:hAnsi="Verdana"/>
                <w:sz w:val="16"/>
                <w:szCs w:val="16"/>
                <w:lang w:val="en-GB"/>
              </w:rPr>
              <w:t>0</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(0.26-3.09</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Psychiatric Distress</w:t>
            </w:r>
            <w:r w:rsidRPr="000F3E09">
              <w:rPr>
                <w:rFonts w:ascii="Verdana" w:hAnsi="Verdana"/>
                <w:sz w:val="16"/>
                <w:szCs w:val="16"/>
                <w:lang w:val="en-GB"/>
              </w:rPr>
              <w:t xml:space="preserve"> at age 36</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3.51</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(1.59-7.77</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Social Class and Distress</w:t>
            </w:r>
            <w:r w:rsidRPr="000F3E09">
              <w:rPr>
                <w:rFonts w:ascii="Verdana" w:hAnsi="Verdana"/>
                <w:sz w:val="16"/>
                <w:szCs w:val="16"/>
                <w:lang w:val="en-GB"/>
              </w:rPr>
              <w:t xml:space="preserve">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9.23</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(2.39-35.60</w:t>
            </w:r>
            <w:r w:rsidRPr="000F3E09">
              <w:rPr>
                <w:rFonts w:ascii="Verdana" w:hAnsi="Verdana"/>
                <w:sz w:val="16"/>
                <w:szCs w:val="16"/>
                <w:lang w:val="en-GB"/>
              </w:rPr>
              <w:t>)</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D81D56" w:rsidRDefault="00D81D56" w:rsidP="00D81D56">
      <w:pPr>
        <w:rPr>
          <w:rFonts w:ascii="Verdana" w:hAnsi="Verdana"/>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A3</w:t>
      </w:r>
      <w:r w:rsidRPr="00EA4FF8">
        <w:rPr>
          <w:rFonts w:ascii="Verdana" w:hAnsi="Verdana"/>
          <w:b/>
          <w:sz w:val="20"/>
          <w:szCs w:val="20"/>
          <w:lang w:val="en-GB"/>
        </w:rPr>
        <w:t xml:space="preserve">: </w:t>
      </w:r>
      <w:r>
        <w:rPr>
          <w:rFonts w:ascii="Verdana" w:hAnsi="Verdana"/>
          <w:b/>
          <w:sz w:val="20"/>
          <w:szCs w:val="20"/>
          <w:lang w:val="en-GB"/>
        </w:rPr>
        <w:t>Odds</w:t>
      </w:r>
      <w:r w:rsidRPr="00EA4FF8">
        <w:rPr>
          <w:rFonts w:ascii="Verdana" w:hAnsi="Verdana"/>
          <w:b/>
          <w:sz w:val="20"/>
          <w:szCs w:val="20"/>
          <w:lang w:val="en-GB"/>
        </w:rPr>
        <w:t xml:space="preserve"> ratios for sleep class membership with and without adjustment for baseline psychiatric distress</w:t>
      </w:r>
      <w:r>
        <w:rPr>
          <w:rFonts w:ascii="Verdana" w:hAnsi="Verdana"/>
          <w:b/>
          <w:sz w:val="20"/>
          <w:szCs w:val="20"/>
          <w:lang w:val="en-GB"/>
        </w:rPr>
        <w:t xml:space="preserve"> </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continuous</w:t>
      </w:r>
      <w:proofErr w:type="gramEnd"/>
      <w:r w:rsidRPr="00FA4B88">
        <w:rPr>
          <w:rFonts w:ascii="Verdana" w:hAnsi="Verdana"/>
          <w:sz w:val="20"/>
          <w:szCs w:val="20"/>
          <w:lang w:val="en-GB"/>
        </w:rPr>
        <w:t xml:space="preserve"> GHQ scores)</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5"/>
        <w:gridCol w:w="1338"/>
        <w:gridCol w:w="1339"/>
        <w:gridCol w:w="1338"/>
        <w:gridCol w:w="1339"/>
      </w:tblGrid>
      <w:tr w:rsidR="00D81D56" w:rsidRPr="000F3E09" w:rsidTr="00E12F93">
        <w:tc>
          <w:tcPr>
            <w:tcW w:w="3175" w:type="dxa"/>
            <w:vMerge w:val="restart"/>
          </w:tcPr>
          <w:p w:rsidR="00D81D56" w:rsidRPr="000F3E09" w:rsidRDefault="00D81D56" w:rsidP="00E12F93">
            <w:pPr>
              <w:rPr>
                <w:rFonts w:ascii="Verdana" w:hAnsi="Verdana"/>
                <w:sz w:val="16"/>
                <w:szCs w:val="16"/>
                <w:lang w:val="en-GB"/>
              </w:rPr>
            </w:pP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A</w:t>
            </w:r>
            <w:r>
              <w:rPr>
                <w:rFonts w:ascii="Verdana" w:hAnsi="Verdana"/>
                <w:sz w:val="16"/>
                <w:szCs w:val="16"/>
                <w:lang w:val="en-GB"/>
              </w:rPr>
              <w:t>: Predicting sleep</w:t>
            </w:r>
          </w:p>
        </w:tc>
        <w:tc>
          <w:tcPr>
            <w:tcW w:w="2677"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B</w:t>
            </w:r>
            <w:r>
              <w:rPr>
                <w:rFonts w:ascii="Verdana" w:hAnsi="Verdana"/>
                <w:sz w:val="16"/>
                <w:szCs w:val="16"/>
                <w:lang w:val="en-GB"/>
              </w:rPr>
              <w:t>: Predicting sleep with adjustment for psychiatric distress</w:t>
            </w:r>
          </w:p>
        </w:tc>
      </w:tr>
      <w:tr w:rsidR="00D81D56" w:rsidRPr="000F3E09" w:rsidTr="00E12F93">
        <w:tc>
          <w:tcPr>
            <w:tcW w:w="3175" w:type="dxa"/>
            <w:vMerge/>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Episodic Maintenance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0.85</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49-1.47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76</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(0.42-1.37</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1.60</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(0.92-2.78</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47</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(0.60-3.62</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GHQ score</w:t>
            </w:r>
            <w:r w:rsidRPr="000F3E09">
              <w:rPr>
                <w:rFonts w:ascii="Verdana" w:hAnsi="Verdana"/>
                <w:sz w:val="16"/>
                <w:szCs w:val="16"/>
                <w:lang w:val="en-GB"/>
              </w:rPr>
              <w:t xml:space="preserve">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1.29</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(1.14-1.47</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20</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(0.69-2.07</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Developing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4.20</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(2.68-6.60</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3.88</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w:t>
            </w:r>
            <w:r>
              <w:rPr>
                <w:rFonts w:ascii="Verdana" w:hAnsi="Verdana"/>
                <w:sz w:val="16"/>
                <w:szCs w:val="16"/>
                <w:lang w:val="en-GB"/>
              </w:rPr>
              <w:t>2.42-6.22</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1.85</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(1.26-2.72</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1.45</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(0.78-2.67)</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GHQ score</w:t>
            </w:r>
            <w:r w:rsidRPr="000F3E09">
              <w:rPr>
                <w:rFonts w:ascii="Verdana" w:hAnsi="Verdana"/>
                <w:sz w:val="16"/>
                <w:szCs w:val="16"/>
                <w:lang w:val="en-GB"/>
              </w:rPr>
              <w:t xml:space="preserve"> at age 36</w:t>
            </w:r>
          </w:p>
        </w:tc>
        <w:tc>
          <w:tcPr>
            <w:tcW w:w="1338" w:type="dxa"/>
          </w:tcPr>
          <w:p w:rsidR="00D81D56" w:rsidRPr="000F3E09" w:rsidRDefault="00D81D56" w:rsidP="00E12F93">
            <w:pPr>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1.14</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(1.01-1.28</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31</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(0.80-2.14</w:t>
            </w:r>
            <w:r w:rsidRPr="000F3E09">
              <w:rPr>
                <w:rFonts w:ascii="Verdana" w:hAnsi="Verdana"/>
                <w:sz w:val="16"/>
                <w:szCs w:val="16"/>
                <w:lang w:val="en-GB"/>
              </w:rPr>
              <w:t>)</w:t>
            </w:r>
          </w:p>
        </w:tc>
      </w:tr>
      <w:tr w:rsidR="00D81D56" w:rsidRPr="000F3E09" w:rsidTr="00E12F93">
        <w:tc>
          <w:tcPr>
            <w:tcW w:w="8529" w:type="dxa"/>
            <w:gridSpan w:val="5"/>
          </w:tcPr>
          <w:p w:rsidR="00D81D56" w:rsidRPr="000F3E09" w:rsidRDefault="00D81D56" w:rsidP="00E12F93">
            <w:pPr>
              <w:rPr>
                <w:rFonts w:ascii="Verdana" w:hAnsi="Verdana"/>
                <w:i/>
                <w:sz w:val="16"/>
                <w:szCs w:val="16"/>
                <w:lang w:val="en-GB"/>
              </w:rPr>
            </w:pPr>
            <w:r>
              <w:rPr>
                <w:rFonts w:ascii="Verdana" w:hAnsi="Verdana"/>
                <w:i/>
                <w:sz w:val="16"/>
                <w:szCs w:val="16"/>
                <w:lang w:val="en-GB"/>
              </w:rPr>
              <w:t>Chronic Mixed Class (ref: Healthy</w:t>
            </w:r>
            <w:r w:rsidRPr="000F3E09">
              <w:rPr>
                <w:rFonts w:ascii="Verdana" w:hAnsi="Verdana"/>
                <w:i/>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1.36</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(0.78-2.37</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07</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(0.63-1.81</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3.35</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(1.70-6.61</w:t>
            </w:r>
            <w:r w:rsidRPr="000F3E09">
              <w:rPr>
                <w:rFonts w:ascii="Verdana" w:hAnsi="Verdana"/>
                <w:sz w:val="16"/>
                <w:szCs w:val="16"/>
                <w:lang w:val="en-GB"/>
              </w:rPr>
              <w:t>)</w:t>
            </w: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1.09</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(0.45-2.67</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GHQ score</w:t>
            </w:r>
            <w:r w:rsidRPr="000F3E09">
              <w:rPr>
                <w:rFonts w:ascii="Verdana" w:hAnsi="Verdana"/>
                <w:sz w:val="16"/>
                <w:szCs w:val="16"/>
                <w:lang w:val="en-GB"/>
              </w:rPr>
              <w:t xml:space="preserve"> at age 36</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1.27</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(1.11-1.44</w:t>
            </w:r>
            <w:r w:rsidRPr="000F3E09">
              <w:rPr>
                <w:rFonts w:ascii="Verdana" w:hAnsi="Verdana"/>
                <w:sz w:val="16"/>
                <w:szCs w:val="16"/>
                <w:lang w:val="en-GB"/>
              </w:rPr>
              <w:t>)</w:t>
            </w:r>
          </w:p>
        </w:tc>
      </w:tr>
      <w:tr w:rsidR="00D81D56" w:rsidRPr="000F3E09" w:rsidTr="00E12F93">
        <w:tc>
          <w:tcPr>
            <w:tcW w:w="3175"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38" w:type="dxa"/>
          </w:tcPr>
          <w:p w:rsidR="00D81D56" w:rsidRPr="000F3E09" w:rsidRDefault="00D81D56" w:rsidP="00E12F93">
            <w:pPr>
              <w:jc w:val="right"/>
              <w:rPr>
                <w:rFonts w:ascii="Verdana" w:hAnsi="Verdana"/>
                <w:sz w:val="16"/>
                <w:szCs w:val="16"/>
                <w:lang w:val="en-GB"/>
              </w:rPr>
            </w:pPr>
          </w:p>
        </w:tc>
        <w:tc>
          <w:tcPr>
            <w:tcW w:w="1339" w:type="dxa"/>
          </w:tcPr>
          <w:p w:rsidR="00D81D56" w:rsidRPr="000F3E09" w:rsidRDefault="00D81D56" w:rsidP="00E12F93">
            <w:pPr>
              <w:jc w:val="right"/>
              <w:rPr>
                <w:rFonts w:ascii="Verdana" w:hAnsi="Verdana"/>
                <w:sz w:val="16"/>
                <w:szCs w:val="16"/>
                <w:lang w:val="en-GB"/>
              </w:rPr>
            </w:pPr>
          </w:p>
        </w:tc>
        <w:tc>
          <w:tcPr>
            <w:tcW w:w="1338" w:type="dxa"/>
          </w:tcPr>
          <w:p w:rsidR="00D81D56" w:rsidRPr="000F3E09" w:rsidRDefault="00D81D56" w:rsidP="00E12F93">
            <w:pPr>
              <w:rPr>
                <w:rFonts w:ascii="Verdana" w:hAnsi="Verdana"/>
                <w:sz w:val="16"/>
                <w:szCs w:val="16"/>
                <w:lang w:val="en-GB"/>
              </w:rPr>
            </w:pPr>
            <w:r>
              <w:rPr>
                <w:rFonts w:ascii="Verdana" w:hAnsi="Verdana"/>
                <w:sz w:val="16"/>
                <w:szCs w:val="16"/>
                <w:lang w:val="en-GB"/>
              </w:rPr>
              <w:t>1.65</w:t>
            </w:r>
            <w:r w:rsidRPr="000F3E09">
              <w:rPr>
                <w:rFonts w:ascii="Verdana" w:hAnsi="Verdana"/>
                <w:sz w:val="16"/>
                <w:szCs w:val="16"/>
                <w:lang w:val="en-GB"/>
              </w:rPr>
              <w:t>**</w:t>
            </w:r>
          </w:p>
        </w:tc>
        <w:tc>
          <w:tcPr>
            <w:tcW w:w="1339" w:type="dxa"/>
          </w:tcPr>
          <w:p w:rsidR="00D81D56" w:rsidRPr="000F3E09" w:rsidRDefault="00D81D56" w:rsidP="00E12F93">
            <w:pPr>
              <w:rPr>
                <w:rFonts w:ascii="Verdana" w:hAnsi="Verdana"/>
                <w:sz w:val="16"/>
                <w:szCs w:val="16"/>
                <w:lang w:val="en-GB"/>
              </w:rPr>
            </w:pPr>
            <w:r>
              <w:rPr>
                <w:rFonts w:ascii="Verdana" w:hAnsi="Verdana"/>
                <w:sz w:val="16"/>
                <w:szCs w:val="16"/>
                <w:lang w:val="en-GB"/>
              </w:rPr>
              <w:t>(1.03-2.66</w:t>
            </w:r>
            <w:r w:rsidRPr="000F3E09">
              <w:rPr>
                <w:rFonts w:ascii="Verdana" w:hAnsi="Verdana"/>
                <w:sz w:val="16"/>
                <w:szCs w:val="16"/>
                <w:lang w:val="en-GB"/>
              </w:rPr>
              <w:t>)</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D81D56" w:rsidRDefault="00D81D56" w:rsidP="00D81D56">
      <w:pPr>
        <w:rPr>
          <w:rFonts w:ascii="Verdana" w:hAnsi="Verdana"/>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A4</w:t>
      </w:r>
      <w:r w:rsidRPr="001621AC">
        <w:rPr>
          <w:rFonts w:ascii="Verdana" w:hAnsi="Verdana"/>
          <w:b/>
          <w:sz w:val="20"/>
          <w:szCs w:val="20"/>
          <w:lang w:val="en-GB"/>
        </w:rPr>
        <w:t xml:space="preserve">: </w:t>
      </w:r>
      <w:r>
        <w:rPr>
          <w:rFonts w:ascii="Verdana" w:hAnsi="Verdana"/>
          <w:b/>
          <w:sz w:val="20"/>
          <w:szCs w:val="20"/>
          <w:lang w:val="en-GB"/>
        </w:rPr>
        <w:t>Odds</w:t>
      </w:r>
      <w:r w:rsidRPr="001621AC">
        <w:rPr>
          <w:rFonts w:ascii="Verdana" w:hAnsi="Verdana"/>
          <w:b/>
          <w:sz w:val="20"/>
          <w:szCs w:val="20"/>
          <w:lang w:val="en-GB"/>
        </w:rPr>
        <w:t xml:space="preserve"> ratios for psychiatric distress at </w:t>
      </w:r>
      <w:r>
        <w:rPr>
          <w:rFonts w:ascii="Verdana" w:hAnsi="Verdana"/>
          <w:b/>
          <w:sz w:val="20"/>
          <w:szCs w:val="20"/>
          <w:lang w:val="en-GB"/>
        </w:rPr>
        <w:t>age 57</w:t>
      </w:r>
      <w:r w:rsidRPr="001621AC">
        <w:rPr>
          <w:rFonts w:ascii="Verdana" w:hAnsi="Verdana"/>
          <w:b/>
          <w:sz w:val="20"/>
          <w:szCs w:val="20"/>
          <w:lang w:val="en-GB"/>
        </w:rPr>
        <w:t xml:space="preserve">, with and without adjustment for </w:t>
      </w:r>
      <w:r>
        <w:rPr>
          <w:rFonts w:ascii="Verdana" w:hAnsi="Verdana"/>
          <w:b/>
          <w:sz w:val="20"/>
          <w:szCs w:val="20"/>
          <w:lang w:val="en-GB"/>
        </w:rPr>
        <w:t>insomnia symptoms</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distress</w:t>
      </w:r>
      <w:proofErr w:type="gramEnd"/>
      <w:r w:rsidRPr="00FA4B88">
        <w:rPr>
          <w:rFonts w:ascii="Verdana" w:hAnsi="Verdana"/>
          <w:sz w:val="20"/>
          <w:szCs w:val="20"/>
          <w:lang w:val="en-GB"/>
        </w:rPr>
        <w:t xml:space="preserve"> is measured without the inclusion of the sleep item)</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355"/>
        <w:gridCol w:w="1355"/>
        <w:gridCol w:w="1355"/>
        <w:gridCol w:w="1356"/>
      </w:tblGrid>
      <w:tr w:rsidR="00D81D56" w:rsidRPr="000F3E09" w:rsidTr="00E12F93">
        <w:tc>
          <w:tcPr>
            <w:tcW w:w="3108" w:type="dxa"/>
            <w:vMerge w:val="restart"/>
          </w:tcPr>
          <w:p w:rsidR="00D81D56" w:rsidRPr="000F3E09" w:rsidRDefault="00D81D56" w:rsidP="00E12F93">
            <w:pPr>
              <w:rPr>
                <w:rFonts w:ascii="Verdana" w:hAnsi="Verdana"/>
                <w:sz w:val="16"/>
                <w:szCs w:val="16"/>
                <w:lang w:val="en-GB"/>
              </w:rPr>
            </w:pPr>
          </w:p>
        </w:tc>
        <w:tc>
          <w:tcPr>
            <w:tcW w:w="2710"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C</w:t>
            </w:r>
            <w:r>
              <w:rPr>
                <w:rFonts w:ascii="Verdana" w:hAnsi="Verdana"/>
                <w:sz w:val="16"/>
                <w:szCs w:val="16"/>
                <w:lang w:val="en-GB"/>
              </w:rPr>
              <w:t>: Predicting distress</w:t>
            </w:r>
          </w:p>
        </w:tc>
        <w:tc>
          <w:tcPr>
            <w:tcW w:w="2711"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D</w:t>
            </w:r>
            <w:r>
              <w:rPr>
                <w:rFonts w:ascii="Verdana" w:hAnsi="Verdana"/>
                <w:sz w:val="16"/>
                <w:szCs w:val="16"/>
                <w:lang w:val="en-GB"/>
              </w:rPr>
              <w:t>: Predicting distress with adjustment for sleep</w:t>
            </w:r>
          </w:p>
        </w:tc>
      </w:tr>
      <w:tr w:rsidR="00D81D56" w:rsidRPr="000F3E09" w:rsidTr="00E12F93">
        <w:tc>
          <w:tcPr>
            <w:tcW w:w="3108" w:type="dxa"/>
            <w:vMerge/>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56"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r>
              <w:rPr>
                <w:rFonts w:ascii="Verdana" w:hAnsi="Verdana"/>
                <w:sz w:val="16"/>
                <w:szCs w:val="16"/>
                <w:lang w:val="en-GB"/>
              </w:rPr>
              <w:t xml:space="preserve"> (ref: Male)</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1.45*</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(0.98-2.15</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1.2</w:t>
            </w:r>
            <w:r>
              <w:rPr>
                <w:rFonts w:ascii="Verdana" w:hAnsi="Verdana"/>
                <w:sz w:val="16"/>
                <w:szCs w:val="16"/>
                <w:lang w:val="en-GB"/>
              </w:rPr>
              <w:t>3</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(0.76-1.99</w:t>
            </w:r>
            <w:r w:rsidRPr="000F3E09">
              <w:rPr>
                <w:rFonts w:ascii="Verdana" w:hAnsi="Verdana"/>
                <w:sz w:val="16"/>
                <w:szCs w:val="16"/>
                <w:lang w:val="en-GB"/>
              </w:rPr>
              <w:t>)</w:t>
            </w:r>
          </w:p>
        </w:tc>
      </w:tr>
      <w:tr w:rsidR="00D81D56" w:rsidRPr="000F3E09" w:rsidTr="00E12F93">
        <w:tc>
          <w:tcPr>
            <w:tcW w:w="3108" w:type="dxa"/>
          </w:tcPr>
          <w:p w:rsidR="00D81D56"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r>
              <w:rPr>
                <w:rFonts w:ascii="Verdana" w:hAnsi="Verdana"/>
                <w:sz w:val="16"/>
                <w:szCs w:val="16"/>
                <w:lang w:val="en-GB"/>
              </w:rPr>
              <w:t xml:space="preserve">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Non-Manual)</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1.0</w:t>
            </w:r>
            <w:r>
              <w:rPr>
                <w:rFonts w:ascii="Verdana" w:hAnsi="Verdana"/>
                <w:sz w:val="16"/>
                <w:szCs w:val="16"/>
                <w:lang w:val="en-GB"/>
              </w:rPr>
              <w:t>8</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(0.60-1.95</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96</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(0.50-1.84</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GHQ (2+) at age 36</w:t>
            </w:r>
            <w:r>
              <w:rPr>
                <w:rFonts w:ascii="Verdana" w:hAnsi="Verdana"/>
                <w:sz w:val="16"/>
                <w:szCs w:val="16"/>
                <w:lang w:val="en-GB"/>
              </w:rPr>
              <w:t xml:space="preserve"> (ref: &lt;2)</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2.23</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(1.45-3.43</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1.78</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(1.12-2.81</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Gender and Social Class Interaction </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2.11</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(0.98-4.59</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2.28</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(1.05-4.92</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1.99*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(0.94-4.22</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42</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(0.66-3.08</w:t>
            </w:r>
            <w:r w:rsidRPr="000F3E09">
              <w:rPr>
                <w:rFonts w:ascii="Verdana" w:hAnsi="Verdana"/>
                <w:sz w:val="16"/>
                <w:szCs w:val="16"/>
                <w:lang w:val="en-GB"/>
              </w:rPr>
              <w:t>)</w:t>
            </w:r>
          </w:p>
        </w:tc>
      </w:tr>
      <w:tr w:rsidR="00D81D56" w:rsidRPr="000F3E09" w:rsidTr="00E12F93">
        <w:tc>
          <w:tcPr>
            <w:tcW w:w="3108" w:type="dxa"/>
          </w:tcPr>
          <w:p w:rsidR="00D81D56" w:rsidRDefault="00D81D56" w:rsidP="00E12F93">
            <w:pPr>
              <w:jc w:val="right"/>
              <w:rPr>
                <w:rFonts w:ascii="Verdana" w:hAnsi="Verdana"/>
                <w:sz w:val="16"/>
                <w:szCs w:val="16"/>
                <w:lang w:val="en-GB"/>
              </w:rPr>
            </w:pPr>
            <w:r>
              <w:rPr>
                <w:rFonts w:ascii="Verdana" w:hAnsi="Verdana"/>
                <w:sz w:val="16"/>
                <w:szCs w:val="16"/>
                <w:lang w:val="en-GB"/>
              </w:rPr>
              <w:t xml:space="preserve">Episodic </w:t>
            </w:r>
            <w:r w:rsidRPr="000F3E09">
              <w:rPr>
                <w:rFonts w:ascii="Verdana" w:hAnsi="Verdana"/>
                <w:sz w:val="16"/>
                <w:szCs w:val="16"/>
                <w:lang w:val="en-GB"/>
              </w:rPr>
              <w:t>Maintenance</w:t>
            </w:r>
            <w:r>
              <w:rPr>
                <w:rFonts w:ascii="Verdana" w:hAnsi="Verdana"/>
                <w:sz w:val="16"/>
                <w:szCs w:val="16"/>
                <w:lang w:val="en-GB"/>
              </w:rPr>
              <w:t xml:space="preserve"> Class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2.65</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(1.22-5.77</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Developing </w:t>
            </w:r>
            <w:r>
              <w:rPr>
                <w:rFonts w:ascii="Verdana" w:hAnsi="Verdana"/>
                <w:sz w:val="16"/>
                <w:szCs w:val="16"/>
                <w:lang w:val="en-GB"/>
              </w:rPr>
              <w:t>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4.22</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(2.42-7.35</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Chronic </w:t>
            </w:r>
            <w:r>
              <w:rPr>
                <w:rFonts w:ascii="Verdana" w:hAnsi="Verdana"/>
                <w:sz w:val="16"/>
                <w:szCs w:val="16"/>
                <w:lang w:val="en-GB"/>
              </w:rPr>
              <w:t>Mixed 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8.50</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(4.97-14.54</w:t>
            </w:r>
            <w:r w:rsidRPr="000F3E09">
              <w:rPr>
                <w:rFonts w:ascii="Verdana" w:hAnsi="Verdana"/>
                <w:sz w:val="16"/>
                <w:szCs w:val="16"/>
                <w:lang w:val="en-GB"/>
              </w:rPr>
              <w:t>)</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D81D56" w:rsidRDefault="00D81D56" w:rsidP="00D81D56">
      <w:pPr>
        <w:rPr>
          <w:rFonts w:ascii="Verdana" w:hAnsi="Verdana"/>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A5</w:t>
      </w:r>
      <w:r w:rsidRPr="001621AC">
        <w:rPr>
          <w:rFonts w:ascii="Verdana" w:hAnsi="Verdana"/>
          <w:b/>
          <w:sz w:val="20"/>
          <w:szCs w:val="20"/>
          <w:lang w:val="en-GB"/>
        </w:rPr>
        <w:t xml:space="preserve">: </w:t>
      </w:r>
      <w:r>
        <w:rPr>
          <w:rFonts w:ascii="Verdana" w:hAnsi="Verdana"/>
          <w:b/>
          <w:sz w:val="20"/>
          <w:szCs w:val="20"/>
          <w:lang w:val="en-GB"/>
        </w:rPr>
        <w:t>Odds</w:t>
      </w:r>
      <w:r w:rsidRPr="001621AC">
        <w:rPr>
          <w:rFonts w:ascii="Verdana" w:hAnsi="Verdana"/>
          <w:b/>
          <w:sz w:val="20"/>
          <w:szCs w:val="20"/>
          <w:lang w:val="en-GB"/>
        </w:rPr>
        <w:t xml:space="preserve"> ratios for psychiatric distress at </w:t>
      </w:r>
      <w:r>
        <w:rPr>
          <w:rFonts w:ascii="Verdana" w:hAnsi="Verdana"/>
          <w:b/>
          <w:sz w:val="20"/>
          <w:szCs w:val="20"/>
          <w:lang w:val="en-GB"/>
        </w:rPr>
        <w:t>age 57</w:t>
      </w:r>
      <w:r w:rsidRPr="001621AC">
        <w:rPr>
          <w:rFonts w:ascii="Verdana" w:hAnsi="Verdana"/>
          <w:b/>
          <w:sz w:val="20"/>
          <w:szCs w:val="20"/>
          <w:lang w:val="en-GB"/>
        </w:rPr>
        <w:t>, with and without adjus</w:t>
      </w:r>
      <w:r>
        <w:rPr>
          <w:rFonts w:ascii="Verdana" w:hAnsi="Verdana"/>
          <w:b/>
          <w:sz w:val="20"/>
          <w:szCs w:val="20"/>
          <w:lang w:val="en-GB"/>
        </w:rPr>
        <w:t>tment for insomnia symptoms</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taking</w:t>
      </w:r>
      <w:proofErr w:type="gramEnd"/>
      <w:r w:rsidRPr="00FA4B88">
        <w:rPr>
          <w:rFonts w:ascii="Verdana" w:hAnsi="Verdana"/>
          <w:sz w:val="20"/>
          <w:szCs w:val="20"/>
          <w:lang w:val="en-GB"/>
        </w:rPr>
        <w:t xml:space="preserve"> anti-depressant medication is used as an additional indicator of distress)</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355"/>
        <w:gridCol w:w="1355"/>
        <w:gridCol w:w="1355"/>
        <w:gridCol w:w="1356"/>
      </w:tblGrid>
      <w:tr w:rsidR="00D81D56" w:rsidRPr="000F3E09" w:rsidTr="00E12F93">
        <w:tc>
          <w:tcPr>
            <w:tcW w:w="3108" w:type="dxa"/>
            <w:vMerge w:val="restart"/>
          </w:tcPr>
          <w:p w:rsidR="00D81D56" w:rsidRPr="000F3E09" w:rsidRDefault="00D81D56" w:rsidP="00E12F93">
            <w:pPr>
              <w:rPr>
                <w:rFonts w:ascii="Verdana" w:hAnsi="Verdana"/>
                <w:sz w:val="16"/>
                <w:szCs w:val="16"/>
                <w:lang w:val="en-GB"/>
              </w:rPr>
            </w:pPr>
          </w:p>
        </w:tc>
        <w:tc>
          <w:tcPr>
            <w:tcW w:w="2710"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C</w:t>
            </w:r>
            <w:r>
              <w:rPr>
                <w:rFonts w:ascii="Verdana" w:hAnsi="Verdana"/>
                <w:sz w:val="16"/>
                <w:szCs w:val="16"/>
                <w:lang w:val="en-GB"/>
              </w:rPr>
              <w:t>: Predicting distress</w:t>
            </w:r>
          </w:p>
        </w:tc>
        <w:tc>
          <w:tcPr>
            <w:tcW w:w="2711"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D</w:t>
            </w:r>
            <w:r>
              <w:rPr>
                <w:rFonts w:ascii="Verdana" w:hAnsi="Verdana"/>
                <w:sz w:val="16"/>
                <w:szCs w:val="16"/>
                <w:lang w:val="en-GB"/>
              </w:rPr>
              <w:t>: Predicting distress with adjustment for sleep</w:t>
            </w:r>
          </w:p>
        </w:tc>
      </w:tr>
      <w:tr w:rsidR="00D81D56" w:rsidRPr="000F3E09" w:rsidTr="00E12F93">
        <w:tc>
          <w:tcPr>
            <w:tcW w:w="3108" w:type="dxa"/>
            <w:vMerge/>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OR</w:t>
            </w:r>
          </w:p>
        </w:tc>
        <w:tc>
          <w:tcPr>
            <w:tcW w:w="1356"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95% CI</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r>
              <w:rPr>
                <w:rFonts w:ascii="Verdana" w:hAnsi="Verdana"/>
                <w:sz w:val="16"/>
                <w:szCs w:val="16"/>
                <w:lang w:val="en-GB"/>
              </w:rPr>
              <w:t xml:space="preserve"> (ref: Male)</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1.48</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(1.05-2.08</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31</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(0.87-1.98</w:t>
            </w:r>
            <w:r w:rsidRPr="000F3E09">
              <w:rPr>
                <w:rFonts w:ascii="Verdana" w:hAnsi="Verdana"/>
                <w:sz w:val="16"/>
                <w:szCs w:val="16"/>
                <w:lang w:val="en-GB"/>
              </w:rPr>
              <w:t>)</w:t>
            </w:r>
          </w:p>
        </w:tc>
      </w:tr>
      <w:tr w:rsidR="00D81D56" w:rsidRPr="000F3E09" w:rsidTr="00E12F93">
        <w:tc>
          <w:tcPr>
            <w:tcW w:w="3108" w:type="dxa"/>
          </w:tcPr>
          <w:p w:rsidR="00D81D56"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r>
              <w:rPr>
                <w:rFonts w:ascii="Verdana" w:hAnsi="Verdana"/>
                <w:sz w:val="16"/>
                <w:szCs w:val="16"/>
                <w:lang w:val="en-GB"/>
              </w:rPr>
              <w:t xml:space="preserve">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Non-Manual)</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0.97</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(0.54-1.77</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0.</w:t>
            </w:r>
            <w:r>
              <w:rPr>
                <w:rFonts w:ascii="Verdana" w:hAnsi="Verdana"/>
                <w:sz w:val="16"/>
                <w:szCs w:val="16"/>
                <w:lang w:val="en-GB"/>
              </w:rPr>
              <w:t>86</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(0.44-1.68</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Psychiatric Distress</w:t>
            </w:r>
            <w:r w:rsidRPr="000F3E09">
              <w:rPr>
                <w:rFonts w:ascii="Verdana" w:hAnsi="Verdana"/>
                <w:sz w:val="16"/>
                <w:szCs w:val="16"/>
                <w:lang w:val="en-GB"/>
              </w:rPr>
              <w:t xml:space="preserve"> at age 36</w:t>
            </w:r>
            <w:r>
              <w:rPr>
                <w:rFonts w:ascii="Verdana" w:hAnsi="Verdana"/>
                <w:sz w:val="16"/>
                <w:szCs w:val="16"/>
                <w:lang w:val="en-GB"/>
              </w:rPr>
              <w:t xml:space="preserve"> </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2.51</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(1.73-3.65</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1.96</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(1.34-2.86</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Gender and Social Class Interaction </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2.29**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(1.12-4.66</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2.51</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(1.24-5.11</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Social Class and Distress</w:t>
            </w:r>
            <w:r w:rsidRPr="000F3E09">
              <w:rPr>
                <w:rFonts w:ascii="Verdana" w:hAnsi="Verdana"/>
                <w:sz w:val="16"/>
                <w:szCs w:val="16"/>
                <w:lang w:val="en-GB"/>
              </w:rPr>
              <w:t xml:space="preserve"> Interaction</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1.80</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(0.87-3.76</w:t>
            </w:r>
            <w:r w:rsidRPr="000F3E09">
              <w:rPr>
                <w:rFonts w:ascii="Verdana" w:hAnsi="Verdana"/>
                <w:sz w:val="16"/>
                <w:szCs w:val="16"/>
                <w:lang w:val="en-GB"/>
              </w:rPr>
              <w:t>)</w:t>
            </w:r>
          </w:p>
        </w:tc>
        <w:tc>
          <w:tcPr>
            <w:tcW w:w="1355" w:type="dxa"/>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1.</w:t>
            </w:r>
            <w:r>
              <w:rPr>
                <w:rFonts w:ascii="Verdana" w:hAnsi="Verdana"/>
                <w:sz w:val="16"/>
                <w:szCs w:val="16"/>
                <w:lang w:val="en-GB"/>
              </w:rPr>
              <w:t>22</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(0.54-2.73</w:t>
            </w:r>
            <w:r w:rsidRPr="000F3E09">
              <w:rPr>
                <w:rFonts w:ascii="Verdana" w:hAnsi="Verdana"/>
                <w:sz w:val="16"/>
                <w:szCs w:val="16"/>
                <w:lang w:val="en-GB"/>
              </w:rPr>
              <w:t>)</w:t>
            </w:r>
          </w:p>
        </w:tc>
      </w:tr>
      <w:tr w:rsidR="00D81D56" w:rsidRPr="000F3E09" w:rsidTr="00E12F93">
        <w:tc>
          <w:tcPr>
            <w:tcW w:w="3108" w:type="dxa"/>
          </w:tcPr>
          <w:p w:rsidR="00D81D56" w:rsidRDefault="00D81D56" w:rsidP="00E12F93">
            <w:pPr>
              <w:jc w:val="right"/>
              <w:rPr>
                <w:rFonts w:ascii="Verdana" w:hAnsi="Verdana"/>
                <w:sz w:val="16"/>
                <w:szCs w:val="16"/>
                <w:lang w:val="en-GB"/>
              </w:rPr>
            </w:pPr>
            <w:r>
              <w:rPr>
                <w:rFonts w:ascii="Verdana" w:hAnsi="Verdana"/>
                <w:sz w:val="16"/>
                <w:szCs w:val="16"/>
                <w:lang w:val="en-GB"/>
              </w:rPr>
              <w:t xml:space="preserve">Episodic </w:t>
            </w:r>
            <w:r w:rsidRPr="000F3E09">
              <w:rPr>
                <w:rFonts w:ascii="Verdana" w:hAnsi="Verdana"/>
                <w:sz w:val="16"/>
                <w:szCs w:val="16"/>
                <w:lang w:val="en-GB"/>
              </w:rPr>
              <w:t>Maintenance</w:t>
            </w:r>
            <w:r>
              <w:rPr>
                <w:rFonts w:ascii="Verdana" w:hAnsi="Verdana"/>
                <w:sz w:val="16"/>
                <w:szCs w:val="16"/>
                <w:lang w:val="en-GB"/>
              </w:rPr>
              <w:t xml:space="preserve"> Class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2.80</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(1.38-5.65</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Developing </w:t>
            </w:r>
            <w:r>
              <w:rPr>
                <w:rFonts w:ascii="Verdana" w:hAnsi="Verdana"/>
                <w:sz w:val="16"/>
                <w:szCs w:val="16"/>
                <w:lang w:val="en-GB"/>
              </w:rPr>
              <w:t>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3.63</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(2.06-6.38</w:t>
            </w:r>
            <w:r w:rsidRPr="000F3E09">
              <w:rPr>
                <w:rFonts w:ascii="Verdana" w:hAnsi="Verdana"/>
                <w:sz w:val="16"/>
                <w:szCs w:val="16"/>
                <w:lang w:val="en-GB"/>
              </w:rPr>
              <w:t>)</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Chronic </w:t>
            </w:r>
            <w:r>
              <w:rPr>
                <w:rFonts w:ascii="Verdana" w:hAnsi="Verdana"/>
                <w:sz w:val="16"/>
                <w:szCs w:val="16"/>
                <w:lang w:val="en-GB"/>
              </w:rPr>
              <w:t>Mixed 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9.39</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(4.98-17.73</w:t>
            </w:r>
            <w:r w:rsidRPr="000F3E09">
              <w:rPr>
                <w:rFonts w:ascii="Verdana" w:hAnsi="Verdana"/>
                <w:sz w:val="16"/>
                <w:szCs w:val="16"/>
                <w:lang w:val="en-GB"/>
              </w:rPr>
              <w:t>)</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D81D56" w:rsidRDefault="00D81D56" w:rsidP="00D81D56">
      <w:pPr>
        <w:rPr>
          <w:rFonts w:ascii="Verdana" w:hAnsi="Verdana"/>
          <w:b/>
          <w:sz w:val="20"/>
          <w:szCs w:val="20"/>
          <w:lang w:val="en-GB"/>
        </w:rPr>
      </w:pPr>
    </w:p>
    <w:p w:rsidR="00D81D56" w:rsidRDefault="00D81D56" w:rsidP="00D81D56">
      <w:pPr>
        <w:rPr>
          <w:rFonts w:ascii="Verdana" w:hAnsi="Verdana"/>
          <w:b/>
          <w:sz w:val="20"/>
          <w:szCs w:val="20"/>
          <w:lang w:val="en-GB"/>
        </w:rPr>
      </w:pPr>
      <w:r>
        <w:rPr>
          <w:rFonts w:ascii="Verdana" w:hAnsi="Verdana"/>
          <w:b/>
          <w:sz w:val="20"/>
          <w:szCs w:val="20"/>
          <w:lang w:val="en-GB"/>
        </w:rPr>
        <w:t>Table A6</w:t>
      </w:r>
      <w:r w:rsidRPr="001621AC">
        <w:rPr>
          <w:rFonts w:ascii="Verdana" w:hAnsi="Verdana"/>
          <w:b/>
          <w:sz w:val="20"/>
          <w:szCs w:val="20"/>
          <w:lang w:val="en-GB"/>
        </w:rPr>
        <w:t xml:space="preserve">: </w:t>
      </w:r>
      <w:r>
        <w:rPr>
          <w:rFonts w:ascii="Verdana" w:hAnsi="Verdana"/>
          <w:b/>
          <w:sz w:val="20"/>
          <w:szCs w:val="20"/>
          <w:lang w:val="en-GB"/>
        </w:rPr>
        <w:t>Model estimates</w:t>
      </w:r>
      <w:r w:rsidRPr="001621AC">
        <w:rPr>
          <w:rFonts w:ascii="Verdana" w:hAnsi="Verdana"/>
          <w:b/>
          <w:sz w:val="20"/>
          <w:szCs w:val="20"/>
          <w:lang w:val="en-GB"/>
        </w:rPr>
        <w:t xml:space="preserve"> for psychiatric distress at </w:t>
      </w:r>
      <w:r>
        <w:rPr>
          <w:rFonts w:ascii="Verdana" w:hAnsi="Verdana"/>
          <w:b/>
          <w:sz w:val="20"/>
          <w:szCs w:val="20"/>
          <w:lang w:val="en-GB"/>
        </w:rPr>
        <w:t>age 57</w:t>
      </w:r>
      <w:r w:rsidRPr="001621AC">
        <w:rPr>
          <w:rFonts w:ascii="Verdana" w:hAnsi="Verdana"/>
          <w:b/>
          <w:sz w:val="20"/>
          <w:szCs w:val="20"/>
          <w:lang w:val="en-GB"/>
        </w:rPr>
        <w:t xml:space="preserve">, with and without adjustment for </w:t>
      </w:r>
      <w:r>
        <w:rPr>
          <w:rFonts w:ascii="Verdana" w:hAnsi="Verdana"/>
          <w:b/>
          <w:sz w:val="20"/>
          <w:szCs w:val="20"/>
          <w:lang w:val="en-GB"/>
        </w:rPr>
        <w:t>insomnia symptoms</w:t>
      </w:r>
    </w:p>
    <w:p w:rsidR="00D81D56" w:rsidRPr="00FA4B88" w:rsidRDefault="00D81D56" w:rsidP="00D81D56">
      <w:pPr>
        <w:rPr>
          <w:rFonts w:ascii="Verdana" w:hAnsi="Verdana"/>
          <w:sz w:val="20"/>
          <w:szCs w:val="20"/>
          <w:lang w:val="en-GB"/>
        </w:rPr>
      </w:pPr>
      <w:r w:rsidRPr="00FA4B88">
        <w:rPr>
          <w:rFonts w:ascii="Verdana" w:hAnsi="Verdana"/>
          <w:sz w:val="20"/>
          <w:szCs w:val="20"/>
          <w:lang w:val="en-GB"/>
        </w:rPr>
        <w:t>(</w:t>
      </w:r>
      <w:proofErr w:type="gramStart"/>
      <w:r w:rsidRPr="00FA4B88">
        <w:rPr>
          <w:rFonts w:ascii="Verdana" w:hAnsi="Verdana"/>
          <w:sz w:val="20"/>
          <w:szCs w:val="20"/>
          <w:lang w:val="en-GB"/>
        </w:rPr>
        <w:t>continuous</w:t>
      </w:r>
      <w:proofErr w:type="gramEnd"/>
      <w:r w:rsidRPr="00FA4B88">
        <w:rPr>
          <w:rFonts w:ascii="Verdana" w:hAnsi="Verdana"/>
          <w:sz w:val="20"/>
          <w:szCs w:val="20"/>
          <w:lang w:val="en-GB"/>
        </w:rPr>
        <w:t xml:space="preserve"> GHQ scores)</w:t>
      </w:r>
    </w:p>
    <w:p w:rsidR="00D81D56" w:rsidRDefault="00D81D56" w:rsidP="00D81D56">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355"/>
        <w:gridCol w:w="1355"/>
        <w:gridCol w:w="1355"/>
        <w:gridCol w:w="1356"/>
      </w:tblGrid>
      <w:tr w:rsidR="00D81D56" w:rsidRPr="000F3E09" w:rsidTr="00E12F93">
        <w:tc>
          <w:tcPr>
            <w:tcW w:w="3108" w:type="dxa"/>
            <w:vMerge w:val="restart"/>
          </w:tcPr>
          <w:p w:rsidR="00D81D56" w:rsidRPr="000F3E09" w:rsidRDefault="00D81D56" w:rsidP="00E12F93">
            <w:pPr>
              <w:rPr>
                <w:rFonts w:ascii="Verdana" w:hAnsi="Verdana"/>
                <w:sz w:val="16"/>
                <w:szCs w:val="16"/>
                <w:lang w:val="en-GB"/>
              </w:rPr>
            </w:pPr>
          </w:p>
        </w:tc>
        <w:tc>
          <w:tcPr>
            <w:tcW w:w="2710"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C</w:t>
            </w:r>
            <w:r>
              <w:rPr>
                <w:rFonts w:ascii="Verdana" w:hAnsi="Verdana"/>
                <w:sz w:val="16"/>
                <w:szCs w:val="16"/>
                <w:lang w:val="en-GB"/>
              </w:rPr>
              <w:t>: Predicting distress</w:t>
            </w:r>
          </w:p>
        </w:tc>
        <w:tc>
          <w:tcPr>
            <w:tcW w:w="2711" w:type="dxa"/>
            <w:gridSpan w:val="2"/>
          </w:tcPr>
          <w:p w:rsidR="00D81D56" w:rsidRPr="000F3E09" w:rsidRDefault="00D81D56" w:rsidP="00E12F93">
            <w:pPr>
              <w:rPr>
                <w:rFonts w:ascii="Verdana" w:hAnsi="Verdana"/>
                <w:sz w:val="16"/>
                <w:szCs w:val="16"/>
                <w:lang w:val="en-GB"/>
              </w:rPr>
            </w:pPr>
            <w:r w:rsidRPr="000F3E09">
              <w:rPr>
                <w:rFonts w:ascii="Verdana" w:hAnsi="Verdana"/>
                <w:sz w:val="16"/>
                <w:szCs w:val="16"/>
                <w:lang w:val="en-GB"/>
              </w:rPr>
              <w:t>Model D</w:t>
            </w:r>
            <w:r>
              <w:rPr>
                <w:rFonts w:ascii="Verdana" w:hAnsi="Verdana"/>
                <w:sz w:val="16"/>
                <w:szCs w:val="16"/>
                <w:lang w:val="en-GB"/>
              </w:rPr>
              <w:t>: Predicting distress with adjustment for sleep</w:t>
            </w:r>
          </w:p>
        </w:tc>
      </w:tr>
      <w:tr w:rsidR="00D81D56" w:rsidRPr="000F3E09" w:rsidTr="00E12F93">
        <w:tc>
          <w:tcPr>
            <w:tcW w:w="3108" w:type="dxa"/>
            <w:vMerge/>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 xml:space="preserve">Beta </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Standard Error</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Beta</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Standard Error</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Female Gender</w:t>
            </w:r>
            <w:r>
              <w:rPr>
                <w:rFonts w:ascii="Verdana" w:hAnsi="Verdana"/>
                <w:sz w:val="16"/>
                <w:szCs w:val="16"/>
                <w:lang w:val="en-GB"/>
              </w:rPr>
              <w:t xml:space="preserve"> (ref: Male)</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0.339*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0.189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0.163</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0.192</w:t>
            </w:r>
          </w:p>
        </w:tc>
      </w:tr>
      <w:tr w:rsidR="00D81D56" w:rsidRPr="000F3E09" w:rsidTr="00E12F93">
        <w:tc>
          <w:tcPr>
            <w:tcW w:w="3108" w:type="dxa"/>
          </w:tcPr>
          <w:p w:rsidR="00D81D56" w:rsidRDefault="00D81D56" w:rsidP="00E12F93">
            <w:pPr>
              <w:jc w:val="right"/>
              <w:rPr>
                <w:rFonts w:ascii="Verdana" w:hAnsi="Verdana"/>
                <w:sz w:val="16"/>
                <w:szCs w:val="16"/>
                <w:lang w:val="en-GB"/>
              </w:rPr>
            </w:pPr>
            <w:r w:rsidRPr="000F3E09">
              <w:rPr>
                <w:rFonts w:ascii="Verdana" w:hAnsi="Verdana"/>
                <w:sz w:val="16"/>
                <w:szCs w:val="16"/>
                <w:lang w:val="en-GB"/>
              </w:rPr>
              <w:t>Manual Social Class</w:t>
            </w:r>
            <w:r>
              <w:rPr>
                <w:rFonts w:ascii="Verdana" w:hAnsi="Verdana"/>
                <w:sz w:val="16"/>
                <w:szCs w:val="16"/>
                <w:lang w:val="en-GB"/>
              </w:rPr>
              <w:t xml:space="preserve">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Non-Manual)</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-0.029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0.277</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-0.214</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0.266</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GHQ score</w:t>
            </w:r>
            <w:r w:rsidRPr="000F3E09">
              <w:rPr>
                <w:rFonts w:ascii="Verdana" w:hAnsi="Verdana"/>
                <w:sz w:val="16"/>
                <w:szCs w:val="16"/>
                <w:lang w:val="en-GB"/>
              </w:rPr>
              <w:t xml:space="preserve"> at age 36</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0.168**</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0.049</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0.126**</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0.045</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Gender and Social Class Interaction </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0.887*</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0.516</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0.942**</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0.470</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Pr>
                <w:rFonts w:ascii="Verdana" w:hAnsi="Verdana"/>
                <w:sz w:val="16"/>
                <w:szCs w:val="16"/>
                <w:lang w:val="en-GB"/>
              </w:rPr>
              <w:t xml:space="preserve">Social </w:t>
            </w:r>
            <w:r w:rsidRPr="000F3E09">
              <w:rPr>
                <w:rFonts w:ascii="Verdana" w:hAnsi="Verdana"/>
                <w:sz w:val="16"/>
                <w:szCs w:val="16"/>
                <w:lang w:val="en-GB"/>
              </w:rPr>
              <w:t>Class and GHQ Interaction</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0.345**</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0.084</w:t>
            </w: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0.271</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0.078</w:t>
            </w:r>
          </w:p>
        </w:tc>
      </w:tr>
      <w:tr w:rsidR="00D81D56" w:rsidRPr="000F3E09" w:rsidTr="00E12F93">
        <w:tc>
          <w:tcPr>
            <w:tcW w:w="3108" w:type="dxa"/>
          </w:tcPr>
          <w:p w:rsidR="00D81D56" w:rsidRDefault="00D81D56" w:rsidP="00E12F93">
            <w:pPr>
              <w:jc w:val="right"/>
              <w:rPr>
                <w:rFonts w:ascii="Verdana" w:hAnsi="Verdana"/>
                <w:sz w:val="16"/>
                <w:szCs w:val="16"/>
                <w:lang w:val="en-GB"/>
              </w:rPr>
            </w:pPr>
            <w:r>
              <w:rPr>
                <w:rFonts w:ascii="Verdana" w:hAnsi="Verdana"/>
                <w:sz w:val="16"/>
                <w:szCs w:val="16"/>
                <w:lang w:val="en-GB"/>
              </w:rPr>
              <w:t xml:space="preserve">Episodic </w:t>
            </w:r>
            <w:r w:rsidRPr="000F3E09">
              <w:rPr>
                <w:rFonts w:ascii="Verdana" w:hAnsi="Verdana"/>
                <w:sz w:val="16"/>
                <w:szCs w:val="16"/>
                <w:lang w:val="en-GB"/>
              </w:rPr>
              <w:t>Maintenance</w:t>
            </w:r>
            <w:r>
              <w:rPr>
                <w:rFonts w:ascii="Verdana" w:hAnsi="Verdana"/>
                <w:sz w:val="16"/>
                <w:szCs w:val="16"/>
                <w:lang w:val="en-GB"/>
              </w:rPr>
              <w:t xml:space="preserve"> Class </w:t>
            </w:r>
          </w:p>
          <w:p w:rsidR="00D81D56" w:rsidRPr="000F3E09" w:rsidRDefault="00D81D56" w:rsidP="00E12F93">
            <w:pPr>
              <w:jc w:val="right"/>
              <w:rPr>
                <w:rFonts w:ascii="Verdana" w:hAnsi="Verdana"/>
                <w:sz w:val="16"/>
                <w:szCs w:val="16"/>
                <w:lang w:val="en-GB"/>
              </w:rPr>
            </w:pPr>
            <w:r>
              <w:rPr>
                <w:rFonts w:ascii="Verdana" w:hAnsi="Verdana"/>
                <w:sz w:val="16"/>
                <w:szCs w:val="16"/>
                <w:lang w:val="en-GB"/>
              </w:rPr>
              <w:t>(ref: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1.039**</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0.300</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Developing </w:t>
            </w:r>
            <w:r>
              <w:rPr>
                <w:rFonts w:ascii="Verdana" w:hAnsi="Verdana"/>
                <w:sz w:val="16"/>
                <w:szCs w:val="16"/>
                <w:lang w:val="en-GB"/>
              </w:rPr>
              <w:t>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1.355</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0.237</w:t>
            </w:r>
          </w:p>
        </w:tc>
      </w:tr>
      <w:tr w:rsidR="00D81D56" w:rsidRPr="000F3E09" w:rsidTr="00E12F93">
        <w:tc>
          <w:tcPr>
            <w:tcW w:w="3108" w:type="dxa"/>
          </w:tcPr>
          <w:p w:rsidR="00D81D56" w:rsidRPr="000F3E09" w:rsidRDefault="00D81D56" w:rsidP="00E12F93">
            <w:pPr>
              <w:jc w:val="right"/>
              <w:rPr>
                <w:rFonts w:ascii="Verdana" w:hAnsi="Verdana"/>
                <w:sz w:val="16"/>
                <w:szCs w:val="16"/>
                <w:lang w:val="en-GB"/>
              </w:rPr>
            </w:pPr>
            <w:r w:rsidRPr="000F3E09">
              <w:rPr>
                <w:rFonts w:ascii="Verdana" w:hAnsi="Verdana"/>
                <w:sz w:val="16"/>
                <w:szCs w:val="16"/>
                <w:lang w:val="en-GB"/>
              </w:rPr>
              <w:t xml:space="preserve">Chronic </w:t>
            </w:r>
            <w:r>
              <w:rPr>
                <w:rFonts w:ascii="Verdana" w:hAnsi="Verdana"/>
                <w:sz w:val="16"/>
                <w:szCs w:val="16"/>
                <w:lang w:val="en-GB"/>
              </w:rPr>
              <w:t>Mixed Class (ref: Healthy)</w:t>
            </w: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p>
        </w:tc>
        <w:tc>
          <w:tcPr>
            <w:tcW w:w="1355" w:type="dxa"/>
          </w:tcPr>
          <w:p w:rsidR="00D81D56" w:rsidRPr="000F3E09" w:rsidRDefault="00D81D56" w:rsidP="00E12F93">
            <w:pPr>
              <w:rPr>
                <w:rFonts w:ascii="Verdana" w:hAnsi="Verdana"/>
                <w:sz w:val="16"/>
                <w:szCs w:val="16"/>
                <w:lang w:val="en-GB"/>
              </w:rPr>
            </w:pPr>
            <w:r>
              <w:rPr>
                <w:rFonts w:ascii="Verdana" w:hAnsi="Verdana"/>
                <w:sz w:val="16"/>
                <w:szCs w:val="16"/>
                <w:lang w:val="en-GB"/>
              </w:rPr>
              <w:t>2.156</w:t>
            </w:r>
            <w:r w:rsidRPr="000F3E09">
              <w:rPr>
                <w:rFonts w:ascii="Verdana" w:hAnsi="Verdana"/>
                <w:sz w:val="16"/>
                <w:szCs w:val="16"/>
                <w:lang w:val="en-GB"/>
              </w:rPr>
              <w:t>**</w:t>
            </w:r>
          </w:p>
        </w:tc>
        <w:tc>
          <w:tcPr>
            <w:tcW w:w="1356" w:type="dxa"/>
          </w:tcPr>
          <w:p w:rsidR="00D81D56" w:rsidRPr="000F3E09" w:rsidRDefault="00D81D56" w:rsidP="00E12F93">
            <w:pPr>
              <w:rPr>
                <w:rFonts w:ascii="Verdana" w:hAnsi="Verdana"/>
                <w:sz w:val="16"/>
                <w:szCs w:val="16"/>
                <w:lang w:val="en-GB"/>
              </w:rPr>
            </w:pPr>
            <w:r>
              <w:rPr>
                <w:rFonts w:ascii="Verdana" w:hAnsi="Verdana"/>
                <w:sz w:val="16"/>
                <w:szCs w:val="16"/>
                <w:lang w:val="en-GB"/>
              </w:rPr>
              <w:t>0.405</w:t>
            </w:r>
          </w:p>
        </w:tc>
      </w:tr>
    </w:tbl>
    <w:p w:rsidR="00D81D56" w:rsidRDefault="00D81D56" w:rsidP="00D81D56">
      <w:pPr>
        <w:rPr>
          <w:rFonts w:ascii="Verdana" w:hAnsi="Verdana"/>
          <w:sz w:val="16"/>
          <w:szCs w:val="16"/>
          <w:lang w:val="en-GB"/>
        </w:rPr>
      </w:pPr>
      <w:r>
        <w:rPr>
          <w:rFonts w:ascii="Verdana" w:hAnsi="Verdana"/>
          <w:sz w:val="16"/>
          <w:szCs w:val="16"/>
          <w:lang w:val="en-GB"/>
        </w:rPr>
        <w:t>*p&lt;0.1</w:t>
      </w:r>
    </w:p>
    <w:p w:rsidR="00D81D56" w:rsidRPr="003C6DC5" w:rsidRDefault="00D81D56" w:rsidP="00D81D56">
      <w:pPr>
        <w:rPr>
          <w:rFonts w:ascii="Verdana" w:hAnsi="Verdana"/>
          <w:sz w:val="16"/>
          <w:szCs w:val="16"/>
          <w:lang w:val="en-GB"/>
        </w:rPr>
      </w:pPr>
      <w:r>
        <w:rPr>
          <w:rFonts w:ascii="Verdana" w:hAnsi="Verdana"/>
          <w:sz w:val="16"/>
          <w:szCs w:val="16"/>
          <w:lang w:val="en-GB"/>
        </w:rPr>
        <w:t>**p&lt;0.05</w:t>
      </w:r>
    </w:p>
    <w:p w:rsidR="006C3E3D" w:rsidRDefault="006C3E3D"/>
    <w:sectPr w:rsidR="006C3E3D" w:rsidSect="006C3E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1D56"/>
    <w:rsid w:val="006C3E3D"/>
    <w:rsid w:val="009A01A1"/>
    <w:rsid w:val="00D81D56"/>
    <w:rsid w:val="00E031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6262</Characters>
  <Application>Microsoft Office Word</Application>
  <DocSecurity>0</DocSecurity>
  <Lines>52</Lines>
  <Paragraphs>14</Paragraphs>
  <ScaleCrop>false</ScaleCrop>
  <Company>Microsoft</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michael-g</dc:creator>
  <cp:lastModifiedBy>michael-g</cp:lastModifiedBy>
  <cp:revision>2</cp:revision>
  <dcterms:created xsi:type="dcterms:W3CDTF">2014-03-17T16:40:00Z</dcterms:created>
  <dcterms:modified xsi:type="dcterms:W3CDTF">2014-03-17T20:05:00Z</dcterms:modified>
</cp:coreProperties>
</file>