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EE8" w:rsidRPr="009A4F07" w:rsidRDefault="00815EE8" w:rsidP="00067046">
      <w:pPr>
        <w:pStyle w:val="Heading1"/>
        <w:rPr>
          <w:rFonts w:eastAsia="Times New Roman" w:cs="Times New Roman"/>
          <w:b w:val="0"/>
          <w:szCs w:val="24"/>
          <w:lang w:val="en-US"/>
        </w:rPr>
      </w:pPr>
      <w:r w:rsidRPr="009A4F07">
        <w:rPr>
          <w:rFonts w:eastAsia="Times New Roman" w:cs="Times New Roman"/>
          <w:szCs w:val="24"/>
          <w:lang w:val="en-US"/>
        </w:rPr>
        <w:t xml:space="preserve">11. </w:t>
      </w:r>
      <w:r w:rsidRPr="009A4F07">
        <w:rPr>
          <w:rFonts w:cs="Times New Roman"/>
        </w:rPr>
        <w:t>England</w:t>
      </w:r>
      <w:r w:rsidRPr="009A4F07">
        <w:rPr>
          <w:rFonts w:eastAsia="Times New Roman" w:cs="Times New Roman"/>
          <w:szCs w:val="24"/>
          <w:lang w:val="en-US"/>
        </w:rPr>
        <w:t xml:space="preserve"> in a changing fiscal union</w:t>
      </w:r>
    </w:p>
    <w:p w:rsidR="00815EE8" w:rsidRPr="009A4F07" w:rsidRDefault="00815EE8" w:rsidP="00067046">
      <w:pPr>
        <w:autoSpaceDN w:val="0"/>
        <w:rPr>
          <w:rFonts w:ascii="Times New Roman" w:eastAsia="Times New Roman" w:hAnsi="Times New Roman" w:cs="Times New Roman"/>
          <w:b/>
          <w:i/>
          <w:sz w:val="24"/>
          <w:szCs w:val="24"/>
        </w:rPr>
      </w:pPr>
      <w:r w:rsidRPr="009A4F07">
        <w:rPr>
          <w:rFonts w:ascii="Times New Roman" w:eastAsia="Times New Roman" w:hAnsi="Times New Roman" w:cs="Times New Roman"/>
          <w:b/>
          <w:i/>
          <w:sz w:val="24"/>
          <w:szCs w:val="24"/>
          <w:lang w:eastAsia="en-GB"/>
        </w:rPr>
        <w:t>Iain</w:t>
      </w:r>
      <w:r w:rsidRPr="009A4F07">
        <w:rPr>
          <w:rFonts w:ascii="Times New Roman" w:eastAsia="Times New Roman" w:hAnsi="Times New Roman" w:cs="Times New Roman"/>
          <w:b/>
          <w:i/>
          <w:sz w:val="24"/>
          <w:szCs w:val="24"/>
        </w:rPr>
        <w:t xml:space="preserve"> McLean</w:t>
      </w:r>
    </w:p>
    <w:p w:rsidR="00815EE8" w:rsidRPr="009A4F07" w:rsidRDefault="00815EE8" w:rsidP="003159BB">
      <w:pPr>
        <w:pStyle w:val="Heading2"/>
        <w:rPr>
          <w:rFonts w:eastAsia="Times New Roman" w:cs="Times New Roman"/>
        </w:rPr>
      </w:pPr>
      <w:r w:rsidRPr="009A4F07">
        <w:rPr>
          <w:rFonts w:eastAsia="Times New Roman" w:cs="Times New Roman"/>
        </w:rPr>
        <w:t>Abstract</w:t>
      </w:r>
    </w:p>
    <w:p w:rsidR="00815EE8" w:rsidRPr="009A4F07" w:rsidRDefault="00815EE8" w:rsidP="00815EE8">
      <w:pPr>
        <w:widowControl w:val="0"/>
        <w:autoSpaceDE w:val="0"/>
        <w:autoSpaceDN w:val="0"/>
        <w:adjustRightInd w:val="0"/>
        <w:rPr>
          <w:rFonts w:ascii="Times New Roman" w:eastAsia="Times New Roman" w:hAnsi="Times New Roman" w:cs="Times New Roman"/>
          <w:i/>
          <w:sz w:val="24"/>
          <w:szCs w:val="24"/>
        </w:rPr>
      </w:pPr>
      <w:r w:rsidRPr="009A4F07">
        <w:rPr>
          <w:rFonts w:ascii="Times New Roman" w:eastAsia="Times New Roman" w:hAnsi="Times New Roman" w:cs="Times New Roman"/>
          <w:i/>
          <w:sz w:val="24"/>
          <w:szCs w:val="24"/>
        </w:rPr>
        <w:t>The UK has formal arrangements for tax transfers to Scotland, Wales, and Northern Ireland, but not for transfers within England. Nor can we judge whether public expenditure per head is</w:t>
      </w:r>
      <w:r w:rsidR="003159BB" w:rsidRPr="009A4F07">
        <w:rPr>
          <w:rFonts w:ascii="Times New Roman" w:eastAsia="Times New Roman" w:hAnsi="Times New Roman" w:cs="Times New Roman"/>
          <w:i/>
          <w:sz w:val="24"/>
          <w:szCs w:val="24"/>
        </w:rPr>
        <w:t xml:space="preserve"> ‘</w:t>
      </w:r>
      <w:r w:rsidRPr="009A4F07">
        <w:rPr>
          <w:rFonts w:ascii="Times New Roman" w:eastAsia="Times New Roman" w:hAnsi="Times New Roman" w:cs="Times New Roman"/>
          <w:i/>
          <w:sz w:val="24"/>
          <w:szCs w:val="24"/>
        </w:rPr>
        <w:t>fair</w:t>
      </w:r>
      <w:r w:rsidR="003159BB" w:rsidRPr="009A4F07">
        <w:rPr>
          <w:rFonts w:ascii="Times New Roman" w:eastAsia="Times New Roman" w:hAnsi="Times New Roman" w:cs="Times New Roman"/>
          <w:i/>
          <w:sz w:val="24"/>
          <w:szCs w:val="24"/>
        </w:rPr>
        <w:t xml:space="preserve">’ </w:t>
      </w:r>
      <w:r w:rsidRPr="009A4F07">
        <w:rPr>
          <w:rFonts w:ascii="Times New Roman" w:eastAsia="Times New Roman" w:hAnsi="Times New Roman" w:cs="Times New Roman"/>
          <w:i/>
          <w:sz w:val="24"/>
          <w:szCs w:val="24"/>
        </w:rPr>
        <w:t>to all regions of the UK, nor yet what relationship should exist between tax yield per head and public expenditure per head for each part of the UK.</w:t>
      </w:r>
    </w:p>
    <w:p w:rsidR="00815EE8" w:rsidRPr="009A4F07" w:rsidRDefault="00815EE8" w:rsidP="00815EE8">
      <w:pPr>
        <w:widowControl w:val="0"/>
        <w:autoSpaceDE w:val="0"/>
        <w:autoSpaceDN w:val="0"/>
        <w:adjustRightInd w:val="0"/>
        <w:rPr>
          <w:rFonts w:ascii="Times New Roman" w:eastAsia="Times New Roman" w:hAnsi="Times New Roman" w:cs="Times New Roman"/>
          <w:i/>
          <w:sz w:val="24"/>
          <w:szCs w:val="24"/>
        </w:rPr>
      </w:pPr>
      <w:r w:rsidRPr="009A4F07">
        <w:rPr>
          <w:rFonts w:ascii="Times New Roman" w:eastAsia="Times New Roman" w:hAnsi="Times New Roman" w:cs="Times New Roman"/>
          <w:i/>
          <w:sz w:val="24"/>
          <w:szCs w:val="24"/>
        </w:rPr>
        <w:t>The chapter discusses the</w:t>
      </w:r>
      <w:r w:rsidR="003159BB" w:rsidRPr="009A4F07">
        <w:rPr>
          <w:rFonts w:ascii="Times New Roman" w:eastAsia="Times New Roman" w:hAnsi="Times New Roman" w:cs="Times New Roman"/>
          <w:i/>
          <w:sz w:val="24"/>
          <w:szCs w:val="24"/>
        </w:rPr>
        <w:t xml:space="preserve"> ‘</w:t>
      </w:r>
      <w:r w:rsidRPr="009A4F07">
        <w:rPr>
          <w:rFonts w:ascii="Times New Roman" w:eastAsia="Times New Roman" w:hAnsi="Times New Roman" w:cs="Times New Roman"/>
          <w:i/>
          <w:sz w:val="24"/>
          <w:szCs w:val="24"/>
        </w:rPr>
        <w:t>Barnett</w:t>
      </w:r>
      <w:r w:rsidR="003159BB" w:rsidRPr="009A4F07">
        <w:rPr>
          <w:rFonts w:ascii="Times New Roman" w:eastAsia="Times New Roman" w:hAnsi="Times New Roman" w:cs="Times New Roman"/>
          <w:i/>
          <w:sz w:val="24"/>
          <w:szCs w:val="24"/>
        </w:rPr>
        <w:t xml:space="preserve">’ </w:t>
      </w:r>
      <w:r w:rsidRPr="009A4F07">
        <w:rPr>
          <w:rFonts w:ascii="Times New Roman" w:eastAsia="Times New Roman" w:hAnsi="Times New Roman" w:cs="Times New Roman"/>
          <w:i/>
          <w:sz w:val="24"/>
          <w:szCs w:val="24"/>
        </w:rPr>
        <w:t>mechanism to allocate expenditure to the three non-English territories and explains why it is not an appropriate tool. Some suggestions for an allocation mechanism are made. Such a mechanism must balance fairness with the preservation of incentives to grow a region’s economy and its tax base. Any new fiscal mechanism for England must also work both for those parts of England that have</w:t>
      </w:r>
      <w:r w:rsidR="003159BB" w:rsidRPr="009A4F07">
        <w:rPr>
          <w:rFonts w:ascii="Times New Roman" w:eastAsia="Times New Roman" w:hAnsi="Times New Roman" w:cs="Times New Roman"/>
          <w:i/>
          <w:sz w:val="24"/>
          <w:szCs w:val="24"/>
        </w:rPr>
        <w:t xml:space="preserve"> ‘</w:t>
      </w:r>
      <w:r w:rsidRPr="009A4F07">
        <w:rPr>
          <w:rFonts w:ascii="Times New Roman" w:eastAsia="Times New Roman" w:hAnsi="Times New Roman" w:cs="Times New Roman"/>
          <w:i/>
          <w:sz w:val="24"/>
          <w:szCs w:val="24"/>
        </w:rPr>
        <w:t>devolution deals</w:t>
      </w:r>
      <w:r w:rsidR="003159BB" w:rsidRPr="009A4F07">
        <w:rPr>
          <w:rFonts w:ascii="Times New Roman" w:eastAsia="Times New Roman" w:hAnsi="Times New Roman" w:cs="Times New Roman"/>
          <w:i/>
          <w:sz w:val="24"/>
          <w:szCs w:val="24"/>
        </w:rPr>
        <w:t xml:space="preserve">’ </w:t>
      </w:r>
      <w:r w:rsidRPr="009A4F07">
        <w:rPr>
          <w:rFonts w:ascii="Times New Roman" w:eastAsia="Times New Roman" w:hAnsi="Times New Roman" w:cs="Times New Roman"/>
          <w:i/>
          <w:sz w:val="24"/>
          <w:szCs w:val="24"/>
        </w:rPr>
        <w:t>across a region or city-region, such as Greater Manchester and Tees Valley, and for the rest of the country.</w:t>
      </w:r>
    </w:p>
    <w:p w:rsidR="00815EE8" w:rsidRPr="009A4F07" w:rsidRDefault="00815EE8" w:rsidP="003159BB">
      <w:pPr>
        <w:pStyle w:val="Heading2"/>
        <w:rPr>
          <w:rFonts w:eastAsia="Times New Roman" w:cs="Times New Roman"/>
        </w:rPr>
      </w:pPr>
      <w:r w:rsidRPr="009A4F07">
        <w:rPr>
          <w:rFonts w:eastAsia="Times New Roman" w:cs="Times New Roman"/>
        </w:rPr>
        <w:t>Keywords</w:t>
      </w:r>
    </w:p>
    <w:p w:rsidR="00815EE8" w:rsidRPr="009A4F07" w:rsidRDefault="00815EE8" w:rsidP="00815EE8">
      <w:pPr>
        <w:autoSpaceDN w:val="0"/>
        <w:rPr>
          <w:rFonts w:ascii="Times New Roman" w:eastAsia="Times New Roman" w:hAnsi="Times New Roman" w:cs="Times New Roman"/>
          <w:i/>
          <w:sz w:val="24"/>
          <w:szCs w:val="24"/>
        </w:rPr>
      </w:pPr>
      <w:r w:rsidRPr="009A4F07">
        <w:rPr>
          <w:rFonts w:ascii="Times New Roman" w:eastAsia="Times New Roman" w:hAnsi="Times New Roman" w:cs="Times New Roman"/>
          <w:i/>
          <w:sz w:val="24"/>
          <w:szCs w:val="24"/>
        </w:rPr>
        <w:t>Fiscal transfers; Barnett formula; devolution deals; Scotland; Wales; Northern Ireland</w:t>
      </w:r>
    </w:p>
    <w:p w:rsidR="00815EE8" w:rsidRPr="009A4F07" w:rsidRDefault="00815EE8" w:rsidP="003159BB">
      <w:pPr>
        <w:pStyle w:val="Heading2"/>
        <w:rPr>
          <w:rFonts w:eastAsia="Times New Roman" w:cs="Times New Roman"/>
        </w:rPr>
      </w:pPr>
      <w:r w:rsidRPr="009A4F07">
        <w:rPr>
          <w:rFonts w:eastAsia="Times New Roman" w:cs="Times New Roman"/>
        </w:rPr>
        <w:t>List of figures</w:t>
      </w:r>
    </w:p>
    <w:p w:rsidR="00815EE8" w:rsidRPr="009A4F07" w:rsidRDefault="00815EE8" w:rsidP="00815EE8">
      <w:pPr>
        <w:autoSpaceDN w:val="0"/>
        <w:rPr>
          <w:rFonts w:ascii="Times New Roman" w:eastAsia="Times New Roman" w:hAnsi="Times New Roman" w:cs="Times New Roman"/>
          <w:color w:val="000000"/>
          <w:sz w:val="24"/>
          <w:szCs w:val="24"/>
          <w:lang w:eastAsia="en-GB"/>
        </w:rPr>
      </w:pPr>
      <w:r w:rsidRPr="009A4F07">
        <w:rPr>
          <w:rFonts w:ascii="Times New Roman" w:eastAsia="Times New Roman" w:hAnsi="Times New Roman" w:cs="Times New Roman"/>
          <w:sz w:val="24"/>
          <w:szCs w:val="24"/>
        </w:rPr>
        <w:t xml:space="preserve">Table 11.1: </w:t>
      </w:r>
      <w:r w:rsidRPr="009A4F07">
        <w:rPr>
          <w:rFonts w:ascii="Times New Roman" w:eastAsia="Times New Roman" w:hAnsi="Times New Roman" w:cs="Times New Roman"/>
          <w:color w:val="000000"/>
          <w:sz w:val="24"/>
          <w:szCs w:val="24"/>
          <w:lang w:eastAsia="en-GB"/>
        </w:rPr>
        <w:t>Public expenditure per head and GVA per head, regions of the UK, 2015</w:t>
      </w:r>
    </w:p>
    <w:p w:rsidR="00815EE8" w:rsidRPr="009A4F07" w:rsidRDefault="003159BB" w:rsidP="003159BB">
      <w:pPr>
        <w:pStyle w:val="Heading2"/>
        <w:rPr>
          <w:rFonts w:eastAsia="Calibri" w:cs="Times New Roman"/>
        </w:rPr>
      </w:pPr>
      <w:r w:rsidRPr="009A4F07">
        <w:rPr>
          <w:rFonts w:eastAsia="Calibri" w:cs="Times New Roman"/>
        </w:rPr>
        <w:t>11.1</w:t>
      </w:r>
      <w:r w:rsidR="00390E26" w:rsidRPr="009A4F07">
        <w:rPr>
          <w:rFonts w:eastAsia="Calibri" w:cs="Times New Roman"/>
        </w:rPr>
        <w:t xml:space="preserve"> </w:t>
      </w:r>
      <w:r w:rsidR="00815EE8" w:rsidRPr="009A4F07">
        <w:rPr>
          <w:rFonts w:eastAsia="Calibri" w:cs="Times New Roman"/>
        </w:rPr>
        <w:t>Introduction</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United Kingdom is a fiscal union, but a strange one by international standards. Tax is collected, for the most part, uniformly throughout the kingdom. The individual nations have had little autonomy on tax rates or the tax base (though this is changing, especially in Scotland). To finance locally-determined expenditure, there are transfers of block grant to Scotland, Wales, and Northern Ireland, but these follow neither efficiency nor equity principles. England is the default within this system. What the others get depends on what the UK decides to spend in its capacity as the government of England. It is not clear whether this arrangement is good or bad for England, from a (re)distributive point of view. There is no coherent regime for transfers within England.</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Any reform proposal involves understanding fiscal federalism, i.e., the principles of tax decentralisation (Musgrave 1959; Oates 1999). The first principle of fiscal federalism is that:</w:t>
      </w:r>
    </w:p>
    <w:p w:rsidR="00815EE8" w:rsidRPr="009A4F07" w:rsidRDefault="00815EE8" w:rsidP="00815EE8">
      <w:pPr>
        <w:autoSpaceDN w:val="0"/>
        <w:ind w:left="720" w:right="72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provision of public services should be located at the lowest level of government encompassing, in a spatial sense, the relevant benefits and costs (Oates 1999: 1122).</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However, for two important public services, the lowest effective level of government is the national level:</w:t>
      </w:r>
    </w:p>
    <w:p w:rsidR="00815EE8" w:rsidRPr="009A4F07" w:rsidRDefault="00815EE8" w:rsidP="00815EE8">
      <w:pPr>
        <w:autoSpaceDN w:val="0"/>
        <w:ind w:left="720" w:right="72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lastRenderedPageBreak/>
        <w:t>[T]he central government should have the basic responsibility for the macroeconomic stabilization function and for income redistribution in the form of assistance to the poor. In both cases, the basic argument stems from some fundamental constraints on lower level governments…. An aggressive program for the support of low-income households, for example, is likely to induce an influx of the poor and encourage an exodus of those with higher income who must bear the tax burden (Oates 1999: 1121).</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Traditionally in the UK, local taxes, especially property rates, paid for local services such as street cleaning and policing. The picture was complicated by two things. First, policymakers realised, long ago, that areas with the greatest need had the least tax capacity. Second, the demand for devolution –</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Home Rule</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for Ireland in the 19</w:t>
      </w:r>
      <w:r w:rsidRPr="009A4F07">
        <w:rPr>
          <w:rFonts w:ascii="Times New Roman" w:eastAsia="Times New Roman" w:hAnsi="Times New Roman" w:cs="Times New Roman"/>
          <w:sz w:val="24"/>
          <w:szCs w:val="24"/>
          <w:vertAlign w:val="superscript"/>
        </w:rPr>
        <w:t>th</w:t>
      </w:r>
      <w:r w:rsidRPr="009A4F07">
        <w:rPr>
          <w:rFonts w:ascii="Times New Roman" w:eastAsia="Times New Roman" w:hAnsi="Times New Roman" w:cs="Times New Roman"/>
          <w:sz w:val="24"/>
          <w:szCs w:val="24"/>
        </w:rPr>
        <w:t xml:space="preserve"> century, and devolution to Scotland and Wales in the twentieth.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The giant of early urban policy in the UK was Edwin Chadwick (1800–90; </w:t>
      </w:r>
      <w:proofErr w:type="spellStart"/>
      <w:r w:rsidRPr="009A4F07">
        <w:rPr>
          <w:rFonts w:ascii="Times New Roman" w:eastAsia="Times New Roman" w:hAnsi="Times New Roman" w:cs="Times New Roman"/>
          <w:sz w:val="24"/>
          <w:szCs w:val="24"/>
        </w:rPr>
        <w:t>cf</w:t>
      </w:r>
      <w:proofErr w:type="spellEnd"/>
      <w:r w:rsidRPr="009A4F07">
        <w:rPr>
          <w:rFonts w:ascii="Times New Roman" w:eastAsia="Times New Roman" w:hAnsi="Times New Roman" w:cs="Times New Roman"/>
          <w:sz w:val="24"/>
          <w:szCs w:val="24"/>
        </w:rPr>
        <w:t xml:space="preserve"> Finer 1952, </w:t>
      </w:r>
      <w:proofErr w:type="spellStart"/>
      <w:r w:rsidRPr="009A4F07">
        <w:rPr>
          <w:rFonts w:ascii="Times New Roman" w:eastAsia="Times New Roman" w:hAnsi="Times New Roman" w:cs="Times New Roman"/>
          <w:sz w:val="24"/>
          <w:szCs w:val="24"/>
        </w:rPr>
        <w:t>Mandler</w:t>
      </w:r>
      <w:proofErr w:type="spellEnd"/>
      <w:r w:rsidRPr="009A4F07">
        <w:rPr>
          <w:rFonts w:ascii="Times New Roman" w:eastAsia="Times New Roman" w:hAnsi="Times New Roman" w:cs="Times New Roman"/>
          <w:sz w:val="24"/>
          <w:szCs w:val="24"/>
        </w:rPr>
        <w:t xml:space="preserve"> 2008), the principal architect of the new Poor Law of 1834 and of sanitary reform in the 1840s. Chadwick was a ruthless centralist. Oates</w:t>
      </w:r>
      <w:r w:rsidR="003159BB" w:rsidRPr="009A4F07">
        <w:rPr>
          <w:rFonts w:ascii="Times New Roman" w:eastAsia="Times New Roman" w:hAnsi="Times New Roman" w:cs="Times New Roman"/>
          <w:sz w:val="24"/>
          <w:szCs w:val="24"/>
        </w:rPr>
        <w:t>’ ‘</w:t>
      </w:r>
      <w:r w:rsidRPr="009A4F07">
        <w:rPr>
          <w:rFonts w:ascii="Times New Roman" w:eastAsia="Times New Roman" w:hAnsi="Times New Roman" w:cs="Times New Roman"/>
          <w:sz w:val="24"/>
          <w:szCs w:val="24"/>
        </w:rPr>
        <w:t>assistance to the poor</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is part of what is now classed in national accounts as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social protection’. Traditionally, this was offered by churches, alms-house charities, and local property taxes. But rich areas could make good provision and poor areas could not; yet poor people often lived in poor areas. Therefore, as Oates says, they tried to move to rich areas, where they were likely to be classed as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sturdy beggars’. For instance, the Statute of Cambridge 1388 (12 Rich. II, </w:t>
      </w:r>
      <w:proofErr w:type="spellStart"/>
      <w:r w:rsidRPr="009A4F07">
        <w:rPr>
          <w:rFonts w:ascii="Times New Roman" w:eastAsia="Times New Roman" w:hAnsi="Times New Roman" w:cs="Times New Roman"/>
          <w:sz w:val="24"/>
          <w:szCs w:val="24"/>
        </w:rPr>
        <w:t>ch.</w:t>
      </w:r>
      <w:proofErr w:type="spellEnd"/>
      <w:r w:rsidRPr="009A4F07">
        <w:rPr>
          <w:rFonts w:ascii="Times New Roman" w:eastAsia="Times New Roman" w:hAnsi="Times New Roman" w:cs="Times New Roman"/>
          <w:sz w:val="24"/>
          <w:szCs w:val="24"/>
        </w:rPr>
        <w:t xml:space="preserve"> 7) prohibited any labourer from leaving the hundred, rape, wapentake, city, or borough where he was living, without a testimonial, showing reasonable cause for his departure, issued under the authority of the justices of the peace.</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The Poor Law Amendment Act 1834 (4 &amp; 5 Will. IV </w:t>
      </w:r>
      <w:proofErr w:type="spellStart"/>
      <w:r w:rsidRPr="009A4F07">
        <w:rPr>
          <w:rFonts w:ascii="Times New Roman" w:eastAsia="Times New Roman" w:hAnsi="Times New Roman" w:cs="Times New Roman"/>
          <w:sz w:val="24"/>
          <w:szCs w:val="24"/>
        </w:rPr>
        <w:t>ch.</w:t>
      </w:r>
      <w:proofErr w:type="spellEnd"/>
      <w:r w:rsidRPr="009A4F07">
        <w:rPr>
          <w:rFonts w:ascii="Times New Roman" w:eastAsia="Times New Roman" w:hAnsi="Times New Roman" w:cs="Times New Roman"/>
          <w:sz w:val="24"/>
          <w:szCs w:val="24"/>
        </w:rPr>
        <w:t xml:space="preserve"> 76), driven by Chadwick, nationalised and toughened the eligibility conditions for poor relief and made it available only in workhouses. It failed to nationalise the revenue side, however. Parishes were grouped into Poor Law Unions, but these units were too small to ensure effective tax redistribution from rich to poor areas. In the limit, that can only come from a regime where social protection is financed out of general taxation and distributed on a basis of need. The UK moved towards such a system haltingly: in 1908 for state pensions; in 1911 for some sickness and unemployment insurance; and from 1945 to 1951 to fund the Welfare State on roughly its present basis. Not all UK taxes are progressive (i.e. levied at a higher rate on rich taxpayers than on poor ones), but income tax and national insurance contributions are progressive, albeit with strange dips in their combined progressivity. Hence social protection, which accounts for some 40% of public expenditure, is both delivered and paid for at national level. Social protection is redistributive, both from rich to poor and from those currently working to the retired.</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At this point, we need to introduce the non-identical twins AME and DEL. In the current jargon of the UK Treasury, the first denotes Annually Managed Expenditure, and the second, Departmental Expenditure Limits. AME mostly comprises benefit and occupational pension expenditure, which is not immediately under the control of government: people who are </w:t>
      </w:r>
      <w:r w:rsidRPr="009A4F07">
        <w:rPr>
          <w:rFonts w:ascii="Times New Roman" w:eastAsia="Times New Roman" w:hAnsi="Times New Roman" w:cs="Times New Roman"/>
          <w:sz w:val="24"/>
          <w:szCs w:val="24"/>
        </w:rPr>
        <w:lastRenderedPageBreak/>
        <w:t>entitled to a benefit may claim it, and those who are not, ca</w:t>
      </w:r>
      <w:r w:rsidR="008223DB" w:rsidRPr="009A4F07">
        <w:rPr>
          <w:rFonts w:ascii="Times New Roman" w:eastAsia="Times New Roman" w:hAnsi="Times New Roman" w:cs="Times New Roman"/>
          <w:sz w:val="24"/>
          <w:szCs w:val="24"/>
        </w:rPr>
        <w:t>nnot. AME involves both stabilis</w:t>
      </w:r>
      <w:r w:rsidRPr="009A4F07">
        <w:rPr>
          <w:rFonts w:ascii="Times New Roman" w:eastAsia="Times New Roman" w:hAnsi="Times New Roman" w:cs="Times New Roman"/>
          <w:sz w:val="24"/>
          <w:szCs w:val="24"/>
        </w:rPr>
        <w:t>ation and redistribution. The biggest component is state pension payments, which redistribute from the young to the old. But another major component is sickness and unemployment benefit. Unemployment benefit in particular is an</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automatic stabilizer</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in economic jargon. When unemployment goes up in a region, so do benefit payments, which cushion the blow. AME is an important component of a social union (see, e.g., McLean, Gallagher &amp; Lodge 2014: </w:t>
      </w:r>
      <w:proofErr w:type="spellStart"/>
      <w:r w:rsidRPr="009A4F07">
        <w:rPr>
          <w:rFonts w:ascii="Times New Roman" w:eastAsia="Times New Roman" w:hAnsi="Times New Roman" w:cs="Times New Roman"/>
          <w:sz w:val="24"/>
          <w:szCs w:val="24"/>
        </w:rPr>
        <w:t>ch.</w:t>
      </w:r>
      <w:proofErr w:type="spellEnd"/>
      <w:r w:rsidRPr="009A4F07">
        <w:rPr>
          <w:rFonts w:ascii="Times New Roman" w:eastAsia="Times New Roman" w:hAnsi="Times New Roman" w:cs="Times New Roman"/>
          <w:sz w:val="24"/>
          <w:szCs w:val="24"/>
        </w:rPr>
        <w:t xml:space="preserve"> 5). In a social union, entitlement criteria should be identical throughout the union (but benefit rates need not be, as the cost of living is different in different areas). Scottish nationalists do not believe in a social union of the UK. Full fiscal autonomy for Scotland would involve breaking the social union. The Scotland Act 2016 transfers responsibility for some social protection spending to the Scottish Parliament, although not the benefits which act as automatic stabili</w:t>
      </w:r>
      <w:r w:rsidR="008223DB" w:rsidRPr="009A4F07">
        <w:rPr>
          <w:rFonts w:ascii="Times New Roman" w:eastAsia="Times New Roman" w:hAnsi="Times New Roman" w:cs="Times New Roman"/>
          <w:sz w:val="24"/>
          <w:szCs w:val="24"/>
        </w:rPr>
        <w:t>s</w:t>
      </w:r>
      <w:r w:rsidRPr="009A4F07">
        <w:rPr>
          <w:rFonts w:ascii="Times New Roman" w:eastAsia="Times New Roman" w:hAnsi="Times New Roman" w:cs="Times New Roman"/>
          <w:sz w:val="24"/>
          <w:szCs w:val="24"/>
        </w:rPr>
        <w:t>ers. Nevertheless, to that extent it weakens the social union.</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What, if anything, does a weakened social union imply for tax-and-spend in England? As Scotland becomes more autonomous, the regime for the rest of the UK becomes, even more than previously, the regime for England.</w:t>
      </w:r>
      <w:r w:rsidRPr="009A4F07">
        <w:rPr>
          <w:rFonts w:ascii="Times New Roman" w:eastAsia="Times New Roman" w:hAnsi="Times New Roman" w:cs="Times New Roman"/>
          <w:sz w:val="24"/>
          <w:szCs w:val="24"/>
          <w:lang w:val="en-US"/>
        </w:rPr>
        <w:t xml:space="preserve"> This has limited policy implications for AME in England, because it depends on entitlements. It has more implications for discretionary expenditure.</w:t>
      </w:r>
      <w:r w:rsidRPr="009A4F07">
        <w:rPr>
          <w:rFonts w:ascii="Times New Roman" w:eastAsia="Times New Roman" w:hAnsi="Times New Roman" w:cs="Times New Roman"/>
          <w:b/>
          <w:sz w:val="24"/>
          <w:szCs w:val="24"/>
        </w:rPr>
        <w:t xml:space="preserve"> </w:t>
      </w:r>
      <w:r w:rsidRPr="009A4F07">
        <w:rPr>
          <w:rFonts w:ascii="Times New Roman" w:eastAsia="Times New Roman" w:hAnsi="Times New Roman" w:cs="Times New Roman"/>
          <w:sz w:val="24"/>
          <w:szCs w:val="24"/>
        </w:rPr>
        <w:t>The part of public expenditure that governments can control in the short run is that which the Treasury labels as DEL. Successive budgets and spending reviews set this for each department, which decides how to allocate its budget around the country. DEL block grants to the Scottish, Welsh, and Northern Irish governments are allocated by the Barnett formula, to be described in a moment. There is no government-wide distribution formula for England, but some departments have their own formulae. In health, this dates back to a Resource Allocation Working Party established by David Owen, then Minister of State for Health, in 1976. In local government, it is traditionally called</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rate support grant’, and has a long history, but is currently changing rapidly. In education, the policy of recent governments to withdraw schools and colleges from local authority control has killed off any spatial or needs-based formula.</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In the 19</w:t>
      </w:r>
      <w:r w:rsidRPr="009A4F07">
        <w:rPr>
          <w:rFonts w:ascii="Times New Roman" w:eastAsia="Times New Roman" w:hAnsi="Times New Roman" w:cs="Times New Roman"/>
          <w:sz w:val="24"/>
          <w:szCs w:val="24"/>
          <w:vertAlign w:val="superscript"/>
        </w:rPr>
        <w:t>th</w:t>
      </w:r>
      <w:r w:rsidRPr="009A4F07">
        <w:rPr>
          <w:rFonts w:ascii="Times New Roman" w:eastAsia="Times New Roman" w:hAnsi="Times New Roman" w:cs="Times New Roman"/>
          <w:sz w:val="24"/>
          <w:szCs w:val="24"/>
        </w:rPr>
        <w:t xml:space="preserve"> century, poverty and destitution were far worse in Ireland than in Great Britain. The whole of Ireland was part of the UK from 1800 to 1921. The first movement for Irish autonomy died out, almost literally, after the Great Famine of 1845-8. It revived, at a party-political level, in 1874. From 1880 to 1918 the devolutionist Irish Party, or its fractions, controlled every parliamentary seat in Ireland except Dublin University and the Protestant north-east. Liberal Prime Minister W.E. Gladstone’s conversion to Irish Home Rule led to his party splitting up in 1886, and to twenty years of Unionist (Conservative) hegemony. The Unionists bitterly resisted political autonomy for Ireland, but knew that they needed to do </w:t>
      </w:r>
      <w:r w:rsidRPr="009A4F07">
        <w:rPr>
          <w:rFonts w:ascii="Times New Roman" w:eastAsia="Times New Roman" w:hAnsi="Times New Roman" w:cs="Times New Roman"/>
          <w:i/>
          <w:sz w:val="24"/>
          <w:szCs w:val="24"/>
        </w:rPr>
        <w:t>something</w:t>
      </w:r>
      <w:r w:rsidRPr="009A4F07">
        <w:rPr>
          <w:rFonts w:ascii="Times New Roman" w:eastAsia="Times New Roman" w:hAnsi="Times New Roman" w:cs="Times New Roman"/>
          <w:sz w:val="24"/>
          <w:szCs w:val="24"/>
        </w:rPr>
        <w:t>. They hit on a policy of</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killing Home Rule with kindness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(Gailey 1984). They took local government from the landed classes and gave it to elected county councils, with powers over local social services and social protection, by an Act of 1898. On the revenue side, the Unionist chancellor George Goschen introduced a formula in the 1888 Budget that came to bear his name. The</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Goschen proportion</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assigned some tax receipts in the proportions 80:11:9 for England &amp; Wales, Scotland, and Ireland respectively.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lastRenderedPageBreak/>
        <w:t>However, Goschen failed to introduce fiscal federalism. The tax revenues he assigned were nowhere near the level required to pay for local services in Ireland. They never could have been, as Ireland was relatively poor. When, in a greatly changed world, Northern Ireland was created in 1921, it had the appearance of revenue-driven fiscal decentralisation. In a revenue-driven system, the subnational government raises the costs of local services from local taxation. At the margin, it decides whether to tax more (and hence spend more), or to spend less (and hence tax less). It cannot both spend more and tax less. But in fact, Northern Ireland has always had a wholly expenditure-driven system. For decades, its government decided what to spend, assessed what it could raise, and simply billed the UK for the substantial difference. The UK always paid up without cavil (Mitchell 2006). Therefore, among other consequences, the government of Northern Ireland had no incentive to make a serious tax effort over the tax it does control, namely property rates. Although the system has changed to make the Northern Ireland Assembly take the consequences of increases or decreases in its rate revenue, that fails to provide an incentive when there is no Northern Ireland Assembly, as has been the case for much of 2017.</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Meanwhile in Scotland, politicians and civil servants always treated the Goschen proportion as a floor rather than a ceiling. They demanded that the Scottish budget for any public service must be at least 11/80ths of the budget for England and Wales. Where specific Scottish conditions such as cold weather or sparse population could be argued as justification for going above Goschen, it was in the interests of the Scots to argue for that. Usually, the UK government conceded, for the sake of not causing trouble in Scotland (Mitchell 2003; Levitt 2014). This argument was not available to regional lobbies in either Wales or England.</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For ninety years after Goschen, HM Treasury, as the monitor of public expenditure, chafed at its relative lack of control over spending in Northern Ireland and Scotland. (Wales was, as in most devolution matters, a lesser concern). In 1978 a mandarin minuted:</w:t>
      </w:r>
    </w:p>
    <w:p w:rsidR="00815EE8" w:rsidRPr="009A4F07" w:rsidRDefault="00815EE8" w:rsidP="00815EE8">
      <w:pPr>
        <w:autoSpaceDN w:val="0"/>
        <w:ind w:left="720" w:right="72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Scots and Welsh – and for that matter the Northern Irish – were indeed able to</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have it both ways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in the sense of automatically receiving extra according to the traditional formula [i.e., Goschen] whenever English Departments got more and further additions for special problems peculiar to their own countries. The Scots, over a long period of time (and the Northern Irish in the early 1970s), played this game skilfully and effectively; the Welsh much less so. The result was to build up public expenditure per head on Scottish Office (and NIO) programmes to something of the order of 25% more than England; and in Wales to something like 5% more. . .. [W]e should at least stop the rot by preventing further increases in the differential. (P. Cousins, HMT, 25.09.1978, in Levitt 2014: 237).</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device to</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stop the rot</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was the Barnett Formula, named after (but not created by) Joel Barnett, who was Chief Secretary to the Treasury from 1974 to 1979. It aimed precisely to</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prevent further increases in the differential’. The functions of government are split into those which are devolved and those which are not. (The list of devolved functions is different for each territory – Scotland, Wales, and Northern Ireland). Most devolved functions come </w:t>
      </w:r>
      <w:r w:rsidRPr="009A4F07">
        <w:rPr>
          <w:rFonts w:ascii="Times New Roman" w:eastAsia="Times New Roman" w:hAnsi="Times New Roman" w:cs="Times New Roman"/>
          <w:sz w:val="24"/>
          <w:szCs w:val="24"/>
        </w:rPr>
        <w:lastRenderedPageBreak/>
        <w:t>within DEL, not AME</w:t>
      </w:r>
      <w:r w:rsidRPr="009A4F07">
        <w:rPr>
          <w:rFonts w:ascii="Times New Roman" w:eastAsia="Times New Roman" w:hAnsi="Times New Roman" w:cs="Times New Roman"/>
          <w:b/>
          <w:sz w:val="24"/>
          <w:szCs w:val="24"/>
        </w:rPr>
        <w:t xml:space="preserve"> </w:t>
      </w:r>
      <w:r w:rsidRPr="009A4F07">
        <w:rPr>
          <w:rFonts w:ascii="Times New Roman" w:eastAsia="Times New Roman" w:hAnsi="Times New Roman" w:cs="Times New Roman"/>
          <w:sz w:val="24"/>
          <w:szCs w:val="24"/>
        </w:rPr>
        <w:t xml:space="preserve">Devolved functions are mostly financed out of block grant to each devolved government, which may choose how to spend it on its functions entirely as it wishes. The block grant in year </w:t>
      </w:r>
      <w:r w:rsidRPr="009A4F07">
        <w:rPr>
          <w:rFonts w:ascii="Times New Roman" w:eastAsia="Times New Roman" w:hAnsi="Times New Roman" w:cs="Times New Roman"/>
          <w:i/>
          <w:sz w:val="24"/>
          <w:szCs w:val="24"/>
        </w:rPr>
        <w:t>t</w:t>
      </w:r>
      <w:r w:rsidRPr="009A4F07">
        <w:rPr>
          <w:rFonts w:ascii="Times New Roman" w:eastAsia="Times New Roman" w:hAnsi="Times New Roman" w:cs="Times New Roman"/>
          <w:sz w:val="24"/>
          <w:szCs w:val="24"/>
        </w:rPr>
        <w:t xml:space="preserve"> is grant in year </w:t>
      </w:r>
      <w:r w:rsidRPr="009A4F07">
        <w:rPr>
          <w:rFonts w:ascii="Times New Roman" w:eastAsia="Times New Roman" w:hAnsi="Times New Roman" w:cs="Times New Roman"/>
          <w:i/>
          <w:sz w:val="24"/>
          <w:szCs w:val="24"/>
        </w:rPr>
        <w:t xml:space="preserve">t – </w:t>
      </w:r>
      <w:r w:rsidRPr="009A4F07">
        <w:rPr>
          <w:rFonts w:ascii="Times New Roman" w:eastAsia="Times New Roman" w:hAnsi="Times New Roman" w:cs="Times New Roman"/>
          <w:sz w:val="24"/>
          <w:szCs w:val="24"/>
        </w:rPr>
        <w:t xml:space="preserve">1 plus an increment, which is the territory’s population share of the increment from year </w:t>
      </w:r>
      <w:r w:rsidRPr="009A4F07">
        <w:rPr>
          <w:rFonts w:ascii="Times New Roman" w:eastAsia="Times New Roman" w:hAnsi="Times New Roman" w:cs="Times New Roman"/>
          <w:i/>
          <w:sz w:val="24"/>
          <w:szCs w:val="24"/>
        </w:rPr>
        <w:t xml:space="preserve">t – </w:t>
      </w:r>
      <w:r w:rsidRPr="009A4F07">
        <w:rPr>
          <w:rFonts w:ascii="Times New Roman" w:eastAsia="Times New Roman" w:hAnsi="Times New Roman" w:cs="Times New Roman"/>
          <w:sz w:val="24"/>
          <w:szCs w:val="24"/>
        </w:rPr>
        <w:t xml:space="preserve">1 to year </w:t>
      </w:r>
      <w:r w:rsidRPr="009A4F07">
        <w:rPr>
          <w:rFonts w:ascii="Times New Roman" w:eastAsia="Times New Roman" w:hAnsi="Times New Roman" w:cs="Times New Roman"/>
          <w:i/>
          <w:sz w:val="24"/>
          <w:szCs w:val="24"/>
        </w:rPr>
        <w:t xml:space="preserve">t </w:t>
      </w:r>
      <w:r w:rsidRPr="009A4F07">
        <w:rPr>
          <w:rFonts w:ascii="Times New Roman" w:eastAsia="Times New Roman" w:hAnsi="Times New Roman" w:cs="Times New Roman"/>
          <w:sz w:val="24"/>
          <w:szCs w:val="24"/>
        </w:rPr>
        <w:t>being paid to UK departments to carry out in England the functions that are devolved elsewhere. Periodically, the Treasury publishes a list of government functions with their</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Barnett consequentials’: that is, the proportion of that policy area that is devolved to each territory (latest HM Treasury 2015). This </w:t>
      </w:r>
      <w:r w:rsidRPr="009A4F07">
        <w:rPr>
          <w:rFonts w:ascii="Times New Roman" w:eastAsia="Times New Roman" w:hAnsi="Times New Roman" w:cs="Times New Roman"/>
          <w:i/>
          <w:sz w:val="24"/>
          <w:szCs w:val="24"/>
        </w:rPr>
        <w:t>Statement of Funding Policy</w:t>
      </w:r>
      <w:r w:rsidRPr="009A4F07">
        <w:rPr>
          <w:rFonts w:ascii="Times New Roman" w:eastAsia="Times New Roman" w:hAnsi="Times New Roman" w:cs="Times New Roman"/>
          <w:sz w:val="24"/>
          <w:szCs w:val="24"/>
        </w:rPr>
        <w:t xml:space="preserve"> also contains a worked example which may help the reader to understand how Barnett consequentials are calculated (HM Treasury 2015, Annex A).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details may be mind-stretching, but for England it is important to understand a central paradox. The whole system centres on decisions taken by the UK government about spending need in England. But it cannot be used to modify spending in England. Barnett was supposed to work by adding equal-per-head supplements to the</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over-generous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baseline for the three territories, so that in due course the baseline would become trivial and spend per head would tend to equality, whereupon the Treasury intended to introduce a needs-based substitute for Barnett (</w:t>
      </w:r>
      <w:proofErr w:type="spellStart"/>
      <w:r w:rsidRPr="009A4F07">
        <w:rPr>
          <w:rFonts w:ascii="Times New Roman" w:eastAsia="Times New Roman" w:hAnsi="Times New Roman" w:cs="Times New Roman"/>
          <w:sz w:val="24"/>
          <w:szCs w:val="24"/>
        </w:rPr>
        <w:t>cf</w:t>
      </w:r>
      <w:proofErr w:type="spellEnd"/>
      <w:r w:rsidRPr="009A4F07">
        <w:rPr>
          <w:rFonts w:ascii="Times New Roman" w:eastAsia="Times New Roman" w:hAnsi="Times New Roman" w:cs="Times New Roman"/>
          <w:sz w:val="24"/>
          <w:szCs w:val="24"/>
        </w:rPr>
        <w:t xml:space="preserve"> HMT 1979). That never happened. Barnett is still in place, and it doesn’t work. This is true, whatever meaning one attaches to the word</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work’. It doesn’t work politically, because every politician who thinks she understands it believes that it does down her part of the country to the benefit of somewhere else. It doesn’t work fiscally, because it is unrelated to relative need, nor does it encourage Scotland, Wales or Northern Ireland to improve their tax efforts. (It does encourage them to reduce spending, but that encouragement does not seem to have had any effect for the first 40 years of Barnett). As a convergence formula, it was always unfair to Wales, where expenditure per head was already below relative need in 1978, according to the Treasury’s own estimate (HM Treasury 1979). If it </w:t>
      </w:r>
      <w:r w:rsidRPr="009A4F07">
        <w:rPr>
          <w:rFonts w:ascii="Times New Roman" w:eastAsia="Times New Roman" w:hAnsi="Times New Roman" w:cs="Times New Roman"/>
          <w:i/>
          <w:sz w:val="24"/>
          <w:szCs w:val="24"/>
        </w:rPr>
        <w:t>had</w:t>
      </w:r>
      <w:r w:rsidRPr="009A4F07">
        <w:rPr>
          <w:rFonts w:ascii="Times New Roman" w:eastAsia="Times New Roman" w:hAnsi="Times New Roman" w:cs="Times New Roman"/>
          <w:sz w:val="24"/>
          <w:szCs w:val="24"/>
        </w:rPr>
        <w:t xml:space="preserve"> converged, that would have further worsened Wales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position. However, it has not achieved Cousins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stated purpose of preventing further increases in the differential, at least in relation to Scotland. </w:t>
      </w:r>
    </w:p>
    <w:p w:rsidR="00815EE8" w:rsidRPr="009A4F07" w:rsidRDefault="003159BB" w:rsidP="003159BB">
      <w:pPr>
        <w:pStyle w:val="Heading2"/>
        <w:rPr>
          <w:rFonts w:eastAsia="Calibri" w:cs="Times New Roman"/>
        </w:rPr>
      </w:pPr>
      <w:r w:rsidRPr="009A4F07">
        <w:rPr>
          <w:rFonts w:eastAsia="Calibri" w:cs="Times New Roman"/>
        </w:rPr>
        <w:t xml:space="preserve">11.2 </w:t>
      </w:r>
      <w:r w:rsidR="00815EE8" w:rsidRPr="009A4F07">
        <w:rPr>
          <w:rFonts w:eastAsia="Calibri" w:cs="Times New Roman"/>
        </w:rPr>
        <w:t>The current situation</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focus of this chapter is England, for which we need to look at the spatial distribution of income and government spending around the UK. In an ideal world, there would be official figures for:</w:t>
      </w:r>
    </w:p>
    <w:p w:rsidR="00815EE8" w:rsidRPr="009A4F07" w:rsidRDefault="00815EE8" w:rsidP="00815EE8">
      <w:pPr>
        <w:widowControl w:val="0"/>
        <w:numPr>
          <w:ilvl w:val="0"/>
          <w:numId w:val="17"/>
        </w:numPr>
        <w:autoSpaceDE w:val="0"/>
        <w:autoSpaceDN w:val="0"/>
        <w:adjustRightInd w:val="0"/>
        <w:spacing w:after="0" w:line="240" w:lineRule="auto"/>
        <w:contextualSpacing/>
        <w:rPr>
          <w:rFonts w:ascii="Times New Roman" w:eastAsia="Calibri" w:hAnsi="Times New Roman" w:cs="Times New Roman"/>
          <w:sz w:val="24"/>
          <w:szCs w:val="24"/>
        </w:rPr>
      </w:pPr>
      <w:r w:rsidRPr="009A4F07">
        <w:rPr>
          <w:rFonts w:ascii="Times New Roman" w:eastAsia="Calibri" w:hAnsi="Times New Roman" w:cs="Times New Roman"/>
          <w:sz w:val="24"/>
          <w:szCs w:val="24"/>
        </w:rPr>
        <w:t xml:space="preserve">regional income per head (GDP or Gross Value Added – GVA); </w:t>
      </w:r>
    </w:p>
    <w:p w:rsidR="00815EE8" w:rsidRPr="009A4F07" w:rsidRDefault="00815EE8" w:rsidP="00815EE8">
      <w:pPr>
        <w:widowControl w:val="0"/>
        <w:numPr>
          <w:ilvl w:val="0"/>
          <w:numId w:val="17"/>
        </w:numPr>
        <w:autoSpaceDE w:val="0"/>
        <w:autoSpaceDN w:val="0"/>
        <w:adjustRightInd w:val="0"/>
        <w:spacing w:after="0" w:line="240" w:lineRule="auto"/>
        <w:contextualSpacing/>
        <w:rPr>
          <w:rFonts w:ascii="Times New Roman" w:eastAsia="Calibri" w:hAnsi="Times New Roman" w:cs="Times New Roman"/>
          <w:sz w:val="24"/>
          <w:szCs w:val="24"/>
        </w:rPr>
      </w:pPr>
      <w:r w:rsidRPr="009A4F07">
        <w:rPr>
          <w:rFonts w:ascii="Times New Roman" w:eastAsia="Calibri" w:hAnsi="Times New Roman" w:cs="Times New Roman"/>
          <w:sz w:val="24"/>
          <w:szCs w:val="24"/>
        </w:rPr>
        <w:t>regional tax receipts per head;</w:t>
      </w:r>
    </w:p>
    <w:p w:rsidR="00815EE8" w:rsidRPr="009A4F07" w:rsidRDefault="00815EE8" w:rsidP="00815EE8">
      <w:pPr>
        <w:widowControl w:val="0"/>
        <w:numPr>
          <w:ilvl w:val="0"/>
          <w:numId w:val="17"/>
        </w:numPr>
        <w:autoSpaceDE w:val="0"/>
        <w:autoSpaceDN w:val="0"/>
        <w:adjustRightInd w:val="0"/>
        <w:spacing w:after="0" w:line="240" w:lineRule="auto"/>
        <w:contextualSpacing/>
        <w:rPr>
          <w:rFonts w:ascii="Times New Roman" w:eastAsia="Calibri" w:hAnsi="Times New Roman" w:cs="Times New Roman"/>
          <w:sz w:val="24"/>
          <w:szCs w:val="24"/>
        </w:rPr>
      </w:pPr>
      <w:proofErr w:type="gramStart"/>
      <w:r w:rsidRPr="009A4F07">
        <w:rPr>
          <w:rFonts w:ascii="Times New Roman" w:eastAsia="Calibri" w:hAnsi="Times New Roman" w:cs="Times New Roman"/>
          <w:sz w:val="24"/>
          <w:szCs w:val="24"/>
        </w:rPr>
        <w:t>regional</w:t>
      </w:r>
      <w:proofErr w:type="gramEnd"/>
      <w:r w:rsidRPr="009A4F07">
        <w:rPr>
          <w:rFonts w:ascii="Times New Roman" w:eastAsia="Calibri" w:hAnsi="Times New Roman" w:cs="Times New Roman"/>
          <w:sz w:val="24"/>
          <w:szCs w:val="24"/>
        </w:rPr>
        <w:t xml:space="preserve"> public expenditure per head.</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Unfortunately, series (2) does not exist, except for Scotland where it is estimated annually in </w:t>
      </w:r>
      <w:r w:rsidRPr="009A4F07">
        <w:rPr>
          <w:rFonts w:ascii="Times New Roman" w:eastAsia="Times New Roman" w:hAnsi="Times New Roman" w:cs="Times New Roman"/>
          <w:i/>
          <w:sz w:val="24"/>
          <w:szCs w:val="24"/>
        </w:rPr>
        <w:t>Government Revenue and Expenditure in Scotland</w:t>
      </w:r>
      <w:r w:rsidRPr="009A4F07">
        <w:rPr>
          <w:rFonts w:ascii="Times New Roman" w:eastAsia="Times New Roman" w:hAnsi="Times New Roman" w:cs="Times New Roman"/>
          <w:sz w:val="24"/>
          <w:szCs w:val="24"/>
        </w:rPr>
        <w:t xml:space="preserve"> (GERS: latest Scottish Government 2016). The </w:t>
      </w:r>
      <w:r w:rsidRPr="009A4F07">
        <w:rPr>
          <w:rFonts w:ascii="Times New Roman" w:eastAsia="Times New Roman" w:hAnsi="Times New Roman" w:cs="Times New Roman"/>
          <w:i/>
          <w:sz w:val="24"/>
          <w:szCs w:val="24"/>
        </w:rPr>
        <w:t>GERS</w:t>
      </w:r>
      <w:r w:rsidRPr="009A4F07">
        <w:rPr>
          <w:rFonts w:ascii="Times New Roman" w:eastAsia="Times New Roman" w:hAnsi="Times New Roman" w:cs="Times New Roman"/>
          <w:sz w:val="24"/>
          <w:szCs w:val="24"/>
        </w:rPr>
        <w:t xml:space="preserve"> numbers are very revealing for how Scotland might need to balance its books under full fiscal autonomy or independence, because public expenditure in Scotland greatly exceeds tax revenue raised in Scotland. But they do not make up for the lack of English data.</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Table 11.1 shows the latest official estimates of series (1) and (3). Comparisons between </w:t>
      </w:r>
      <w:r w:rsidRPr="009A4F07">
        <w:rPr>
          <w:rFonts w:ascii="Times New Roman" w:eastAsia="Times New Roman" w:hAnsi="Times New Roman" w:cs="Times New Roman"/>
          <w:sz w:val="24"/>
          <w:szCs w:val="24"/>
        </w:rPr>
        <w:lastRenderedPageBreak/>
        <w:t>them can only be made cautiously, as they are collected by different government departments at different times of year and using different methodologies. But both series carry the badge</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National Statistics’, which is the UK Statistics Authority’s warranty that the statistics have been collected impartially using the best available methodology to ensure their reliability and validity (UK Statistics Authority 2009).</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[TABLE 11.1 around here]</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Both sets of official data report at the level of the three non-English parts of the UK and England’s nine standard regions. The nine regions are no longer administrative entities, being now purely the top level statistical reporting entities (NUTS 1 in </w:t>
      </w:r>
      <w:proofErr w:type="spellStart"/>
      <w:r w:rsidRPr="009A4F07">
        <w:rPr>
          <w:rFonts w:ascii="Times New Roman" w:eastAsia="Times New Roman" w:hAnsi="Times New Roman" w:cs="Times New Roman"/>
          <w:sz w:val="24"/>
          <w:szCs w:val="24"/>
        </w:rPr>
        <w:t>Eurojargon</w:t>
      </w:r>
      <w:proofErr w:type="spellEnd"/>
      <w:r w:rsidRPr="009A4F07">
        <w:rPr>
          <w:rFonts w:ascii="Times New Roman" w:eastAsia="Times New Roman" w:hAnsi="Times New Roman" w:cs="Times New Roman"/>
          <w:sz w:val="24"/>
          <w:szCs w:val="24"/>
        </w:rPr>
        <w:t xml:space="preserve">). Income and public expenditure data become less reliable, the smaller the subdivision for which they are reported. Nothing worthwhile can be said about expenditure or revenue below NUTS 1 level.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The first two columns of Table 11.1 report public expenditure per head for the benefit of each of the twelve regions. Expenditure on such items as defence and debt interest, which cannot be apportioned, is simply assigned to the regions on an equal-per-head basis. The source for these columns is HM Treasury’s </w:t>
      </w:r>
      <w:r w:rsidRPr="009A4F07">
        <w:rPr>
          <w:rFonts w:ascii="Times New Roman" w:eastAsia="Times New Roman" w:hAnsi="Times New Roman" w:cs="Times New Roman"/>
          <w:i/>
          <w:sz w:val="24"/>
          <w:szCs w:val="24"/>
        </w:rPr>
        <w:t>Public Expenditure – Statistical Analyses</w:t>
      </w:r>
      <w:r w:rsidRPr="009A4F07">
        <w:rPr>
          <w:rFonts w:ascii="Times New Roman" w:eastAsia="Times New Roman" w:hAnsi="Times New Roman" w:cs="Times New Roman"/>
          <w:sz w:val="24"/>
          <w:szCs w:val="24"/>
        </w:rPr>
        <w:t>, which has reported the regional numbers for many years, A data-cleaning exercise led by the present author on behalf of the Treasury and (what is now the) Department of Communities and Local Government (McLean 2003) improved the accuracy of the English regional numbers. The index column (column 2) shows that the regions where per-head expenditure is highest are, in descending order, Northern Ireland, Scotland, Wales, and London.</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next two columns are from the Office for National Statistics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calculations of GVA per head. GVA is a version of what is more commonly called GDP. There are various ways of calculating it, and these columns show the calculations based on income. GVA is harder to calculate at subnational level than is public expenditure, and the figures should be regarded as fuzzier. The relativities between regions change slowly. London is far the richest region, and the gap has widened since we last collated these figures (McLean and McMillan 2003, Table 5). The index numbers in column 4 show the mountain that fiscal federalism for England, or the UK, must climb. Income is distributed so unequally that there must be some redistribution. But another way of looking at the index is: what would it take for (say) Wales or the North East of England to reach, or even approach, the astonishing relative productivity of London? This question has troubled many governments, and lies behind the efforts of UK governments to promote northern cities as catalysts for growth.</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fifth column shows public expenditure as a proportion of GVA. As it is a ratio of two numbers, each of which contains some uncertainty, the ratio has to be handled with even more care. But it shows the opportunities and the challenge for fiscal federalism in the UK. If local governments in poor parts of the country could grow their local economy, perhaps by altering their tax base and rates, this would make a large contribution to UK growth. However some support to poor areas will always, foreseeably, have to come from taxpayers in rich areas. So long as Northern Ireland has public expenditure per head approaching 60% of its GVA per head, it is not a candidate for full-on fiscal federalism.</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final column has the tongue-in-cheek heading of</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Chadwick index’. It imagines an omnipotent policymaker as ruthlessly centralist as Edwin Chadwick, but also ruthlessly egalitarian. This policymaker would ensure that public expenditure was used only to relieve poverty, and would go to regions in inverse proportion to their GVA. Therefore, the poorest region (Wales) would get the most expenditure per head, and the richest region (London) would get the least. Expenditure per head would have an index that was just the reciprocal of the index GVA per head. Wales would get (100/71.0) of the average per head, and London would get (100/172.1) of the average per head. The column labelled</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Chadwick index</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compares the actual outturn to this hypothetical standard of reciprocity.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My Chadwick index is more a rhetorical device than a serious contribution to tax reform. But it is designed to convey a serious point. Some parts of the country seem to do worryingly well out of public expenditure (notably London and Scotland); some seem to do worryingly badly (notably the North-East, Yorkshire, and the Midlands).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For what it is worth, the fact that the</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Chadwick index</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for England is 100.10 suggests that England </w:t>
      </w:r>
      <w:r w:rsidRPr="009A4F07">
        <w:rPr>
          <w:rFonts w:ascii="Times New Roman" w:eastAsia="Times New Roman" w:hAnsi="Times New Roman" w:cs="Times New Roman"/>
          <w:i/>
          <w:sz w:val="24"/>
          <w:szCs w:val="24"/>
        </w:rPr>
        <w:t>as a whole</w:t>
      </w:r>
      <w:r w:rsidRPr="009A4F07">
        <w:rPr>
          <w:rFonts w:ascii="Times New Roman" w:eastAsia="Times New Roman" w:hAnsi="Times New Roman" w:cs="Times New Roman"/>
          <w:sz w:val="24"/>
          <w:szCs w:val="24"/>
        </w:rPr>
        <w:t xml:space="preserve"> neither gains nor loses from being used as the base for Barnett and other territorial devices. The issue is regional (in</w:t>
      </w:r>
      <w:proofErr w:type="gramStart"/>
      <w:r w:rsidRPr="009A4F07">
        <w:rPr>
          <w:rFonts w:ascii="Times New Roman" w:eastAsia="Times New Roman" w:hAnsi="Times New Roman" w:cs="Times New Roman"/>
          <w:sz w:val="24"/>
          <w:szCs w:val="24"/>
        </w:rPr>
        <w:t>)equity</w:t>
      </w:r>
      <w:proofErr w:type="gramEnd"/>
      <w:r w:rsidRPr="009A4F07">
        <w:rPr>
          <w:rFonts w:ascii="Times New Roman" w:eastAsia="Times New Roman" w:hAnsi="Times New Roman" w:cs="Times New Roman"/>
          <w:sz w:val="24"/>
          <w:szCs w:val="24"/>
        </w:rPr>
        <w:t xml:space="preserve"> within England, which none of the current devices addresses.</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Of course, not all public expenditure is to relieve poverty. Some is to promote growth (consider capital spending on infrastructure, or spending on higher education and research). It may make sense to concentrate that expenditure on places where it would promote that growth most quickly: which might happen to include transport in London and higher education and research in Oxfordshire. (Or it might not). Much of DEL spending is to cure the sick, educate the young, and so on. It costs roughly the same, per patient and per scholar, to do that in every region. But a partial explanation for the very high public expenditure per head in London is the high cost of land and development there. </w:t>
      </w:r>
    </w:p>
    <w:p w:rsidR="00815EE8" w:rsidRPr="009A4F07" w:rsidRDefault="003159BB" w:rsidP="003159BB">
      <w:pPr>
        <w:pStyle w:val="Heading2"/>
        <w:rPr>
          <w:rFonts w:eastAsia="Calibri" w:cs="Times New Roman"/>
        </w:rPr>
      </w:pPr>
      <w:r w:rsidRPr="009A4F07">
        <w:rPr>
          <w:rFonts w:eastAsia="Calibri" w:cs="Times New Roman"/>
        </w:rPr>
        <w:t xml:space="preserve">11.3 </w:t>
      </w:r>
      <w:r w:rsidR="00815EE8" w:rsidRPr="009A4F07">
        <w:rPr>
          <w:rFonts w:eastAsia="Calibri" w:cs="Times New Roman"/>
        </w:rPr>
        <w:t>Rival and possibly incompatible English devolution agendas.</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Options for the governance of England are discussed in other chapters. The subject has a long history. It is convenient, however, to start with the Local Government Act 1972 c70. This created six metropolitan county councils for the main conurbations, viz., Tyne &amp; Wear, West Yorkshire, South Yorkshire, Merseyside, Greater Manchester, and the West Midlands. London already had a metropolitan council, the Greater London Council created by the London Government Act 1963 c.63. The idea behind these Acts was that some functions, especially transport and planning, were best done at the level of the conurbation, whereas others including (most) education and social services were best done at the lower level, of the metropolitan or London borough.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system created by these Acts was abolished by Margaret Thatcher’s Conservative government in 1986, at a time when all seven top-tier authorities were controlled by the Labour Party, and one of them was led by Ken Livingstone (then a Labour politician). Current moves to create</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northern powerhouses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and</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devolution deals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for city-regional combined authorities look from some perspectives like an attempt to recreate the metropolitan councils (Curtice et al 2017).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But this begs the question: what is subnational government </w:t>
      </w:r>
      <w:r w:rsidRPr="009A4F07">
        <w:rPr>
          <w:rFonts w:ascii="Times New Roman" w:eastAsia="Times New Roman" w:hAnsi="Times New Roman" w:cs="Times New Roman"/>
          <w:i/>
          <w:sz w:val="24"/>
          <w:szCs w:val="24"/>
        </w:rPr>
        <w:t>for</w:t>
      </w:r>
      <w:r w:rsidRPr="009A4F07">
        <w:rPr>
          <w:rFonts w:ascii="Times New Roman" w:eastAsia="Times New Roman" w:hAnsi="Times New Roman" w:cs="Times New Roman"/>
          <w:sz w:val="24"/>
          <w:szCs w:val="24"/>
        </w:rPr>
        <w:t xml:space="preserve">? One answer is: to deliver services for which UK local government boundaries are too tight. Transport and land-use planning are examples. When Tyne &amp; Wear Council came into existence, the former Newcastle and Co. Durham had both decided to build an urban motorway to replace the historic A1 through the centre of Gateshead and Newcastle. Unfortunately Newcastle’s part ended at the Tyne Bridge in the centre; Durham’s, at the </w:t>
      </w:r>
      <w:proofErr w:type="spellStart"/>
      <w:r w:rsidRPr="009A4F07">
        <w:rPr>
          <w:rFonts w:ascii="Times New Roman" w:eastAsia="Times New Roman" w:hAnsi="Times New Roman" w:cs="Times New Roman"/>
          <w:sz w:val="24"/>
          <w:szCs w:val="24"/>
        </w:rPr>
        <w:t>Scotswood</w:t>
      </w:r>
      <w:proofErr w:type="spellEnd"/>
      <w:r w:rsidRPr="009A4F07">
        <w:rPr>
          <w:rFonts w:ascii="Times New Roman" w:eastAsia="Times New Roman" w:hAnsi="Times New Roman" w:cs="Times New Roman"/>
          <w:sz w:val="24"/>
          <w:szCs w:val="24"/>
        </w:rPr>
        <w:t xml:space="preserve"> Bridge, three miles upstream (McLean 2016). As to planning for housing, cities with tight boundaries, which include both Oxford and Cambridge, find it impossible to meet housing demand within their boundaries.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The ratio of median house prices to earnings is 13:1 in Cambridge and 12:1 in Oxford making them two of the least affordable cities in the UK</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(National Infrastructure Commission 2017: 8). Yet cities such as these are girded by green belts, which are popular with people who already have houses. They can both sit on a big capital gain and roam freely in the neighbouring fields. An efficient housing policy needs units bigger than these.</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larger a subnational government, the more effectively it can lobby. This may be a mixed blessing. But in the 1970s, it was Tyne &amp; Wear Council that first drew national attention to the disparity between GDP per head and public spending per head between the northern English conurbations on one hand and Scotland on the other. The data pattern revealed in Table 11.1 was already there in 1976. For pointing this out, the council’s leaders were labelled</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The No-Men of England</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(McLean 2016). Likewise, the (re)creation of a Mayor of London and London Assembly in 2000 has meant that there is once again an elected politician who can speak for London and its distinct interests and problems, as discussed in chapter 10 of this volume by Tony Travers.</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But regional lobbies have the obvious limitation that they may fight one another for shares of a cake of fixed size. In aggregate, that is wasteful. In a mature system, fiscal federalism must encompass tax powers as well as spending powers. The revival of interest in English devolution since 2010 has made some progress on the spending powers side but very little on the tax devolution side.</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It began with a false start: the 2004 referendum in the North-East of England to create an elected assembly. The Labour minister driving this agenda, John Prescott, believed that the North-East was the region with the strongest sense of local identity (and grievance). He was wrong to believe that this would convert to support for an elected assembly. In a referendum, the proposal was defeated by 78% to 22%. No further moves for political English devolution were made by the Labour government, as John Denham discusses in chapter 7, and on coming to power in 2010 the Coalition government made a step in the opposite direction by abolishing the regional development agencies and government offices for the eight NUTS1 regions outside London.</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However, at the initiative of Chancellor George Osborne, MP for a North-West constituency, policy switched. Osborne promoted the idea of a</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northern powerhouse’, whose boundaries were initially vague. It was clear that it embraced at least the Manchester city-region, but was later expanded to cover the territory of the three northern NUTS1 regions (North-East, North-West, and Yorkshire &amp; Humberside) whose government offices and regional development agencies had only recently been abolished (HM Government 2017). Osborne’s agenda was clearly focused on the economic growth potential of core cities in the region, identified as Manchester, Leeds, Sheffield, and Newcastle; joined a little more uncertainly by Liverpool and Hull. Not Sunderland (which used to be slightly bigger than Newcastle and is now slightly smaller); not, surprisingly, Bradford (population 528,000) nor any of the other urban centres in the northern conurbation (Department for Transport 2015: 5). For a while, the junior minister for the Northern Powerhouse was Jim (Lord) O’Neill, a well-known investment banker interested in cities as growth points, but he resigned from government in September 2016, reportedly out of frustration at the downgrading of Northern Powerhouse after the accession of Theresa May to office in July.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All recent governments have attempted to meet the objection that by creating larger elected authorities they were simply creating more politicians. Prescott’s 2004 proposal required that the district councils in rural Durham and Northumberland be abolished. On its defeat, the districts were reprieved, but they have subsequently been abolished in favour of two unitary councils covering the whole counties. The Coalition and Conservative governments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efforts to create combined authorities insisted that the each new authority should have an elected mayor. Elected mayors were originally a separate idea, which government thought, wrongly as it turned out, that the people would embrace. Most towns and cities that held referenda on the question defeated the proposal for a mayor. Bristol and Liverpool were the only big cities to vote for one. These two cities, and Middlesbrough which has had one since 2002, now each sits rather anomalously inside a metro region with its own metro mayor.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Policymakers approached governance in England with both an efficiency agenda and a growth agenda. They overlapped but were not the same, and their consequences have stymied one another. The efficiency agenda held that (at least for some functions) bigger was better, and also that an executive mayor was the way to deliver services more efficiently and more </w:t>
      </w:r>
      <w:proofErr w:type="spellStart"/>
      <w:r w:rsidRPr="009A4F07">
        <w:rPr>
          <w:rFonts w:ascii="Times New Roman" w:eastAsia="Times New Roman" w:hAnsi="Times New Roman" w:cs="Times New Roman"/>
          <w:sz w:val="24"/>
          <w:szCs w:val="24"/>
        </w:rPr>
        <w:t>accountably</w:t>
      </w:r>
      <w:proofErr w:type="spellEnd"/>
      <w:r w:rsidRPr="009A4F07">
        <w:rPr>
          <w:rFonts w:ascii="Times New Roman" w:eastAsia="Times New Roman" w:hAnsi="Times New Roman" w:cs="Times New Roman"/>
          <w:sz w:val="24"/>
          <w:szCs w:val="24"/>
        </w:rPr>
        <w:t>. The growth agenda shared with the efficiency agenda an understanding that housing unaffordability impeded economic growth in otherwise successful cities. But its focus was on these successful cities. It was driven, ultimately, by an economic theory of aggregation. Specialised, rapid growth activities bloom when they are clustered together. Governments like to give examples such as motorsport in Oxfordshire; material science in Manchester; genomics in Cambridge and Newcastle.</w:t>
      </w:r>
    </w:p>
    <w:p w:rsidR="00815EE8" w:rsidRPr="009A4F07" w:rsidRDefault="00815EE8" w:rsidP="00815EE8">
      <w:pPr>
        <w:widowControl w:val="0"/>
        <w:tabs>
          <w:tab w:val="left" w:pos="4522"/>
        </w:tabs>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Although the latter agenda was linked to George Osborne’s Northern Powerhouse, it is not inherently northern. Many of the most vibrant English local economies are not in the north. Hence the</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devolution deals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promoted by the 2015–17 government have been a very mixed bag. Greater Manchester is going ahead, so are, for instance, greater Liverpool, the West Midlands, Cambridge-Peterborough and Tees Valley (DCLG 2015, 2017). Others have fallen by the wayside: for instance Norfolk and Suffolk, and (at the time of writing) the Sheffield city-region. </w:t>
      </w:r>
    </w:p>
    <w:p w:rsidR="00815EE8" w:rsidRPr="009A4F07" w:rsidRDefault="00815EE8" w:rsidP="00815EE8">
      <w:pPr>
        <w:widowControl w:val="0"/>
        <w:tabs>
          <w:tab w:val="left" w:pos="4522"/>
        </w:tabs>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mixed bag of successes share local council leaders who had an interest beyond turf-protecting NIMBYism. This is not a point about party politics. The precursor of the 2017 Cambridge-Peterborough deal was a Greater Cambridge deal, based on solidly Conservative South Cambridgeshire and solidly anti-Tory (sometimes Labour, sometimes Liberal Democrat) Cambridge City. The leaders of both councils saw that the growth of Cambridge was inhibited by the tight city boundary, which made housing impossible to afford and had no space for industry. A quirk of administrative geography may have helped: Cambridge is completely surrounded by South Cambridgeshire, the two forming a doughnut.</w:t>
      </w:r>
    </w:p>
    <w:p w:rsidR="00815EE8" w:rsidRPr="009A4F07" w:rsidRDefault="00815EE8" w:rsidP="00815EE8">
      <w:pPr>
        <w:widowControl w:val="0"/>
        <w:tabs>
          <w:tab w:val="left" w:pos="4522"/>
        </w:tabs>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Oxford has identical problems and opportunities to Cambridge, but there the local authorities have been totally unable to agree a devolution deal in spite of the financial incentives it offered, and the obvious gains-from-trade from allowing more housing and industry in the Oxford green belt which mostly lies in neighbouring authorities. The administrative boundaries in Oxfordshire comprise a hub and spokes, not a Cambridge doughnut. The chosen vehicle for the growth and efficiency agendas (which in this case coincide) is therefore a report from the National Infrastructure Commission proposing new infrastructure for the Oxford-Cambridge corridor, which is drawn widely enough to include Milton Keynes and Northampton (National Infrastructure Commission 2017). Elected bodies neither wrote nor seriously feature in this document.</w:t>
      </w:r>
    </w:p>
    <w:p w:rsidR="00815EE8" w:rsidRPr="009A4F07" w:rsidRDefault="003159BB" w:rsidP="003159BB">
      <w:pPr>
        <w:pStyle w:val="Heading2"/>
        <w:rPr>
          <w:rFonts w:eastAsia="Calibri" w:cs="Times New Roman"/>
        </w:rPr>
      </w:pPr>
      <w:r w:rsidRPr="009A4F07">
        <w:rPr>
          <w:rFonts w:eastAsia="Calibri" w:cs="Times New Roman"/>
        </w:rPr>
        <w:t xml:space="preserve">11.4 </w:t>
      </w:r>
      <w:r w:rsidR="00815EE8" w:rsidRPr="009A4F07">
        <w:rPr>
          <w:rFonts w:eastAsia="Calibri" w:cs="Times New Roman"/>
        </w:rPr>
        <w:t>The missing tax dimension: business rates and council tax</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patchwork of devolution deals agreed up to the time of writing in 2017 does not amount to a policy for the governance of England. The economic geography of England includes conurbations (and within those,</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core cities’); non-core conurbation fringes, medium and small towns, and rural areas. The administrative geography is less coherent than at any time since the creation of English county councils in 1888. There are unitary areas, where one local authority carries out all functions; two-tier areas, where two councils simultaneously run services; areas with Devolution Deals and combined authorities; areas without; a Northern Powerhouse apparently comprising the whole of three former standard regions; and areas administratively defined but with no elected body, such as the</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Oxford-Cambridge corridor’. Add in the various administrative geographies for health, policing, and fire, and it gets even messier. A more coherent administrative geography is clearly needed.</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On the spending side, devolution deals come with offers of extra ability to spend capital on infrastructure, perhaps via more generous borrowing limits. For example, Tees Valley (a re-creation of the abolished county of Cleveland, plus Darlington) was offered</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Control of a new £15 million a year funding allocation over 30 years, to be included in the Tees Valley Investment Fund and invested to boost growth</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(DCLG 2015: 3). The population of Tees Valley is about 700,000. This new funding allocation is therefore of the order of £20 per inhabitant per year. It might pay for some better bus stops.</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The powers of local government to tax in England are extremely limited. According to the OECD Fiscal Decentralisation Database, the taxes controlled by subnational governments in the UK in 2011 amounted to 4.8% of tax revenue (source: OECD 2017: table 1). In most federal countries that ratio is between 30 and 40%, reaching 49% in Canada. OECD’s data predate the extension of tax powers under the Scotland Acts 2012 and 2016, and the expansion proposed for Wales. They describe a country where only one tax is under local control, namely council tax. The easiest extension towards fiscal federalism would be the re-localisation of business rates. Business rates raise about the same in aggregate as does council tax – some 4 to 5 per cent of tax receipts. They are the descendant of the oldest local tax of all, property rates, which were the sole tax base for local government before 1834.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Business rates date back to the Local Government Finance Act 1988 c.41. This Act introduced the poll tax (‘community charge’) and a national non-domestic rate (‘business rates’). The former was soon repealed to be replaced by council tax; the latter remain. The business rates part of the 1988 Act did not provoke riots in the streets. But it marked a change almost as radical as the poll tax. While keeping the traditional legal structure of property rating, it nationalised it. A UK government agency (the Valuation Office Agency, VOA) assesses the rateable value of each business premises (and the council-tax band of each house). It covers the whole of Great Britain, but not Northern Ireland. Local authorities collect the uniform business rate, but until 2012-13 the entire English proceeds were pooled and redistributed to authorities on a relative needs basis. This improved equity but at the expense of efficiency. Authorities had no incentive to collect the tax more efficiently. Much more important, they had no incentive to encourage development in their area.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UK’s planning regime dates back to the Town and County Planning Act 1947 (10 &amp; 11 Geo. VI c. 51). That made most development subject to planning permission, granted or refused by the local authority. It protected Green Belts. And it recognised that making planning permission scarce gave it a value, which it attempted to vest in the state. There was to be a tax on the difference between the value of land without planning permission and land with it.</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1947 Act, and its Scottish counterpart, are the foundations of the regime in Great Britain today. Of its three main limbs, the first thrives. The second is under some threat: from greens on one side, and from economists on the other. The latter point out that an unintended effect of green belts is to make land in cities even more scarce and expensive than it would otherwise be, leading to, for instance, the problems around Oxford and Cambridge identified by the National Infrastructure Commission (2017). The third limb withered at birth. Hated by landowners, it had not been made effective by the time of the change of government from Labour to Conservative in 1951. Subsequent Labour governments have tried to introduce some form of betterment levy. They have always been knocked back by the succeeding Conservative government. The remaining stump of this limb is what are now called Community Infrastructure Levies. In these, a developer promises to contribute to some local facilities such as roads or schools, in exchange for planning permission. These disguised taxes are indirect and very expensive to administer.</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planning regime is asymmetric. There are visible costs from granting a permission – physical costs in infrastructure and extra demands for services, but also political costs if the development is unpopular. Almost every development is unpopular with its immediate neighbours, who have votes. There are fewer visible benefits. There may be meagre and administratively-expensive benefits from an infrastructure levy. But the main benefits are an improvement in the rateable value and/or Council Tax base of the authority, and whatever future employment and/or income the development would bring if permitted. Under the 1988 regime for business rates, the revenue gain was immediately equalised away into the national pool. So authorities had a built-in incentive to lean towards refusing permission. There must be a better way.</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Recognising this, the Coalition government introduced a Business Rates Retention Scheme (BRRS) in 2013. Under BRRS, councils retain between 25 and 50 per cent of the increment in business rate income that comes from new developments (Amin-Smith and Phillips 2017: figure 4). That changes the incentive structure mentioned above, though it is too early to see whether it will lead to big changes in behaviour. It will also increase the proportion of UK tax that is raised </w:t>
      </w:r>
      <w:proofErr w:type="spellStart"/>
      <w:r w:rsidRPr="009A4F07">
        <w:rPr>
          <w:rFonts w:ascii="Times New Roman" w:eastAsia="Times New Roman" w:hAnsi="Times New Roman" w:cs="Times New Roman"/>
          <w:sz w:val="24"/>
          <w:szCs w:val="24"/>
        </w:rPr>
        <w:t>subnationally</w:t>
      </w:r>
      <w:proofErr w:type="spellEnd"/>
      <w:r w:rsidRPr="009A4F07">
        <w:rPr>
          <w:rFonts w:ascii="Times New Roman" w:eastAsia="Times New Roman" w:hAnsi="Times New Roman" w:cs="Times New Roman"/>
          <w:sz w:val="24"/>
          <w:szCs w:val="24"/>
        </w:rPr>
        <w:t>, and raise the UK slightly from its low position in the OECD Fiscal Decentralisation database.</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That number was planned to increase further, when the government announced plans to move to 100 per cent retention of increments in Business Rates by 2020 (Amin Smith et al 2016: 30). Both the 50 per cent and the 100 per cent move have to be accompanied by an array of damping mechanisms to prevent rapid shocks in any one area, and by a regime of</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tariffs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and</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top-ups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among authorities. Authorities which would otherwise do very well from the change face a</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tariff’, which is redistributed as a</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top-up</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to authorities that would otherwise do poorly from the scheme. At the same time, government would insulate planning authorities from the risk that occupiers successfully appeal their rateable value.</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One slightly odd feature of all this is that business rates retention was offered as a carrot to areas contemplating devolution deals. Now this has been watered down to an offer to Liverpool and Greater Manchester to shift to the system three years early (Northern Powerhouse 2016: 19). If both the spending advantages (see the Tees Valley example above) and the tax advantages of opting to be a powerhouse are trivial, one wonders why anybody would bother. The entire scheme now seems to be in some doubt.</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The other support of local spending in England is Council Tax. This was introduced in a great hurry after the Poll Tax fiasco of 1989-91 (Butler, Adonis and Travers 1994). It is levied in eight bands lettered A to H (in Wales, in nine lettered A to I). The headline rate for each council is the amount payable on a house in Band D. The ratios of that number payable in Bands A to C and E upwards are fixed in legislation and councils cannot alter them. They are regressive. The rate for Band A is 2/3 of the Band D rate; the rate for Band H, which has no upper limit, is only double the Band D rate. The ratios are slightly less regressive in both Wales and Scotland.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Council Tax is a highly visible tax, like Income Tax, not a relatively hidden one like VAT or National Insurance contributions. Its visibility leads politicians to make popular promises to freeze rates (Scotland) or to impose penalties on councils which increase the local rate by more than a centrally prescribed amount (England). </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The end result is that Council Tax is one of the worst in the whole quiver of UK taxes (Mirrlees 2011: </w:t>
      </w:r>
      <w:proofErr w:type="spellStart"/>
      <w:r w:rsidRPr="009A4F07">
        <w:rPr>
          <w:rFonts w:ascii="Times New Roman" w:eastAsia="Times New Roman" w:hAnsi="Times New Roman" w:cs="Times New Roman"/>
          <w:sz w:val="24"/>
          <w:szCs w:val="24"/>
        </w:rPr>
        <w:t>ch.</w:t>
      </w:r>
      <w:proofErr w:type="spellEnd"/>
      <w:r w:rsidRPr="009A4F07">
        <w:rPr>
          <w:rFonts w:ascii="Times New Roman" w:eastAsia="Times New Roman" w:hAnsi="Times New Roman" w:cs="Times New Roman"/>
          <w:sz w:val="24"/>
          <w:szCs w:val="24"/>
        </w:rPr>
        <w:t xml:space="preserve"> 16). It is still based on 1991 valuations because no politician except in Wales has dared to revalue. Wales revalued in 2005, intending to revalue at five-yearly intervals, but the 2010 revaluation was cancelled by the UK Secretary of State for Communities and Local Government, Eric Pickles, who liked to boast of his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muscular localism</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(Game 2015). This action was at any rate muscular. Responsibility for a 2015 revaluation transferred to the Welsh government, which has not decided to hold another valuation, but has created an expert working party on options for local finance (DCLG 2010; Welsh Government 2017).</w:t>
      </w:r>
    </w:p>
    <w:p w:rsidR="00815EE8" w:rsidRPr="009A4F07" w:rsidRDefault="00815EE8" w:rsidP="00815EE8">
      <w:pPr>
        <w:widowControl w:val="0"/>
        <w:autoSpaceDE w:val="0"/>
        <w:autoSpaceDN w:val="0"/>
        <w:adjustRightInd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The consequence of the long failure to revalue is that owners of properties whose relative value has declined since 1991 pay too much; those whose properties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relative value has increased since 1991 pay too little; and properties built since 1991 are billed at a pretty arbitrary level.</w:t>
      </w:r>
    </w:p>
    <w:p w:rsidR="00815EE8" w:rsidRPr="009A4F07" w:rsidRDefault="00815EE8" w:rsidP="00815EE8">
      <w:pPr>
        <w:widowControl w:val="0"/>
        <w:autoSpaceDE w:val="0"/>
        <w:autoSpaceDN w:val="0"/>
        <w:adjustRightInd w:val="0"/>
        <w:rPr>
          <w:rFonts w:ascii="Times New Roman" w:eastAsia="Times New Roman" w:hAnsi="Times New Roman" w:cs="Times New Roman"/>
          <w:b/>
          <w:sz w:val="24"/>
          <w:szCs w:val="24"/>
        </w:rPr>
      </w:pPr>
      <w:r w:rsidRPr="009A4F07">
        <w:rPr>
          <w:rFonts w:ascii="Times New Roman" w:eastAsia="Times New Roman" w:hAnsi="Times New Roman" w:cs="Times New Roman"/>
          <w:sz w:val="24"/>
          <w:szCs w:val="24"/>
        </w:rPr>
        <w:t xml:space="preserve">This failure has a spatial aspect, which makes a bad design worse. Council Tax is not only regressive between individuals (people living in expensive houses, who are almost all rich, pay a lower proportion of their income in Council Tax than people living in cheap houses, many of them poor). It is also regressive between rich and poor parts of the country, for the same reason as the one Chadwick failed to cure in 1834. Poor areas have a lower tax </w:t>
      </w:r>
      <w:r w:rsidRPr="009A4F07">
        <w:rPr>
          <w:rFonts w:ascii="Times New Roman" w:eastAsia="Times New Roman" w:hAnsi="Times New Roman" w:cs="Times New Roman"/>
          <w:i/>
          <w:sz w:val="24"/>
          <w:szCs w:val="24"/>
        </w:rPr>
        <w:t>base</w:t>
      </w:r>
      <w:r w:rsidRPr="009A4F07">
        <w:rPr>
          <w:rFonts w:ascii="Times New Roman" w:eastAsia="Times New Roman" w:hAnsi="Times New Roman" w:cs="Times New Roman"/>
          <w:sz w:val="24"/>
          <w:szCs w:val="24"/>
        </w:rPr>
        <w:t xml:space="preserve">, therefore they must charge a higher </w:t>
      </w:r>
      <w:r w:rsidRPr="009A4F07">
        <w:rPr>
          <w:rFonts w:ascii="Times New Roman" w:eastAsia="Times New Roman" w:hAnsi="Times New Roman" w:cs="Times New Roman"/>
          <w:i/>
          <w:sz w:val="24"/>
          <w:szCs w:val="24"/>
        </w:rPr>
        <w:t>rate</w:t>
      </w:r>
      <w:r w:rsidRPr="009A4F07">
        <w:rPr>
          <w:rFonts w:ascii="Times New Roman" w:eastAsia="Times New Roman" w:hAnsi="Times New Roman" w:cs="Times New Roman"/>
          <w:sz w:val="24"/>
          <w:szCs w:val="24"/>
        </w:rPr>
        <w:t xml:space="preserve"> in the pound to their citizens than rich areas. Tax base and tax rate are complements.</w:t>
      </w:r>
      <w:r w:rsidR="007375D5" w:rsidRPr="009A4F07">
        <w:rPr>
          <w:rFonts w:ascii="Times New Roman" w:eastAsia="Times New Roman" w:hAnsi="Times New Roman" w:cs="Times New Roman"/>
          <w:sz w:val="24"/>
          <w:szCs w:val="24"/>
          <w:lang w:val="en-US"/>
        </w:rPr>
        <w:t xml:space="preserve"> </w:t>
      </w:r>
      <w:r w:rsidR="007375D5" w:rsidRPr="009A4F07">
        <w:rPr>
          <w:rFonts w:ascii="Times New Roman" w:eastAsia="Times New Roman" w:hAnsi="Times New Roman" w:cs="Times New Roman"/>
          <w:sz w:val="24"/>
          <w:szCs w:val="24"/>
        </w:rPr>
        <w:t>Tr</w:t>
      </w:r>
      <w:r w:rsidRPr="009A4F07">
        <w:rPr>
          <w:rFonts w:ascii="Times New Roman" w:eastAsia="Times New Roman" w:hAnsi="Times New Roman" w:cs="Times New Roman"/>
          <w:sz w:val="24"/>
          <w:szCs w:val="24"/>
        </w:rPr>
        <w:t>adit</w:t>
      </w:r>
      <w:r w:rsidR="008223DB" w:rsidRPr="009A4F07">
        <w:rPr>
          <w:rFonts w:ascii="Times New Roman" w:eastAsia="Times New Roman" w:hAnsi="Times New Roman" w:cs="Times New Roman"/>
          <w:sz w:val="24"/>
          <w:szCs w:val="24"/>
        </w:rPr>
        <w:t>ionally, policy aimed to equalis</w:t>
      </w:r>
      <w:r w:rsidRPr="009A4F07">
        <w:rPr>
          <w:rFonts w:ascii="Times New Roman" w:eastAsia="Times New Roman" w:hAnsi="Times New Roman" w:cs="Times New Roman"/>
          <w:sz w:val="24"/>
          <w:szCs w:val="24"/>
        </w:rPr>
        <w:t xml:space="preserve">e for this via the funding formula for calculating grants. This system never worked well, and broke down from about 2010 as the UK government implemented much bigger cuts to local government spending in areas that were poor and grant-dependent. </w:t>
      </w:r>
    </w:p>
    <w:p w:rsidR="00815EE8" w:rsidRPr="009A4F07" w:rsidRDefault="003159BB" w:rsidP="003159BB">
      <w:pPr>
        <w:pStyle w:val="Heading2"/>
        <w:rPr>
          <w:rFonts w:eastAsia="Calibri" w:cs="Times New Roman"/>
        </w:rPr>
      </w:pPr>
      <w:r w:rsidRPr="009A4F07">
        <w:rPr>
          <w:rFonts w:eastAsia="Calibri" w:cs="Times New Roman"/>
        </w:rPr>
        <w:t xml:space="preserve">11.5 </w:t>
      </w:r>
      <w:r w:rsidR="00D84F12">
        <w:rPr>
          <w:rFonts w:eastAsia="Calibri" w:cs="Times New Roman"/>
        </w:rPr>
        <w:t xml:space="preserve">Conclusion: </w:t>
      </w:r>
      <w:r w:rsidR="00815EE8" w:rsidRPr="009A4F07">
        <w:rPr>
          <w:rFonts w:eastAsia="Calibri" w:cs="Times New Roman"/>
        </w:rPr>
        <w:t>A possible move towards fiscal federalism in England</w:t>
      </w:r>
    </w:p>
    <w:p w:rsidR="00D84F12" w:rsidRDefault="00D84F12" w:rsidP="00815EE8">
      <w:pPr>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So far, this chapter has shown that:</w:t>
      </w:r>
    </w:p>
    <w:p w:rsidR="00D84F12" w:rsidRDefault="00D84F12" w:rsidP="00D84F12">
      <w:pPr>
        <w:pStyle w:val="ListParagraph"/>
        <w:numPr>
          <w:ilvl w:val="0"/>
          <w:numId w:val="29"/>
        </w:numPr>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‘Barnett’ formula for distributing block grant to Scotland, Wales and northern Ireland does not achieve the convergence that the Treasury planned; that full convergence is the wrong target in any case because Wales and northern Ireland are relatively poor; and that it gives the governments of these territories no incentive to consider the balance between their taxing and their spending;</w:t>
      </w:r>
    </w:p>
    <w:p w:rsidR="00D84F12" w:rsidRDefault="00D84F12" w:rsidP="00D84F12">
      <w:pPr>
        <w:pStyle w:val="ListParagraph"/>
        <w:numPr>
          <w:ilvl w:val="0"/>
          <w:numId w:val="29"/>
        </w:numPr>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As Barnett is neither efficient nor equitable, it cannot be the basis for formula funding within England;</w:t>
      </w:r>
    </w:p>
    <w:p w:rsidR="00D84F12" w:rsidRDefault="00D84F12" w:rsidP="00D84F12">
      <w:pPr>
        <w:pStyle w:val="ListParagraph"/>
        <w:numPr>
          <w:ilvl w:val="0"/>
          <w:numId w:val="29"/>
        </w:numPr>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Some departments of central government have their own distributive formulae, but the pattern of public expenditure per head around the English regions remains very puzzling;</w:t>
      </w:r>
    </w:p>
    <w:p w:rsidR="00D84F12" w:rsidRDefault="00D84F12" w:rsidP="00D84F12">
      <w:pPr>
        <w:pStyle w:val="ListParagraph"/>
        <w:numPr>
          <w:ilvl w:val="0"/>
          <w:numId w:val="29"/>
        </w:numPr>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By international standards, the proportion of tax controlled locally in the UK is very low;</w:t>
      </w:r>
    </w:p>
    <w:p w:rsidR="00D84F12" w:rsidRDefault="00D84F12" w:rsidP="00D84F12">
      <w:pPr>
        <w:pStyle w:val="ListParagraph"/>
        <w:numPr>
          <w:ilvl w:val="0"/>
          <w:numId w:val="29"/>
        </w:numPr>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two taxes under local control (Council Tax and Business Rates)</w:t>
      </w:r>
      <w:bookmarkStart w:id="0" w:name="_GoBack"/>
      <w:bookmarkEnd w:id="0"/>
      <w:r>
        <w:rPr>
          <w:rFonts w:ascii="Times New Roman" w:eastAsia="Times New Roman" w:hAnsi="Times New Roman" w:cs="Times New Roman"/>
          <w:sz w:val="24"/>
          <w:szCs w:val="24"/>
        </w:rPr>
        <w:t xml:space="preserve"> are very badly designed</w:t>
      </w:r>
    </w:p>
    <w:p w:rsidR="00D84F12" w:rsidRPr="00D84F12" w:rsidRDefault="00D84F12" w:rsidP="00D84F12">
      <w:pPr>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Where might a reforming government go from there?</w:t>
      </w:r>
    </w:p>
    <w:p w:rsidR="00815EE8" w:rsidRPr="00D84F12" w:rsidRDefault="00815EE8" w:rsidP="00D84F12">
      <w:pPr>
        <w:autoSpaceDN w:val="0"/>
        <w:rPr>
          <w:rFonts w:ascii="Times New Roman" w:eastAsia="Times New Roman" w:hAnsi="Times New Roman" w:cs="Times New Roman"/>
          <w:sz w:val="24"/>
          <w:szCs w:val="24"/>
        </w:rPr>
      </w:pPr>
      <w:r w:rsidRPr="00D84F12">
        <w:rPr>
          <w:rFonts w:ascii="Times New Roman" w:eastAsia="Times New Roman" w:hAnsi="Times New Roman" w:cs="Times New Roman"/>
          <w:sz w:val="24"/>
          <w:szCs w:val="24"/>
        </w:rPr>
        <w:t>Adam Smith recognised that land and property are the best tax rate for subnational government. They don’t move; so landowners cannot play off one authority against another. Nor can they hide the asset (unless they can hide its ownership in a tax haven, which is a serious policy issue, but out of scope for this chapter).</w:t>
      </w:r>
    </w:p>
    <w:p w:rsidR="00815EE8" w:rsidRPr="009A4F07" w:rsidRDefault="00815EE8" w:rsidP="00815EE8">
      <w:pPr>
        <w:autoSpaceDN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As Smith wrote in one of the most radical sections of the </w:t>
      </w:r>
      <w:r w:rsidRPr="009A4F07">
        <w:rPr>
          <w:rFonts w:ascii="Times New Roman" w:eastAsia="Times New Roman" w:hAnsi="Times New Roman" w:cs="Times New Roman"/>
          <w:i/>
          <w:sz w:val="24"/>
          <w:szCs w:val="24"/>
        </w:rPr>
        <w:t>Wealth of Nations</w:t>
      </w:r>
      <w:r w:rsidRPr="009A4F07">
        <w:rPr>
          <w:rFonts w:ascii="Times New Roman" w:eastAsia="Times New Roman" w:hAnsi="Times New Roman" w:cs="Times New Roman"/>
          <w:sz w:val="24"/>
          <w:szCs w:val="24"/>
        </w:rPr>
        <w:t>:</w:t>
      </w:r>
    </w:p>
    <w:p w:rsidR="00815EE8" w:rsidRPr="009A4F07" w:rsidRDefault="00815EE8" w:rsidP="00815EE8">
      <w:pPr>
        <w:autoSpaceDN w:val="0"/>
        <w:ind w:left="720" w:right="72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Ground-rents are a still more proper subject of taxation than the rent of houses. A tax upon ground-rents would not raise the rents of houses. It would fall altogether upon the owner of the ground-rent, who acts always as a monopolist, and exacts the greatest rent which can be got for the use of his ground…. </w:t>
      </w:r>
    </w:p>
    <w:p w:rsidR="00815EE8" w:rsidRPr="009A4F07" w:rsidRDefault="00815EE8" w:rsidP="00815EE8">
      <w:pPr>
        <w:autoSpaceDN w:val="0"/>
        <w:ind w:left="720" w:right="72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Ground-rents and the ordinary rent of land are, therefore, perhaps, the species of revenue which can best bear to have a peculiar tax imposed upon them. Ground-rents seem, in this respect, a more proper subject of peculiar taxation than even the ordinary rent of land. (Smith 1776: V.2.74–6; for fuller discussion see McLean 2006: 69–76, 141).</w:t>
      </w:r>
    </w:p>
    <w:p w:rsidR="00815EE8" w:rsidRPr="009A4F07" w:rsidRDefault="00815EE8" w:rsidP="00815EE8">
      <w:pPr>
        <w:autoSpaceDN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So the basis for fiscal federalism in England is a reformed property tax. Scotland and Wales have taken some tentative steps. Northern Ireland has not. Wales has gone furthest, where the relevant minister has stated</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I have already indicated my willingness to look at options such as land value tax as an alternative way of raising tax revenue in the longer term</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(Welsh Government 2017; </w:t>
      </w:r>
      <w:proofErr w:type="spellStart"/>
      <w:r w:rsidRPr="009A4F07">
        <w:rPr>
          <w:rFonts w:ascii="Times New Roman" w:eastAsia="Times New Roman" w:hAnsi="Times New Roman" w:cs="Times New Roman"/>
          <w:sz w:val="24"/>
          <w:szCs w:val="24"/>
        </w:rPr>
        <w:t>cf</w:t>
      </w:r>
      <w:proofErr w:type="spellEnd"/>
      <w:r w:rsidRPr="009A4F07">
        <w:rPr>
          <w:rFonts w:ascii="Times New Roman" w:eastAsia="Times New Roman" w:hAnsi="Times New Roman" w:cs="Times New Roman"/>
          <w:sz w:val="24"/>
          <w:szCs w:val="24"/>
        </w:rPr>
        <w:t xml:space="preserve"> also Commission on Local Tax Reform 2015). A land value tax that replaced both business rates and Council Tax would be proportional to the value of the land. Much of its value lies in its scarcity, which is in part conferred by planning permissions in the 1947 system. This scarcity value means that the income from urban land (excluding the structures on it) is that</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ground-rent</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which Smith rightly saw as the most appropriate of all tax bases (Mirrlees 2011: </w:t>
      </w:r>
      <w:proofErr w:type="spellStart"/>
      <w:r w:rsidRPr="009A4F07">
        <w:rPr>
          <w:rFonts w:ascii="Times New Roman" w:eastAsia="Times New Roman" w:hAnsi="Times New Roman" w:cs="Times New Roman"/>
          <w:sz w:val="24"/>
          <w:szCs w:val="24"/>
        </w:rPr>
        <w:t>ch.</w:t>
      </w:r>
      <w:proofErr w:type="spellEnd"/>
      <w:r w:rsidRPr="009A4F07">
        <w:rPr>
          <w:rFonts w:ascii="Times New Roman" w:eastAsia="Times New Roman" w:hAnsi="Times New Roman" w:cs="Times New Roman"/>
          <w:sz w:val="24"/>
          <w:szCs w:val="24"/>
        </w:rPr>
        <w:t xml:space="preserve"> 16).</w:t>
      </w:r>
    </w:p>
    <w:p w:rsidR="00815EE8" w:rsidRPr="009A4F07" w:rsidRDefault="00815EE8" w:rsidP="00815EE8">
      <w:pPr>
        <w:autoSpaceDN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Whereas Council Tax is regressive, land value tax would be neutral, or, if a zero rate applied to low value land, progressive. It would correct the incentives facing local authorities far more than would a modest </w:t>
      </w:r>
      <w:proofErr w:type="spellStart"/>
      <w:r w:rsidRPr="009A4F07">
        <w:rPr>
          <w:rFonts w:ascii="Times New Roman" w:eastAsia="Times New Roman" w:hAnsi="Times New Roman" w:cs="Times New Roman"/>
          <w:sz w:val="24"/>
          <w:szCs w:val="24"/>
        </w:rPr>
        <w:t>relocalisation</w:t>
      </w:r>
      <w:proofErr w:type="spellEnd"/>
      <w:r w:rsidRPr="009A4F07">
        <w:rPr>
          <w:rFonts w:ascii="Times New Roman" w:eastAsia="Times New Roman" w:hAnsi="Times New Roman" w:cs="Times New Roman"/>
          <w:sz w:val="24"/>
          <w:szCs w:val="24"/>
        </w:rPr>
        <w:t xml:space="preserve"> of business rates which may not even happen. The authority will bear the revenue from granting a permission and the cost of refusing it. Because the tax would be neutral or progressive, for any given required yield most taxpayers would pay less than under the current regimes because more of the burden would fall on those best able to bear it.</w:t>
      </w:r>
    </w:p>
    <w:p w:rsidR="00815EE8" w:rsidRPr="009A4F07" w:rsidRDefault="00815EE8" w:rsidP="00815EE8">
      <w:pPr>
        <w:autoSpaceDN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Land value tax would help to solve the efficiency and growth problems of the current system. It would not of itself solve the equity problem. Land values are highest in the places where people most want to live and work: currently, overwhelmingly, in London, with boom cities including Oxford, Bristol, and Cambridge not far behind. At least if London boroughs levied realistic land value taxes, the surprising lumping of English public expenditure on London (Table 11.1) could be mitigated, because formula funding for health and education could be adjusted to allow for London’s more robust local tax base.</w:t>
      </w:r>
    </w:p>
    <w:p w:rsidR="00815EE8" w:rsidRPr="009A4F07" w:rsidRDefault="00815EE8" w:rsidP="00815EE8">
      <w:pPr>
        <w:autoSpaceDN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Nevertheless an equalisation regime will be needed. It cannot be an extension of Barnett to England, for reasons explained above. Nor can it simply depend on the hidden and complex formulae used by central departments to allocate money around England, which produce the strange results shown in Table 11.1. In past work I have pointed to the Australian Commonwealth Grants Commission (CGC) as a model (e.g., McLean 2004, 2005). The CGC’s trick is to combine egalitarianism with incentive-compatibility. It equalises between the Australian states for their relative needs and relative tax bases. But if a state widens its tax base or increases its tax take, the proceeds are not immediately equalised away from it. UK schemes like the </w:t>
      </w:r>
      <w:proofErr w:type="spellStart"/>
      <w:r w:rsidRPr="009A4F07">
        <w:rPr>
          <w:rFonts w:ascii="Times New Roman" w:eastAsia="Times New Roman" w:hAnsi="Times New Roman" w:cs="Times New Roman"/>
          <w:sz w:val="24"/>
          <w:szCs w:val="24"/>
        </w:rPr>
        <w:t>relocalisation</w:t>
      </w:r>
      <w:proofErr w:type="spellEnd"/>
      <w:r w:rsidRPr="009A4F07">
        <w:rPr>
          <w:rFonts w:ascii="Times New Roman" w:eastAsia="Times New Roman" w:hAnsi="Times New Roman" w:cs="Times New Roman"/>
          <w:sz w:val="24"/>
          <w:szCs w:val="24"/>
        </w:rPr>
        <w:t xml:space="preserve"> of business rates are designed for the same end. But they could be much more radical. Perhaps the way to a robust fiscal union lies under the Southern Cross.</w:t>
      </w:r>
    </w:p>
    <w:p w:rsidR="00815EE8" w:rsidRPr="009A4F07" w:rsidRDefault="00815EE8" w:rsidP="00815EE8">
      <w:pPr>
        <w:autoSpaceDN w:val="0"/>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But is there any political demand for fiscal federalism? There is certainly disquiet throughout England, where voters in many parts of the country feel neglected. This has fuelled the rise of English nationalism and (perhaps) the demand for an English Parliament, described in other chapters. It may be that people nevertheless don’t know even what fiscal federalism is, let alone that it could be a solution to present discontents. Time may tell.</w:t>
      </w:r>
    </w:p>
    <w:p w:rsidR="00815EE8" w:rsidRPr="009A4F07" w:rsidRDefault="00815EE8" w:rsidP="003159BB">
      <w:pPr>
        <w:pStyle w:val="Heading2"/>
        <w:rPr>
          <w:rFonts w:eastAsia="Times New Roman" w:cs="Times New Roman"/>
          <w:b w:val="0"/>
          <w:szCs w:val="24"/>
        </w:rPr>
      </w:pPr>
      <w:r w:rsidRPr="009A4F07">
        <w:rPr>
          <w:rFonts w:eastAsia="Calibri" w:cs="Times New Roman"/>
        </w:rPr>
        <w:t>References</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Amin-Smith, N., Phillips, D., Simpson, P., </w:t>
      </w:r>
      <w:proofErr w:type="spellStart"/>
      <w:r w:rsidRPr="009A4F07">
        <w:rPr>
          <w:rFonts w:ascii="Times New Roman" w:eastAsia="Times New Roman" w:hAnsi="Times New Roman" w:cs="Times New Roman"/>
          <w:sz w:val="24"/>
          <w:szCs w:val="24"/>
        </w:rPr>
        <w:t>Eiser</w:t>
      </w:r>
      <w:proofErr w:type="spellEnd"/>
      <w:r w:rsidRPr="009A4F07">
        <w:rPr>
          <w:rFonts w:ascii="Times New Roman" w:eastAsia="Times New Roman" w:hAnsi="Times New Roman" w:cs="Times New Roman"/>
          <w:sz w:val="24"/>
          <w:szCs w:val="24"/>
        </w:rPr>
        <w:t xml:space="preserve">, D., &amp; </w:t>
      </w:r>
      <w:proofErr w:type="spellStart"/>
      <w:r w:rsidRPr="009A4F07">
        <w:rPr>
          <w:rFonts w:ascii="Times New Roman" w:eastAsia="Times New Roman" w:hAnsi="Times New Roman" w:cs="Times New Roman"/>
          <w:sz w:val="24"/>
          <w:szCs w:val="24"/>
        </w:rPr>
        <w:t>Trickey</w:t>
      </w:r>
      <w:proofErr w:type="spellEnd"/>
      <w:r w:rsidRPr="009A4F07">
        <w:rPr>
          <w:rFonts w:ascii="Times New Roman" w:eastAsia="Times New Roman" w:hAnsi="Times New Roman" w:cs="Times New Roman"/>
          <w:sz w:val="24"/>
          <w:szCs w:val="24"/>
        </w:rPr>
        <w:t xml:space="preserve">, M. (2016), </w:t>
      </w:r>
      <w:r w:rsidRPr="009A4F07">
        <w:rPr>
          <w:rFonts w:ascii="Times New Roman" w:eastAsia="Times New Roman" w:hAnsi="Times New Roman" w:cs="Times New Roman"/>
          <w:i/>
          <w:sz w:val="24"/>
          <w:szCs w:val="24"/>
        </w:rPr>
        <w:t xml:space="preserve">A time of revolution? British local government finance in the 2010s </w:t>
      </w:r>
      <w:r w:rsidRPr="009A4F07">
        <w:rPr>
          <w:rFonts w:ascii="Times New Roman" w:eastAsia="Times New Roman" w:hAnsi="Times New Roman" w:cs="Times New Roman"/>
          <w:sz w:val="24"/>
          <w:szCs w:val="24"/>
        </w:rPr>
        <w:t>(London, Institute for Fiscal Studies), https://www.ifs.org.uk/uploads/publications/comms/R121.pdf, accessed 13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Amin-Smith, N. and Phillips, D. (2017), </w:t>
      </w:r>
      <w:r w:rsidRPr="009A4F07">
        <w:rPr>
          <w:rFonts w:ascii="Times New Roman" w:eastAsia="Times New Roman" w:hAnsi="Times New Roman" w:cs="Times New Roman"/>
          <w:i/>
          <w:sz w:val="24"/>
          <w:szCs w:val="24"/>
        </w:rPr>
        <w:t>The Business Rates Revaluation, Appeals and Local Revenue Retention: IFS Briefing Note BN 193</w:t>
      </w:r>
      <w:r w:rsidRPr="009A4F07">
        <w:rPr>
          <w:rFonts w:ascii="Times New Roman" w:eastAsia="Times New Roman" w:hAnsi="Times New Roman" w:cs="Times New Roman"/>
          <w:sz w:val="24"/>
          <w:szCs w:val="24"/>
        </w:rPr>
        <w:t xml:space="preserve"> (London, Institute for Fiscal Studies), https://www.ifs.org.uk/uploads/publications/bns/BN193%20-%20Business%20Rates%20Revaluation.pdf, accessed 13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Butler, D., Adonis, A., &amp; Travers, T. (1994), </w:t>
      </w:r>
      <w:r w:rsidRPr="009A4F07">
        <w:rPr>
          <w:rFonts w:ascii="Times New Roman" w:eastAsia="Times New Roman" w:hAnsi="Times New Roman" w:cs="Times New Roman"/>
          <w:i/>
          <w:sz w:val="24"/>
          <w:szCs w:val="24"/>
        </w:rPr>
        <w:t>Failure in British Government: the politics of the poll tax</w:t>
      </w:r>
      <w:r w:rsidRPr="009A4F07">
        <w:rPr>
          <w:rFonts w:ascii="Times New Roman" w:eastAsia="Times New Roman" w:hAnsi="Times New Roman" w:cs="Times New Roman"/>
          <w:sz w:val="24"/>
          <w:szCs w:val="24"/>
        </w:rPr>
        <w:t xml:space="preserve"> (Oxford, Oxford University Press).</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Commission on Local Tax Reform (2015), </w:t>
      </w:r>
      <w:r w:rsidRPr="009A4F07">
        <w:rPr>
          <w:rFonts w:ascii="Times New Roman" w:eastAsia="Times New Roman" w:hAnsi="Times New Roman" w:cs="Times New Roman"/>
          <w:i/>
          <w:sz w:val="24"/>
          <w:szCs w:val="24"/>
        </w:rPr>
        <w:t xml:space="preserve">Just Change: a new approach to local taxation </w:t>
      </w:r>
      <w:r w:rsidRPr="009A4F07">
        <w:rPr>
          <w:rFonts w:ascii="Times New Roman" w:eastAsia="Times New Roman" w:hAnsi="Times New Roman" w:cs="Times New Roman"/>
          <w:sz w:val="24"/>
          <w:szCs w:val="24"/>
        </w:rPr>
        <w:t>(Edinburgh, Commission on Local Tax Reform), http://localtaxcommission.scot/download-our-final-report/, accessed 20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Curtice, J., McLean, I., Campbell, L., Paun, A., Rogers, M. &amp; </w:t>
      </w:r>
      <w:proofErr w:type="spellStart"/>
      <w:r w:rsidRPr="009A4F07">
        <w:rPr>
          <w:rFonts w:ascii="Times New Roman" w:eastAsia="Times New Roman" w:hAnsi="Times New Roman" w:cs="Times New Roman"/>
          <w:sz w:val="24"/>
          <w:szCs w:val="24"/>
        </w:rPr>
        <w:t>Thimont</w:t>
      </w:r>
      <w:proofErr w:type="spellEnd"/>
      <w:r w:rsidRPr="009A4F07">
        <w:rPr>
          <w:rFonts w:ascii="Times New Roman" w:eastAsia="Times New Roman" w:hAnsi="Times New Roman" w:cs="Times New Roman"/>
          <w:sz w:val="24"/>
          <w:szCs w:val="24"/>
        </w:rPr>
        <w:t xml:space="preserve"> Jack, M. (2017), </w:t>
      </w:r>
      <w:r w:rsidRPr="009A4F07">
        <w:rPr>
          <w:rFonts w:ascii="Times New Roman" w:eastAsia="Times New Roman" w:hAnsi="Times New Roman" w:cs="Times New Roman"/>
          <w:i/>
          <w:sz w:val="24"/>
          <w:szCs w:val="24"/>
        </w:rPr>
        <w:t>Governing England: Devolution and mayors in England</w:t>
      </w:r>
      <w:r w:rsidRPr="009A4F07">
        <w:rPr>
          <w:rFonts w:ascii="Times New Roman" w:eastAsia="Times New Roman" w:hAnsi="Times New Roman" w:cs="Times New Roman"/>
          <w:sz w:val="24"/>
          <w:szCs w:val="24"/>
        </w:rPr>
        <w:t xml:space="preserve"> (London, British Academy), http://www.britac.ac.uk/sites/default/files/Devolution%20and%20mayors%20in%20England.pdf, accessed 31 July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Department for Communities and Local Government (2010),</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Standing up for local taxpayers: Welsh Council Tax revaluation cancelled’, press release 3 December, https://www.gov.uk/government/news/standing-up-for-local-taxpayers-welsh-council-tax-revaluation-cancelled, accessed 20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Department for Communities and Local Government [DCLG] (2015), </w:t>
      </w:r>
      <w:r w:rsidRPr="009A4F07">
        <w:rPr>
          <w:rFonts w:ascii="Times New Roman" w:eastAsia="Times New Roman" w:hAnsi="Times New Roman" w:cs="Times New Roman"/>
          <w:i/>
          <w:sz w:val="24"/>
          <w:szCs w:val="24"/>
        </w:rPr>
        <w:t>Tees Valley Devolution Agreement</w:t>
      </w:r>
      <w:r w:rsidRPr="009A4F07">
        <w:rPr>
          <w:rFonts w:ascii="Times New Roman" w:eastAsia="Times New Roman" w:hAnsi="Times New Roman" w:cs="Times New Roman"/>
          <w:sz w:val="24"/>
          <w:szCs w:val="24"/>
        </w:rPr>
        <w:t>, https://www.gov.uk/government/uploads/system/uploads/attachment_data/file/470127/Tees_Valley_Devo_Deal_FINAL_formatted_v3.pdf, accessed 13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Department for Communities and Local Government [DCLG] (2017), </w:t>
      </w:r>
      <w:r w:rsidRPr="009A4F07">
        <w:rPr>
          <w:rFonts w:ascii="Times New Roman" w:eastAsia="Times New Roman" w:hAnsi="Times New Roman" w:cs="Times New Roman"/>
          <w:i/>
          <w:sz w:val="24"/>
          <w:szCs w:val="24"/>
        </w:rPr>
        <w:t>Cambridgeshire and Peterborough Devolution Deal</w:t>
      </w:r>
      <w:r w:rsidRPr="009A4F07">
        <w:rPr>
          <w:rFonts w:ascii="Times New Roman" w:eastAsia="Times New Roman" w:hAnsi="Times New Roman" w:cs="Times New Roman"/>
          <w:sz w:val="24"/>
          <w:szCs w:val="24"/>
        </w:rPr>
        <w:t>, at https://www.gov.uk/government/uploads/system/uploads/attachment_data/file/600239/Cambridgeshire_and_Peterborough_Devolution_Deal.pdf, accessed 13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Department for Transport (2015), </w:t>
      </w:r>
      <w:r w:rsidRPr="009A4F07">
        <w:rPr>
          <w:rFonts w:ascii="Times New Roman" w:eastAsia="Times New Roman" w:hAnsi="Times New Roman" w:cs="Times New Roman"/>
          <w:i/>
          <w:sz w:val="24"/>
          <w:szCs w:val="24"/>
        </w:rPr>
        <w:t>The Northern Powerhouse: One Agenda, One Economy, One North</w:t>
      </w:r>
      <w:r w:rsidRPr="009A4F07">
        <w:rPr>
          <w:rFonts w:ascii="Times New Roman" w:eastAsia="Times New Roman" w:hAnsi="Times New Roman" w:cs="Times New Roman"/>
          <w:sz w:val="24"/>
          <w:szCs w:val="24"/>
        </w:rPr>
        <w:t xml:space="preserve"> (London, Department for Transport), https://www.gov.uk/government/uploads/system/uploads/attachment_data/file/427339/the-northern-powerhouse-tagged.pdf, accessed 12 April 2017. </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Finer, S. E. (1952), </w:t>
      </w:r>
      <w:proofErr w:type="gramStart"/>
      <w:r w:rsidRPr="009A4F07">
        <w:rPr>
          <w:rFonts w:ascii="Times New Roman" w:eastAsia="Times New Roman" w:hAnsi="Times New Roman" w:cs="Times New Roman"/>
          <w:i/>
          <w:sz w:val="24"/>
          <w:szCs w:val="24"/>
        </w:rPr>
        <w:t>The</w:t>
      </w:r>
      <w:proofErr w:type="gramEnd"/>
      <w:r w:rsidRPr="009A4F07">
        <w:rPr>
          <w:rFonts w:ascii="Times New Roman" w:eastAsia="Times New Roman" w:hAnsi="Times New Roman" w:cs="Times New Roman"/>
          <w:i/>
          <w:sz w:val="24"/>
          <w:szCs w:val="24"/>
        </w:rPr>
        <w:t xml:space="preserve"> Life and Times of Sir Edwin Chadwick</w:t>
      </w:r>
      <w:r w:rsidRPr="009A4F07">
        <w:rPr>
          <w:rFonts w:ascii="Times New Roman" w:eastAsia="Times New Roman" w:hAnsi="Times New Roman" w:cs="Times New Roman"/>
          <w:sz w:val="24"/>
          <w:szCs w:val="24"/>
        </w:rPr>
        <w:t xml:space="preserve"> (London, Methuen).</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Gailey, A. (1984),</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Unionist Rhetoric and Irish Local Government Reform, 1895–9’, </w:t>
      </w:r>
      <w:r w:rsidRPr="009A4F07">
        <w:rPr>
          <w:rFonts w:ascii="Times New Roman" w:eastAsia="Times New Roman" w:hAnsi="Times New Roman" w:cs="Times New Roman"/>
          <w:i/>
          <w:sz w:val="24"/>
          <w:szCs w:val="24"/>
        </w:rPr>
        <w:t>Irish Historical Studies</w:t>
      </w:r>
      <w:r w:rsidRPr="009A4F07">
        <w:rPr>
          <w:rFonts w:ascii="Times New Roman" w:eastAsia="Times New Roman" w:hAnsi="Times New Roman" w:cs="Times New Roman"/>
          <w:sz w:val="24"/>
          <w:szCs w:val="24"/>
        </w:rPr>
        <w:t xml:space="preserve"> 24: 52–68.</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Game, C. (2015),</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Council tax support: Pickles</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muscular localism in action’, </w:t>
      </w:r>
      <w:r w:rsidRPr="009A4F07">
        <w:rPr>
          <w:rFonts w:ascii="Times New Roman" w:eastAsia="Times New Roman" w:hAnsi="Times New Roman" w:cs="Times New Roman"/>
          <w:i/>
          <w:sz w:val="24"/>
          <w:szCs w:val="24"/>
        </w:rPr>
        <w:t>Public Finance</w:t>
      </w:r>
      <w:r w:rsidRPr="009A4F07">
        <w:rPr>
          <w:rFonts w:ascii="Times New Roman" w:eastAsia="Times New Roman" w:hAnsi="Times New Roman" w:cs="Times New Roman"/>
          <w:sz w:val="24"/>
          <w:szCs w:val="24"/>
        </w:rPr>
        <w:t>, 10 April, http://www.publicfinance.co.uk/opinion/2015/04/council-tax-support-pickles%E2%80%99-muscular-localism-action, accessed 14 August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HM Government (2017), Northern Powerhouse website landing page, http://northernpowerhouse.gov.uk/, accessed 12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HM Treasury (1979), </w:t>
      </w:r>
      <w:r w:rsidRPr="009A4F07">
        <w:rPr>
          <w:rFonts w:ascii="Times New Roman" w:eastAsia="Times New Roman" w:hAnsi="Times New Roman" w:cs="Times New Roman"/>
          <w:i/>
          <w:sz w:val="24"/>
          <w:szCs w:val="24"/>
        </w:rPr>
        <w:t>Needs Assessment Study</w:t>
      </w:r>
      <w:r w:rsidRPr="009A4F07">
        <w:rPr>
          <w:rFonts w:ascii="Times New Roman" w:eastAsia="Times New Roman" w:hAnsi="Times New Roman" w:cs="Times New Roman"/>
          <w:sz w:val="24"/>
          <w:szCs w:val="24"/>
        </w:rPr>
        <w:t xml:space="preserve"> mimeo. London: HMT.</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HM Treasury (2015), </w:t>
      </w:r>
      <w:r w:rsidRPr="009A4F07">
        <w:rPr>
          <w:rFonts w:ascii="Times New Roman" w:eastAsia="Times New Roman" w:hAnsi="Times New Roman" w:cs="Times New Roman"/>
          <w:i/>
          <w:sz w:val="24"/>
          <w:szCs w:val="24"/>
        </w:rPr>
        <w:t xml:space="preserve">Statement of Funding Policy: funding the Scottish Parliament, National Assembly for Wales and Northern Ireland Assembly </w:t>
      </w:r>
      <w:r w:rsidRPr="009A4F07">
        <w:rPr>
          <w:rFonts w:ascii="Times New Roman" w:eastAsia="Times New Roman" w:hAnsi="Times New Roman" w:cs="Times New Roman"/>
          <w:sz w:val="24"/>
          <w:szCs w:val="24"/>
        </w:rPr>
        <w:t>at https://www.gov.uk/government/uploads/system/uploads/attachment_data/file/479717/statement_of_funding_2015_print.pdf</w:t>
      </w:r>
      <w:r w:rsidRPr="009A4F07">
        <w:rPr>
          <w:rFonts w:ascii="Times New Roman" w:eastAsia="Times New Roman" w:hAnsi="Times New Roman" w:cs="Times New Roman"/>
          <w:i/>
          <w:sz w:val="24"/>
          <w:szCs w:val="24"/>
        </w:rPr>
        <w:t xml:space="preserve">, </w:t>
      </w:r>
      <w:r w:rsidRPr="009A4F07">
        <w:rPr>
          <w:rFonts w:ascii="Times New Roman" w:eastAsia="Times New Roman" w:hAnsi="Times New Roman" w:cs="Times New Roman"/>
          <w:sz w:val="24"/>
          <w:szCs w:val="24"/>
        </w:rPr>
        <w:t>accessed 06.04.2017.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Levitt, I. (2014) </w:t>
      </w:r>
      <w:r w:rsidRPr="009A4F07">
        <w:rPr>
          <w:rFonts w:ascii="Times New Roman" w:eastAsia="Times New Roman" w:hAnsi="Times New Roman" w:cs="Times New Roman"/>
          <w:i/>
          <w:sz w:val="24"/>
          <w:szCs w:val="24"/>
        </w:rPr>
        <w:t>Treasury Control and Public Expenditure in Scotland 1885–1979: Records of Social and Economic History: New Series 54</w:t>
      </w:r>
      <w:r w:rsidRPr="009A4F07">
        <w:rPr>
          <w:rFonts w:ascii="Times New Roman" w:eastAsia="Times New Roman" w:hAnsi="Times New Roman" w:cs="Times New Roman"/>
          <w:sz w:val="24"/>
          <w:szCs w:val="24"/>
        </w:rPr>
        <w:t xml:space="preserve">, (Oxford, </w:t>
      </w:r>
      <w:proofErr w:type="gramStart"/>
      <w:r w:rsidRPr="009A4F07">
        <w:rPr>
          <w:rFonts w:ascii="Times New Roman" w:eastAsia="Times New Roman" w:hAnsi="Times New Roman" w:cs="Times New Roman"/>
          <w:sz w:val="24"/>
          <w:szCs w:val="24"/>
        </w:rPr>
        <w:t>The</w:t>
      </w:r>
      <w:proofErr w:type="gramEnd"/>
      <w:r w:rsidRPr="009A4F07">
        <w:rPr>
          <w:rFonts w:ascii="Times New Roman" w:eastAsia="Times New Roman" w:hAnsi="Times New Roman" w:cs="Times New Roman"/>
          <w:sz w:val="24"/>
          <w:szCs w:val="24"/>
        </w:rPr>
        <w:t xml:space="preserve"> British Academy and Oxford University Press).</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McLean, I., ed. (2003), </w:t>
      </w:r>
      <w:proofErr w:type="gramStart"/>
      <w:r w:rsidRPr="009A4F07">
        <w:rPr>
          <w:rFonts w:ascii="Times New Roman" w:eastAsia="Times New Roman" w:hAnsi="Times New Roman" w:cs="Times New Roman"/>
          <w:i/>
          <w:sz w:val="24"/>
          <w:szCs w:val="24"/>
        </w:rPr>
        <w:t>Identifying</w:t>
      </w:r>
      <w:proofErr w:type="gramEnd"/>
      <w:r w:rsidRPr="009A4F07">
        <w:rPr>
          <w:rFonts w:ascii="Times New Roman" w:eastAsia="Times New Roman" w:hAnsi="Times New Roman" w:cs="Times New Roman"/>
          <w:i/>
          <w:sz w:val="24"/>
          <w:szCs w:val="24"/>
        </w:rPr>
        <w:t xml:space="preserve"> the flow of domestic and European expenditure into the English regions. Report of a research project to the Office of the Deputy Prime Minister</w:t>
      </w:r>
      <w:r w:rsidRPr="009A4F07">
        <w:rPr>
          <w:rFonts w:ascii="Times New Roman" w:eastAsia="Times New Roman" w:hAnsi="Times New Roman" w:cs="Times New Roman"/>
          <w:sz w:val="24"/>
          <w:szCs w:val="24"/>
        </w:rPr>
        <w:t>. Oxford: Nuffield College and London: Office of the Deputy Prime Minister, https://www.nuffield.ox.ac.uk/People/sites/McLean/Other%20Papers/Identifying%20the%20flow.pdf, accessed 11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McLean, I. &amp; McMillan, A. (2003),</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The distribution of public expenditure across the UK regions’, </w:t>
      </w:r>
      <w:r w:rsidRPr="009A4F07">
        <w:rPr>
          <w:rFonts w:ascii="Times New Roman" w:eastAsia="Times New Roman" w:hAnsi="Times New Roman" w:cs="Times New Roman"/>
          <w:i/>
          <w:sz w:val="24"/>
          <w:szCs w:val="24"/>
        </w:rPr>
        <w:t xml:space="preserve">Fiscal Studies </w:t>
      </w:r>
      <w:r w:rsidRPr="009A4F07">
        <w:rPr>
          <w:rFonts w:ascii="Times New Roman" w:eastAsia="Times New Roman" w:hAnsi="Times New Roman" w:cs="Times New Roman"/>
          <w:sz w:val="24"/>
          <w:szCs w:val="24"/>
        </w:rPr>
        <w:t>24(1): 45–71.</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McLean, I. (2004),</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Fiscal federalism in Australia’, </w:t>
      </w:r>
      <w:r w:rsidRPr="009A4F07">
        <w:rPr>
          <w:rFonts w:ascii="Times New Roman" w:eastAsia="Times New Roman" w:hAnsi="Times New Roman" w:cs="Times New Roman"/>
          <w:i/>
          <w:sz w:val="24"/>
          <w:szCs w:val="24"/>
        </w:rPr>
        <w:t>Public Administration</w:t>
      </w:r>
      <w:r w:rsidRPr="009A4F07">
        <w:rPr>
          <w:rFonts w:ascii="Times New Roman" w:eastAsia="Times New Roman" w:hAnsi="Times New Roman" w:cs="Times New Roman"/>
          <w:sz w:val="24"/>
          <w:szCs w:val="24"/>
        </w:rPr>
        <w:t xml:space="preserve"> 82: 21–38.</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McLean, I. (2005), </w:t>
      </w:r>
      <w:proofErr w:type="gramStart"/>
      <w:r w:rsidRPr="009A4F07">
        <w:rPr>
          <w:rFonts w:ascii="Times New Roman" w:eastAsia="Times New Roman" w:hAnsi="Times New Roman" w:cs="Times New Roman"/>
          <w:i/>
          <w:sz w:val="24"/>
          <w:szCs w:val="24"/>
        </w:rPr>
        <w:t>The</w:t>
      </w:r>
      <w:proofErr w:type="gramEnd"/>
      <w:r w:rsidRPr="009A4F07">
        <w:rPr>
          <w:rFonts w:ascii="Times New Roman" w:eastAsia="Times New Roman" w:hAnsi="Times New Roman" w:cs="Times New Roman"/>
          <w:i/>
          <w:sz w:val="24"/>
          <w:szCs w:val="24"/>
        </w:rPr>
        <w:t xml:space="preserve"> Fiscal Crisis of the United Kingdom</w:t>
      </w:r>
      <w:r w:rsidRPr="009A4F07">
        <w:rPr>
          <w:rFonts w:ascii="Times New Roman" w:eastAsia="Times New Roman" w:hAnsi="Times New Roman" w:cs="Times New Roman"/>
          <w:sz w:val="24"/>
          <w:szCs w:val="24"/>
        </w:rPr>
        <w:t xml:space="preserve"> (Basingstoke, Palgrave Macmillan).</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McLean, I. (2006), </w:t>
      </w:r>
      <w:r w:rsidRPr="009A4F07">
        <w:rPr>
          <w:rFonts w:ascii="Times New Roman" w:eastAsia="Times New Roman" w:hAnsi="Times New Roman" w:cs="Times New Roman"/>
          <w:i/>
          <w:sz w:val="24"/>
          <w:szCs w:val="24"/>
        </w:rPr>
        <w:t>Adam Smith, radical and egalitarian: an interpretation for the 21</w:t>
      </w:r>
      <w:r w:rsidRPr="009A4F07">
        <w:rPr>
          <w:rFonts w:ascii="Times New Roman" w:eastAsia="Times New Roman" w:hAnsi="Times New Roman" w:cs="Times New Roman"/>
          <w:i/>
          <w:sz w:val="24"/>
          <w:szCs w:val="24"/>
          <w:vertAlign w:val="superscript"/>
        </w:rPr>
        <w:t>st</w:t>
      </w:r>
      <w:r w:rsidRPr="009A4F07">
        <w:rPr>
          <w:rFonts w:ascii="Times New Roman" w:eastAsia="Times New Roman" w:hAnsi="Times New Roman" w:cs="Times New Roman"/>
          <w:i/>
          <w:sz w:val="24"/>
          <w:szCs w:val="24"/>
        </w:rPr>
        <w:t xml:space="preserve"> century</w:t>
      </w:r>
      <w:r w:rsidRPr="009A4F07">
        <w:rPr>
          <w:rFonts w:ascii="Times New Roman" w:eastAsia="Times New Roman" w:hAnsi="Times New Roman" w:cs="Times New Roman"/>
          <w:sz w:val="24"/>
          <w:szCs w:val="24"/>
        </w:rPr>
        <w:t xml:space="preserve"> (Edinburgh, Edinburgh University Press).</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McLean, I., Gallagher, J. &amp; Lodge, G. (2014), </w:t>
      </w:r>
      <w:r w:rsidRPr="009A4F07">
        <w:rPr>
          <w:rFonts w:ascii="Times New Roman" w:eastAsia="Times New Roman" w:hAnsi="Times New Roman" w:cs="Times New Roman"/>
          <w:i/>
          <w:sz w:val="24"/>
          <w:szCs w:val="24"/>
        </w:rPr>
        <w:t>Scotland’s Choices: The Referendum and what happens afterwards</w:t>
      </w:r>
      <w:r w:rsidRPr="009A4F07">
        <w:rPr>
          <w:rFonts w:ascii="Times New Roman" w:eastAsia="Times New Roman" w:hAnsi="Times New Roman" w:cs="Times New Roman"/>
          <w:sz w:val="24"/>
          <w:szCs w:val="24"/>
        </w:rPr>
        <w:t xml:space="preserve"> 2</w:t>
      </w:r>
      <w:r w:rsidRPr="009A4F07">
        <w:rPr>
          <w:rFonts w:ascii="Times New Roman" w:eastAsia="Times New Roman" w:hAnsi="Times New Roman" w:cs="Times New Roman"/>
          <w:sz w:val="24"/>
          <w:szCs w:val="24"/>
          <w:vertAlign w:val="superscript"/>
        </w:rPr>
        <w:t>nd</w:t>
      </w:r>
      <w:r w:rsidRPr="009A4F07">
        <w:rPr>
          <w:rFonts w:ascii="Times New Roman" w:eastAsia="Times New Roman" w:hAnsi="Times New Roman" w:cs="Times New Roman"/>
          <w:sz w:val="24"/>
          <w:szCs w:val="24"/>
        </w:rPr>
        <w:t xml:space="preserve"> </w:t>
      </w:r>
      <w:proofErr w:type="spellStart"/>
      <w:r w:rsidRPr="009A4F07">
        <w:rPr>
          <w:rFonts w:ascii="Times New Roman" w:eastAsia="Times New Roman" w:hAnsi="Times New Roman" w:cs="Times New Roman"/>
          <w:sz w:val="24"/>
          <w:szCs w:val="24"/>
        </w:rPr>
        <w:t>edn</w:t>
      </w:r>
      <w:proofErr w:type="spellEnd"/>
      <w:r w:rsidRPr="009A4F07">
        <w:rPr>
          <w:rFonts w:ascii="Times New Roman" w:eastAsia="Times New Roman" w:hAnsi="Times New Roman" w:cs="Times New Roman"/>
          <w:sz w:val="24"/>
          <w:szCs w:val="24"/>
        </w:rPr>
        <w:t>. (Edinburgh, Edinburgh University Press).</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McLean, I. (2016),</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The No-men of England: The Geordie revolt that defeated the Scotland and Wales Bill in 1977’, </w:t>
      </w:r>
      <w:r w:rsidRPr="009A4F07">
        <w:rPr>
          <w:rFonts w:ascii="Times New Roman" w:eastAsia="Times New Roman" w:hAnsi="Times New Roman" w:cs="Times New Roman"/>
          <w:i/>
          <w:sz w:val="24"/>
          <w:szCs w:val="24"/>
        </w:rPr>
        <w:t>Political Quarterly</w:t>
      </w:r>
      <w:r w:rsidRPr="009A4F07">
        <w:rPr>
          <w:rFonts w:ascii="Times New Roman" w:eastAsia="Times New Roman" w:hAnsi="Times New Roman" w:cs="Times New Roman"/>
          <w:sz w:val="24"/>
          <w:szCs w:val="24"/>
        </w:rPr>
        <w:t xml:space="preserve"> 87: 601–8.</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proofErr w:type="spellStart"/>
      <w:r w:rsidRPr="009A4F07">
        <w:rPr>
          <w:rFonts w:ascii="Times New Roman" w:eastAsia="Times New Roman" w:hAnsi="Times New Roman" w:cs="Times New Roman"/>
          <w:sz w:val="24"/>
          <w:szCs w:val="24"/>
        </w:rPr>
        <w:t>Mandler</w:t>
      </w:r>
      <w:proofErr w:type="spellEnd"/>
      <w:r w:rsidRPr="009A4F07">
        <w:rPr>
          <w:rFonts w:ascii="Times New Roman" w:eastAsia="Times New Roman" w:hAnsi="Times New Roman" w:cs="Times New Roman"/>
          <w:sz w:val="24"/>
          <w:szCs w:val="24"/>
        </w:rPr>
        <w:t>, P. (2004)</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Chadwick, Sir Edwin (1800–1890)’, </w:t>
      </w:r>
      <w:r w:rsidRPr="009A4F07">
        <w:rPr>
          <w:rFonts w:ascii="Times New Roman" w:eastAsia="Times New Roman" w:hAnsi="Times New Roman" w:cs="Times New Roman"/>
          <w:i/>
          <w:sz w:val="24"/>
          <w:szCs w:val="24"/>
        </w:rPr>
        <w:t>Oxford Dictionary of National Biography</w:t>
      </w:r>
      <w:r w:rsidRPr="009A4F07">
        <w:rPr>
          <w:rFonts w:ascii="Times New Roman" w:eastAsia="Times New Roman" w:hAnsi="Times New Roman" w:cs="Times New Roman"/>
          <w:sz w:val="24"/>
          <w:szCs w:val="24"/>
        </w:rPr>
        <w:t xml:space="preserve">, Oxford University Press, online </w:t>
      </w:r>
      <w:proofErr w:type="spellStart"/>
      <w:r w:rsidRPr="009A4F07">
        <w:rPr>
          <w:rFonts w:ascii="Times New Roman" w:eastAsia="Times New Roman" w:hAnsi="Times New Roman" w:cs="Times New Roman"/>
          <w:sz w:val="24"/>
          <w:szCs w:val="24"/>
        </w:rPr>
        <w:t>edn</w:t>
      </w:r>
      <w:proofErr w:type="spellEnd"/>
      <w:r w:rsidRPr="009A4F07">
        <w:rPr>
          <w:rFonts w:ascii="Times New Roman" w:eastAsia="Times New Roman" w:hAnsi="Times New Roman" w:cs="Times New Roman"/>
          <w:sz w:val="24"/>
          <w:szCs w:val="24"/>
        </w:rPr>
        <w:t>, January 2008 [http://www.oxforddnb.com/view/article/5013, accessed 20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Mirrlees, J. (chair) (2011), </w:t>
      </w:r>
      <w:r w:rsidRPr="009A4F07">
        <w:rPr>
          <w:rFonts w:ascii="Times New Roman" w:eastAsia="Times New Roman" w:hAnsi="Times New Roman" w:cs="Times New Roman"/>
          <w:i/>
          <w:sz w:val="24"/>
          <w:szCs w:val="24"/>
        </w:rPr>
        <w:t>Tax by Design: the Mirrlees Review</w:t>
      </w:r>
      <w:r w:rsidRPr="009A4F07">
        <w:rPr>
          <w:rFonts w:ascii="Times New Roman" w:eastAsia="Times New Roman" w:hAnsi="Times New Roman" w:cs="Times New Roman"/>
          <w:sz w:val="24"/>
          <w:szCs w:val="24"/>
        </w:rPr>
        <w:t xml:space="preserve"> (Oxford, Oxford University Press).</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Mitchell, J. (2003), </w:t>
      </w:r>
      <w:r w:rsidRPr="009A4F07">
        <w:rPr>
          <w:rFonts w:ascii="Times New Roman" w:eastAsia="Times New Roman" w:hAnsi="Times New Roman" w:cs="Times New Roman"/>
          <w:i/>
          <w:sz w:val="24"/>
          <w:szCs w:val="24"/>
        </w:rPr>
        <w:t>Governing Scotland: The Invention of Administrative Devolution</w:t>
      </w:r>
      <w:r w:rsidRPr="009A4F07">
        <w:rPr>
          <w:rFonts w:ascii="Times New Roman" w:eastAsia="Times New Roman" w:hAnsi="Times New Roman" w:cs="Times New Roman"/>
          <w:sz w:val="24"/>
          <w:szCs w:val="24"/>
        </w:rPr>
        <w:t xml:space="preserve"> (Basingstoke, MacMillan).</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Mitchell, J. (2006),</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Undignified and inefficient: Financial relations between London and Stormont’, </w:t>
      </w:r>
      <w:r w:rsidRPr="009A4F07">
        <w:rPr>
          <w:rFonts w:ascii="Times New Roman" w:eastAsia="Times New Roman" w:hAnsi="Times New Roman" w:cs="Times New Roman"/>
          <w:i/>
          <w:sz w:val="24"/>
          <w:szCs w:val="24"/>
        </w:rPr>
        <w:t>Contemporary British History</w:t>
      </w:r>
      <w:r w:rsidRPr="009A4F07">
        <w:rPr>
          <w:rFonts w:ascii="Times New Roman" w:eastAsia="Times New Roman" w:hAnsi="Times New Roman" w:cs="Times New Roman"/>
          <w:sz w:val="24"/>
          <w:szCs w:val="24"/>
        </w:rPr>
        <w:t xml:space="preserve"> 20: 57–73.</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Musgrave, R. (1959), </w:t>
      </w:r>
      <w:proofErr w:type="gramStart"/>
      <w:r w:rsidRPr="009A4F07">
        <w:rPr>
          <w:rFonts w:ascii="Times New Roman" w:eastAsia="Times New Roman" w:hAnsi="Times New Roman" w:cs="Times New Roman"/>
          <w:i/>
          <w:sz w:val="24"/>
          <w:szCs w:val="24"/>
        </w:rPr>
        <w:t>The</w:t>
      </w:r>
      <w:proofErr w:type="gramEnd"/>
      <w:r w:rsidRPr="009A4F07">
        <w:rPr>
          <w:rFonts w:ascii="Times New Roman" w:eastAsia="Times New Roman" w:hAnsi="Times New Roman" w:cs="Times New Roman"/>
          <w:i/>
          <w:sz w:val="24"/>
          <w:szCs w:val="24"/>
        </w:rPr>
        <w:t xml:space="preserve"> Theory of Public Finance</w:t>
      </w:r>
      <w:r w:rsidRPr="009A4F07">
        <w:rPr>
          <w:rFonts w:ascii="Times New Roman" w:eastAsia="Times New Roman" w:hAnsi="Times New Roman" w:cs="Times New Roman"/>
          <w:sz w:val="24"/>
          <w:szCs w:val="24"/>
        </w:rPr>
        <w:t xml:space="preserve"> (New York, McGraw-Hill).</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National Infrastructure Commission (2017), </w:t>
      </w:r>
      <w:r w:rsidRPr="009A4F07">
        <w:rPr>
          <w:rFonts w:ascii="Times New Roman" w:eastAsia="Times New Roman" w:hAnsi="Times New Roman" w:cs="Times New Roman"/>
          <w:i/>
          <w:sz w:val="24"/>
          <w:szCs w:val="24"/>
        </w:rPr>
        <w:t xml:space="preserve">Cambridge – Milton Keynes – Oxford Corridor: Interim Report. </w:t>
      </w:r>
      <w:r w:rsidRPr="009A4F07">
        <w:rPr>
          <w:rFonts w:ascii="Times New Roman" w:eastAsia="Times New Roman" w:hAnsi="Times New Roman" w:cs="Times New Roman"/>
          <w:sz w:val="24"/>
          <w:szCs w:val="24"/>
        </w:rPr>
        <w:t>London: NIC, https://www.gov.uk/government/uploads/system/uploads/attachment_data/file/569867/Cambridge-Milton_Keynes-Oxford_interim_report.pdf, accessed 12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Northern Powerhouse (2016), </w:t>
      </w:r>
      <w:r w:rsidRPr="009A4F07">
        <w:rPr>
          <w:rFonts w:ascii="Times New Roman" w:eastAsia="Times New Roman" w:hAnsi="Times New Roman" w:cs="Times New Roman"/>
          <w:i/>
          <w:sz w:val="24"/>
          <w:szCs w:val="24"/>
        </w:rPr>
        <w:t>Northern Powerhouse Strategy</w:t>
      </w:r>
      <w:r w:rsidRPr="009A4F07">
        <w:rPr>
          <w:rFonts w:ascii="Times New Roman" w:eastAsia="Times New Roman" w:hAnsi="Times New Roman" w:cs="Times New Roman"/>
          <w:sz w:val="24"/>
          <w:szCs w:val="24"/>
        </w:rPr>
        <w:t>. London: HM Treasury, https://www.gov.uk/government/uploads/system/uploads/attachment_data/file/571562/NPH_strategy_web.pdf, accessed 12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Oates, W. E. (1999),</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 xml:space="preserve">An Essay on Fiscal Federalism’, </w:t>
      </w:r>
      <w:r w:rsidRPr="009A4F07">
        <w:rPr>
          <w:rFonts w:ascii="Times New Roman" w:eastAsia="Times New Roman" w:hAnsi="Times New Roman" w:cs="Times New Roman"/>
          <w:i/>
          <w:sz w:val="24"/>
          <w:szCs w:val="24"/>
        </w:rPr>
        <w:t>Journal of Economic Literature</w:t>
      </w:r>
      <w:r w:rsidRPr="009A4F07">
        <w:rPr>
          <w:rFonts w:ascii="Times New Roman" w:eastAsia="Times New Roman" w:hAnsi="Times New Roman" w:cs="Times New Roman"/>
          <w:sz w:val="24"/>
          <w:szCs w:val="24"/>
        </w:rPr>
        <w:t xml:space="preserve"> 37: 1120–49.</w:t>
      </w:r>
    </w:p>
    <w:p w:rsidR="00815EE8" w:rsidRPr="009A4F07" w:rsidRDefault="00815EE8" w:rsidP="003159BB">
      <w:pPr>
        <w:autoSpaceDN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OECD [Organisation for Economic Cooperation and Development] (2017), </w:t>
      </w:r>
      <w:r w:rsidRPr="009A4F07">
        <w:rPr>
          <w:rFonts w:ascii="Times New Roman" w:eastAsia="Times New Roman" w:hAnsi="Times New Roman" w:cs="Times New Roman"/>
          <w:i/>
          <w:sz w:val="24"/>
          <w:szCs w:val="24"/>
        </w:rPr>
        <w:t>Fiscal Decentralisation Database</w:t>
      </w:r>
      <w:r w:rsidRPr="009A4F07">
        <w:rPr>
          <w:rFonts w:ascii="Times New Roman" w:eastAsia="Times New Roman" w:hAnsi="Times New Roman" w:cs="Times New Roman"/>
          <w:sz w:val="24"/>
          <w:szCs w:val="24"/>
        </w:rPr>
        <w:t>, http://www.oecd.org/tax/federalism/oecdfiscaldecentralisationdatabase.htm#A_Title, accessed 31 October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Scottish Government (2016), </w:t>
      </w:r>
      <w:r w:rsidRPr="009A4F07">
        <w:rPr>
          <w:rFonts w:ascii="Times New Roman" w:eastAsia="Times New Roman" w:hAnsi="Times New Roman" w:cs="Times New Roman"/>
          <w:i/>
          <w:sz w:val="24"/>
          <w:szCs w:val="24"/>
        </w:rPr>
        <w:t>Government Expenditure &amp; Revenue Scotland 2015–16</w:t>
      </w:r>
      <w:r w:rsidRPr="009A4F07">
        <w:rPr>
          <w:rFonts w:ascii="Times New Roman" w:eastAsia="Times New Roman" w:hAnsi="Times New Roman" w:cs="Times New Roman"/>
          <w:sz w:val="24"/>
          <w:szCs w:val="24"/>
        </w:rPr>
        <w:t>. (Edinburgh, Scottish Government).</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Smith, A. (1776), </w:t>
      </w:r>
      <w:proofErr w:type="gramStart"/>
      <w:r w:rsidRPr="009A4F07">
        <w:rPr>
          <w:rFonts w:ascii="Times New Roman" w:eastAsia="Times New Roman" w:hAnsi="Times New Roman" w:cs="Times New Roman"/>
          <w:i/>
          <w:sz w:val="24"/>
          <w:szCs w:val="24"/>
        </w:rPr>
        <w:t>An</w:t>
      </w:r>
      <w:proofErr w:type="gramEnd"/>
      <w:r w:rsidRPr="009A4F07">
        <w:rPr>
          <w:rFonts w:ascii="Times New Roman" w:eastAsia="Times New Roman" w:hAnsi="Times New Roman" w:cs="Times New Roman"/>
          <w:i/>
          <w:sz w:val="24"/>
          <w:szCs w:val="24"/>
        </w:rPr>
        <w:t xml:space="preserve"> Inquiry into the Nature and Causes of the Wealth of Nations</w:t>
      </w:r>
      <w:r w:rsidRPr="009A4F07">
        <w:rPr>
          <w:rFonts w:ascii="Times New Roman" w:eastAsia="Times New Roman" w:hAnsi="Times New Roman" w:cs="Times New Roman"/>
          <w:sz w:val="24"/>
          <w:szCs w:val="24"/>
        </w:rPr>
        <w:t>. London: William Strahan. Cited from the Library of Economics and Liberty on-line edition at http://www.econlib.org/library/Smith/smWN21.html#B.V, Ch.2, Of the Sources of the General or Public Revenue of the Society, accessed 20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UK Statistics Authority (2009), </w:t>
      </w:r>
      <w:r w:rsidRPr="009A4F07">
        <w:rPr>
          <w:rFonts w:ascii="Times New Roman" w:eastAsia="Times New Roman" w:hAnsi="Times New Roman" w:cs="Times New Roman"/>
          <w:i/>
          <w:sz w:val="24"/>
          <w:szCs w:val="24"/>
        </w:rPr>
        <w:t>Code of Practice for Official Statistics</w:t>
      </w:r>
      <w:r w:rsidRPr="009A4F07">
        <w:rPr>
          <w:rFonts w:ascii="Times New Roman" w:eastAsia="Times New Roman" w:hAnsi="Times New Roman" w:cs="Times New Roman"/>
          <w:sz w:val="24"/>
          <w:szCs w:val="24"/>
        </w:rPr>
        <w:t>. London: UKSA. Available at https://www.statisticsauthority.gov.uk/wp-content/uploads/2012/11/images-codeofpracticeforofficialstatisticsjanuary2009_tcm97-25306.pdf, accessed 11 April 2017.</w:t>
      </w:r>
    </w:p>
    <w:p w:rsidR="00815EE8" w:rsidRPr="009A4F07" w:rsidRDefault="00815EE8" w:rsidP="003159BB">
      <w:pPr>
        <w:widowControl w:val="0"/>
        <w:autoSpaceDE w:val="0"/>
        <w:autoSpaceDN w:val="0"/>
        <w:adjustRightInd w:val="0"/>
        <w:ind w:left="567" w:hanging="567"/>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Welsh Government (2017),</w:t>
      </w:r>
      <w:r w:rsidR="003159BB" w:rsidRPr="009A4F07">
        <w:rPr>
          <w:rFonts w:ascii="Times New Roman" w:eastAsia="Times New Roman" w:hAnsi="Times New Roman" w:cs="Times New Roman"/>
          <w:sz w:val="24"/>
          <w:szCs w:val="24"/>
        </w:rPr>
        <w:t xml:space="preserve"> ‘</w:t>
      </w:r>
      <w:r w:rsidRPr="009A4F07">
        <w:rPr>
          <w:rFonts w:ascii="Times New Roman" w:eastAsia="Times New Roman" w:hAnsi="Times New Roman" w:cs="Times New Roman"/>
          <w:sz w:val="24"/>
          <w:szCs w:val="24"/>
        </w:rPr>
        <w:t>Written Statement – Reforming the Finance System for Local Government’, http://gov.wales/about/cabinet/cabinetstatements/2017/financelgreform/?lang=en, accessed 20 April 2017.</w:t>
      </w:r>
      <w:r w:rsidRPr="009A4F07">
        <w:rPr>
          <w:rFonts w:ascii="Times New Roman" w:eastAsia="Times New Roman" w:hAnsi="Times New Roman" w:cs="Times New Roman"/>
          <w:sz w:val="24"/>
          <w:szCs w:val="24"/>
        </w:rPr>
        <w:br w:type="page"/>
      </w:r>
    </w:p>
    <w:p w:rsidR="00815EE8" w:rsidRPr="009A4F07" w:rsidRDefault="00815EE8" w:rsidP="007C1825">
      <w:pPr>
        <w:pStyle w:val="Heading2"/>
        <w:rPr>
          <w:rFonts w:eastAsia="Times New Roman" w:cs="Times New Roman"/>
          <w:lang w:eastAsia="en-GB"/>
        </w:rPr>
      </w:pPr>
      <w:r w:rsidRPr="009A4F07">
        <w:rPr>
          <w:rFonts w:eastAsia="Times New Roman" w:cs="Times New Roman"/>
        </w:rPr>
        <w:t xml:space="preserve">Table 11.1: </w:t>
      </w:r>
      <w:r w:rsidRPr="009A4F07">
        <w:rPr>
          <w:rFonts w:eastAsia="Times New Roman" w:cs="Times New Roman"/>
          <w:lang w:eastAsia="en-GB"/>
        </w:rPr>
        <w:t>Public expenditure per head and GVA per head, regions of the UK, 2015</w:t>
      </w:r>
    </w:p>
    <w:tbl>
      <w:tblPr>
        <w:tblW w:w="8749" w:type="dxa"/>
        <w:tblLook w:val="04A0" w:firstRow="1" w:lastRow="0" w:firstColumn="1" w:lastColumn="0" w:noHBand="0" w:noVBand="1"/>
      </w:tblPr>
      <w:tblGrid>
        <w:gridCol w:w="1898"/>
        <w:gridCol w:w="1120"/>
        <w:gridCol w:w="960"/>
        <w:gridCol w:w="1240"/>
        <w:gridCol w:w="1240"/>
        <w:gridCol w:w="960"/>
        <w:gridCol w:w="1109"/>
        <w:gridCol w:w="222"/>
      </w:tblGrid>
      <w:tr w:rsidR="00815EE8" w:rsidRPr="009A4F07" w:rsidTr="00815EE8">
        <w:trPr>
          <w:gridAfter w:val="1"/>
          <w:wAfter w:w="222" w:type="dxa"/>
          <w:trHeight w:val="1785"/>
        </w:trPr>
        <w:tc>
          <w:tcPr>
            <w:tcW w:w="1898" w:type="dxa"/>
            <w:vAlign w:val="bottom"/>
            <w:hideMark/>
          </w:tcPr>
          <w:p w:rsidR="00815EE8" w:rsidRPr="009A4F07" w:rsidRDefault="00815EE8" w:rsidP="00815EE8">
            <w:pPr>
              <w:spacing w:after="160" w:line="256" w:lineRule="auto"/>
              <w:rPr>
                <w:rFonts w:ascii="Times New Roman" w:eastAsia="Calibri" w:hAnsi="Times New Roman" w:cs="Times New Roman"/>
              </w:rPr>
            </w:pPr>
            <w:r w:rsidRPr="009A4F07">
              <w:rPr>
                <w:rFonts w:ascii="Times New Roman" w:eastAsia="Times New Roman" w:hAnsi="Times New Roman" w:cs="Times New Roman"/>
                <w:sz w:val="20"/>
                <w:szCs w:val="20"/>
              </w:rPr>
              <w:br w:type="page"/>
            </w:r>
          </w:p>
        </w:tc>
        <w:tc>
          <w:tcPr>
            <w:tcW w:w="1120" w:type="dxa"/>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Pub </w:t>
            </w:r>
            <w:proofErr w:type="spellStart"/>
            <w:r w:rsidRPr="009A4F07">
              <w:rPr>
                <w:rFonts w:ascii="Times New Roman" w:eastAsia="Times New Roman" w:hAnsi="Times New Roman" w:cs="Times New Roman"/>
                <w:color w:val="000000"/>
                <w:lang w:eastAsia="en-GB"/>
              </w:rPr>
              <w:t>exp</w:t>
            </w:r>
            <w:proofErr w:type="spellEnd"/>
            <w:r w:rsidRPr="009A4F07">
              <w:rPr>
                <w:rFonts w:ascii="Times New Roman" w:eastAsia="Times New Roman" w:hAnsi="Times New Roman" w:cs="Times New Roman"/>
                <w:color w:val="000000"/>
                <w:lang w:eastAsia="en-GB"/>
              </w:rPr>
              <w:t>/head 2014–15, £</w:t>
            </w:r>
          </w:p>
        </w:tc>
        <w:tc>
          <w:tcPr>
            <w:tcW w:w="960" w:type="dxa"/>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Index</w:t>
            </w:r>
          </w:p>
        </w:tc>
        <w:tc>
          <w:tcPr>
            <w:tcW w:w="1240" w:type="dxa"/>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GVA/head (income approach), 2015, £</w:t>
            </w:r>
          </w:p>
        </w:tc>
        <w:tc>
          <w:tcPr>
            <w:tcW w:w="1240" w:type="dxa"/>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index</w:t>
            </w:r>
          </w:p>
        </w:tc>
        <w:tc>
          <w:tcPr>
            <w:tcW w:w="960" w:type="dxa"/>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Pub </w:t>
            </w:r>
            <w:proofErr w:type="spellStart"/>
            <w:r w:rsidRPr="009A4F07">
              <w:rPr>
                <w:rFonts w:ascii="Times New Roman" w:eastAsia="Times New Roman" w:hAnsi="Times New Roman" w:cs="Times New Roman"/>
                <w:color w:val="000000"/>
                <w:lang w:eastAsia="en-GB"/>
              </w:rPr>
              <w:t>exp</w:t>
            </w:r>
            <w:proofErr w:type="spellEnd"/>
            <w:r w:rsidRPr="009A4F07">
              <w:rPr>
                <w:rFonts w:ascii="Times New Roman" w:eastAsia="Times New Roman" w:hAnsi="Times New Roman" w:cs="Times New Roman"/>
                <w:color w:val="000000"/>
                <w:lang w:eastAsia="en-GB"/>
              </w:rPr>
              <w:t xml:space="preserve"> as % of GVA</w:t>
            </w:r>
          </w:p>
        </w:tc>
        <w:tc>
          <w:tcPr>
            <w:tcW w:w="1109" w:type="dxa"/>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Chadwick index</w:t>
            </w:r>
          </w:p>
        </w:tc>
      </w:tr>
      <w:tr w:rsidR="00815EE8" w:rsidRPr="009A4F07" w:rsidTr="00815EE8">
        <w:trPr>
          <w:gridAfter w:val="1"/>
          <w:wAfter w:w="222" w:type="dxa"/>
          <w:trHeight w:val="300"/>
        </w:trPr>
        <w:tc>
          <w:tcPr>
            <w:tcW w:w="1898" w:type="dxa"/>
            <w:noWrap/>
            <w:vAlign w:val="center"/>
            <w:hideMark/>
          </w:tcPr>
          <w:p w:rsidR="00815EE8" w:rsidRPr="009A4F07" w:rsidRDefault="007375D5"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N</w:t>
            </w:r>
            <w:r w:rsidR="00815EE8" w:rsidRPr="009A4F07">
              <w:rPr>
                <w:rFonts w:ascii="Times New Roman" w:eastAsia="Times New Roman" w:hAnsi="Times New Roman" w:cs="Times New Roman"/>
                <w:sz w:val="16"/>
                <w:szCs w:val="16"/>
                <w:lang w:eastAsia="en-GB"/>
              </w:rPr>
              <w:t>orth East</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9,347</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105</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18,927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74.7</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49.38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78.44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North West</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9,197</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103</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21,867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86.3</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42.06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88.89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Yorkshire and the Humber</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8,660</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97</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20,351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80.3</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42.55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77.89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East Midlands</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8,159</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92</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20,929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82.6</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38.98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75.99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West Midlands</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8,683</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97</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20,826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82.1</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41.69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79.64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East</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7,881</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88</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23,970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94.6</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32.88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83.25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London</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9,840</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110</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43,629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172.1</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22.55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189.31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South East</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7,756</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87</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27,847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109.8</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27.85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95.53 </w:t>
            </w:r>
          </w:p>
        </w:tc>
      </w:tr>
      <w:tr w:rsidR="00815EE8" w:rsidRPr="009A4F07" w:rsidTr="00815EE8">
        <w:trPr>
          <w:gridAfter w:val="1"/>
          <w:wAfter w:w="222" w:type="dxa"/>
          <w:trHeight w:val="300"/>
        </w:trPr>
        <w:tc>
          <w:tcPr>
            <w:tcW w:w="1898" w:type="dxa"/>
            <w:tcBorders>
              <w:top w:val="nil"/>
              <w:left w:val="nil"/>
              <w:bottom w:val="single" w:sz="4" w:space="0" w:color="0066CC"/>
              <w:right w:val="nil"/>
            </w:tcBorders>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South West</w:t>
            </w:r>
          </w:p>
        </w:tc>
        <w:tc>
          <w:tcPr>
            <w:tcW w:w="1120" w:type="dxa"/>
            <w:tcBorders>
              <w:top w:val="nil"/>
              <w:left w:val="nil"/>
              <w:bottom w:val="single" w:sz="4" w:space="0" w:color="0066CC"/>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8,295</w:t>
            </w:r>
          </w:p>
        </w:tc>
        <w:tc>
          <w:tcPr>
            <w:tcW w:w="960" w:type="dxa"/>
            <w:tcBorders>
              <w:top w:val="nil"/>
              <w:left w:val="nil"/>
              <w:bottom w:val="single" w:sz="4" w:space="0" w:color="0066CC"/>
              <w:right w:val="nil"/>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93</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23,031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90.8</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36.02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84.44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England</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8,638</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97</w:t>
            </w:r>
          </w:p>
        </w:tc>
        <w:tc>
          <w:tcPr>
            <w:tcW w:w="1240" w:type="dxa"/>
            <w:shd w:val="clear" w:color="auto" w:fill="9BC2E6"/>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26,159 </w:t>
            </w:r>
          </w:p>
        </w:tc>
        <w:tc>
          <w:tcPr>
            <w:tcW w:w="1240" w:type="dxa"/>
            <w:shd w:val="clear" w:color="auto" w:fill="9BC2E6"/>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103.2</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33.02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100.10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Scotland</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10,374</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116</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23,685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93.4</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43.80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108.34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Wales</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9,904</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111</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18,002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71.0</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55.02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78.81 </w:t>
            </w: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Northern Ireland</w:t>
            </w:r>
          </w:p>
        </w:tc>
        <w:tc>
          <w:tcPr>
            <w:tcW w:w="1120" w:type="dxa"/>
            <w:tcBorders>
              <w:top w:val="nil"/>
              <w:left w:val="nil"/>
              <w:bottom w:val="nil"/>
              <w:right w:val="single" w:sz="8" w:space="0" w:color="0066CC"/>
            </w:tcBorders>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11,106</w:t>
            </w:r>
          </w:p>
        </w:tc>
        <w:tc>
          <w:tcPr>
            <w:tcW w:w="960" w:type="dxa"/>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125</w:t>
            </w:r>
          </w:p>
        </w:tc>
        <w:tc>
          <w:tcPr>
            <w:tcW w:w="1240" w:type="dxa"/>
            <w:shd w:val="clear" w:color="auto" w:fill="BDD7EE"/>
            <w:noWrap/>
            <w:vAlign w:val="center"/>
            <w:hideMark/>
          </w:tcPr>
          <w:p w:rsidR="00815EE8" w:rsidRPr="009A4F07" w:rsidRDefault="00815EE8" w:rsidP="00815EE8">
            <w:pPr>
              <w:autoSpaceDN w:val="0"/>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 xml:space="preserve"> 18,584 </w:t>
            </w:r>
          </w:p>
        </w:tc>
        <w:tc>
          <w:tcPr>
            <w:tcW w:w="1240" w:type="dxa"/>
            <w:shd w:val="clear" w:color="auto" w:fill="BDD7EE"/>
            <w:noWrap/>
            <w:vAlign w:val="center"/>
            <w:hideMark/>
          </w:tcPr>
          <w:p w:rsidR="00815EE8" w:rsidRPr="009A4F07" w:rsidRDefault="00815EE8" w:rsidP="00815EE8">
            <w:pPr>
              <w:autoSpaceDN w:val="0"/>
              <w:jc w:val="right"/>
              <w:rPr>
                <w:rFonts w:ascii="Times New Roman" w:eastAsia="Times New Roman" w:hAnsi="Times New Roman" w:cs="Times New Roman"/>
                <w:color w:val="000000"/>
                <w:sz w:val="20"/>
                <w:szCs w:val="20"/>
                <w:lang w:eastAsia="en-GB"/>
              </w:rPr>
            </w:pPr>
            <w:r w:rsidRPr="009A4F07">
              <w:rPr>
                <w:rFonts w:ascii="Times New Roman" w:eastAsia="Times New Roman" w:hAnsi="Times New Roman" w:cs="Times New Roman"/>
                <w:color w:val="000000"/>
                <w:sz w:val="20"/>
                <w:szCs w:val="20"/>
                <w:lang w:eastAsia="en-GB"/>
              </w:rPr>
              <w:t>73.3</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59.76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91.63 </w:t>
            </w:r>
          </w:p>
        </w:tc>
      </w:tr>
      <w:tr w:rsidR="00815EE8" w:rsidRPr="009A4F07" w:rsidTr="00815EE8">
        <w:trPr>
          <w:gridAfter w:val="1"/>
          <w:wAfter w:w="222" w:type="dxa"/>
          <w:trHeight w:val="315"/>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UK</w:t>
            </w:r>
          </w:p>
        </w:tc>
        <w:tc>
          <w:tcPr>
            <w:tcW w:w="1120" w:type="dxa"/>
            <w:tcBorders>
              <w:top w:val="nil"/>
              <w:left w:val="nil"/>
              <w:bottom w:val="single" w:sz="8" w:space="0" w:color="0066CC"/>
              <w:right w:val="single" w:sz="8" w:space="0" w:color="0066CC"/>
            </w:tcBorders>
            <w:shd w:val="clear" w:color="auto" w:fill="CCCCFF"/>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8,913</w:t>
            </w:r>
          </w:p>
        </w:tc>
        <w:tc>
          <w:tcPr>
            <w:tcW w:w="960" w:type="dxa"/>
            <w:tcBorders>
              <w:top w:val="nil"/>
              <w:left w:val="nil"/>
              <w:bottom w:val="single" w:sz="8" w:space="0" w:color="0066CC"/>
              <w:right w:val="nil"/>
            </w:tcBorders>
            <w:shd w:val="clear" w:color="auto" w:fill="CCCCFF"/>
            <w:noWrap/>
            <w:vAlign w:val="center"/>
            <w:hideMark/>
          </w:tcPr>
          <w:p w:rsidR="00815EE8" w:rsidRPr="009A4F07" w:rsidRDefault="00815EE8" w:rsidP="00815EE8">
            <w:pPr>
              <w:autoSpaceDN w:val="0"/>
              <w:jc w:val="right"/>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100</w:t>
            </w:r>
          </w:p>
        </w:tc>
        <w:tc>
          <w:tcPr>
            <w:tcW w:w="1240" w:type="dxa"/>
            <w:shd w:val="clear" w:color="auto" w:fill="5B9BD5"/>
            <w:noWrap/>
            <w:vAlign w:val="center"/>
            <w:hideMark/>
          </w:tcPr>
          <w:p w:rsidR="00815EE8" w:rsidRPr="009A4F07" w:rsidRDefault="00815EE8" w:rsidP="00815EE8">
            <w:pPr>
              <w:autoSpaceDN w:val="0"/>
              <w:rPr>
                <w:rFonts w:ascii="Times New Roman" w:eastAsia="Times New Roman" w:hAnsi="Times New Roman" w:cs="Times New Roman"/>
                <w:sz w:val="20"/>
                <w:szCs w:val="20"/>
                <w:lang w:eastAsia="en-GB"/>
              </w:rPr>
            </w:pPr>
            <w:r w:rsidRPr="009A4F07">
              <w:rPr>
                <w:rFonts w:ascii="Times New Roman" w:eastAsia="Times New Roman" w:hAnsi="Times New Roman" w:cs="Times New Roman"/>
                <w:sz w:val="20"/>
                <w:szCs w:val="20"/>
                <w:lang w:eastAsia="en-GB"/>
              </w:rPr>
              <w:t xml:space="preserve"> 25,601 </w:t>
            </w:r>
          </w:p>
        </w:tc>
        <w:tc>
          <w:tcPr>
            <w:tcW w:w="1240" w:type="dxa"/>
            <w:shd w:val="clear" w:color="auto" w:fill="5B9BD5"/>
            <w:noWrap/>
            <w:vAlign w:val="center"/>
            <w:hideMark/>
          </w:tcPr>
          <w:p w:rsidR="00815EE8" w:rsidRPr="009A4F07" w:rsidRDefault="00815EE8" w:rsidP="00815EE8">
            <w:pPr>
              <w:autoSpaceDN w:val="0"/>
              <w:jc w:val="right"/>
              <w:rPr>
                <w:rFonts w:ascii="Times New Roman" w:eastAsia="Times New Roman" w:hAnsi="Times New Roman" w:cs="Times New Roman"/>
                <w:sz w:val="20"/>
                <w:szCs w:val="20"/>
                <w:lang w:eastAsia="en-GB"/>
              </w:rPr>
            </w:pPr>
            <w:r w:rsidRPr="009A4F07">
              <w:rPr>
                <w:rFonts w:ascii="Times New Roman" w:eastAsia="Times New Roman" w:hAnsi="Times New Roman" w:cs="Times New Roman"/>
                <w:sz w:val="20"/>
                <w:szCs w:val="20"/>
                <w:lang w:eastAsia="en-GB"/>
              </w:rPr>
              <w:t>100.0</w:t>
            </w:r>
          </w:p>
        </w:tc>
        <w:tc>
          <w:tcPr>
            <w:tcW w:w="960"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34.82 </w:t>
            </w:r>
          </w:p>
        </w:tc>
        <w:tc>
          <w:tcPr>
            <w:tcW w:w="1109" w:type="dxa"/>
            <w:noWrap/>
            <w:vAlign w:val="bottom"/>
            <w:hideMark/>
          </w:tcPr>
          <w:p w:rsidR="00815EE8" w:rsidRPr="009A4F07" w:rsidRDefault="00815EE8" w:rsidP="00815EE8">
            <w:pPr>
              <w:autoSpaceDN w:val="0"/>
              <w:rPr>
                <w:rFonts w:ascii="Times New Roman" w:eastAsia="Times New Roman" w:hAnsi="Times New Roman" w:cs="Times New Roman"/>
                <w:color w:val="000000"/>
                <w:lang w:eastAsia="en-GB"/>
              </w:rPr>
            </w:pPr>
            <w:r w:rsidRPr="009A4F07">
              <w:rPr>
                <w:rFonts w:ascii="Times New Roman" w:eastAsia="Times New Roman" w:hAnsi="Times New Roman" w:cs="Times New Roman"/>
                <w:color w:val="000000"/>
                <w:lang w:eastAsia="en-GB"/>
              </w:rPr>
              <w:t xml:space="preserve"> 100.00 </w:t>
            </w:r>
          </w:p>
        </w:tc>
      </w:tr>
      <w:tr w:rsidR="00815EE8" w:rsidRPr="009A4F07" w:rsidTr="00815EE8">
        <w:trPr>
          <w:gridAfter w:val="1"/>
          <w:wAfter w:w="222" w:type="dxa"/>
          <w:trHeight w:val="300"/>
        </w:trPr>
        <w:tc>
          <w:tcPr>
            <w:tcW w:w="1898"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12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96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24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24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96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109"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r>
      <w:tr w:rsidR="00815EE8" w:rsidRPr="009A4F07" w:rsidTr="00815EE8">
        <w:trPr>
          <w:gridAfter w:val="1"/>
          <w:wAfter w:w="222" w:type="dxa"/>
          <w:trHeight w:val="300"/>
        </w:trPr>
        <w:tc>
          <w:tcPr>
            <w:tcW w:w="1898" w:type="dxa"/>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Sources:</w:t>
            </w:r>
          </w:p>
        </w:tc>
        <w:tc>
          <w:tcPr>
            <w:tcW w:w="112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96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24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24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96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109"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r>
      <w:tr w:rsidR="00815EE8" w:rsidRPr="009A4F07" w:rsidTr="00815EE8">
        <w:trPr>
          <w:gridAfter w:val="1"/>
          <w:wAfter w:w="222" w:type="dxa"/>
          <w:trHeight w:val="300"/>
        </w:trPr>
        <w:tc>
          <w:tcPr>
            <w:tcW w:w="6458" w:type="dxa"/>
            <w:gridSpan w:val="5"/>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Columns 1&amp;2, HM Treasury, Public Expenditure Statistical Analyses 2016, Table 9.2</w:t>
            </w:r>
          </w:p>
        </w:tc>
        <w:tc>
          <w:tcPr>
            <w:tcW w:w="96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109"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r>
      <w:tr w:rsidR="00815EE8" w:rsidRPr="009A4F07" w:rsidTr="00815EE8">
        <w:trPr>
          <w:trHeight w:val="300"/>
        </w:trPr>
        <w:tc>
          <w:tcPr>
            <w:tcW w:w="8749" w:type="dxa"/>
            <w:gridSpan w:val="8"/>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Columns 3 &amp; 4. Office for National Statistics: Regional Gross GVA (Income Approach) , Tables 2 and 3</w:t>
            </w:r>
          </w:p>
        </w:tc>
      </w:tr>
      <w:tr w:rsidR="00815EE8" w:rsidRPr="009A4F07" w:rsidTr="00815EE8">
        <w:trPr>
          <w:trHeight w:val="300"/>
        </w:trPr>
        <w:tc>
          <w:tcPr>
            <w:tcW w:w="3978" w:type="dxa"/>
            <w:gridSpan w:val="3"/>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Subsequent columns: author's calculations</w:t>
            </w:r>
          </w:p>
        </w:tc>
        <w:tc>
          <w:tcPr>
            <w:tcW w:w="124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24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96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109"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222" w:type="dxa"/>
            <w:vAlign w:val="center"/>
            <w:hideMark/>
          </w:tcPr>
          <w:p w:rsidR="00815EE8" w:rsidRPr="009A4F07" w:rsidRDefault="00815EE8" w:rsidP="00815EE8">
            <w:pPr>
              <w:spacing w:after="0" w:line="256" w:lineRule="auto"/>
              <w:rPr>
                <w:rFonts w:ascii="Times New Roman" w:eastAsia="Calibri" w:hAnsi="Times New Roman" w:cs="Times New Roman"/>
              </w:rPr>
            </w:pPr>
          </w:p>
        </w:tc>
      </w:tr>
      <w:tr w:rsidR="00815EE8" w:rsidRPr="009A4F07" w:rsidTr="00815EE8">
        <w:trPr>
          <w:trHeight w:val="300"/>
        </w:trPr>
        <w:tc>
          <w:tcPr>
            <w:tcW w:w="3018" w:type="dxa"/>
            <w:gridSpan w:val="2"/>
            <w:noWrap/>
            <w:vAlign w:val="center"/>
            <w:hideMark/>
          </w:tcPr>
          <w:p w:rsidR="00815EE8" w:rsidRPr="009A4F07" w:rsidRDefault="00815EE8" w:rsidP="00815EE8">
            <w:pPr>
              <w:autoSpaceDN w:val="0"/>
              <w:rPr>
                <w:rFonts w:ascii="Times New Roman" w:eastAsia="Times New Roman" w:hAnsi="Times New Roman" w:cs="Times New Roman"/>
                <w:sz w:val="16"/>
                <w:szCs w:val="16"/>
                <w:lang w:eastAsia="en-GB"/>
              </w:rPr>
            </w:pPr>
            <w:r w:rsidRPr="009A4F07">
              <w:rPr>
                <w:rFonts w:ascii="Times New Roman" w:eastAsia="Times New Roman" w:hAnsi="Times New Roman" w:cs="Times New Roman"/>
                <w:sz w:val="16"/>
                <w:szCs w:val="16"/>
                <w:lang w:eastAsia="en-GB"/>
              </w:rPr>
              <w:t>All official data are National Statistics</w:t>
            </w:r>
          </w:p>
        </w:tc>
        <w:tc>
          <w:tcPr>
            <w:tcW w:w="96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24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24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960"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1109" w:type="dxa"/>
            <w:noWrap/>
            <w:vAlign w:val="bottom"/>
            <w:hideMark/>
          </w:tcPr>
          <w:p w:rsidR="00815EE8" w:rsidRPr="009A4F07" w:rsidRDefault="00815EE8" w:rsidP="00815EE8">
            <w:pPr>
              <w:spacing w:after="0" w:line="256" w:lineRule="auto"/>
              <w:rPr>
                <w:rFonts w:ascii="Times New Roman" w:eastAsia="Calibri" w:hAnsi="Times New Roman" w:cs="Times New Roman"/>
              </w:rPr>
            </w:pPr>
          </w:p>
        </w:tc>
        <w:tc>
          <w:tcPr>
            <w:tcW w:w="222" w:type="dxa"/>
            <w:vAlign w:val="center"/>
            <w:hideMark/>
          </w:tcPr>
          <w:p w:rsidR="00815EE8" w:rsidRPr="009A4F07" w:rsidRDefault="00815EE8" w:rsidP="00815EE8">
            <w:pPr>
              <w:spacing w:after="0" w:line="256" w:lineRule="auto"/>
              <w:rPr>
                <w:rFonts w:ascii="Times New Roman" w:eastAsia="Calibri" w:hAnsi="Times New Roman" w:cs="Times New Roman"/>
              </w:rPr>
            </w:pPr>
          </w:p>
        </w:tc>
      </w:tr>
    </w:tbl>
    <w:p w:rsidR="00815EE8" w:rsidRPr="009A4F07" w:rsidRDefault="00815EE8" w:rsidP="00815EE8">
      <w:pPr>
        <w:widowControl w:val="0"/>
        <w:autoSpaceDE w:val="0"/>
        <w:autoSpaceDN w:val="0"/>
        <w:adjustRightInd w:val="0"/>
        <w:rPr>
          <w:rFonts w:ascii="Times New Roman" w:eastAsia="Times New Roman" w:hAnsi="Times New Roman" w:cs="Times New Roman"/>
          <w:sz w:val="20"/>
          <w:szCs w:val="20"/>
        </w:rPr>
      </w:pPr>
    </w:p>
    <w:p w:rsidR="00436B1D" w:rsidRPr="009A4F07" w:rsidRDefault="00436B1D" w:rsidP="00815EE8">
      <w:pPr>
        <w:rPr>
          <w:rFonts w:ascii="Times New Roman" w:eastAsia="Times New Roman" w:hAnsi="Times New Roman" w:cs="Times New Roman"/>
          <w:sz w:val="24"/>
          <w:szCs w:val="24"/>
          <w:u w:val="single"/>
        </w:rPr>
      </w:pPr>
    </w:p>
    <w:sectPr w:rsidR="00436B1D" w:rsidRPr="009A4F07" w:rsidSect="00B80990">
      <w:headerReference w:type="default" r:id="rId8"/>
      <w:footerReference w:type="default" r:id="rId9"/>
      <w:pgSz w:w="11906" w:h="16838"/>
      <w:pgMar w:top="1440" w:right="1440" w:bottom="1440" w:left="1440" w:header="708" w:footer="708" w:gutter="0"/>
      <w:pgNumType w:start="2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525" w:rsidRDefault="00A92525" w:rsidP="00A92525">
      <w:pPr>
        <w:spacing w:after="0" w:line="240" w:lineRule="auto"/>
      </w:pPr>
      <w:r>
        <w:separator/>
      </w:r>
    </w:p>
  </w:endnote>
  <w:endnote w:type="continuationSeparator" w:id="0">
    <w:p w:rsidR="00A92525" w:rsidRDefault="00A92525" w:rsidP="00A9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906591"/>
      <w:docPartObj>
        <w:docPartGallery w:val="Page Numbers (Bottom of Page)"/>
        <w:docPartUnique/>
      </w:docPartObj>
    </w:sdtPr>
    <w:sdtEndPr>
      <w:rPr>
        <w:noProof/>
      </w:rPr>
    </w:sdtEndPr>
    <w:sdtContent>
      <w:p w:rsidR="001507F7" w:rsidRDefault="001507F7">
        <w:pPr>
          <w:pStyle w:val="Footer"/>
          <w:jc w:val="center"/>
        </w:pPr>
        <w:r w:rsidRPr="001507F7">
          <w:rPr>
            <w:rFonts w:ascii="Times New Roman" w:hAnsi="Times New Roman" w:cs="Times New Roman"/>
            <w:sz w:val="20"/>
            <w:szCs w:val="20"/>
          </w:rPr>
          <w:fldChar w:fldCharType="begin"/>
        </w:r>
        <w:r w:rsidRPr="001507F7">
          <w:rPr>
            <w:rFonts w:ascii="Times New Roman" w:hAnsi="Times New Roman" w:cs="Times New Roman"/>
            <w:sz w:val="20"/>
            <w:szCs w:val="20"/>
          </w:rPr>
          <w:instrText xml:space="preserve"> PAGE   \* MERGEFORMAT </w:instrText>
        </w:r>
        <w:r w:rsidRPr="001507F7">
          <w:rPr>
            <w:rFonts w:ascii="Times New Roman" w:hAnsi="Times New Roman" w:cs="Times New Roman"/>
            <w:sz w:val="20"/>
            <w:szCs w:val="20"/>
          </w:rPr>
          <w:fldChar w:fldCharType="separate"/>
        </w:r>
        <w:r w:rsidR="00D84F12">
          <w:rPr>
            <w:rFonts w:ascii="Times New Roman" w:hAnsi="Times New Roman" w:cs="Times New Roman"/>
            <w:noProof/>
            <w:sz w:val="20"/>
            <w:szCs w:val="20"/>
          </w:rPr>
          <w:t>256</w:t>
        </w:r>
        <w:r w:rsidRPr="001507F7">
          <w:rPr>
            <w:rFonts w:ascii="Times New Roman" w:hAnsi="Times New Roman" w:cs="Times New Roman"/>
            <w:noProof/>
            <w:sz w:val="20"/>
            <w:szCs w:val="20"/>
          </w:rPr>
          <w:fldChar w:fldCharType="end"/>
        </w:r>
      </w:p>
    </w:sdtContent>
  </w:sdt>
  <w:p w:rsidR="001507F7" w:rsidRDefault="00150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525" w:rsidRDefault="00A92525" w:rsidP="00A92525">
      <w:pPr>
        <w:spacing w:after="0" w:line="240" w:lineRule="auto"/>
      </w:pPr>
      <w:r>
        <w:separator/>
      </w:r>
    </w:p>
  </w:footnote>
  <w:footnote w:type="continuationSeparator" w:id="0">
    <w:p w:rsidR="00A92525" w:rsidRDefault="00A92525" w:rsidP="00A92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7F7" w:rsidRPr="001507F7" w:rsidRDefault="001507F7" w:rsidP="001507F7">
    <w:pPr>
      <w:pStyle w:val="Header"/>
      <w:jc w:val="center"/>
      <w:rPr>
        <w:rFonts w:ascii="Times New Roman" w:hAnsi="Times New Roman" w:cs="Times New Roman"/>
        <w:i/>
        <w:sz w:val="20"/>
      </w:rPr>
    </w:pPr>
    <w:r w:rsidRPr="001507F7">
      <w:rPr>
        <w:rFonts w:ascii="Times New Roman" w:hAnsi="Times New Roman" w:cs="Times New Roman"/>
        <w:i/>
        <w:sz w:val="20"/>
      </w:rPr>
      <w:t xml:space="preserve">Governing England: English institutions and identity in a </w:t>
    </w:r>
    <w:r w:rsidR="00C00C25">
      <w:rPr>
        <w:rFonts w:ascii="Times New Roman" w:hAnsi="Times New Roman" w:cs="Times New Roman"/>
        <w:i/>
        <w:sz w:val="20"/>
      </w:rPr>
      <w:t>changing</w:t>
    </w:r>
    <w:r w:rsidRPr="001507F7">
      <w:rPr>
        <w:rFonts w:ascii="Times New Roman" w:hAnsi="Times New Roman" w:cs="Times New Roman"/>
        <w:i/>
        <w:sz w:val="20"/>
      </w:rPr>
      <w:t xml:space="preserve"> UK</w:t>
    </w:r>
  </w:p>
  <w:p w:rsidR="001507F7" w:rsidRDefault="001507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BFE"/>
    <w:multiLevelType w:val="multilevel"/>
    <w:tmpl w:val="8F4842FE"/>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6006EDC"/>
    <w:multiLevelType w:val="hybridMultilevel"/>
    <w:tmpl w:val="640A47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4804E7"/>
    <w:multiLevelType w:val="hybridMultilevel"/>
    <w:tmpl w:val="7ABC24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98B595D"/>
    <w:multiLevelType w:val="multilevel"/>
    <w:tmpl w:val="BD58822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B94159"/>
    <w:multiLevelType w:val="multilevel"/>
    <w:tmpl w:val="86ACF4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4070AE"/>
    <w:multiLevelType w:val="multilevel"/>
    <w:tmpl w:val="0B0ABACE"/>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B025BB"/>
    <w:multiLevelType w:val="multilevel"/>
    <w:tmpl w:val="F2FE86F6"/>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1D7430A0"/>
    <w:multiLevelType w:val="multilevel"/>
    <w:tmpl w:val="6038DFA2"/>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E4B5C02"/>
    <w:multiLevelType w:val="hybridMultilevel"/>
    <w:tmpl w:val="28A4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02034"/>
    <w:multiLevelType w:val="hybridMultilevel"/>
    <w:tmpl w:val="9BC20F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C66ABB"/>
    <w:multiLevelType w:val="multilevel"/>
    <w:tmpl w:val="CAAE17D0"/>
    <w:lvl w:ilvl="0">
      <w:start w:val="10"/>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9C6BAD"/>
    <w:multiLevelType w:val="multilevel"/>
    <w:tmpl w:val="29B0C2E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DBB2D70"/>
    <w:multiLevelType w:val="multilevel"/>
    <w:tmpl w:val="C262B8E0"/>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8084215"/>
    <w:multiLevelType w:val="multilevel"/>
    <w:tmpl w:val="A5983068"/>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FA3039F"/>
    <w:multiLevelType w:val="hybridMultilevel"/>
    <w:tmpl w:val="854082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942BAA"/>
    <w:multiLevelType w:val="multilevel"/>
    <w:tmpl w:val="5F969236"/>
    <w:lvl w:ilvl="0">
      <w:start w:val="13"/>
      <w:numFmt w:val="decimal"/>
      <w:lvlText w:val="%1."/>
      <w:lvlJc w:val="left"/>
      <w:pPr>
        <w:ind w:left="360" w:hanging="360"/>
      </w:pPr>
      <w:rPr>
        <w:rFonts w:hint="default"/>
      </w:rPr>
    </w:lvl>
    <w:lvl w:ilvl="1">
      <w:start w:val="1"/>
      <w:numFmt w:val="decimal"/>
      <w:isLgl/>
      <w:lvlText w:val="%1.%2"/>
      <w:lvlJc w:val="left"/>
      <w:pPr>
        <w:ind w:left="420" w:hanging="420"/>
      </w:pPr>
      <w:rPr>
        <w:rFonts w:eastAsiaTheme="minorHAnsi" w:cstheme="minorBidi" w:hint="default"/>
      </w:rPr>
    </w:lvl>
    <w:lvl w:ilvl="2">
      <w:start w:val="1"/>
      <w:numFmt w:val="decimal"/>
      <w:isLgl/>
      <w:lvlText w:val="%1.%2.%3"/>
      <w:lvlJc w:val="left"/>
      <w:pPr>
        <w:ind w:left="720" w:hanging="720"/>
      </w:pPr>
      <w:rPr>
        <w:rFonts w:eastAsiaTheme="minorHAnsi" w:cstheme="minorBidi" w:hint="default"/>
      </w:rPr>
    </w:lvl>
    <w:lvl w:ilvl="3">
      <w:start w:val="1"/>
      <w:numFmt w:val="decimal"/>
      <w:isLgl/>
      <w:lvlText w:val="%1.%2.%3.%4"/>
      <w:lvlJc w:val="left"/>
      <w:pPr>
        <w:ind w:left="720" w:hanging="720"/>
      </w:pPr>
      <w:rPr>
        <w:rFonts w:eastAsiaTheme="minorHAnsi" w:cstheme="minorBidi" w:hint="default"/>
      </w:rPr>
    </w:lvl>
    <w:lvl w:ilvl="4">
      <w:start w:val="1"/>
      <w:numFmt w:val="decimal"/>
      <w:isLgl/>
      <w:lvlText w:val="%1.%2.%3.%4.%5"/>
      <w:lvlJc w:val="left"/>
      <w:pPr>
        <w:ind w:left="1080" w:hanging="1080"/>
      </w:pPr>
      <w:rPr>
        <w:rFonts w:eastAsiaTheme="minorHAnsi" w:cstheme="minorBidi" w:hint="default"/>
      </w:rPr>
    </w:lvl>
    <w:lvl w:ilvl="5">
      <w:start w:val="1"/>
      <w:numFmt w:val="decimal"/>
      <w:isLgl/>
      <w:lvlText w:val="%1.%2.%3.%4.%5.%6"/>
      <w:lvlJc w:val="left"/>
      <w:pPr>
        <w:ind w:left="1080" w:hanging="1080"/>
      </w:pPr>
      <w:rPr>
        <w:rFonts w:eastAsiaTheme="minorHAnsi" w:cstheme="minorBidi" w:hint="default"/>
      </w:rPr>
    </w:lvl>
    <w:lvl w:ilvl="6">
      <w:start w:val="1"/>
      <w:numFmt w:val="decimal"/>
      <w:isLgl/>
      <w:lvlText w:val="%1.%2.%3.%4.%5.%6.%7"/>
      <w:lvlJc w:val="left"/>
      <w:pPr>
        <w:ind w:left="1440" w:hanging="1440"/>
      </w:pPr>
      <w:rPr>
        <w:rFonts w:eastAsiaTheme="minorHAnsi" w:cstheme="minorBidi" w:hint="default"/>
      </w:rPr>
    </w:lvl>
    <w:lvl w:ilvl="7">
      <w:start w:val="1"/>
      <w:numFmt w:val="decimal"/>
      <w:isLgl/>
      <w:lvlText w:val="%1.%2.%3.%4.%5.%6.%7.%8"/>
      <w:lvlJc w:val="left"/>
      <w:pPr>
        <w:ind w:left="1440" w:hanging="1440"/>
      </w:pPr>
      <w:rPr>
        <w:rFonts w:eastAsiaTheme="minorHAnsi" w:cstheme="minorBidi" w:hint="default"/>
      </w:rPr>
    </w:lvl>
    <w:lvl w:ilvl="8">
      <w:start w:val="1"/>
      <w:numFmt w:val="decimal"/>
      <w:isLgl/>
      <w:lvlText w:val="%1.%2.%3.%4.%5.%6.%7.%8.%9"/>
      <w:lvlJc w:val="left"/>
      <w:pPr>
        <w:ind w:left="1800" w:hanging="1800"/>
      </w:pPr>
      <w:rPr>
        <w:rFonts w:eastAsiaTheme="minorHAnsi" w:cstheme="minorBidi" w:hint="default"/>
      </w:rPr>
    </w:lvl>
  </w:abstractNum>
  <w:abstractNum w:abstractNumId="16" w15:restartNumberingAfterBreak="0">
    <w:nsid w:val="54AA3926"/>
    <w:multiLevelType w:val="multilevel"/>
    <w:tmpl w:val="2D14D4B6"/>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55C76E54"/>
    <w:multiLevelType w:val="multilevel"/>
    <w:tmpl w:val="F0625FD6"/>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eastAsiaTheme="minorHAnsi" w:cstheme="minorBidi" w:hint="default"/>
      </w:rPr>
    </w:lvl>
    <w:lvl w:ilvl="2">
      <w:start w:val="1"/>
      <w:numFmt w:val="decimal"/>
      <w:isLgl/>
      <w:lvlText w:val="%1.%2.%3"/>
      <w:lvlJc w:val="left"/>
      <w:pPr>
        <w:ind w:left="720" w:hanging="720"/>
      </w:pPr>
      <w:rPr>
        <w:rFonts w:eastAsiaTheme="minorHAnsi" w:cstheme="minorBidi" w:hint="default"/>
      </w:rPr>
    </w:lvl>
    <w:lvl w:ilvl="3">
      <w:start w:val="1"/>
      <w:numFmt w:val="decimal"/>
      <w:isLgl/>
      <w:lvlText w:val="%1.%2.%3.%4"/>
      <w:lvlJc w:val="left"/>
      <w:pPr>
        <w:ind w:left="720" w:hanging="720"/>
      </w:pPr>
      <w:rPr>
        <w:rFonts w:eastAsiaTheme="minorHAnsi" w:cstheme="minorBidi" w:hint="default"/>
      </w:rPr>
    </w:lvl>
    <w:lvl w:ilvl="4">
      <w:start w:val="1"/>
      <w:numFmt w:val="decimal"/>
      <w:isLgl/>
      <w:lvlText w:val="%1.%2.%3.%4.%5"/>
      <w:lvlJc w:val="left"/>
      <w:pPr>
        <w:ind w:left="1080" w:hanging="1080"/>
      </w:pPr>
      <w:rPr>
        <w:rFonts w:eastAsiaTheme="minorHAnsi" w:cstheme="minorBidi" w:hint="default"/>
      </w:rPr>
    </w:lvl>
    <w:lvl w:ilvl="5">
      <w:start w:val="1"/>
      <w:numFmt w:val="decimal"/>
      <w:isLgl/>
      <w:lvlText w:val="%1.%2.%3.%4.%5.%6"/>
      <w:lvlJc w:val="left"/>
      <w:pPr>
        <w:ind w:left="1080" w:hanging="1080"/>
      </w:pPr>
      <w:rPr>
        <w:rFonts w:eastAsiaTheme="minorHAnsi" w:cstheme="minorBidi" w:hint="default"/>
      </w:rPr>
    </w:lvl>
    <w:lvl w:ilvl="6">
      <w:start w:val="1"/>
      <w:numFmt w:val="decimal"/>
      <w:isLgl/>
      <w:lvlText w:val="%1.%2.%3.%4.%5.%6.%7"/>
      <w:lvlJc w:val="left"/>
      <w:pPr>
        <w:ind w:left="1440" w:hanging="1440"/>
      </w:pPr>
      <w:rPr>
        <w:rFonts w:eastAsiaTheme="minorHAnsi" w:cstheme="minorBidi" w:hint="default"/>
      </w:rPr>
    </w:lvl>
    <w:lvl w:ilvl="7">
      <w:start w:val="1"/>
      <w:numFmt w:val="decimal"/>
      <w:isLgl/>
      <w:lvlText w:val="%1.%2.%3.%4.%5.%6.%7.%8"/>
      <w:lvlJc w:val="left"/>
      <w:pPr>
        <w:ind w:left="1440" w:hanging="1440"/>
      </w:pPr>
      <w:rPr>
        <w:rFonts w:eastAsiaTheme="minorHAnsi" w:cstheme="minorBidi" w:hint="default"/>
      </w:rPr>
    </w:lvl>
    <w:lvl w:ilvl="8">
      <w:start w:val="1"/>
      <w:numFmt w:val="decimal"/>
      <w:isLgl/>
      <w:lvlText w:val="%1.%2.%3.%4.%5.%6.%7.%8.%9"/>
      <w:lvlJc w:val="left"/>
      <w:pPr>
        <w:ind w:left="1800" w:hanging="1800"/>
      </w:pPr>
      <w:rPr>
        <w:rFonts w:eastAsiaTheme="minorHAnsi" w:cstheme="minorBidi" w:hint="default"/>
      </w:rPr>
    </w:lvl>
  </w:abstractNum>
  <w:abstractNum w:abstractNumId="18" w15:restartNumberingAfterBreak="0">
    <w:nsid w:val="66813F42"/>
    <w:multiLevelType w:val="hybridMultilevel"/>
    <w:tmpl w:val="0DA4C6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66A63D3F"/>
    <w:multiLevelType w:val="hybridMultilevel"/>
    <w:tmpl w:val="31B68AEE"/>
    <w:lvl w:ilvl="0" w:tplc="36DC1FA0">
      <w:start w:val="1"/>
      <w:numFmt w:val="decimal"/>
      <w:lvlText w:val="%1."/>
      <w:lvlJc w:val="left"/>
      <w:pPr>
        <w:ind w:left="360" w:hanging="360"/>
      </w:pPr>
      <w:rPr>
        <w:lang w:val="en-U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71D13D3"/>
    <w:multiLevelType w:val="multilevel"/>
    <w:tmpl w:val="9760C77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07B6204"/>
    <w:multiLevelType w:val="multilevel"/>
    <w:tmpl w:val="EFD0BDB8"/>
    <w:lvl w:ilvl="0">
      <w:start w:val="5"/>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22" w15:restartNumberingAfterBreak="0">
    <w:nsid w:val="72A1488F"/>
    <w:multiLevelType w:val="multilevel"/>
    <w:tmpl w:val="93BAB21A"/>
    <w:lvl w:ilvl="0">
      <w:start w:val="4"/>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6991B9B"/>
    <w:multiLevelType w:val="multilevel"/>
    <w:tmpl w:val="694297F6"/>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4" w15:restartNumberingAfterBreak="0">
    <w:nsid w:val="7A530F3C"/>
    <w:multiLevelType w:val="hybridMultilevel"/>
    <w:tmpl w:val="3DDA5A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7D9F100B"/>
    <w:multiLevelType w:val="multilevel"/>
    <w:tmpl w:val="4016DDC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
  </w:num>
  <w:num w:numId="10">
    <w:abstractNumId w:val="2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
  </w:num>
  <w:num w:numId="24">
    <w:abstractNumId w:val="15"/>
  </w:num>
  <w:num w:numId="25">
    <w:abstractNumId w:val="1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E4"/>
    <w:rsid w:val="00002D7E"/>
    <w:rsid w:val="000060FC"/>
    <w:rsid w:val="00010303"/>
    <w:rsid w:val="00022FC0"/>
    <w:rsid w:val="000311FD"/>
    <w:rsid w:val="00054165"/>
    <w:rsid w:val="00067046"/>
    <w:rsid w:val="00072ACA"/>
    <w:rsid w:val="000B2A60"/>
    <w:rsid w:val="000B7DA4"/>
    <w:rsid w:val="001507F7"/>
    <w:rsid w:val="001640F3"/>
    <w:rsid w:val="00166821"/>
    <w:rsid w:val="00191755"/>
    <w:rsid w:val="00223515"/>
    <w:rsid w:val="0026107D"/>
    <w:rsid w:val="00267CE9"/>
    <w:rsid w:val="002710DB"/>
    <w:rsid w:val="002A33DF"/>
    <w:rsid w:val="002A594D"/>
    <w:rsid w:val="002A5C6A"/>
    <w:rsid w:val="002B0652"/>
    <w:rsid w:val="002E48FD"/>
    <w:rsid w:val="0031572D"/>
    <w:rsid w:val="003159BB"/>
    <w:rsid w:val="00334C68"/>
    <w:rsid w:val="00336478"/>
    <w:rsid w:val="00345A3A"/>
    <w:rsid w:val="003829DD"/>
    <w:rsid w:val="00390E26"/>
    <w:rsid w:val="00392C3B"/>
    <w:rsid w:val="003A598B"/>
    <w:rsid w:val="003F7FEA"/>
    <w:rsid w:val="00436B1D"/>
    <w:rsid w:val="00491DEA"/>
    <w:rsid w:val="004C63A7"/>
    <w:rsid w:val="004F257C"/>
    <w:rsid w:val="00511762"/>
    <w:rsid w:val="00513841"/>
    <w:rsid w:val="00520159"/>
    <w:rsid w:val="00550EBB"/>
    <w:rsid w:val="00574308"/>
    <w:rsid w:val="005A698A"/>
    <w:rsid w:val="005F5A6E"/>
    <w:rsid w:val="006048B3"/>
    <w:rsid w:val="00616134"/>
    <w:rsid w:val="00633BDF"/>
    <w:rsid w:val="00640EE0"/>
    <w:rsid w:val="006656CD"/>
    <w:rsid w:val="00680D0A"/>
    <w:rsid w:val="00687B01"/>
    <w:rsid w:val="006B39B7"/>
    <w:rsid w:val="006D465C"/>
    <w:rsid w:val="006E265B"/>
    <w:rsid w:val="006E2E3E"/>
    <w:rsid w:val="007375D5"/>
    <w:rsid w:val="0074110B"/>
    <w:rsid w:val="0076567F"/>
    <w:rsid w:val="007836D3"/>
    <w:rsid w:val="007A088C"/>
    <w:rsid w:val="007B4CC3"/>
    <w:rsid w:val="007C1825"/>
    <w:rsid w:val="00805015"/>
    <w:rsid w:val="00815EE8"/>
    <w:rsid w:val="008223DB"/>
    <w:rsid w:val="00823F48"/>
    <w:rsid w:val="008458D5"/>
    <w:rsid w:val="00854FC6"/>
    <w:rsid w:val="00864679"/>
    <w:rsid w:val="00897EF3"/>
    <w:rsid w:val="008B129E"/>
    <w:rsid w:val="008E4CE8"/>
    <w:rsid w:val="008F123F"/>
    <w:rsid w:val="008F1A58"/>
    <w:rsid w:val="00980990"/>
    <w:rsid w:val="0098389B"/>
    <w:rsid w:val="009915BA"/>
    <w:rsid w:val="0099323E"/>
    <w:rsid w:val="009A4F07"/>
    <w:rsid w:val="009A61F1"/>
    <w:rsid w:val="009D4478"/>
    <w:rsid w:val="009F0F26"/>
    <w:rsid w:val="00A473B5"/>
    <w:rsid w:val="00A92525"/>
    <w:rsid w:val="00AA5267"/>
    <w:rsid w:val="00AC754D"/>
    <w:rsid w:val="00B036A3"/>
    <w:rsid w:val="00B03BE4"/>
    <w:rsid w:val="00B308C4"/>
    <w:rsid w:val="00B33D54"/>
    <w:rsid w:val="00B442D1"/>
    <w:rsid w:val="00B80990"/>
    <w:rsid w:val="00BC5931"/>
    <w:rsid w:val="00BD6450"/>
    <w:rsid w:val="00BD762B"/>
    <w:rsid w:val="00C00C25"/>
    <w:rsid w:val="00C13109"/>
    <w:rsid w:val="00C30708"/>
    <w:rsid w:val="00C75001"/>
    <w:rsid w:val="00CA2F5F"/>
    <w:rsid w:val="00CB1DCB"/>
    <w:rsid w:val="00CC5CE6"/>
    <w:rsid w:val="00CF0B41"/>
    <w:rsid w:val="00D2441D"/>
    <w:rsid w:val="00D4398A"/>
    <w:rsid w:val="00D74F20"/>
    <w:rsid w:val="00D84F12"/>
    <w:rsid w:val="00D86D2B"/>
    <w:rsid w:val="00DB1362"/>
    <w:rsid w:val="00DF2E03"/>
    <w:rsid w:val="00DF511B"/>
    <w:rsid w:val="00E07ABE"/>
    <w:rsid w:val="00E47043"/>
    <w:rsid w:val="00E852F0"/>
    <w:rsid w:val="00E9739B"/>
    <w:rsid w:val="00ED472C"/>
    <w:rsid w:val="00ED72FF"/>
    <w:rsid w:val="00EF33F9"/>
    <w:rsid w:val="00F20177"/>
    <w:rsid w:val="00F47CBB"/>
    <w:rsid w:val="00F5571D"/>
    <w:rsid w:val="00F92CC3"/>
    <w:rsid w:val="00FA2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80AC199-6C05-4094-9955-24B0B60D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GE Heading 1"/>
    <w:basedOn w:val="Normal"/>
    <w:next w:val="Normal"/>
    <w:link w:val="Heading1Char"/>
    <w:uiPriority w:val="9"/>
    <w:qFormat/>
    <w:rsid w:val="00067046"/>
    <w:pPr>
      <w:keepNext/>
      <w:keepLines/>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3159BB"/>
    <w:pPr>
      <w:keepNext/>
      <w:keepLines/>
      <w:outlineLvl w:val="1"/>
    </w:pPr>
    <w:rPr>
      <w:rFonts w:ascii="Times New Roman" w:eastAsiaTheme="majorEastAsia" w:hAnsi="Times New Roman" w:cstheme="majorBidi"/>
      <w:b/>
      <w:bCs/>
      <w:sz w:val="24"/>
      <w:szCs w:val="26"/>
    </w:rPr>
  </w:style>
  <w:style w:type="paragraph" w:styleId="Heading4">
    <w:name w:val="heading 4"/>
    <w:basedOn w:val="Normal"/>
    <w:next w:val="Normal"/>
    <w:link w:val="Heading4Char"/>
    <w:uiPriority w:val="9"/>
    <w:semiHidden/>
    <w:unhideWhenUsed/>
    <w:qFormat/>
    <w:rsid w:val="00DF511B"/>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BE4"/>
    <w:pPr>
      <w:ind w:left="720"/>
      <w:contextualSpacing/>
    </w:pPr>
  </w:style>
  <w:style w:type="character" w:styleId="Hyperlink">
    <w:name w:val="Hyperlink"/>
    <w:basedOn w:val="DefaultParagraphFont"/>
    <w:uiPriority w:val="99"/>
    <w:unhideWhenUsed/>
    <w:rsid w:val="00A92525"/>
    <w:rPr>
      <w:color w:val="0000FF" w:themeColor="hyperlink"/>
      <w:u w:val="single"/>
    </w:rPr>
  </w:style>
  <w:style w:type="paragraph" w:styleId="FootnoteText">
    <w:name w:val="footnote text"/>
    <w:basedOn w:val="Normal"/>
    <w:link w:val="FootnoteTextChar"/>
    <w:uiPriority w:val="99"/>
    <w:semiHidden/>
    <w:unhideWhenUsed/>
    <w:rsid w:val="00A92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525"/>
    <w:rPr>
      <w:sz w:val="20"/>
      <w:szCs w:val="20"/>
    </w:rPr>
  </w:style>
  <w:style w:type="character" w:styleId="FootnoteReference">
    <w:name w:val="footnote reference"/>
    <w:basedOn w:val="DefaultParagraphFont"/>
    <w:uiPriority w:val="99"/>
    <w:semiHidden/>
    <w:unhideWhenUsed/>
    <w:rsid w:val="00A92525"/>
    <w:rPr>
      <w:vertAlign w:val="superscript"/>
    </w:rPr>
  </w:style>
  <w:style w:type="table" w:styleId="TableGrid">
    <w:name w:val="Table Grid"/>
    <w:basedOn w:val="TableNormal"/>
    <w:uiPriority w:val="39"/>
    <w:rsid w:val="00A92525"/>
    <w:pPr>
      <w:spacing w:after="0" w:line="240" w:lineRule="auto"/>
    </w:pPr>
    <w:rPr>
      <w:rFonts w:ascii="Calibri" w:eastAsia="Calibri" w:hAnsi="Calibri"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62B"/>
    <w:rPr>
      <w:rFonts w:ascii="Tahoma" w:hAnsi="Tahoma" w:cs="Tahoma"/>
      <w:sz w:val="16"/>
      <w:szCs w:val="16"/>
    </w:rPr>
  </w:style>
  <w:style w:type="character" w:styleId="FollowedHyperlink">
    <w:name w:val="FollowedHyperlink"/>
    <w:basedOn w:val="DefaultParagraphFont"/>
    <w:uiPriority w:val="99"/>
    <w:semiHidden/>
    <w:unhideWhenUsed/>
    <w:rsid w:val="00815EE8"/>
    <w:rPr>
      <w:color w:val="800080" w:themeColor="followedHyperlink"/>
      <w:u w:val="single"/>
    </w:rPr>
  </w:style>
  <w:style w:type="paragraph" w:styleId="NormalWeb">
    <w:name w:val="Normal (Web)"/>
    <w:basedOn w:val="Normal"/>
    <w:uiPriority w:val="99"/>
    <w:semiHidden/>
    <w:unhideWhenUsed/>
    <w:rsid w:val="00815E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815EE8"/>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815EE8"/>
    <w:rPr>
      <w:rFonts w:eastAsiaTheme="minorEastAsia"/>
      <w:sz w:val="20"/>
      <w:szCs w:val="20"/>
      <w:lang w:eastAsia="en-GB"/>
    </w:rPr>
  </w:style>
  <w:style w:type="paragraph" w:styleId="Header">
    <w:name w:val="header"/>
    <w:basedOn w:val="Normal"/>
    <w:link w:val="HeaderChar"/>
    <w:uiPriority w:val="99"/>
    <w:unhideWhenUsed/>
    <w:rsid w:val="00815EE8"/>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815EE8"/>
    <w:rPr>
      <w:rFonts w:eastAsiaTheme="minorEastAsia"/>
      <w:lang w:eastAsia="en-GB"/>
    </w:rPr>
  </w:style>
  <w:style w:type="paragraph" w:styleId="Footer">
    <w:name w:val="footer"/>
    <w:basedOn w:val="Normal"/>
    <w:link w:val="FooterChar"/>
    <w:uiPriority w:val="99"/>
    <w:unhideWhenUsed/>
    <w:rsid w:val="00815EE8"/>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815EE8"/>
    <w:rPr>
      <w:rFonts w:eastAsiaTheme="minorEastAsia"/>
      <w:lang w:eastAsia="en-GB"/>
    </w:rPr>
  </w:style>
  <w:style w:type="paragraph" w:styleId="CommentSubject">
    <w:name w:val="annotation subject"/>
    <w:basedOn w:val="CommentText"/>
    <w:next w:val="CommentText"/>
    <w:link w:val="CommentSubjectChar"/>
    <w:uiPriority w:val="99"/>
    <w:semiHidden/>
    <w:unhideWhenUsed/>
    <w:rsid w:val="00815EE8"/>
    <w:rPr>
      <w:b/>
      <w:bCs/>
    </w:rPr>
  </w:style>
  <w:style w:type="character" w:customStyle="1" w:styleId="CommentSubjectChar">
    <w:name w:val="Comment Subject Char"/>
    <w:basedOn w:val="CommentTextChar"/>
    <w:link w:val="CommentSubject"/>
    <w:uiPriority w:val="99"/>
    <w:semiHidden/>
    <w:rsid w:val="00815EE8"/>
    <w:rPr>
      <w:rFonts w:eastAsiaTheme="minorEastAsia"/>
      <w:b/>
      <w:bCs/>
      <w:sz w:val="20"/>
      <w:szCs w:val="20"/>
      <w:lang w:eastAsia="en-GB"/>
    </w:rPr>
  </w:style>
  <w:style w:type="paragraph" w:customStyle="1" w:styleId="Default">
    <w:name w:val="Default"/>
    <w:rsid w:val="00815EE8"/>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815EE8"/>
    <w:rPr>
      <w:sz w:val="16"/>
      <w:szCs w:val="16"/>
    </w:rPr>
  </w:style>
  <w:style w:type="character" w:customStyle="1" w:styleId="Heading1Char">
    <w:name w:val="Heading 1 Char"/>
    <w:aliases w:val="GE Heading 1 Char"/>
    <w:basedOn w:val="DefaultParagraphFont"/>
    <w:link w:val="Heading1"/>
    <w:uiPriority w:val="9"/>
    <w:rsid w:val="00067046"/>
    <w:rPr>
      <w:rFonts w:ascii="Times New Roman" w:eastAsiaTheme="majorEastAsia" w:hAnsi="Times New Roman" w:cstheme="majorBidi"/>
      <w:b/>
      <w:bCs/>
      <w:sz w:val="32"/>
      <w:szCs w:val="28"/>
    </w:rPr>
  </w:style>
  <w:style w:type="table" w:customStyle="1" w:styleId="TableGrid1">
    <w:name w:val="Table Grid1"/>
    <w:basedOn w:val="TableNormal"/>
    <w:next w:val="TableGrid"/>
    <w:uiPriority w:val="39"/>
    <w:rsid w:val="000670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GE Title"/>
    <w:basedOn w:val="Normal"/>
    <w:next w:val="Normal"/>
    <w:link w:val="TitleChar"/>
    <w:uiPriority w:val="10"/>
    <w:qFormat/>
    <w:rsid w:val="00823F48"/>
    <w:pPr>
      <w:contextualSpacing/>
    </w:pPr>
    <w:rPr>
      <w:rFonts w:ascii="Times New Roman" w:eastAsiaTheme="majorEastAsia" w:hAnsi="Times New Roman" w:cstheme="majorBidi"/>
      <w:b/>
      <w:spacing w:val="5"/>
      <w:kern w:val="28"/>
      <w:sz w:val="52"/>
      <w:szCs w:val="52"/>
    </w:rPr>
  </w:style>
  <w:style w:type="character" w:customStyle="1" w:styleId="TitleChar">
    <w:name w:val="Title Char"/>
    <w:aliases w:val="GE Title Char"/>
    <w:basedOn w:val="DefaultParagraphFont"/>
    <w:link w:val="Title"/>
    <w:uiPriority w:val="10"/>
    <w:rsid w:val="00823F48"/>
    <w:rPr>
      <w:rFonts w:ascii="Times New Roman" w:eastAsiaTheme="majorEastAsia" w:hAnsi="Times New Roman" w:cstheme="majorBidi"/>
      <w:b/>
      <w:spacing w:val="5"/>
      <w:kern w:val="28"/>
      <w:sz w:val="52"/>
      <w:szCs w:val="52"/>
    </w:rPr>
  </w:style>
  <w:style w:type="character" w:customStyle="1" w:styleId="Heading2Char">
    <w:name w:val="Heading 2 Char"/>
    <w:basedOn w:val="DefaultParagraphFont"/>
    <w:link w:val="Heading2"/>
    <w:uiPriority w:val="9"/>
    <w:rsid w:val="003159BB"/>
    <w:rPr>
      <w:rFonts w:ascii="Times New Roman" w:eastAsiaTheme="majorEastAsia" w:hAnsi="Times New Roman" w:cstheme="majorBidi"/>
      <w:b/>
      <w:bCs/>
      <w:sz w:val="24"/>
      <w:szCs w:val="26"/>
    </w:rPr>
  </w:style>
  <w:style w:type="character" w:customStyle="1" w:styleId="Heading4Char">
    <w:name w:val="Heading 4 Char"/>
    <w:basedOn w:val="DefaultParagraphFont"/>
    <w:link w:val="Heading4"/>
    <w:uiPriority w:val="9"/>
    <w:semiHidden/>
    <w:rsid w:val="00DF511B"/>
    <w:rPr>
      <w:rFonts w:asciiTheme="majorHAnsi" w:eastAsiaTheme="majorEastAsia" w:hAnsiTheme="majorHAnsi" w:cstheme="majorBidi"/>
      <w:i/>
      <w:iCs/>
      <w:color w:val="365F91" w:themeColor="accent1" w:themeShade="BF"/>
      <w:sz w:val="24"/>
      <w:szCs w:val="24"/>
      <w:lang w:val="en-US"/>
    </w:rPr>
  </w:style>
  <w:style w:type="paragraph" w:customStyle="1" w:styleId="BSATableColumnHeading">
    <w:name w:val="BSA Table Column Heading"/>
    <w:basedOn w:val="Normal"/>
    <w:rsid w:val="00DF511B"/>
    <w:pPr>
      <w:keepNext/>
      <w:keepLines/>
      <w:spacing w:before="120" w:after="120" w:line="240" w:lineRule="auto"/>
      <w:jc w:val="right"/>
    </w:pPr>
    <w:rPr>
      <w:rFonts w:ascii="Arial" w:eastAsia="Times New Roman" w:hAnsi="Arial" w:cs="Times New Roman"/>
      <w:b/>
      <w:sz w:val="18"/>
      <w:szCs w:val="24"/>
    </w:rPr>
  </w:style>
  <w:style w:type="paragraph" w:customStyle="1" w:styleId="BSATableBase">
    <w:name w:val="BSA Table Base"/>
    <w:basedOn w:val="Heading4"/>
    <w:rsid w:val="00DF511B"/>
    <w:pPr>
      <w:keepNext w:val="0"/>
      <w:keepLines w:val="0"/>
      <w:spacing w:before="60" w:after="60"/>
    </w:pPr>
    <w:rPr>
      <w:rFonts w:ascii="Arial" w:eastAsia="Times New Roman" w:hAnsi="Arial" w:cs="Times New Roman"/>
      <w:iCs w:val="0"/>
      <w:color w:val="auto"/>
      <w:sz w:val="16"/>
      <w:lang w:val="en-GB"/>
    </w:rPr>
  </w:style>
  <w:style w:type="paragraph" w:customStyle="1" w:styleId="BSATableBaseNumber">
    <w:name w:val="BSA Table Base Number"/>
    <w:basedOn w:val="BSATableBase"/>
    <w:rsid w:val="00DF511B"/>
    <w:pPr>
      <w:jc w:val="right"/>
    </w:pPr>
  </w:style>
  <w:style w:type="paragraph" w:customStyle="1" w:styleId="ttext">
    <w:name w:val="t text"/>
    <w:basedOn w:val="Normal"/>
    <w:rsid w:val="00DF511B"/>
    <w:pPr>
      <w:autoSpaceDE w:val="0"/>
      <w:autoSpaceDN w:val="0"/>
      <w:spacing w:before="80" w:after="0" w:line="240" w:lineRule="auto"/>
    </w:pPr>
    <w:rPr>
      <w:rFonts w:ascii="Times" w:eastAsia="Cambria" w:hAnsi="Times" w:cs="Times New Roman"/>
      <w:sz w:val="18"/>
      <w:szCs w:val="24"/>
      <w:lang w:val="en-US"/>
    </w:rPr>
  </w:style>
  <w:style w:type="character" w:customStyle="1" w:styleId="BSATableTextChar1">
    <w:name w:val="BSA Table Text Char1"/>
    <w:basedOn w:val="DefaultParagraphFont"/>
    <w:link w:val="BSATableText"/>
    <w:locked/>
    <w:rsid w:val="00DF511B"/>
    <w:rPr>
      <w:rFonts w:ascii="Arial" w:eastAsia="Times New Roman" w:hAnsi="Arial" w:cs="Times New Roman"/>
      <w:sz w:val="18"/>
    </w:rPr>
  </w:style>
  <w:style w:type="paragraph" w:customStyle="1" w:styleId="BSATableText">
    <w:name w:val="BSA Table Text"/>
    <w:basedOn w:val="Normal"/>
    <w:link w:val="BSATableTextChar1"/>
    <w:rsid w:val="00DF511B"/>
    <w:pPr>
      <w:keepNext/>
      <w:spacing w:after="60" w:line="240" w:lineRule="exact"/>
      <w:ind w:left="142" w:hanging="142"/>
      <w:jc w:val="both"/>
    </w:pPr>
    <w:rPr>
      <w:rFonts w:ascii="Arial" w:eastAsia="Times New Roman" w:hAnsi="Arial" w:cs="Times New Roman"/>
      <w:sz w:val="18"/>
    </w:rPr>
  </w:style>
  <w:style w:type="paragraph" w:customStyle="1" w:styleId="BSATableNumber">
    <w:name w:val="BSA Table Number"/>
    <w:basedOn w:val="Normal"/>
    <w:rsid w:val="00DF511B"/>
    <w:pPr>
      <w:keepNext/>
      <w:tabs>
        <w:tab w:val="decimal" w:pos="128"/>
        <w:tab w:val="decimal" w:pos="454"/>
      </w:tabs>
      <w:spacing w:after="0" w:line="240" w:lineRule="auto"/>
      <w:jc w:val="right"/>
    </w:pPr>
    <w:rPr>
      <w:rFonts w:ascii="Arial" w:eastAsia="Times New Roman" w:hAnsi="Arial" w:cs="Times New Roman"/>
      <w:sz w:val="18"/>
      <w:szCs w:val="24"/>
    </w:rPr>
  </w:style>
  <w:style w:type="paragraph" w:customStyle="1" w:styleId="BSATableRowHeading">
    <w:name w:val="BSA Table Row Heading"/>
    <w:basedOn w:val="Normal"/>
    <w:rsid w:val="00DF511B"/>
    <w:pPr>
      <w:keepNext/>
      <w:keepLines/>
      <w:spacing w:after="120" w:line="240" w:lineRule="auto"/>
    </w:pPr>
    <w:rPr>
      <w:rFonts w:ascii="Arial" w:eastAsia="Times New Roman" w:hAnsi="Arial" w:cs="Times New Roman"/>
      <w:b/>
      <w:sz w:val="18"/>
      <w:szCs w:val="24"/>
    </w:rPr>
  </w:style>
  <w:style w:type="paragraph" w:customStyle="1" w:styleId="BSATableNotesText">
    <w:name w:val="BSA Table Notes Text"/>
    <w:basedOn w:val="Normal"/>
    <w:rsid w:val="00DF511B"/>
    <w:pPr>
      <w:spacing w:before="120" w:after="0" w:line="240" w:lineRule="exact"/>
      <w:jc w:val="both"/>
    </w:pPr>
    <w:rPr>
      <w:rFonts w:ascii="Arial" w:eastAsia="Times New Roman" w:hAnsi="Arial" w:cs="Arial"/>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846">
      <w:bodyDiv w:val="1"/>
      <w:marLeft w:val="0"/>
      <w:marRight w:val="0"/>
      <w:marTop w:val="0"/>
      <w:marBottom w:val="0"/>
      <w:divBdr>
        <w:top w:val="none" w:sz="0" w:space="0" w:color="auto"/>
        <w:left w:val="none" w:sz="0" w:space="0" w:color="auto"/>
        <w:bottom w:val="none" w:sz="0" w:space="0" w:color="auto"/>
        <w:right w:val="none" w:sz="0" w:space="0" w:color="auto"/>
      </w:divBdr>
    </w:div>
    <w:div w:id="121773221">
      <w:bodyDiv w:val="1"/>
      <w:marLeft w:val="0"/>
      <w:marRight w:val="0"/>
      <w:marTop w:val="0"/>
      <w:marBottom w:val="0"/>
      <w:divBdr>
        <w:top w:val="none" w:sz="0" w:space="0" w:color="auto"/>
        <w:left w:val="none" w:sz="0" w:space="0" w:color="auto"/>
        <w:bottom w:val="none" w:sz="0" w:space="0" w:color="auto"/>
        <w:right w:val="none" w:sz="0" w:space="0" w:color="auto"/>
      </w:divBdr>
    </w:div>
    <w:div w:id="165751997">
      <w:bodyDiv w:val="1"/>
      <w:marLeft w:val="0"/>
      <w:marRight w:val="0"/>
      <w:marTop w:val="0"/>
      <w:marBottom w:val="0"/>
      <w:divBdr>
        <w:top w:val="none" w:sz="0" w:space="0" w:color="auto"/>
        <w:left w:val="none" w:sz="0" w:space="0" w:color="auto"/>
        <w:bottom w:val="none" w:sz="0" w:space="0" w:color="auto"/>
        <w:right w:val="none" w:sz="0" w:space="0" w:color="auto"/>
      </w:divBdr>
    </w:div>
    <w:div w:id="184558396">
      <w:bodyDiv w:val="1"/>
      <w:marLeft w:val="0"/>
      <w:marRight w:val="0"/>
      <w:marTop w:val="0"/>
      <w:marBottom w:val="0"/>
      <w:divBdr>
        <w:top w:val="none" w:sz="0" w:space="0" w:color="auto"/>
        <w:left w:val="none" w:sz="0" w:space="0" w:color="auto"/>
        <w:bottom w:val="none" w:sz="0" w:space="0" w:color="auto"/>
        <w:right w:val="none" w:sz="0" w:space="0" w:color="auto"/>
      </w:divBdr>
    </w:div>
    <w:div w:id="195044771">
      <w:bodyDiv w:val="1"/>
      <w:marLeft w:val="0"/>
      <w:marRight w:val="0"/>
      <w:marTop w:val="0"/>
      <w:marBottom w:val="0"/>
      <w:divBdr>
        <w:top w:val="none" w:sz="0" w:space="0" w:color="auto"/>
        <w:left w:val="none" w:sz="0" w:space="0" w:color="auto"/>
        <w:bottom w:val="none" w:sz="0" w:space="0" w:color="auto"/>
        <w:right w:val="none" w:sz="0" w:space="0" w:color="auto"/>
      </w:divBdr>
    </w:div>
    <w:div w:id="430902659">
      <w:bodyDiv w:val="1"/>
      <w:marLeft w:val="0"/>
      <w:marRight w:val="0"/>
      <w:marTop w:val="0"/>
      <w:marBottom w:val="0"/>
      <w:divBdr>
        <w:top w:val="none" w:sz="0" w:space="0" w:color="auto"/>
        <w:left w:val="none" w:sz="0" w:space="0" w:color="auto"/>
        <w:bottom w:val="none" w:sz="0" w:space="0" w:color="auto"/>
        <w:right w:val="none" w:sz="0" w:space="0" w:color="auto"/>
      </w:divBdr>
    </w:div>
    <w:div w:id="471950109">
      <w:bodyDiv w:val="1"/>
      <w:marLeft w:val="0"/>
      <w:marRight w:val="0"/>
      <w:marTop w:val="0"/>
      <w:marBottom w:val="0"/>
      <w:divBdr>
        <w:top w:val="none" w:sz="0" w:space="0" w:color="auto"/>
        <w:left w:val="none" w:sz="0" w:space="0" w:color="auto"/>
        <w:bottom w:val="none" w:sz="0" w:space="0" w:color="auto"/>
        <w:right w:val="none" w:sz="0" w:space="0" w:color="auto"/>
      </w:divBdr>
    </w:div>
    <w:div w:id="490028085">
      <w:bodyDiv w:val="1"/>
      <w:marLeft w:val="0"/>
      <w:marRight w:val="0"/>
      <w:marTop w:val="0"/>
      <w:marBottom w:val="0"/>
      <w:divBdr>
        <w:top w:val="none" w:sz="0" w:space="0" w:color="auto"/>
        <w:left w:val="none" w:sz="0" w:space="0" w:color="auto"/>
        <w:bottom w:val="none" w:sz="0" w:space="0" w:color="auto"/>
        <w:right w:val="none" w:sz="0" w:space="0" w:color="auto"/>
      </w:divBdr>
    </w:div>
    <w:div w:id="520240717">
      <w:bodyDiv w:val="1"/>
      <w:marLeft w:val="0"/>
      <w:marRight w:val="0"/>
      <w:marTop w:val="0"/>
      <w:marBottom w:val="0"/>
      <w:divBdr>
        <w:top w:val="none" w:sz="0" w:space="0" w:color="auto"/>
        <w:left w:val="none" w:sz="0" w:space="0" w:color="auto"/>
        <w:bottom w:val="none" w:sz="0" w:space="0" w:color="auto"/>
        <w:right w:val="none" w:sz="0" w:space="0" w:color="auto"/>
      </w:divBdr>
    </w:div>
    <w:div w:id="598291074">
      <w:bodyDiv w:val="1"/>
      <w:marLeft w:val="0"/>
      <w:marRight w:val="0"/>
      <w:marTop w:val="0"/>
      <w:marBottom w:val="0"/>
      <w:divBdr>
        <w:top w:val="none" w:sz="0" w:space="0" w:color="auto"/>
        <w:left w:val="none" w:sz="0" w:space="0" w:color="auto"/>
        <w:bottom w:val="none" w:sz="0" w:space="0" w:color="auto"/>
        <w:right w:val="none" w:sz="0" w:space="0" w:color="auto"/>
      </w:divBdr>
    </w:div>
    <w:div w:id="695229143">
      <w:bodyDiv w:val="1"/>
      <w:marLeft w:val="0"/>
      <w:marRight w:val="0"/>
      <w:marTop w:val="0"/>
      <w:marBottom w:val="0"/>
      <w:divBdr>
        <w:top w:val="none" w:sz="0" w:space="0" w:color="auto"/>
        <w:left w:val="none" w:sz="0" w:space="0" w:color="auto"/>
        <w:bottom w:val="none" w:sz="0" w:space="0" w:color="auto"/>
        <w:right w:val="none" w:sz="0" w:space="0" w:color="auto"/>
      </w:divBdr>
    </w:div>
    <w:div w:id="799760287">
      <w:bodyDiv w:val="1"/>
      <w:marLeft w:val="0"/>
      <w:marRight w:val="0"/>
      <w:marTop w:val="0"/>
      <w:marBottom w:val="0"/>
      <w:divBdr>
        <w:top w:val="none" w:sz="0" w:space="0" w:color="auto"/>
        <w:left w:val="none" w:sz="0" w:space="0" w:color="auto"/>
        <w:bottom w:val="none" w:sz="0" w:space="0" w:color="auto"/>
        <w:right w:val="none" w:sz="0" w:space="0" w:color="auto"/>
      </w:divBdr>
    </w:div>
    <w:div w:id="818351844">
      <w:bodyDiv w:val="1"/>
      <w:marLeft w:val="0"/>
      <w:marRight w:val="0"/>
      <w:marTop w:val="0"/>
      <w:marBottom w:val="0"/>
      <w:divBdr>
        <w:top w:val="none" w:sz="0" w:space="0" w:color="auto"/>
        <w:left w:val="none" w:sz="0" w:space="0" w:color="auto"/>
        <w:bottom w:val="none" w:sz="0" w:space="0" w:color="auto"/>
        <w:right w:val="none" w:sz="0" w:space="0" w:color="auto"/>
      </w:divBdr>
    </w:div>
    <w:div w:id="822770595">
      <w:bodyDiv w:val="1"/>
      <w:marLeft w:val="0"/>
      <w:marRight w:val="0"/>
      <w:marTop w:val="0"/>
      <w:marBottom w:val="0"/>
      <w:divBdr>
        <w:top w:val="none" w:sz="0" w:space="0" w:color="auto"/>
        <w:left w:val="none" w:sz="0" w:space="0" w:color="auto"/>
        <w:bottom w:val="none" w:sz="0" w:space="0" w:color="auto"/>
        <w:right w:val="none" w:sz="0" w:space="0" w:color="auto"/>
      </w:divBdr>
    </w:div>
    <w:div w:id="1086610858">
      <w:bodyDiv w:val="1"/>
      <w:marLeft w:val="0"/>
      <w:marRight w:val="0"/>
      <w:marTop w:val="0"/>
      <w:marBottom w:val="0"/>
      <w:divBdr>
        <w:top w:val="none" w:sz="0" w:space="0" w:color="auto"/>
        <w:left w:val="none" w:sz="0" w:space="0" w:color="auto"/>
        <w:bottom w:val="none" w:sz="0" w:space="0" w:color="auto"/>
        <w:right w:val="none" w:sz="0" w:space="0" w:color="auto"/>
      </w:divBdr>
    </w:div>
    <w:div w:id="1114905285">
      <w:bodyDiv w:val="1"/>
      <w:marLeft w:val="0"/>
      <w:marRight w:val="0"/>
      <w:marTop w:val="0"/>
      <w:marBottom w:val="0"/>
      <w:divBdr>
        <w:top w:val="none" w:sz="0" w:space="0" w:color="auto"/>
        <w:left w:val="none" w:sz="0" w:space="0" w:color="auto"/>
        <w:bottom w:val="none" w:sz="0" w:space="0" w:color="auto"/>
        <w:right w:val="none" w:sz="0" w:space="0" w:color="auto"/>
      </w:divBdr>
    </w:div>
    <w:div w:id="1197112484">
      <w:bodyDiv w:val="1"/>
      <w:marLeft w:val="0"/>
      <w:marRight w:val="0"/>
      <w:marTop w:val="0"/>
      <w:marBottom w:val="0"/>
      <w:divBdr>
        <w:top w:val="none" w:sz="0" w:space="0" w:color="auto"/>
        <w:left w:val="none" w:sz="0" w:space="0" w:color="auto"/>
        <w:bottom w:val="none" w:sz="0" w:space="0" w:color="auto"/>
        <w:right w:val="none" w:sz="0" w:space="0" w:color="auto"/>
      </w:divBdr>
    </w:div>
    <w:div w:id="1276865978">
      <w:bodyDiv w:val="1"/>
      <w:marLeft w:val="0"/>
      <w:marRight w:val="0"/>
      <w:marTop w:val="0"/>
      <w:marBottom w:val="0"/>
      <w:divBdr>
        <w:top w:val="none" w:sz="0" w:space="0" w:color="auto"/>
        <w:left w:val="none" w:sz="0" w:space="0" w:color="auto"/>
        <w:bottom w:val="none" w:sz="0" w:space="0" w:color="auto"/>
        <w:right w:val="none" w:sz="0" w:space="0" w:color="auto"/>
      </w:divBdr>
    </w:div>
    <w:div w:id="1340933387">
      <w:bodyDiv w:val="1"/>
      <w:marLeft w:val="0"/>
      <w:marRight w:val="0"/>
      <w:marTop w:val="0"/>
      <w:marBottom w:val="0"/>
      <w:divBdr>
        <w:top w:val="none" w:sz="0" w:space="0" w:color="auto"/>
        <w:left w:val="none" w:sz="0" w:space="0" w:color="auto"/>
        <w:bottom w:val="none" w:sz="0" w:space="0" w:color="auto"/>
        <w:right w:val="none" w:sz="0" w:space="0" w:color="auto"/>
      </w:divBdr>
    </w:div>
    <w:div w:id="1346395241">
      <w:bodyDiv w:val="1"/>
      <w:marLeft w:val="0"/>
      <w:marRight w:val="0"/>
      <w:marTop w:val="0"/>
      <w:marBottom w:val="0"/>
      <w:divBdr>
        <w:top w:val="none" w:sz="0" w:space="0" w:color="auto"/>
        <w:left w:val="none" w:sz="0" w:space="0" w:color="auto"/>
        <w:bottom w:val="none" w:sz="0" w:space="0" w:color="auto"/>
        <w:right w:val="none" w:sz="0" w:space="0" w:color="auto"/>
      </w:divBdr>
    </w:div>
    <w:div w:id="1350789961">
      <w:bodyDiv w:val="1"/>
      <w:marLeft w:val="0"/>
      <w:marRight w:val="0"/>
      <w:marTop w:val="0"/>
      <w:marBottom w:val="0"/>
      <w:divBdr>
        <w:top w:val="none" w:sz="0" w:space="0" w:color="auto"/>
        <w:left w:val="none" w:sz="0" w:space="0" w:color="auto"/>
        <w:bottom w:val="none" w:sz="0" w:space="0" w:color="auto"/>
        <w:right w:val="none" w:sz="0" w:space="0" w:color="auto"/>
      </w:divBdr>
    </w:div>
    <w:div w:id="1391537248">
      <w:bodyDiv w:val="1"/>
      <w:marLeft w:val="0"/>
      <w:marRight w:val="0"/>
      <w:marTop w:val="0"/>
      <w:marBottom w:val="0"/>
      <w:divBdr>
        <w:top w:val="none" w:sz="0" w:space="0" w:color="auto"/>
        <w:left w:val="none" w:sz="0" w:space="0" w:color="auto"/>
        <w:bottom w:val="none" w:sz="0" w:space="0" w:color="auto"/>
        <w:right w:val="none" w:sz="0" w:space="0" w:color="auto"/>
      </w:divBdr>
    </w:div>
    <w:div w:id="1429696235">
      <w:bodyDiv w:val="1"/>
      <w:marLeft w:val="0"/>
      <w:marRight w:val="0"/>
      <w:marTop w:val="0"/>
      <w:marBottom w:val="0"/>
      <w:divBdr>
        <w:top w:val="none" w:sz="0" w:space="0" w:color="auto"/>
        <w:left w:val="none" w:sz="0" w:space="0" w:color="auto"/>
        <w:bottom w:val="none" w:sz="0" w:space="0" w:color="auto"/>
        <w:right w:val="none" w:sz="0" w:space="0" w:color="auto"/>
      </w:divBdr>
    </w:div>
    <w:div w:id="1546331879">
      <w:bodyDiv w:val="1"/>
      <w:marLeft w:val="0"/>
      <w:marRight w:val="0"/>
      <w:marTop w:val="0"/>
      <w:marBottom w:val="0"/>
      <w:divBdr>
        <w:top w:val="none" w:sz="0" w:space="0" w:color="auto"/>
        <w:left w:val="none" w:sz="0" w:space="0" w:color="auto"/>
        <w:bottom w:val="none" w:sz="0" w:space="0" w:color="auto"/>
        <w:right w:val="none" w:sz="0" w:space="0" w:color="auto"/>
      </w:divBdr>
    </w:div>
    <w:div w:id="1627393772">
      <w:bodyDiv w:val="1"/>
      <w:marLeft w:val="0"/>
      <w:marRight w:val="0"/>
      <w:marTop w:val="0"/>
      <w:marBottom w:val="0"/>
      <w:divBdr>
        <w:top w:val="none" w:sz="0" w:space="0" w:color="auto"/>
        <w:left w:val="none" w:sz="0" w:space="0" w:color="auto"/>
        <w:bottom w:val="none" w:sz="0" w:space="0" w:color="auto"/>
        <w:right w:val="none" w:sz="0" w:space="0" w:color="auto"/>
      </w:divBdr>
    </w:div>
    <w:div w:id="1658682039">
      <w:bodyDiv w:val="1"/>
      <w:marLeft w:val="0"/>
      <w:marRight w:val="0"/>
      <w:marTop w:val="0"/>
      <w:marBottom w:val="0"/>
      <w:divBdr>
        <w:top w:val="none" w:sz="0" w:space="0" w:color="auto"/>
        <w:left w:val="none" w:sz="0" w:space="0" w:color="auto"/>
        <w:bottom w:val="none" w:sz="0" w:space="0" w:color="auto"/>
        <w:right w:val="none" w:sz="0" w:space="0" w:color="auto"/>
      </w:divBdr>
    </w:div>
    <w:div w:id="1706365700">
      <w:bodyDiv w:val="1"/>
      <w:marLeft w:val="0"/>
      <w:marRight w:val="0"/>
      <w:marTop w:val="0"/>
      <w:marBottom w:val="0"/>
      <w:divBdr>
        <w:top w:val="none" w:sz="0" w:space="0" w:color="auto"/>
        <w:left w:val="none" w:sz="0" w:space="0" w:color="auto"/>
        <w:bottom w:val="none" w:sz="0" w:space="0" w:color="auto"/>
        <w:right w:val="none" w:sz="0" w:space="0" w:color="auto"/>
      </w:divBdr>
    </w:div>
    <w:div w:id="1793137142">
      <w:bodyDiv w:val="1"/>
      <w:marLeft w:val="0"/>
      <w:marRight w:val="0"/>
      <w:marTop w:val="0"/>
      <w:marBottom w:val="0"/>
      <w:divBdr>
        <w:top w:val="none" w:sz="0" w:space="0" w:color="auto"/>
        <w:left w:val="none" w:sz="0" w:space="0" w:color="auto"/>
        <w:bottom w:val="none" w:sz="0" w:space="0" w:color="auto"/>
        <w:right w:val="none" w:sz="0" w:space="0" w:color="auto"/>
      </w:divBdr>
    </w:div>
    <w:div w:id="1899053304">
      <w:bodyDiv w:val="1"/>
      <w:marLeft w:val="0"/>
      <w:marRight w:val="0"/>
      <w:marTop w:val="0"/>
      <w:marBottom w:val="0"/>
      <w:divBdr>
        <w:top w:val="none" w:sz="0" w:space="0" w:color="auto"/>
        <w:left w:val="none" w:sz="0" w:space="0" w:color="auto"/>
        <w:bottom w:val="none" w:sz="0" w:space="0" w:color="auto"/>
        <w:right w:val="none" w:sz="0" w:space="0" w:color="auto"/>
      </w:divBdr>
    </w:div>
    <w:div w:id="1905291980">
      <w:bodyDiv w:val="1"/>
      <w:marLeft w:val="0"/>
      <w:marRight w:val="0"/>
      <w:marTop w:val="0"/>
      <w:marBottom w:val="0"/>
      <w:divBdr>
        <w:top w:val="none" w:sz="0" w:space="0" w:color="auto"/>
        <w:left w:val="none" w:sz="0" w:space="0" w:color="auto"/>
        <w:bottom w:val="none" w:sz="0" w:space="0" w:color="auto"/>
        <w:right w:val="none" w:sz="0" w:space="0" w:color="auto"/>
      </w:divBdr>
    </w:div>
    <w:div w:id="1959683725">
      <w:bodyDiv w:val="1"/>
      <w:marLeft w:val="0"/>
      <w:marRight w:val="0"/>
      <w:marTop w:val="0"/>
      <w:marBottom w:val="0"/>
      <w:divBdr>
        <w:top w:val="none" w:sz="0" w:space="0" w:color="auto"/>
        <w:left w:val="none" w:sz="0" w:space="0" w:color="auto"/>
        <w:bottom w:val="none" w:sz="0" w:space="0" w:color="auto"/>
        <w:right w:val="none" w:sz="0" w:space="0" w:color="auto"/>
      </w:divBdr>
    </w:div>
    <w:div w:id="1982151510">
      <w:bodyDiv w:val="1"/>
      <w:marLeft w:val="0"/>
      <w:marRight w:val="0"/>
      <w:marTop w:val="0"/>
      <w:marBottom w:val="0"/>
      <w:divBdr>
        <w:top w:val="none" w:sz="0" w:space="0" w:color="auto"/>
        <w:left w:val="none" w:sz="0" w:space="0" w:color="auto"/>
        <w:bottom w:val="none" w:sz="0" w:space="0" w:color="auto"/>
        <w:right w:val="none" w:sz="0" w:space="0" w:color="auto"/>
      </w:divBdr>
    </w:div>
    <w:div w:id="206143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4F231-5483-4E78-962A-BED80395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8293</Words>
  <Characters>47271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  Paun</dc:creator>
  <cp:lastModifiedBy>Iain McLean</cp:lastModifiedBy>
  <cp:revision>3</cp:revision>
  <dcterms:created xsi:type="dcterms:W3CDTF">2018-03-13T18:04:00Z</dcterms:created>
  <dcterms:modified xsi:type="dcterms:W3CDTF">2018-03-13T18:32:00Z</dcterms:modified>
</cp:coreProperties>
</file>