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pPr w:leftFromText="180" w:rightFromText="180" w:vertAnchor="page" w:horzAnchor="margin" w:tblpXSpec="center" w:tblpY="2922"/>
        <w:tblW w:w="6911" w:type="dxa"/>
        <w:tblLook w:val="04A0" w:firstRow="1" w:lastRow="0" w:firstColumn="1" w:lastColumn="0" w:noHBand="0" w:noVBand="1"/>
      </w:tblPr>
      <w:tblGrid>
        <w:gridCol w:w="4392"/>
        <w:gridCol w:w="576"/>
        <w:gridCol w:w="1943"/>
      </w:tblGrid>
      <w:tr w:rsidR="005454E1" w:rsidRPr="001702C3" w:rsidTr="00A37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noWrap/>
            <w:hideMark/>
          </w:tcPr>
          <w:p w:rsidR="005454E1" w:rsidRPr="007476FE" w:rsidRDefault="005454E1" w:rsidP="00A37F2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Characteristics</w:t>
            </w:r>
          </w:p>
        </w:tc>
        <w:tc>
          <w:tcPr>
            <w:tcW w:w="576" w:type="dxa"/>
          </w:tcPr>
          <w:p w:rsidR="005454E1" w:rsidRPr="007476FE" w:rsidRDefault="005454E1" w:rsidP="00A37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1943" w:type="dxa"/>
            <w:noWrap/>
            <w:hideMark/>
          </w:tcPr>
          <w:p w:rsidR="005454E1" w:rsidRPr="007476FE" w:rsidRDefault="005454E1" w:rsidP="00A37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All patients</w:t>
            </w:r>
          </w:p>
        </w:tc>
      </w:tr>
      <w:tr w:rsidR="005454E1" w:rsidRPr="001702C3" w:rsidTr="00A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(year), median [IQR]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  <w:r w:rsidR="00E673C7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·0 [30·0; 47·</w:t>
            </w: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0]</w:t>
            </w:r>
          </w:p>
        </w:tc>
      </w:tr>
      <w:tr w:rsidR="005454E1" w:rsidRPr="001702C3" w:rsidTr="00A37F24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Gender n (%)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54E1" w:rsidRPr="001702C3" w:rsidTr="00A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(25·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8%)</w:t>
            </w:r>
          </w:p>
        </w:tc>
      </w:tr>
      <w:tr w:rsidR="005454E1" w:rsidRPr="001702C3" w:rsidTr="00A37F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(74·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2%)</w:t>
            </w:r>
          </w:p>
        </w:tc>
      </w:tr>
      <w:tr w:rsidR="005454E1" w:rsidRPr="001702C3" w:rsidTr="00A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Hepatitis n (%)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54E1" w:rsidRPr="001702C3" w:rsidTr="00A37F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 (96·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9%)</w:t>
            </w:r>
          </w:p>
        </w:tc>
      </w:tr>
      <w:tr w:rsidR="005454E1" w:rsidRPr="001702C3" w:rsidTr="00A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(3·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09%)</w:t>
            </w:r>
          </w:p>
        </w:tc>
      </w:tr>
      <w:tr w:rsidR="005454E1" w:rsidRPr="001702C3" w:rsidTr="00A37F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Diabetes n (%)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54E1" w:rsidRPr="001702C3" w:rsidTr="00A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 (91·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4%)</w:t>
            </w:r>
          </w:p>
        </w:tc>
      </w:tr>
      <w:tr w:rsidR="005454E1" w:rsidRPr="001702C3" w:rsidTr="00A37F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(8·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64%)</w:t>
            </w:r>
          </w:p>
        </w:tc>
      </w:tr>
      <w:tr w:rsidR="005454E1" w:rsidRPr="001702C3" w:rsidTr="00A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Smoker n (%)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54E1" w:rsidRPr="001702C3" w:rsidTr="00A37F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(49·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4%)</w:t>
            </w:r>
          </w:p>
        </w:tc>
      </w:tr>
      <w:tr w:rsidR="005454E1" w:rsidRPr="001702C3" w:rsidTr="00A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(50·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6%)</w:t>
            </w:r>
          </w:p>
        </w:tc>
      </w:tr>
      <w:tr w:rsidR="005454E1" w:rsidRPr="001702C3" w:rsidTr="00A37F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Alcohol n (%)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54E1" w:rsidRPr="001702C3" w:rsidTr="00A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(59·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9%)</w:t>
            </w:r>
          </w:p>
        </w:tc>
      </w:tr>
      <w:tr w:rsidR="005454E1" w:rsidRPr="001702C3" w:rsidTr="00A37F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(40·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1%)</w:t>
            </w:r>
          </w:p>
        </w:tc>
      </w:tr>
      <w:tr w:rsidR="005454E1" w:rsidRPr="001702C3" w:rsidTr="00A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Regimen (month) n (%) 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54E1" w:rsidRPr="001702C3" w:rsidTr="00A37F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2RHZE/6HE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 (69·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8%)</w:t>
            </w:r>
          </w:p>
        </w:tc>
      </w:tr>
      <w:tr w:rsidR="005454E1" w:rsidRPr="001702C3" w:rsidTr="00A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2SRHZ/6HE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(24·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1%)</w:t>
            </w:r>
          </w:p>
        </w:tc>
      </w:tr>
      <w:tr w:rsidR="005454E1" w:rsidRPr="001702C3" w:rsidTr="00A37F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2SRHZ/</w:t>
            </w:r>
            <w:r w:rsidR="0037351C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RHZ/5HE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70%)</w:t>
            </w:r>
          </w:p>
        </w:tc>
      </w:tr>
      <w:tr w:rsidR="005454E1" w:rsidRPr="001702C3" w:rsidTr="00A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3RHZE/3RH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(0·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62%)</w:t>
            </w:r>
          </w:p>
        </w:tc>
      </w:tr>
      <w:tr w:rsidR="005454E1" w:rsidRPr="001702C3" w:rsidTr="00A37F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noWrap/>
            <w:hideMark/>
          </w:tcPr>
          <w:p w:rsidR="005454E1" w:rsidRPr="007476FE" w:rsidRDefault="005454E1" w:rsidP="00A37F24">
            <w:pPr>
              <w:ind w:firstLine="2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3RHZE/5HE</w:t>
            </w:r>
          </w:p>
        </w:tc>
        <w:tc>
          <w:tcPr>
            <w:tcW w:w="576" w:type="dxa"/>
            <w:shd w:val="clear" w:color="auto" w:fill="auto"/>
          </w:tcPr>
          <w:p w:rsidR="005454E1" w:rsidRPr="007476FE" w:rsidRDefault="005454E1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5454E1" w:rsidRPr="007476FE" w:rsidRDefault="00E673C7" w:rsidP="00A3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(1·</w:t>
            </w:r>
            <w:r w:rsidR="005454E1" w:rsidRPr="007476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85%)</w:t>
            </w:r>
          </w:p>
        </w:tc>
      </w:tr>
    </w:tbl>
    <w:p w:rsidR="00330F3E" w:rsidRPr="002B1839" w:rsidRDefault="00330F3E" w:rsidP="00F1153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6910" w:rsidRPr="002B1839">
        <w:rPr>
          <w:rFonts w:ascii="Times New Roman" w:hAnsi="Times New Roman" w:cs="Times New Roman"/>
          <w:b/>
          <w:sz w:val="20"/>
          <w:szCs w:val="20"/>
        </w:rPr>
        <w:t>Supplementary materials</w:t>
      </w:r>
    </w:p>
    <w:p w:rsidR="00A37F24" w:rsidRPr="002B1839" w:rsidRDefault="007F42C3" w:rsidP="00F11530">
      <w:pPr>
        <w:rPr>
          <w:rFonts w:ascii="Times New Roman" w:hAnsi="Times New Roman" w:cs="Times New Roman"/>
          <w:b/>
          <w:sz w:val="20"/>
          <w:szCs w:val="20"/>
        </w:rPr>
      </w:pPr>
      <w:r w:rsidRPr="002B1839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proofErr w:type="gramStart"/>
      <w:r w:rsidR="00A37F24" w:rsidRPr="002B1839">
        <w:rPr>
          <w:rFonts w:ascii="Times New Roman" w:hAnsi="Times New Roman" w:cs="Times New Roman"/>
          <w:b/>
          <w:sz w:val="20"/>
          <w:szCs w:val="20"/>
        </w:rPr>
        <w:t>Supplementary</w:t>
      </w:r>
      <w:r w:rsidR="00A37F24" w:rsidRPr="002B1839">
        <w:rPr>
          <w:rFonts w:ascii="Times New Roman" w:hAnsi="Times New Roman" w:cs="Times New Roman"/>
          <w:sz w:val="20"/>
          <w:szCs w:val="20"/>
        </w:rPr>
        <w:t xml:space="preserve"> </w:t>
      </w:r>
      <w:r w:rsidR="00A37F24" w:rsidRPr="002B1839">
        <w:rPr>
          <w:rFonts w:ascii="Times New Roman" w:hAnsi="Times New Roman" w:cs="Times New Roman"/>
          <w:b/>
          <w:sz w:val="20"/>
          <w:szCs w:val="20"/>
        </w:rPr>
        <w:t>Table 1.</w:t>
      </w:r>
      <w:proofErr w:type="gramEnd"/>
      <w:r w:rsidR="00A37F24" w:rsidRPr="002B18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A37F24" w:rsidRPr="002B1839">
        <w:rPr>
          <w:rFonts w:ascii="Times New Roman" w:hAnsi="Times New Roman" w:cs="Times New Roman"/>
          <w:b/>
          <w:sz w:val="20"/>
          <w:szCs w:val="20"/>
        </w:rPr>
        <w:t>Baseline characteristics of patients</w:t>
      </w:r>
      <w:r w:rsidR="00B759E9" w:rsidRPr="002B18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59E9" w:rsidRPr="002B183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with </w:t>
      </w:r>
      <w:r w:rsidR="002B183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isolates having </w:t>
      </w:r>
      <w:bookmarkStart w:id="0" w:name="_GoBack"/>
      <w:bookmarkEnd w:id="0"/>
      <w:r w:rsidR="000014AD" w:rsidRPr="002B1839">
        <w:rPr>
          <w:rFonts w:ascii="Times New Roman" w:hAnsi="Times New Roman" w:cs="Times New Roman"/>
          <w:b/>
          <w:color w:val="FF0000"/>
          <w:sz w:val="20"/>
          <w:szCs w:val="20"/>
        </w:rPr>
        <w:t>WGS data</w:t>
      </w:r>
      <w:r w:rsidR="00A37F24" w:rsidRPr="002B1839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proofErr w:type="gramEnd"/>
    </w:p>
    <w:p w:rsidR="00A37F24" w:rsidRPr="007476FE" w:rsidRDefault="00A37F24" w:rsidP="00F11530">
      <w:pPr>
        <w:rPr>
          <w:rFonts w:ascii="Times New Roman" w:hAnsi="Times New Roman" w:cs="Times New Roman"/>
          <w:b/>
          <w:sz w:val="24"/>
          <w:szCs w:val="24"/>
        </w:rPr>
      </w:pPr>
    </w:p>
    <w:p w:rsidR="00E96910" w:rsidRDefault="00330F3E" w:rsidP="00F11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330F3E" w:rsidRPr="007476FE" w:rsidRDefault="00E96910" w:rsidP="00F1153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96910" w:rsidRDefault="00AE6184" w:rsidP="00AE618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Supplementary Table </w:t>
      </w:r>
      <w:r w:rsidRPr="007476FE">
        <w:rPr>
          <w:rFonts w:ascii="Times New Roman" w:hAnsi="Times New Roman" w:cs="Times New Roman"/>
          <w:b/>
          <w:sz w:val="20"/>
          <w:szCs w:val="20"/>
        </w:rPr>
        <w:t>2.</w:t>
      </w:r>
      <w:proofErr w:type="gramEnd"/>
      <w:r w:rsidRPr="007476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2DAA">
        <w:rPr>
          <w:rFonts w:ascii="Times New Roman" w:hAnsi="Times New Roman" w:cs="Times New Roman"/>
          <w:b/>
          <w:i/>
          <w:sz w:val="20"/>
          <w:szCs w:val="20"/>
        </w:rPr>
        <w:t xml:space="preserve">De </w:t>
      </w:r>
      <w:r w:rsidRPr="004B2DAA">
        <w:rPr>
          <w:rFonts w:ascii="Times New Roman" w:hAnsi="Times New Roman" w:cs="Times New Roman"/>
          <w:b/>
          <w:i/>
          <w:sz w:val="20"/>
          <w:szCs w:val="20"/>
        </w:rPr>
        <w:t>novo</w:t>
      </w:r>
      <w:r w:rsidRPr="007476FE">
        <w:rPr>
          <w:rFonts w:ascii="Times New Roman" w:hAnsi="Times New Roman" w:cs="Times New Roman"/>
          <w:b/>
          <w:sz w:val="20"/>
          <w:szCs w:val="20"/>
        </w:rPr>
        <w:t xml:space="preserve">, intermediate and </w:t>
      </w:r>
      <w:r w:rsidR="004B2DAA">
        <w:rPr>
          <w:rFonts w:ascii="Times New Roman" w:hAnsi="Times New Roman" w:cs="Times New Roman"/>
          <w:b/>
          <w:sz w:val="20"/>
          <w:szCs w:val="20"/>
        </w:rPr>
        <w:t xml:space="preserve">reinfection </w:t>
      </w:r>
      <w:r w:rsidRPr="007476FE">
        <w:rPr>
          <w:rFonts w:ascii="Times New Roman" w:hAnsi="Times New Roman" w:cs="Times New Roman"/>
          <w:b/>
          <w:sz w:val="20"/>
          <w:szCs w:val="20"/>
        </w:rPr>
        <w:t>of M</w:t>
      </w:r>
      <w:r w:rsidR="004B2DAA">
        <w:rPr>
          <w:rFonts w:ascii="Times New Roman" w:hAnsi="Times New Roman" w:cs="Times New Roman"/>
          <w:b/>
          <w:sz w:val="20"/>
          <w:szCs w:val="20"/>
        </w:rPr>
        <w:t xml:space="preserve">DR-TB in patients with </w:t>
      </w:r>
      <w:r w:rsidRPr="007476FE">
        <w:rPr>
          <w:rFonts w:ascii="Times New Roman" w:hAnsi="Times New Roman" w:cs="Times New Roman"/>
          <w:b/>
          <w:sz w:val="20"/>
          <w:szCs w:val="20"/>
        </w:rPr>
        <w:t xml:space="preserve">susceptible or isoniazid resistant </w:t>
      </w:r>
      <w:r w:rsidRPr="007476FE">
        <w:rPr>
          <w:rFonts w:ascii="Times New Roman" w:hAnsi="Times New Roman" w:cs="Times New Roman"/>
          <w:b/>
          <w:i/>
          <w:sz w:val="20"/>
          <w:szCs w:val="20"/>
        </w:rPr>
        <w:t>M. tuberculosis</w:t>
      </w:r>
      <w:r w:rsidRPr="007476FE">
        <w:rPr>
          <w:rFonts w:ascii="Times New Roman" w:hAnsi="Times New Roman" w:cs="Times New Roman"/>
          <w:b/>
          <w:sz w:val="20"/>
          <w:szCs w:val="20"/>
        </w:rPr>
        <w:t xml:space="preserve"> isolate at enrollment.</w:t>
      </w:r>
    </w:p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9000" w:type="dxa"/>
        <w:tblLayout w:type="fixed"/>
        <w:tblLook w:val="04A0" w:firstRow="1" w:lastRow="0" w:firstColumn="1" w:lastColumn="0" w:noHBand="0" w:noVBand="1"/>
      </w:tblPr>
      <w:tblGrid>
        <w:gridCol w:w="2430"/>
        <w:gridCol w:w="3240"/>
        <w:gridCol w:w="3330"/>
      </w:tblGrid>
      <w:tr w:rsidR="00E96910" w:rsidRPr="00840A24" w:rsidTr="00AE6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E96910" w:rsidRPr="007476FE" w:rsidRDefault="00E96910" w:rsidP="009231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</w:tcPr>
          <w:p w:rsidR="00E96910" w:rsidRPr="007476FE" w:rsidRDefault="00E96910" w:rsidP="00923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476FE">
              <w:rPr>
                <w:rFonts w:ascii="Times New Roman" w:hAnsi="Times New Roman" w:cs="Times New Roman"/>
                <w:sz w:val="16"/>
                <w:szCs w:val="16"/>
              </w:rPr>
              <w:t xml:space="preserve">Number of patients with susceptible TB </w:t>
            </w:r>
          </w:p>
        </w:tc>
        <w:tc>
          <w:tcPr>
            <w:tcW w:w="3330" w:type="dxa"/>
          </w:tcPr>
          <w:p w:rsidR="00E96910" w:rsidRPr="007476FE" w:rsidRDefault="00E96910" w:rsidP="00923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476FE">
              <w:rPr>
                <w:rFonts w:ascii="Times New Roman" w:hAnsi="Times New Roman" w:cs="Times New Roman"/>
                <w:sz w:val="16"/>
                <w:szCs w:val="16"/>
              </w:rPr>
              <w:t xml:space="preserve">Number of patients with INH resistant TB </w:t>
            </w:r>
          </w:p>
        </w:tc>
      </w:tr>
      <w:tr w:rsidR="00E96910" w:rsidRPr="00840A24" w:rsidTr="00AE6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:rsidR="00E96910" w:rsidRPr="00AE6184" w:rsidRDefault="00E96910" w:rsidP="009231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DAA">
              <w:rPr>
                <w:rFonts w:ascii="Times New Roman" w:hAnsi="Times New Roman" w:cs="Times New Roman"/>
                <w:i/>
                <w:sz w:val="16"/>
                <w:szCs w:val="16"/>
              </w:rPr>
              <w:t>De novo</w:t>
            </w:r>
            <w:r w:rsidRPr="00AE6184">
              <w:rPr>
                <w:rFonts w:ascii="Times New Roman" w:hAnsi="Times New Roman" w:cs="Times New Roman"/>
                <w:sz w:val="16"/>
                <w:szCs w:val="16"/>
              </w:rPr>
              <w:t xml:space="preserve"> and intermediate MDR-TB emergence</w:t>
            </w:r>
          </w:p>
        </w:tc>
        <w:tc>
          <w:tcPr>
            <w:tcW w:w="3240" w:type="dxa"/>
            <w:shd w:val="clear" w:color="auto" w:fill="auto"/>
          </w:tcPr>
          <w:p w:rsidR="00E96910" w:rsidRPr="00AE6184" w:rsidRDefault="00E96910" w:rsidP="0092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61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:rsidR="00E96910" w:rsidRPr="00AE6184" w:rsidRDefault="00E96910" w:rsidP="00923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6184">
              <w:rPr>
                <w:rFonts w:ascii="Times New Roman" w:hAnsi="Times New Roman" w:cs="Times New Roman"/>
                <w:sz w:val="16"/>
                <w:szCs w:val="16"/>
              </w:rPr>
              <w:t>6 (43%),   and 2 (14%)</w:t>
            </w:r>
          </w:p>
        </w:tc>
      </w:tr>
      <w:tr w:rsidR="00E96910" w:rsidRPr="00840A24" w:rsidTr="00AE6184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E96910" w:rsidRPr="007476FE" w:rsidRDefault="00E96910" w:rsidP="004B2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76FE">
              <w:rPr>
                <w:rFonts w:ascii="Times New Roman" w:hAnsi="Times New Roman" w:cs="Times New Roman"/>
                <w:sz w:val="16"/>
                <w:szCs w:val="16"/>
              </w:rPr>
              <w:t xml:space="preserve">MDR-TB </w:t>
            </w:r>
            <w:r w:rsidR="004B2DAA">
              <w:rPr>
                <w:rFonts w:ascii="Times New Roman" w:hAnsi="Times New Roman" w:cs="Times New Roman"/>
                <w:sz w:val="16"/>
                <w:szCs w:val="16"/>
              </w:rPr>
              <w:t>reinfection</w:t>
            </w:r>
          </w:p>
        </w:tc>
        <w:tc>
          <w:tcPr>
            <w:tcW w:w="3240" w:type="dxa"/>
          </w:tcPr>
          <w:p w:rsidR="00E96910" w:rsidRPr="007476FE" w:rsidRDefault="00E96910" w:rsidP="0092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76FE">
              <w:rPr>
                <w:rFonts w:ascii="Times New Roman" w:hAnsi="Times New Roman" w:cs="Times New Roman"/>
                <w:sz w:val="16"/>
                <w:szCs w:val="16"/>
              </w:rPr>
              <w:t>5 (100%)</w:t>
            </w:r>
          </w:p>
        </w:tc>
        <w:tc>
          <w:tcPr>
            <w:tcW w:w="3330" w:type="dxa"/>
          </w:tcPr>
          <w:p w:rsidR="00E96910" w:rsidRPr="007476FE" w:rsidRDefault="00E96910" w:rsidP="00923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76FE">
              <w:rPr>
                <w:rFonts w:ascii="Times New Roman" w:hAnsi="Times New Roman" w:cs="Times New Roman"/>
                <w:sz w:val="16"/>
                <w:szCs w:val="16"/>
              </w:rPr>
              <w:t>6 (43%)</w:t>
            </w:r>
          </w:p>
        </w:tc>
      </w:tr>
    </w:tbl>
    <w:p w:rsidR="00E96910" w:rsidRDefault="00E96910" w:rsidP="00F11530">
      <w:pPr>
        <w:rPr>
          <w:rFonts w:ascii="Times New Roman" w:hAnsi="Times New Roman" w:cs="Times New Roman"/>
          <w:sz w:val="24"/>
          <w:szCs w:val="24"/>
        </w:rPr>
      </w:pPr>
    </w:p>
    <w:p w:rsidR="00E96910" w:rsidRPr="007476FE" w:rsidRDefault="00E96910" w:rsidP="00E96910">
      <w:pPr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ightShading"/>
        <w:tblpPr w:leftFromText="180" w:rightFromText="180" w:vertAnchor="page" w:horzAnchor="margin" w:tblpXSpec="center" w:tblpY="2922"/>
        <w:tblW w:w="7034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586"/>
        <w:gridCol w:w="1977"/>
      </w:tblGrid>
      <w:tr w:rsidR="00DF1BEF" w:rsidRPr="001702C3" w:rsidTr="002F5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DF1BEF" w:rsidRPr="007476FE" w:rsidRDefault="00DF1BEF" w:rsidP="000E4AB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1BEF" w:rsidRPr="007476FE" w:rsidRDefault="00DF1BEF" w:rsidP="000E4A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DF1BEF" w:rsidRPr="007476FE" w:rsidRDefault="00DF1BEF" w:rsidP="000E4A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</w:tbl>
    <w:p w:rsidR="009A66E5" w:rsidRDefault="007F7B9F" w:rsidP="007F7B9F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lastRenderedPageBreak/>
        <w:t>Supplementary Table 3</w:t>
      </w:r>
      <w:r w:rsidRPr="007476FE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7476F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Clinical </w:t>
      </w:r>
      <w:r w:rsidR="004B2DAA">
        <w:rPr>
          <w:rFonts w:ascii="Times New Roman" w:hAnsi="Times New Roman" w:cs="Times New Roman"/>
          <w:b/>
          <w:sz w:val="20"/>
          <w:szCs w:val="20"/>
        </w:rPr>
        <w:t xml:space="preserve">presentation </w:t>
      </w:r>
      <w:r>
        <w:rPr>
          <w:rFonts w:ascii="Times New Roman" w:hAnsi="Times New Roman" w:cs="Times New Roman"/>
          <w:b/>
          <w:sz w:val="20"/>
          <w:szCs w:val="20"/>
        </w:rPr>
        <w:t xml:space="preserve">of patients </w:t>
      </w:r>
      <w:r w:rsidR="004B2DAA">
        <w:rPr>
          <w:rFonts w:ascii="Times New Roman" w:hAnsi="Times New Roman" w:cs="Times New Roman"/>
          <w:b/>
          <w:sz w:val="20"/>
          <w:szCs w:val="20"/>
        </w:rPr>
        <w:t>with WGS (n = 163</w:t>
      </w:r>
      <w:r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4B2DAA">
        <w:rPr>
          <w:rFonts w:ascii="Times New Roman" w:hAnsi="Times New Roman" w:cs="Times New Roman"/>
          <w:b/>
          <w:sz w:val="20"/>
          <w:szCs w:val="20"/>
        </w:rPr>
        <w:t xml:space="preserve">and </w:t>
      </w:r>
      <w:r w:rsidRPr="007F7B9F">
        <w:rPr>
          <w:rFonts w:ascii="Times New Roman" w:hAnsi="Times New Roman" w:cs="Times New Roman"/>
          <w:b/>
          <w:i/>
          <w:sz w:val="20"/>
          <w:szCs w:val="20"/>
        </w:rPr>
        <w:t>de novo</w:t>
      </w:r>
      <w:r>
        <w:rPr>
          <w:rFonts w:ascii="Times New Roman" w:hAnsi="Times New Roman" w:cs="Times New Roman"/>
          <w:b/>
          <w:sz w:val="20"/>
          <w:szCs w:val="20"/>
        </w:rPr>
        <w:t xml:space="preserve">, intermediate and without emergence of </w:t>
      </w:r>
      <w:r w:rsidRPr="007476FE">
        <w:rPr>
          <w:rFonts w:ascii="Times New Roman" w:hAnsi="Times New Roman" w:cs="Times New Roman"/>
          <w:b/>
          <w:sz w:val="20"/>
          <w:szCs w:val="20"/>
        </w:rPr>
        <w:t>MDR-TB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LightShading"/>
        <w:tblW w:w="79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40"/>
        <w:gridCol w:w="2320"/>
        <w:gridCol w:w="2180"/>
        <w:gridCol w:w="1460"/>
      </w:tblGrid>
      <w:tr w:rsidR="007D28FC" w:rsidRPr="007D28FC" w:rsidTr="001A5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</w:tcPr>
          <w:p w:rsidR="007D28FC" w:rsidRPr="007D28FC" w:rsidRDefault="007D28FC" w:rsidP="007D28F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0" w:type="dxa"/>
            <w:shd w:val="clear" w:color="auto" w:fill="FFFFFF" w:themeFill="background1"/>
            <w:noWrap/>
          </w:tcPr>
          <w:p w:rsidR="007D28FC" w:rsidRPr="007D28FC" w:rsidRDefault="007D28FC" w:rsidP="007D2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0" w:type="dxa"/>
            <w:shd w:val="clear" w:color="auto" w:fill="FFFFFF" w:themeFill="background1"/>
            <w:noWrap/>
          </w:tcPr>
          <w:p w:rsidR="007D28FC" w:rsidRPr="007D28FC" w:rsidRDefault="007D28FC" w:rsidP="007D2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shd w:val="clear" w:color="auto" w:fill="FFFFFF" w:themeFill="background1"/>
            <w:noWrap/>
          </w:tcPr>
          <w:p w:rsidR="007D28FC" w:rsidRPr="007D28FC" w:rsidRDefault="007D28FC" w:rsidP="007D2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28FC" w:rsidRPr="007D28FC" w:rsidTr="002F5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tcBorders>
              <w:bottom w:val="nil"/>
            </w:tcBorders>
            <w:shd w:val="clear" w:color="auto" w:fill="FFFFFF" w:themeFill="background1"/>
            <w:noWrap/>
          </w:tcPr>
          <w:p w:rsidR="007D28FC" w:rsidRPr="009A66E5" w:rsidRDefault="007D28FC" w:rsidP="007014C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9A66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Characteristics</w:t>
            </w:r>
          </w:p>
        </w:tc>
        <w:tc>
          <w:tcPr>
            <w:tcW w:w="2320" w:type="dxa"/>
            <w:tcBorders>
              <w:bottom w:val="nil"/>
            </w:tcBorders>
            <w:shd w:val="clear" w:color="auto" w:fill="FFFFFF" w:themeFill="background1"/>
            <w:noWrap/>
          </w:tcPr>
          <w:p w:rsidR="007D28FC" w:rsidRPr="009A66E5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Patients without MDR-TB emergence</w:t>
            </w:r>
            <w:r w:rsidRPr="009A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(n=155)</w:t>
            </w:r>
          </w:p>
        </w:tc>
        <w:tc>
          <w:tcPr>
            <w:tcW w:w="2180" w:type="dxa"/>
            <w:tcBorders>
              <w:bottom w:val="nil"/>
            </w:tcBorders>
            <w:shd w:val="clear" w:color="auto" w:fill="FFFFFF" w:themeFill="background1"/>
            <w:noWrap/>
          </w:tcPr>
          <w:p w:rsidR="007D28FC" w:rsidRPr="009A66E5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Patients with </w:t>
            </w:r>
            <w:r w:rsidRPr="009A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de novo</w:t>
            </w:r>
            <w:r w:rsidRPr="009A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and intermediate MDR-TB emergence</w:t>
            </w:r>
            <w:r w:rsidRPr="009A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(n=8)</w:t>
            </w:r>
          </w:p>
        </w:tc>
        <w:tc>
          <w:tcPr>
            <w:tcW w:w="1460" w:type="dxa"/>
            <w:tcBorders>
              <w:bottom w:val="nil"/>
            </w:tcBorders>
            <w:shd w:val="clear" w:color="auto" w:fill="FFFFFF" w:themeFill="background1"/>
            <w:noWrap/>
          </w:tcPr>
          <w:p w:rsidR="007D28FC" w:rsidRPr="009A66E5" w:rsidRDefault="002F5B9A" w:rsidP="002F5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  <w:r w:rsidR="007D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7D28FC" w:rsidRPr="007D28FC" w:rsidTr="002F5B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tcBorders>
              <w:top w:val="double" w:sz="4" w:space="0" w:color="auto"/>
            </w:tcBorders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2320" w:type="dxa"/>
            <w:tcBorders>
              <w:top w:val="double" w:sz="4" w:space="0" w:color="auto"/>
            </w:tcBorders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 [30.0;47.0]</w:t>
            </w:r>
          </w:p>
        </w:tc>
        <w:tc>
          <w:tcPr>
            <w:tcW w:w="2180" w:type="dxa"/>
            <w:tcBorders>
              <w:top w:val="double" w:sz="4" w:space="0" w:color="auto"/>
            </w:tcBorders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41.5 [36.8;43.5]</w:t>
            </w:r>
          </w:p>
        </w:tc>
        <w:tc>
          <w:tcPr>
            <w:tcW w:w="1460" w:type="dxa"/>
            <w:tcBorders>
              <w:top w:val="double" w:sz="4" w:space="0" w:color="auto"/>
            </w:tcBorders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0.818</w:t>
            </w:r>
          </w:p>
        </w:tc>
      </w:tr>
      <w:tr w:rsidR="007D28FC" w:rsidRPr="007D28FC" w:rsidTr="001A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Gender: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0.426</w:t>
            </w:r>
          </w:p>
        </w:tc>
      </w:tr>
      <w:tr w:rsidR="007D28FC" w:rsidRPr="007D28FC" w:rsidTr="001A5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(25.2%)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(37.5%)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(74.8%)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(62.5%)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Hepatitis: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7D28FC" w:rsidRPr="007D28FC" w:rsidTr="001A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(96.8%)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(100%)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(3.23%)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(0.00%)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Diabetes: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7D28FC" w:rsidRPr="007D28FC" w:rsidTr="001A5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 (91.0%)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(100%)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(9.03%)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(0.00%)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Smoker: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0.062</w:t>
            </w:r>
          </w:p>
        </w:tc>
      </w:tr>
      <w:tr w:rsidR="007D28FC" w:rsidRPr="007D28FC" w:rsidTr="001A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(47.7%)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(85.7%)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 (52.3%)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Alcohol: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2F5B9A" w:rsidP="007D2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="007D28FC"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</w:tr>
      <w:tr w:rsidR="007D28FC" w:rsidRPr="007D28FC" w:rsidTr="001A5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(58.1%)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(100%)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(41.9%)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(0.00%)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Xray_Abnormal</w:t>
            </w:r>
            <w:proofErr w:type="spellEnd"/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7D28FC" w:rsidRPr="007D28FC" w:rsidTr="001A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(10.3%)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(0.00%)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 (89.7%)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(100%)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8FC" w:rsidRPr="007D28FC" w:rsidTr="001A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AFB_status</w:t>
            </w:r>
            <w:proofErr w:type="spellEnd"/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7D28FC" w:rsidRPr="007D28FC" w:rsidRDefault="007D28FC" w:rsidP="007D2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0.545</w:t>
            </w:r>
          </w:p>
        </w:tc>
      </w:tr>
      <w:tr w:rsidR="002F5B9A" w:rsidRPr="007D28FC" w:rsidTr="002F5B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</w:tcPr>
          <w:p w:rsidR="002F5B9A" w:rsidRPr="007D28FC" w:rsidRDefault="002F5B9A" w:rsidP="007014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Mild</w:t>
            </w:r>
          </w:p>
        </w:tc>
        <w:tc>
          <w:tcPr>
            <w:tcW w:w="2320" w:type="dxa"/>
            <w:shd w:val="clear" w:color="auto" w:fill="FFFFFF" w:themeFill="background1"/>
            <w:noWrap/>
          </w:tcPr>
          <w:p w:rsidR="002F5B9A" w:rsidRPr="007D28FC" w:rsidRDefault="002F5B9A" w:rsidP="00701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(15.0%)</w:t>
            </w:r>
          </w:p>
        </w:tc>
        <w:tc>
          <w:tcPr>
            <w:tcW w:w="2180" w:type="dxa"/>
            <w:shd w:val="clear" w:color="auto" w:fill="FFFFFF" w:themeFill="background1"/>
            <w:noWrap/>
          </w:tcPr>
          <w:p w:rsidR="002F5B9A" w:rsidRPr="007D28FC" w:rsidRDefault="002F5B9A" w:rsidP="00701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(0.00%)</w:t>
            </w:r>
          </w:p>
        </w:tc>
        <w:tc>
          <w:tcPr>
            <w:tcW w:w="1460" w:type="dxa"/>
            <w:shd w:val="clear" w:color="auto" w:fill="FFFFFF" w:themeFill="background1"/>
            <w:noWrap/>
          </w:tcPr>
          <w:p w:rsidR="002F5B9A" w:rsidRPr="007D28FC" w:rsidRDefault="002F5B9A" w:rsidP="00701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5B9A" w:rsidRPr="007D28FC" w:rsidTr="002F5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</w:tcPr>
          <w:p w:rsidR="002F5B9A" w:rsidRPr="007D28FC" w:rsidRDefault="002F5B9A" w:rsidP="007014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Intermediat</w:t>
            </w:r>
            <w:proofErr w:type="spellEnd"/>
          </w:p>
        </w:tc>
        <w:tc>
          <w:tcPr>
            <w:tcW w:w="2320" w:type="dxa"/>
            <w:shd w:val="clear" w:color="auto" w:fill="FFFFFF" w:themeFill="background1"/>
            <w:noWrap/>
          </w:tcPr>
          <w:p w:rsidR="002F5B9A" w:rsidRPr="007D28FC" w:rsidRDefault="002F5B9A" w:rsidP="00701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(34.0%)</w:t>
            </w:r>
          </w:p>
        </w:tc>
        <w:tc>
          <w:tcPr>
            <w:tcW w:w="2180" w:type="dxa"/>
            <w:shd w:val="clear" w:color="auto" w:fill="FFFFFF" w:themeFill="background1"/>
            <w:noWrap/>
          </w:tcPr>
          <w:p w:rsidR="002F5B9A" w:rsidRPr="007D28FC" w:rsidRDefault="002F5B9A" w:rsidP="00701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(50.0%)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2F5B9A" w:rsidRPr="007D28FC" w:rsidRDefault="002F5B9A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5B9A" w:rsidRPr="007D28FC" w:rsidTr="001A5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  <w:hideMark/>
          </w:tcPr>
          <w:p w:rsidR="002F5B9A" w:rsidRPr="007D28FC" w:rsidRDefault="002F5B9A" w:rsidP="007D28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Severe</w:t>
            </w:r>
          </w:p>
        </w:tc>
        <w:tc>
          <w:tcPr>
            <w:tcW w:w="2320" w:type="dxa"/>
            <w:shd w:val="clear" w:color="auto" w:fill="FFFFFF" w:themeFill="background1"/>
            <w:noWrap/>
            <w:hideMark/>
          </w:tcPr>
          <w:p w:rsidR="002F5B9A" w:rsidRPr="007D28FC" w:rsidRDefault="002F5B9A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(51.0%)</w:t>
            </w:r>
          </w:p>
        </w:tc>
        <w:tc>
          <w:tcPr>
            <w:tcW w:w="2180" w:type="dxa"/>
            <w:shd w:val="clear" w:color="auto" w:fill="FFFFFF" w:themeFill="background1"/>
            <w:noWrap/>
            <w:hideMark/>
          </w:tcPr>
          <w:p w:rsidR="002F5B9A" w:rsidRPr="007D28FC" w:rsidRDefault="002F5B9A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2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(50.0%)</w:t>
            </w:r>
          </w:p>
        </w:tc>
        <w:tc>
          <w:tcPr>
            <w:tcW w:w="1460" w:type="dxa"/>
            <w:shd w:val="clear" w:color="auto" w:fill="FFFFFF" w:themeFill="background1"/>
            <w:noWrap/>
            <w:hideMark/>
          </w:tcPr>
          <w:p w:rsidR="002F5B9A" w:rsidRPr="007D28FC" w:rsidRDefault="002F5B9A" w:rsidP="007D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5B9A" w:rsidRPr="007D28FC" w:rsidTr="001A5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FFFFFF" w:themeFill="background1"/>
            <w:noWrap/>
          </w:tcPr>
          <w:p w:rsidR="002F5B9A" w:rsidRPr="007D28FC" w:rsidRDefault="002F5B9A" w:rsidP="007D28F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0" w:type="dxa"/>
            <w:shd w:val="clear" w:color="auto" w:fill="FFFFFF" w:themeFill="background1"/>
            <w:noWrap/>
          </w:tcPr>
          <w:p w:rsidR="002F5B9A" w:rsidRPr="007D28FC" w:rsidRDefault="002F5B9A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0" w:type="dxa"/>
            <w:shd w:val="clear" w:color="auto" w:fill="FFFFFF" w:themeFill="background1"/>
            <w:noWrap/>
          </w:tcPr>
          <w:p w:rsidR="002F5B9A" w:rsidRPr="007D28FC" w:rsidRDefault="002F5B9A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shd w:val="clear" w:color="auto" w:fill="FFFFFF" w:themeFill="background1"/>
            <w:noWrap/>
          </w:tcPr>
          <w:p w:rsidR="002F5B9A" w:rsidRPr="007D28FC" w:rsidRDefault="002F5B9A" w:rsidP="007D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F5B9A" w:rsidRDefault="002F5B9A" w:rsidP="00E96910">
      <w:pPr>
        <w:rPr>
          <w:rFonts w:ascii="Times New Roman" w:hAnsi="Times New Roman" w:cs="Times New Roman"/>
          <w:sz w:val="16"/>
          <w:szCs w:val="16"/>
        </w:rPr>
      </w:pPr>
      <w:r w:rsidRPr="002F5B9A">
        <w:rPr>
          <w:rFonts w:ascii="Times New Roman" w:hAnsi="Times New Roman" w:cs="Times New Roman"/>
          <w:sz w:val="16"/>
          <w:szCs w:val="16"/>
        </w:rPr>
        <w:t>Except for alcohol drinking</w:t>
      </w:r>
      <w:r w:rsidR="00347347">
        <w:rPr>
          <w:rFonts w:ascii="Times New Roman" w:hAnsi="Times New Roman" w:cs="Times New Roman"/>
          <w:sz w:val="16"/>
          <w:szCs w:val="16"/>
        </w:rPr>
        <w:t>,</w:t>
      </w:r>
      <w:r w:rsidRPr="002F5B9A">
        <w:rPr>
          <w:rFonts w:ascii="Times New Roman" w:hAnsi="Times New Roman" w:cs="Times New Roman"/>
          <w:sz w:val="16"/>
          <w:szCs w:val="16"/>
        </w:rPr>
        <w:t xml:space="preserve"> p-value</w:t>
      </w:r>
      <w:r>
        <w:rPr>
          <w:rFonts w:ascii="Times New Roman" w:hAnsi="Times New Roman" w:cs="Times New Roman"/>
          <w:sz w:val="16"/>
          <w:szCs w:val="16"/>
        </w:rPr>
        <w:t xml:space="preserve"> (calculated by </w:t>
      </w:r>
      <w:proofErr w:type="spellStart"/>
      <w:r>
        <w:rPr>
          <w:rFonts w:ascii="Times New Roman" w:hAnsi="Times New Roman" w:cs="Times New Roman"/>
          <w:sz w:val="16"/>
          <w:szCs w:val="16"/>
        </w:rPr>
        <w:t>CompareGroups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in R package) was not significant for proportion of distribution of patient’s characteristics between the groups. For hepatitis, Diabetes and smoking</w:t>
      </w:r>
      <w:r w:rsidR="00171707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information was only available for 7 patients in emergence of MDR-TB group.</w:t>
      </w:r>
    </w:p>
    <w:p w:rsidR="00E96910" w:rsidRDefault="00E96910" w:rsidP="00E96910">
      <w:pPr>
        <w:rPr>
          <w:rFonts w:ascii="Times New Roman" w:hAnsi="Times New Roman" w:cs="Times New Roman"/>
          <w:b/>
          <w:sz w:val="20"/>
          <w:szCs w:val="20"/>
        </w:rPr>
      </w:pPr>
      <w:r w:rsidRPr="007476FE">
        <w:rPr>
          <w:rFonts w:ascii="Times New Roman" w:hAnsi="Times New Roman" w:cs="Times New Roman"/>
          <w:b/>
          <w:sz w:val="20"/>
          <w:szCs w:val="20"/>
        </w:rPr>
        <w:t xml:space="preserve">Supplementary method </w:t>
      </w:r>
    </w:p>
    <w:p w:rsidR="005B0B18" w:rsidRPr="005B0B18" w:rsidRDefault="005B0B18" w:rsidP="005B0B18">
      <w:pPr>
        <w:spacing w:line="48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5B0B18">
        <w:rPr>
          <w:rFonts w:ascii="Times New Roman" w:eastAsiaTheme="minorEastAsia" w:hAnsi="Times New Roman" w:cs="Times New Roman"/>
          <w:b/>
          <w:sz w:val="20"/>
          <w:szCs w:val="20"/>
        </w:rPr>
        <w:t xml:space="preserve">Culturing </w:t>
      </w:r>
      <w:r w:rsidRPr="005B0B18">
        <w:rPr>
          <w:rFonts w:ascii="Times New Roman" w:eastAsiaTheme="minorEastAsia" w:hAnsi="Times New Roman" w:cs="Times New Roman"/>
          <w:b/>
          <w:i/>
          <w:sz w:val="20"/>
          <w:szCs w:val="20"/>
        </w:rPr>
        <w:t>M. tuberculosis</w:t>
      </w:r>
      <w:r w:rsidRPr="005B0B18">
        <w:rPr>
          <w:rFonts w:ascii="Times New Roman" w:eastAsiaTheme="minorEastAsia" w:hAnsi="Times New Roman" w:cs="Times New Roman"/>
          <w:b/>
          <w:sz w:val="20"/>
          <w:szCs w:val="20"/>
        </w:rPr>
        <w:t xml:space="preserve"> isolates and Drug Susceptibility Testing</w:t>
      </w:r>
    </w:p>
    <w:p w:rsidR="005B0B18" w:rsidRDefault="005B0B18" w:rsidP="005B0B18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C21">
        <w:rPr>
          <w:rFonts w:ascii="Times New Roman" w:hAnsi="Times New Roman" w:cs="Times New Roman"/>
          <w:sz w:val="20"/>
          <w:szCs w:val="20"/>
        </w:rPr>
        <w:t xml:space="preserve">Sputum samples around 3-5 mL were decontaminated by treating with equal volume of 2% </w:t>
      </w:r>
      <w:r w:rsidRPr="00D53C21">
        <w:rPr>
          <w:rFonts w:ascii="Times New Roman" w:hAnsi="Times New Roman" w:cs="Times New Roman"/>
          <w:bCs/>
          <w:sz w:val="20"/>
          <w:szCs w:val="20"/>
          <w:lang w:bidi="th-TH"/>
        </w:rPr>
        <w:t>sodium hydroxide (</w:t>
      </w:r>
      <w:proofErr w:type="spellStart"/>
      <w:r w:rsidRPr="00D53C21">
        <w:rPr>
          <w:rFonts w:ascii="Times New Roman" w:hAnsi="Times New Roman" w:cs="Times New Roman"/>
          <w:bCs/>
          <w:sz w:val="20"/>
          <w:szCs w:val="20"/>
          <w:lang w:bidi="th-TH"/>
        </w:rPr>
        <w:t>NaOH</w:t>
      </w:r>
      <w:proofErr w:type="spellEnd"/>
      <w:r w:rsidRPr="00D53C21">
        <w:rPr>
          <w:rFonts w:ascii="Times New Roman" w:hAnsi="Times New Roman" w:cs="Times New Roman"/>
          <w:bCs/>
          <w:sz w:val="20"/>
          <w:szCs w:val="20"/>
          <w:lang w:bidi="th-TH"/>
        </w:rPr>
        <w:t>) and 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53C21">
        <w:rPr>
          <w:rFonts w:ascii="Times New Roman" w:hAnsi="Times New Roman" w:cs="Times New Roman"/>
          <w:bCs/>
          <w:sz w:val="20"/>
          <w:szCs w:val="20"/>
          <w:lang w:bidi="th-TH"/>
        </w:rPr>
        <w:t>5% N-Acetyl-L-Cysteine (NALC) in a 50 mL falcon tube, followed by mixing by vortex for 20 seconds. The treated samples were incubated at room temperature for exactly 15 minutes, and neutralized by adding 35 - 37 mL of H</w:t>
      </w:r>
      <w:r w:rsidRPr="00D53C21">
        <w:rPr>
          <w:rFonts w:ascii="Times New Roman" w:hAnsi="Times New Roman" w:cs="Times New Roman"/>
          <w:bCs/>
          <w:sz w:val="20"/>
          <w:szCs w:val="20"/>
          <w:vertAlign w:val="subscript"/>
          <w:lang w:bidi="th-TH"/>
        </w:rPr>
        <w:t>2</w:t>
      </w:r>
      <w:r w:rsidRPr="00D53C21">
        <w:rPr>
          <w:rFonts w:ascii="Times New Roman" w:hAnsi="Times New Roman" w:cs="Times New Roman"/>
          <w:bCs/>
          <w:sz w:val="20"/>
          <w:szCs w:val="20"/>
          <w:lang w:bidi="th-TH"/>
        </w:rPr>
        <w:t xml:space="preserve">O (ELGA). Samples were centrifuged at 3000 RPM for 15 minutes, supernatant was carefully </w:t>
      </w:r>
      <w:r w:rsidRPr="00D53C21">
        <w:rPr>
          <w:rFonts w:ascii="Times New Roman" w:hAnsi="Times New Roman" w:cs="Times New Roman"/>
          <w:bCs/>
          <w:sz w:val="20"/>
          <w:szCs w:val="20"/>
          <w:lang w:bidi="th-TH"/>
        </w:rPr>
        <w:lastRenderedPageBreak/>
        <w:t xml:space="preserve">removed, and the pellet was further centrifuged at 10000 RPM for 15 minutes to remove additional supernatant. The pellet was dissolved in 100 µL of water and used to culture </w:t>
      </w:r>
      <w:r w:rsidRPr="00D53C21">
        <w:rPr>
          <w:rFonts w:ascii="Times New Roman" w:hAnsi="Times New Roman" w:cs="Times New Roman"/>
          <w:bCs/>
          <w:i/>
          <w:sz w:val="20"/>
          <w:szCs w:val="20"/>
          <w:lang w:bidi="th-TH"/>
        </w:rPr>
        <w:t>M. tuberculosis</w:t>
      </w:r>
      <w:r w:rsidRPr="00D53C21">
        <w:rPr>
          <w:rFonts w:ascii="Times New Roman" w:hAnsi="Times New Roman" w:cs="Times New Roman"/>
          <w:bCs/>
          <w:sz w:val="20"/>
          <w:szCs w:val="20"/>
          <w:lang w:bidi="th-TH"/>
        </w:rPr>
        <w:t xml:space="preserve"> on LJ tube. Colonies from </w:t>
      </w:r>
      <w:r w:rsidRPr="00D53C21">
        <w:rPr>
          <w:rFonts w:ascii="Times New Roman" w:hAnsi="Times New Roman" w:cs="Times New Roman"/>
          <w:i/>
          <w:sz w:val="20"/>
          <w:szCs w:val="20"/>
        </w:rPr>
        <w:t>M. tuberculosis</w:t>
      </w:r>
      <w:r w:rsidRPr="00D53C21">
        <w:rPr>
          <w:rFonts w:ascii="Times New Roman" w:hAnsi="Times New Roman" w:cs="Times New Roman"/>
          <w:sz w:val="20"/>
          <w:szCs w:val="20"/>
        </w:rPr>
        <w:t xml:space="preserve"> cultures from positive sputum samples (n = 448) were scooped for archive and sub-culturing in Mycobacterial Growth Indicator Tube (MGIT) for phenotypic drug susceptibility testing (DST) by BACTEC MGIT 960 SIRE Kit (Becton Dickinson) according to the manufacturer’s protocol in the biosafety level-3 laboratory at the Oxford University Clinical Research Unit. DST was done for strepto</w:t>
      </w:r>
      <w:r>
        <w:rPr>
          <w:rFonts w:ascii="Times New Roman" w:hAnsi="Times New Roman" w:cs="Times New Roman"/>
          <w:sz w:val="20"/>
          <w:szCs w:val="20"/>
        </w:rPr>
        <w:t xml:space="preserve">mycin (1.0 µg/mL), isoniazid </w:t>
      </w:r>
      <w:proofErr w:type="gramStart"/>
      <w:r>
        <w:rPr>
          <w:rFonts w:ascii="Times New Roman" w:hAnsi="Times New Roman" w:cs="Times New Roman"/>
          <w:sz w:val="20"/>
          <w:szCs w:val="20"/>
        </w:rPr>
        <w:t>(0.1 µg/mL)</w:t>
      </w:r>
      <w:proofErr w:type="gramEnd"/>
      <w:r>
        <w:rPr>
          <w:rFonts w:ascii="Times New Roman" w:hAnsi="Times New Roman" w:cs="Times New Roman"/>
          <w:sz w:val="20"/>
          <w:szCs w:val="20"/>
        </w:rPr>
        <w:t>, rifampicin (1.0 µg/mL) and ethambutol (5.</w:t>
      </w:r>
      <w:r w:rsidRPr="00D53C21">
        <w:rPr>
          <w:rFonts w:ascii="Times New Roman" w:hAnsi="Times New Roman" w:cs="Times New Roman"/>
          <w:sz w:val="20"/>
          <w:szCs w:val="20"/>
        </w:rPr>
        <w:t>0 µg/mL).</w:t>
      </w:r>
    </w:p>
    <w:p w:rsidR="005B0B18" w:rsidRPr="005B0B18" w:rsidRDefault="005B0B18" w:rsidP="005B0B18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0B18">
        <w:rPr>
          <w:rFonts w:ascii="Times New Roman" w:hAnsi="Times New Roman" w:cs="Times New Roman"/>
          <w:b/>
          <w:sz w:val="20"/>
          <w:szCs w:val="20"/>
        </w:rPr>
        <w:t xml:space="preserve">Whole genome </w:t>
      </w:r>
      <w:r w:rsidR="008A5EBB" w:rsidRPr="005B0B18">
        <w:rPr>
          <w:rFonts w:ascii="Times New Roman" w:hAnsi="Times New Roman" w:cs="Times New Roman"/>
          <w:b/>
          <w:sz w:val="20"/>
          <w:szCs w:val="20"/>
        </w:rPr>
        <w:t>sequenci</w:t>
      </w:r>
      <w:r w:rsidR="008A5EBB">
        <w:rPr>
          <w:rFonts w:ascii="Times New Roman" w:hAnsi="Times New Roman" w:cs="Times New Roman"/>
          <w:b/>
          <w:sz w:val="20"/>
          <w:szCs w:val="20"/>
        </w:rPr>
        <w:t>ng</w:t>
      </w:r>
      <w:r w:rsidRPr="005B0B18">
        <w:rPr>
          <w:rFonts w:ascii="Times New Roman" w:hAnsi="Times New Roman" w:cs="Times New Roman"/>
          <w:b/>
          <w:sz w:val="20"/>
          <w:szCs w:val="20"/>
        </w:rPr>
        <w:t xml:space="preserve"> genomic library preparation:</w:t>
      </w:r>
    </w:p>
    <w:p w:rsidR="005B0B18" w:rsidRPr="007476FE" w:rsidRDefault="005B0B18" w:rsidP="005B0B18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0B18">
        <w:rPr>
          <w:rFonts w:ascii="Times New Roman" w:hAnsi="Times New Roman" w:cs="Times New Roman"/>
          <w:i/>
          <w:sz w:val="20"/>
          <w:szCs w:val="20"/>
        </w:rPr>
        <w:t>M. tuberculosis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3C21">
        <w:rPr>
          <w:rFonts w:ascii="Times New Roman" w:hAnsi="Times New Roman" w:cs="Times New Roman"/>
          <w:sz w:val="20"/>
          <w:szCs w:val="20"/>
        </w:rPr>
        <w:t xml:space="preserve">genomic DNA was used for library preparation using the </w:t>
      </w:r>
      <w:proofErr w:type="spellStart"/>
      <w:r w:rsidRPr="00D53C21">
        <w:rPr>
          <w:rFonts w:ascii="Times New Roman" w:hAnsi="Times New Roman" w:cs="Times New Roman"/>
          <w:sz w:val="20"/>
          <w:szCs w:val="20"/>
        </w:rPr>
        <w:t>Nextera</w:t>
      </w:r>
      <w:proofErr w:type="spellEnd"/>
      <w:r w:rsidRPr="00D53C21">
        <w:rPr>
          <w:rFonts w:ascii="Times New Roman" w:hAnsi="Times New Roman" w:cs="Times New Roman"/>
          <w:sz w:val="20"/>
          <w:szCs w:val="20"/>
        </w:rPr>
        <w:t xml:space="preserve"> XT kit (Illumina). The librar</w:t>
      </w:r>
      <w:r>
        <w:rPr>
          <w:rFonts w:ascii="Times New Roman" w:hAnsi="Times New Roman" w:cs="Times New Roman"/>
          <w:sz w:val="20"/>
          <w:szCs w:val="20"/>
        </w:rPr>
        <w:t xml:space="preserve">ies were quantified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normalis</w:t>
      </w:r>
      <w:r w:rsidRPr="00D53C21">
        <w:rPr>
          <w:rFonts w:ascii="Times New Roman" w:hAnsi="Times New Roman" w:cs="Times New Roman"/>
          <w:sz w:val="20"/>
          <w:szCs w:val="20"/>
        </w:rPr>
        <w:t>ed</w:t>
      </w:r>
      <w:proofErr w:type="spellEnd"/>
      <w:r w:rsidRPr="00D53C21">
        <w:rPr>
          <w:rFonts w:ascii="Times New Roman" w:hAnsi="Times New Roman" w:cs="Times New Roman"/>
          <w:sz w:val="20"/>
          <w:szCs w:val="20"/>
        </w:rPr>
        <w:t xml:space="preserve"> using KAPA Library Quantification low ROX qPCR mix (Roche) and pooled to 4 </w:t>
      </w:r>
      <w:proofErr w:type="spellStart"/>
      <w:r w:rsidRPr="00D53C21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D53C21">
        <w:rPr>
          <w:rFonts w:ascii="Times New Roman" w:hAnsi="Times New Roman" w:cs="Times New Roman"/>
          <w:sz w:val="20"/>
          <w:szCs w:val="20"/>
        </w:rPr>
        <w:t xml:space="preserve"> concentration.</w:t>
      </w:r>
    </w:p>
    <w:p w:rsidR="00E947B5" w:rsidRPr="00E947B5" w:rsidRDefault="00E96910" w:rsidP="00E947B5">
      <w:pPr>
        <w:spacing w:line="48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4B2DAA">
        <w:rPr>
          <w:rFonts w:ascii="Times New Roman" w:eastAsia="Times New Roman" w:hAnsi="Times New Roman" w:cs="Times New Roman"/>
          <w:b/>
          <w:sz w:val="20"/>
          <w:szCs w:val="20"/>
        </w:rPr>
        <w:t xml:space="preserve">Whole genome sequence analysis : </w:t>
      </w:r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 Positions where the majority allele accounted for &lt; 90% of reads mapped at that position, which had a genotype quality of &lt; 30, depth &lt; 5x, or mapping quality &lt; 30 were recorded as Ns in further analyses. Repeat regions of the genome as previously defined</w:t>
      </w:r>
      <w:r w:rsidR="00347347">
        <w:rPr>
          <w:rFonts w:ascii="Times New Roman" w:eastAsia="Times New Roman" w:hAnsi="Times New Roman" w:cs="Times New Roman"/>
          <w:sz w:val="20"/>
          <w:szCs w:val="20"/>
        </w:rPr>
        <w:t xml:space="preserve"> [32</w:t>
      </w:r>
      <w:r w:rsidR="005E42E0">
        <w:rPr>
          <w:rFonts w:ascii="Times New Roman" w:eastAsia="Times New Roman" w:hAnsi="Times New Roman" w:cs="Times New Roman"/>
          <w:sz w:val="20"/>
          <w:szCs w:val="20"/>
        </w:rPr>
        <w:t>]</w:t>
      </w:r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 were masked and then positions in which at least one strain had SNP passing quality thresholds were extracted and used as the input for IQ-TREE v1</w:t>
      </w:r>
      <w:r w:rsidRPr="007476FE">
        <w:rPr>
          <w:rFonts w:ascii="Times New Roman" w:hAnsi="Times New Roman" w:cs="Times New Roman"/>
          <w:sz w:val="20"/>
          <w:szCs w:val="20"/>
        </w:rPr>
        <w:t>·</w:t>
      </w:r>
      <w:r w:rsidR="007476FE">
        <w:rPr>
          <w:rFonts w:ascii="Times New Roman" w:eastAsia="Times New Roman" w:hAnsi="Times New Roman" w:cs="Times New Roman"/>
          <w:sz w:val="20"/>
          <w:szCs w:val="20"/>
        </w:rPr>
        <w:t>6</w:t>
      </w:r>
      <w:r w:rsidR="005E42E0">
        <w:rPr>
          <w:rFonts w:ascii="Times New Roman" w:eastAsia="Times New Roman" w:hAnsi="Times New Roman" w:cs="Times New Roman"/>
          <w:sz w:val="20"/>
          <w:szCs w:val="20"/>
        </w:rPr>
        <w:t xml:space="preserve"> [2</w:t>
      </w:r>
      <w:r w:rsidR="00DA0975">
        <w:rPr>
          <w:rFonts w:ascii="Times New Roman" w:eastAsia="Times New Roman" w:hAnsi="Times New Roman" w:cs="Times New Roman"/>
          <w:sz w:val="20"/>
          <w:szCs w:val="20"/>
        </w:rPr>
        <w:t>0</w:t>
      </w:r>
      <w:r w:rsidR="005E42E0">
        <w:rPr>
          <w:rFonts w:ascii="Times New Roman" w:eastAsia="Times New Roman" w:hAnsi="Times New Roman" w:cs="Times New Roman"/>
          <w:sz w:val="20"/>
          <w:szCs w:val="20"/>
        </w:rPr>
        <w:t>]</w:t>
      </w:r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. We identified SNPs specific to each </w:t>
      </w:r>
      <w:r w:rsidRPr="00DA0975">
        <w:rPr>
          <w:rFonts w:ascii="Times New Roman" w:eastAsia="Times New Roman" w:hAnsi="Times New Roman" w:cs="Times New Roman"/>
          <w:i/>
          <w:sz w:val="20"/>
          <w:szCs w:val="20"/>
        </w:rPr>
        <w:t>M. tuberculosis</w:t>
      </w:r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 isolate, but not present in other longitudinal </w:t>
      </w:r>
      <w:r w:rsidRPr="00DA0975">
        <w:rPr>
          <w:rFonts w:ascii="Times New Roman" w:eastAsia="Times New Roman" w:hAnsi="Times New Roman" w:cs="Times New Roman"/>
          <w:i/>
          <w:sz w:val="20"/>
          <w:szCs w:val="20"/>
        </w:rPr>
        <w:t>M. tuberculosis</w:t>
      </w:r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 isolates from the same patient, as these isolate specific SNPs could be the causal genetic variant for any phenotypic difference such as antibiotic susceptibility between the longitudinal </w:t>
      </w:r>
      <w:r w:rsidRPr="00DA0975">
        <w:rPr>
          <w:rFonts w:ascii="Times New Roman" w:eastAsia="Times New Roman" w:hAnsi="Times New Roman" w:cs="Times New Roman"/>
          <w:i/>
          <w:sz w:val="20"/>
          <w:szCs w:val="20"/>
        </w:rPr>
        <w:t>M. tuberculosis</w:t>
      </w:r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 isolates. These specific SNPs were identified using </w:t>
      </w:r>
      <w:proofErr w:type="spellStart"/>
      <w:r w:rsidRPr="007476FE">
        <w:rPr>
          <w:rFonts w:ascii="Times New Roman" w:eastAsia="Times New Roman" w:hAnsi="Times New Roman" w:cs="Times New Roman"/>
          <w:sz w:val="20"/>
          <w:szCs w:val="20"/>
        </w:rPr>
        <w:t>bcftools</w:t>
      </w:r>
      <w:proofErr w:type="spellEnd"/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 (https://samtools.github.io/bcftools/bcftools.html) </w:t>
      </w:r>
      <w:proofErr w:type="spellStart"/>
      <w:r w:rsidRPr="007476FE">
        <w:rPr>
          <w:rFonts w:ascii="Times New Roman" w:eastAsia="Times New Roman" w:hAnsi="Times New Roman" w:cs="Times New Roman"/>
          <w:sz w:val="20"/>
          <w:szCs w:val="20"/>
        </w:rPr>
        <w:t>isec</w:t>
      </w:r>
      <w:proofErr w:type="spellEnd"/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 command e.g. `</w:t>
      </w:r>
      <w:proofErr w:type="spellStart"/>
      <w:r w:rsidRPr="007476FE">
        <w:rPr>
          <w:rFonts w:ascii="Times New Roman" w:eastAsia="Times New Roman" w:hAnsi="Times New Roman" w:cs="Times New Roman"/>
          <w:sz w:val="20"/>
          <w:szCs w:val="20"/>
        </w:rPr>
        <w:t>bcftools</w:t>
      </w:r>
      <w:proofErr w:type="spellEnd"/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476FE">
        <w:rPr>
          <w:rFonts w:ascii="Times New Roman" w:eastAsia="Times New Roman" w:hAnsi="Times New Roman" w:cs="Times New Roman"/>
          <w:sz w:val="20"/>
          <w:szCs w:val="20"/>
        </w:rPr>
        <w:t>isec</w:t>
      </w:r>
      <w:proofErr w:type="spellEnd"/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 -p </w:t>
      </w:r>
      <w:proofErr w:type="spellStart"/>
      <w:r w:rsidRPr="007476FE">
        <w:rPr>
          <w:rFonts w:ascii="Times New Roman" w:eastAsia="Times New Roman" w:hAnsi="Times New Roman" w:cs="Times New Roman"/>
          <w:sz w:val="20"/>
          <w:szCs w:val="20"/>
        </w:rPr>
        <w:t>output_name</w:t>
      </w:r>
      <w:proofErr w:type="spellEnd"/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 -n -$X sample1.vcf sampleN.vcf` where $X is the number of VCFs being compared minus one. The multiple VCFs produced by this command were then combined with </w:t>
      </w:r>
      <w:proofErr w:type="spellStart"/>
      <w:r w:rsidRPr="007476FE">
        <w:rPr>
          <w:rFonts w:ascii="Times New Roman" w:eastAsia="Times New Roman" w:hAnsi="Times New Roman" w:cs="Times New Roman"/>
          <w:sz w:val="20"/>
          <w:szCs w:val="20"/>
        </w:rPr>
        <w:t>bcftools</w:t>
      </w:r>
      <w:proofErr w:type="spellEnd"/>
      <w:r w:rsidRPr="007476FE">
        <w:rPr>
          <w:rFonts w:ascii="Times New Roman" w:eastAsia="Times New Roman" w:hAnsi="Times New Roman" w:cs="Times New Roman"/>
          <w:sz w:val="20"/>
          <w:szCs w:val="20"/>
        </w:rPr>
        <w:t xml:space="preserve"> merge.</w:t>
      </w:r>
      <w:r w:rsidRPr="007476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inputs VCFs for this process were the filtered VCFs produced by </w:t>
      </w:r>
      <w:proofErr w:type="spellStart"/>
      <w:r w:rsidRPr="007476FE">
        <w:rPr>
          <w:rFonts w:ascii="Times New Roman" w:eastAsia="Times New Roman" w:hAnsi="Times New Roman" w:cs="Times New Roman"/>
          <w:color w:val="000000"/>
          <w:sz w:val="20"/>
          <w:szCs w:val="20"/>
        </w:rPr>
        <w:t>PHEnix</w:t>
      </w:r>
      <w:proofErr w:type="spellEnd"/>
      <w:r w:rsidRPr="007476F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5B0B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B0B18" w:rsidRPr="00D53C21">
        <w:rPr>
          <w:rFonts w:ascii="Times New Roman" w:hAnsi="Times New Roman" w:cs="Times New Roman"/>
          <w:i/>
          <w:sz w:val="20"/>
          <w:szCs w:val="20"/>
        </w:rPr>
        <w:t>M. tuberculosis</w:t>
      </w:r>
      <w:r w:rsidR="005B0B18" w:rsidRPr="00D53C21">
        <w:rPr>
          <w:rFonts w:ascii="Times New Roman" w:hAnsi="Times New Roman" w:cs="Times New Roman"/>
          <w:sz w:val="20"/>
          <w:szCs w:val="20"/>
        </w:rPr>
        <w:t xml:space="preserve"> lineages and sub lineages were identified by </w:t>
      </w:r>
      <w:proofErr w:type="spellStart"/>
      <w:r w:rsidR="005B0B18" w:rsidRPr="00D53C21">
        <w:rPr>
          <w:rFonts w:ascii="Times New Roman" w:hAnsi="Times New Roman" w:cs="Times New Roman"/>
          <w:sz w:val="20"/>
          <w:szCs w:val="20"/>
        </w:rPr>
        <w:t>Mykrobe</w:t>
      </w:r>
      <w:proofErr w:type="spellEnd"/>
      <w:r w:rsidR="005B0B18" w:rsidRPr="00D53C21">
        <w:rPr>
          <w:rFonts w:ascii="Times New Roman" w:hAnsi="Times New Roman" w:cs="Times New Roman"/>
          <w:sz w:val="20"/>
          <w:szCs w:val="20"/>
        </w:rPr>
        <w:t xml:space="preserve"> </w:t>
      </w:r>
      <w:r w:rsidR="005B0B18" w:rsidRPr="00D53C21">
        <w:rPr>
          <w:rFonts w:ascii="Times New Roman" w:eastAsia="Times New Roman" w:hAnsi="Times New Roman" w:cs="Times New Roman"/>
          <w:sz w:val="20"/>
          <w:szCs w:val="20"/>
        </w:rPr>
        <w:t xml:space="preserve">predictor TB </w:t>
      </w:r>
      <w:r w:rsidR="005B0B18" w:rsidRPr="00D53C21">
        <w:rPr>
          <w:rFonts w:ascii="Times New Roman" w:eastAsia="Times New Roman" w:hAnsi="Times New Roman" w:cs="Times New Roman"/>
          <w:color w:val="000000"/>
          <w:sz w:val="20"/>
          <w:szCs w:val="20"/>
        </w:rPr>
        <w:t>platform</w:t>
      </w:r>
      <w:r w:rsidR="00DA09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[21</w:t>
      </w:r>
      <w:r w:rsidR="005B0B18">
        <w:rPr>
          <w:rFonts w:ascii="Times New Roman" w:eastAsia="Times New Roman" w:hAnsi="Times New Roman" w:cs="Times New Roman"/>
          <w:color w:val="000000"/>
          <w:sz w:val="20"/>
          <w:szCs w:val="20"/>
        </w:rPr>
        <w:t>]</w:t>
      </w:r>
      <w:r w:rsidR="005B0B18" w:rsidRPr="00D53C21">
        <w:rPr>
          <w:rFonts w:ascii="Times New Roman" w:hAnsi="Times New Roman" w:cs="Times New Roman"/>
          <w:sz w:val="20"/>
          <w:szCs w:val="20"/>
        </w:rPr>
        <w:t xml:space="preserve"> based on the 62 SNPs previously reported for genotyping </w:t>
      </w:r>
      <w:r w:rsidR="005B0B18" w:rsidRPr="00D53C21">
        <w:rPr>
          <w:rFonts w:ascii="Times New Roman" w:hAnsi="Times New Roman" w:cs="Times New Roman"/>
          <w:i/>
          <w:sz w:val="20"/>
          <w:szCs w:val="20"/>
        </w:rPr>
        <w:t>M. tuberculosis</w:t>
      </w:r>
      <w:r w:rsidR="005B0B18" w:rsidRPr="00D53C21">
        <w:rPr>
          <w:rFonts w:ascii="Times New Roman" w:hAnsi="Times New Roman" w:cs="Times New Roman"/>
          <w:sz w:val="20"/>
          <w:szCs w:val="20"/>
        </w:rPr>
        <w:t xml:space="preserve"> isolates</w:t>
      </w:r>
      <w:r w:rsidR="005B0B18">
        <w:rPr>
          <w:rFonts w:ascii="Times New Roman" w:hAnsi="Times New Roman" w:cs="Times New Roman"/>
          <w:sz w:val="20"/>
          <w:szCs w:val="20"/>
        </w:rPr>
        <w:t xml:space="preserve"> [21]</w:t>
      </w:r>
      <w:r w:rsidR="005B0B18" w:rsidRPr="00D53C21">
        <w:rPr>
          <w:rFonts w:ascii="Times New Roman" w:hAnsi="Times New Roman" w:cs="Times New Roman"/>
          <w:sz w:val="20"/>
          <w:szCs w:val="20"/>
        </w:rPr>
        <w:t xml:space="preserve"> and using a genoty</w:t>
      </w:r>
      <w:r w:rsidR="005B0B18">
        <w:rPr>
          <w:rFonts w:ascii="Times New Roman" w:hAnsi="Times New Roman" w:cs="Times New Roman"/>
          <w:sz w:val="20"/>
          <w:szCs w:val="20"/>
        </w:rPr>
        <w:t>ping script written in Python 2.</w:t>
      </w:r>
      <w:r w:rsidR="005B0B18" w:rsidRPr="00D53C21">
        <w:rPr>
          <w:rFonts w:ascii="Times New Roman" w:hAnsi="Times New Roman" w:cs="Times New Roman"/>
          <w:sz w:val="20"/>
          <w:szCs w:val="20"/>
        </w:rPr>
        <w:t>5.</w:t>
      </w:r>
      <w:r w:rsidR="005B0B18" w:rsidRPr="00D53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0B18" w:rsidRPr="00D53C21">
        <w:rPr>
          <w:rFonts w:ascii="Times New Roman" w:hAnsi="Times New Roman" w:cs="Times New Roman"/>
          <w:sz w:val="20"/>
          <w:szCs w:val="20"/>
        </w:rPr>
        <w:t xml:space="preserve">SNP difference between pairs of </w:t>
      </w:r>
      <w:r w:rsidR="005B0B18" w:rsidRPr="00D53C21">
        <w:rPr>
          <w:rFonts w:ascii="Times New Roman" w:hAnsi="Times New Roman" w:cs="Times New Roman"/>
          <w:i/>
          <w:sz w:val="20"/>
          <w:szCs w:val="20"/>
        </w:rPr>
        <w:t>M. tuberculosis</w:t>
      </w:r>
      <w:r w:rsidR="005B0B18" w:rsidRPr="00D53C21">
        <w:rPr>
          <w:rFonts w:ascii="Times New Roman" w:hAnsi="Times New Roman" w:cs="Times New Roman"/>
          <w:sz w:val="20"/>
          <w:szCs w:val="20"/>
        </w:rPr>
        <w:t xml:space="preserve"> genomes was determined with </w:t>
      </w:r>
      <w:r w:rsidR="005B0B18" w:rsidRPr="00D53C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proofErr w:type="spellStart"/>
      <w:r w:rsidR="005B0B18" w:rsidRPr="00D53C21">
        <w:rPr>
          <w:rFonts w:ascii="Times New Roman" w:eastAsia="Times New Roman" w:hAnsi="Times New Roman" w:cs="Times New Roman"/>
          <w:color w:val="000000"/>
          <w:sz w:val="20"/>
          <w:szCs w:val="20"/>
        </w:rPr>
        <w:t>Disty</w:t>
      </w:r>
      <w:proofErr w:type="spellEnd"/>
      <w:r w:rsidR="005B0B18" w:rsidRPr="00D53C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program (https://github.com/c2-d2/disty/blob/master/readme.md).</w:t>
      </w:r>
      <w:r w:rsidR="00E947B5" w:rsidRPr="00E947B5">
        <w:rPr>
          <w:rFonts w:ascii="Times New Roman" w:hAnsi="Times New Roman" w:cs="Times New Roman"/>
          <w:sz w:val="20"/>
          <w:szCs w:val="20"/>
        </w:rPr>
        <w:t xml:space="preserve"> </w:t>
      </w:r>
      <w:r w:rsidR="00E947B5" w:rsidRPr="00D53C21">
        <w:rPr>
          <w:rFonts w:ascii="Times New Roman" w:hAnsi="Times New Roman" w:cs="Times New Roman"/>
          <w:sz w:val="20"/>
          <w:szCs w:val="20"/>
        </w:rPr>
        <w:t xml:space="preserve">We excluded non-tuberculosis mycobacterium (NTM) based on </w:t>
      </w:r>
      <w:proofErr w:type="spellStart"/>
      <w:r w:rsidR="00E947B5" w:rsidRPr="00D53C21">
        <w:rPr>
          <w:rFonts w:ascii="Times New Roman" w:hAnsi="Times New Roman" w:cs="Times New Roman"/>
          <w:sz w:val="20"/>
          <w:szCs w:val="20"/>
        </w:rPr>
        <w:t>Mykrobe</w:t>
      </w:r>
      <w:proofErr w:type="spellEnd"/>
      <w:r w:rsidR="00E947B5" w:rsidRPr="00D53C21">
        <w:rPr>
          <w:rFonts w:ascii="Times New Roman" w:hAnsi="Times New Roman" w:cs="Times New Roman"/>
          <w:sz w:val="20"/>
          <w:szCs w:val="20"/>
        </w:rPr>
        <w:t xml:space="preserve"> analysis (n = 8). Mixed </w:t>
      </w:r>
      <w:r w:rsidR="00E947B5" w:rsidRPr="00D53C21">
        <w:rPr>
          <w:rFonts w:ascii="Times New Roman" w:hAnsi="Times New Roman" w:cs="Times New Roman"/>
          <w:i/>
          <w:sz w:val="20"/>
          <w:szCs w:val="20"/>
        </w:rPr>
        <w:t>M. tuberculosis</w:t>
      </w:r>
      <w:r w:rsidR="00E947B5" w:rsidRPr="00D53C21">
        <w:rPr>
          <w:rFonts w:ascii="Times New Roman" w:hAnsi="Times New Roman" w:cs="Times New Roman"/>
          <w:sz w:val="20"/>
          <w:szCs w:val="20"/>
        </w:rPr>
        <w:t xml:space="preserve"> isolates were identified based on their shorter root to tip distance as compared to rest of the isolates in the </w:t>
      </w:r>
      <w:r w:rsidR="00E947B5" w:rsidRPr="00D53C21">
        <w:rPr>
          <w:rFonts w:ascii="Times New Roman" w:hAnsi="Times New Roman" w:cs="Times New Roman"/>
          <w:sz w:val="20"/>
          <w:szCs w:val="20"/>
        </w:rPr>
        <w:lastRenderedPageBreak/>
        <w:t>phylogenetic analysis and were excluded (n = 26).</w:t>
      </w:r>
      <w:r w:rsidR="00E947B5">
        <w:rPr>
          <w:rFonts w:ascii="Times New Roman" w:hAnsi="Times New Roman" w:cs="Times New Roman"/>
          <w:sz w:val="20"/>
          <w:szCs w:val="20"/>
        </w:rPr>
        <w:t xml:space="preserve"> </w:t>
      </w:r>
      <w:r w:rsidR="00E947B5" w:rsidRPr="00E947B5">
        <w:rPr>
          <w:rFonts w:ascii="Times New Roman" w:eastAsiaTheme="minorEastAsia" w:hAnsi="Times New Roman" w:cs="Times New Roman"/>
          <w:sz w:val="20"/>
          <w:szCs w:val="20"/>
        </w:rPr>
        <w:t xml:space="preserve">For patients, having mixed sample sequenced at MDR emergence time-point (as determined by root to tip distance), the presence of initial isolate was tested for in the mixed MDR emergence time-point (as assessed by searching for the presence of SNPs specific to the initial isolate in the VCF of the mixed sample at low allele frequency). </w:t>
      </w:r>
    </w:p>
    <w:p w:rsidR="00E96910" w:rsidRPr="007476FE" w:rsidRDefault="00E96910" w:rsidP="00E96910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96910" w:rsidRPr="00DA33B8" w:rsidRDefault="00E96910" w:rsidP="00E96910">
      <w:pPr>
        <w:ind w:left="1080"/>
        <w:jc w:val="both"/>
        <w:rPr>
          <w:rFonts w:ascii="Times New Roman" w:hAnsi="Times New Roman" w:cs="Times New Roman"/>
        </w:rPr>
      </w:pPr>
    </w:p>
    <w:p w:rsidR="00330F3E" w:rsidRPr="001702C3" w:rsidRDefault="00330F3E" w:rsidP="00F11530">
      <w:pPr>
        <w:rPr>
          <w:rFonts w:ascii="Times New Roman" w:hAnsi="Times New Roman" w:cs="Times New Roman"/>
          <w:sz w:val="24"/>
          <w:szCs w:val="24"/>
        </w:rPr>
      </w:pPr>
    </w:p>
    <w:sectPr w:rsidR="00330F3E" w:rsidRPr="001702C3" w:rsidSect="00F11530">
      <w:pgSz w:w="12247" w:h="15876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910" w:rsidRDefault="00E96910" w:rsidP="00E96910">
      <w:pPr>
        <w:spacing w:after="0" w:line="240" w:lineRule="auto"/>
      </w:pPr>
      <w:r>
        <w:separator/>
      </w:r>
    </w:p>
  </w:endnote>
  <w:endnote w:type="continuationSeparator" w:id="0">
    <w:p w:rsidR="00E96910" w:rsidRDefault="00E96910" w:rsidP="00E9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910" w:rsidRDefault="00E96910" w:rsidP="00E96910">
      <w:pPr>
        <w:spacing w:after="0" w:line="240" w:lineRule="auto"/>
      </w:pPr>
      <w:r>
        <w:separator/>
      </w:r>
    </w:p>
  </w:footnote>
  <w:footnote w:type="continuationSeparator" w:id="0">
    <w:p w:rsidR="00E96910" w:rsidRDefault="00E96910" w:rsidP="00E96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C061B"/>
    <w:multiLevelType w:val="hybridMultilevel"/>
    <w:tmpl w:val="D80CD188"/>
    <w:lvl w:ilvl="0" w:tplc="B8426E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B1BE9"/>
    <w:multiLevelType w:val="hybridMultilevel"/>
    <w:tmpl w:val="FAA059AA"/>
    <w:lvl w:ilvl="0" w:tplc="66B6CA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F6"/>
    <w:rsid w:val="000014AD"/>
    <w:rsid w:val="001702C3"/>
    <w:rsid w:val="00171707"/>
    <w:rsid w:val="001A5684"/>
    <w:rsid w:val="002B1839"/>
    <w:rsid w:val="002F5B9A"/>
    <w:rsid w:val="003071B5"/>
    <w:rsid w:val="00330F3E"/>
    <w:rsid w:val="00342ED8"/>
    <w:rsid w:val="00347347"/>
    <w:rsid w:val="0037351C"/>
    <w:rsid w:val="003817E7"/>
    <w:rsid w:val="003C1AC2"/>
    <w:rsid w:val="004B2DAA"/>
    <w:rsid w:val="005454E1"/>
    <w:rsid w:val="005560BE"/>
    <w:rsid w:val="005B0B18"/>
    <w:rsid w:val="005E42E0"/>
    <w:rsid w:val="00646746"/>
    <w:rsid w:val="006F06E2"/>
    <w:rsid w:val="007100AB"/>
    <w:rsid w:val="007476FE"/>
    <w:rsid w:val="007705CE"/>
    <w:rsid w:val="0077294B"/>
    <w:rsid w:val="007915D8"/>
    <w:rsid w:val="007D28FC"/>
    <w:rsid w:val="007E4CAB"/>
    <w:rsid w:val="007F42C3"/>
    <w:rsid w:val="007F7B9F"/>
    <w:rsid w:val="00876325"/>
    <w:rsid w:val="008A5EBB"/>
    <w:rsid w:val="009A66E5"/>
    <w:rsid w:val="009C4C3F"/>
    <w:rsid w:val="00A10AC2"/>
    <w:rsid w:val="00A37F24"/>
    <w:rsid w:val="00A84E1D"/>
    <w:rsid w:val="00AE6184"/>
    <w:rsid w:val="00B759E9"/>
    <w:rsid w:val="00BB2801"/>
    <w:rsid w:val="00BD31DF"/>
    <w:rsid w:val="00C001B8"/>
    <w:rsid w:val="00D15109"/>
    <w:rsid w:val="00D810F6"/>
    <w:rsid w:val="00DA0975"/>
    <w:rsid w:val="00DF1BEF"/>
    <w:rsid w:val="00E673C7"/>
    <w:rsid w:val="00E84F02"/>
    <w:rsid w:val="00E947B5"/>
    <w:rsid w:val="00E96910"/>
    <w:rsid w:val="00EB6DE9"/>
    <w:rsid w:val="00F11530"/>
    <w:rsid w:val="00F229F7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810F6"/>
  </w:style>
  <w:style w:type="paragraph" w:styleId="BalloonText">
    <w:name w:val="Balloon Text"/>
    <w:basedOn w:val="Normal"/>
    <w:link w:val="BalloonTextChar"/>
    <w:uiPriority w:val="99"/>
    <w:semiHidden/>
    <w:unhideWhenUsed/>
    <w:rsid w:val="00FE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E96910"/>
    <w:pPr>
      <w:spacing w:line="240" w:lineRule="auto"/>
      <w:jc w:val="both"/>
    </w:pPr>
    <w:rPr>
      <w:rFonts w:ascii="Calibri" w:eastAsiaTheme="minorEastAsia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96910"/>
    <w:rPr>
      <w:rFonts w:ascii="Calibri" w:eastAsiaTheme="minorEastAsia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E9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910"/>
  </w:style>
  <w:style w:type="paragraph" w:styleId="Footer">
    <w:name w:val="footer"/>
    <w:basedOn w:val="Normal"/>
    <w:link w:val="FooterChar"/>
    <w:uiPriority w:val="99"/>
    <w:unhideWhenUsed/>
    <w:rsid w:val="00E9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910"/>
  </w:style>
  <w:style w:type="table" w:styleId="LightShading-Accent1">
    <w:name w:val="Light Shading Accent 1"/>
    <w:basedOn w:val="TableNormal"/>
    <w:uiPriority w:val="60"/>
    <w:rsid w:val="00A37F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E61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7F7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810F6"/>
  </w:style>
  <w:style w:type="paragraph" w:styleId="BalloonText">
    <w:name w:val="Balloon Text"/>
    <w:basedOn w:val="Normal"/>
    <w:link w:val="BalloonTextChar"/>
    <w:uiPriority w:val="99"/>
    <w:semiHidden/>
    <w:unhideWhenUsed/>
    <w:rsid w:val="00FE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E96910"/>
    <w:pPr>
      <w:spacing w:line="240" w:lineRule="auto"/>
      <w:jc w:val="both"/>
    </w:pPr>
    <w:rPr>
      <w:rFonts w:ascii="Calibri" w:eastAsiaTheme="minorEastAsia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96910"/>
    <w:rPr>
      <w:rFonts w:ascii="Calibri" w:eastAsiaTheme="minorEastAsia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E9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910"/>
  </w:style>
  <w:style w:type="paragraph" w:styleId="Footer">
    <w:name w:val="footer"/>
    <w:basedOn w:val="Normal"/>
    <w:link w:val="FooterChar"/>
    <w:uiPriority w:val="99"/>
    <w:unhideWhenUsed/>
    <w:rsid w:val="00E9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910"/>
  </w:style>
  <w:style w:type="table" w:styleId="LightShading-Accent1">
    <w:name w:val="Light Shading Accent 1"/>
    <w:basedOn w:val="TableNormal"/>
    <w:uiPriority w:val="60"/>
    <w:rsid w:val="00A37F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E61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7F7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10A3-DBAB-40AE-93D1-9774992F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Hoang Thanh</dc:creator>
  <cp:lastModifiedBy>vijay srinivasan</cp:lastModifiedBy>
  <cp:revision>12</cp:revision>
  <dcterms:created xsi:type="dcterms:W3CDTF">2020-02-20T03:00:00Z</dcterms:created>
  <dcterms:modified xsi:type="dcterms:W3CDTF">2020-02-26T07:16:00Z</dcterms:modified>
</cp:coreProperties>
</file>