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17" w:rsidRDefault="000F4B6F">
      <w:pPr>
        <w:rPr>
          <w:rFonts w:ascii="Gentium Plus" w:hAnsi="Gentium Plus" w:cs="Gentium Plus"/>
          <w:lang w:val="en-US"/>
        </w:rPr>
      </w:pPr>
      <w:r w:rsidRPr="00F67EA3">
        <w:rPr>
          <w:rFonts w:ascii="Gentium Plus" w:hAnsi="Gentium Plus" w:cs="Gentium Plus"/>
          <w:b/>
          <w:bCs/>
          <w:lang w:val="en-US"/>
        </w:rPr>
        <w:t>MS S</w:t>
      </w:r>
      <w:r w:rsidR="00C8536D">
        <w:rPr>
          <w:rFonts w:ascii="Gentium Plus" w:hAnsi="Gentium Plus" w:cs="Gentium Plus"/>
          <w:b/>
          <w:bCs/>
          <w:lang w:val="en-US"/>
        </w:rPr>
        <w:t>avile</w:t>
      </w:r>
      <w:r w:rsidRPr="00F67EA3">
        <w:rPr>
          <w:rFonts w:ascii="Gentium Plus" w:hAnsi="Gentium Plus" w:cs="Gentium Plus"/>
          <w:b/>
          <w:bCs/>
          <w:lang w:val="en-US"/>
        </w:rPr>
        <w:t xml:space="preserve"> </w:t>
      </w:r>
      <w:r w:rsidR="00C8536D">
        <w:rPr>
          <w:rFonts w:ascii="Gentium Plus" w:hAnsi="Gentium Plus" w:cs="Gentium Plus"/>
          <w:b/>
          <w:bCs/>
          <w:lang w:val="en-US"/>
        </w:rPr>
        <w:t>41</w:t>
      </w:r>
      <w:r w:rsidR="00F67EA3">
        <w:rPr>
          <w:rFonts w:ascii="Gentium Plus" w:hAnsi="Gentium Plus" w:cs="Gentium Plus"/>
          <w:lang w:val="en-US"/>
        </w:rPr>
        <w:tab/>
      </w:r>
      <w:r w:rsidR="00F67EA3">
        <w:rPr>
          <w:rFonts w:ascii="Gentium Plus" w:hAnsi="Gentium Plus" w:cs="Gentium Plus"/>
          <w:lang w:val="en-US"/>
        </w:rPr>
        <w:tab/>
      </w:r>
      <w:r w:rsidR="00F67EA3">
        <w:rPr>
          <w:rFonts w:ascii="Gentium Plus" w:hAnsi="Gentium Plus" w:cs="Gentium Plus"/>
          <w:lang w:val="en-US"/>
        </w:rPr>
        <w:tab/>
      </w:r>
      <w:r w:rsidR="00F67EA3">
        <w:rPr>
          <w:rFonts w:ascii="Gentium Plus" w:hAnsi="Gentium Plus" w:cs="Gentium Plus"/>
          <w:lang w:val="en-US"/>
        </w:rPr>
        <w:tab/>
        <w:t>JB 20/4/21</w:t>
      </w:r>
    </w:p>
    <w:p w:rsidR="00F67EA3" w:rsidRDefault="00F67EA3">
      <w:pPr>
        <w:rPr>
          <w:rFonts w:ascii="Gentium Plus" w:hAnsi="Gentium Plus" w:cs="Gentium Plus"/>
          <w:lang w:val="en-US"/>
        </w:rPr>
      </w:pPr>
    </w:p>
    <w:p w:rsidR="00F67EA3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(bound with MS Savile 37, which consists of MS copies of Henry Savile’s lectures on Euclid)</w:t>
      </w:r>
    </w:p>
    <w:p w:rsidR="00F67EA3" w:rsidRDefault="00F67EA3">
      <w:pPr>
        <w:rPr>
          <w:rFonts w:ascii="Gentium Plus" w:hAnsi="Gentium Plus" w:cs="Gentium Plus"/>
          <w:lang w:val="en-US"/>
        </w:rPr>
      </w:pPr>
    </w:p>
    <w:p w:rsidR="00F67EA3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The </w:t>
      </w:r>
      <w:r w:rsidRPr="005C07B9">
        <w:rPr>
          <w:rFonts w:ascii="Gentium Plus" w:hAnsi="Gentium Plus" w:cs="Gentium Plus"/>
          <w:i/>
          <w:iCs/>
          <w:lang w:val="en-US"/>
        </w:rPr>
        <w:t>Summary Catalogue</w:t>
      </w:r>
      <w:r>
        <w:rPr>
          <w:rFonts w:ascii="Gentium Plus" w:hAnsi="Gentium Plus" w:cs="Gentium Plus"/>
          <w:lang w:val="en-US"/>
        </w:rPr>
        <w:t xml:space="preserve">, entry </w:t>
      </w:r>
      <w:r w:rsidRPr="005C07B9">
        <w:rPr>
          <w:rFonts w:ascii="Gentium Plus" w:hAnsi="Gentium Plus" w:cs="Gentium Plus"/>
          <w:b/>
          <w:bCs/>
          <w:lang w:val="en-US"/>
        </w:rPr>
        <w:t>6587</w:t>
      </w:r>
      <w:r>
        <w:rPr>
          <w:rFonts w:ascii="Gentium Plus" w:hAnsi="Gentium Plus" w:cs="Gentium Plus"/>
          <w:lang w:val="en-US"/>
        </w:rPr>
        <w:t>, describes it as “Miscellaneous papers by John Greaves and others”</w:t>
      </w:r>
    </w:p>
    <w:p w:rsidR="00F67EA3" w:rsidRDefault="00F67EA3">
      <w:pPr>
        <w:rPr>
          <w:rFonts w:ascii="Gentium Plus" w:hAnsi="Gentium Plus" w:cs="Gentium Plus"/>
          <w:lang w:val="en-US"/>
        </w:rPr>
      </w:pP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f.119a reads: </w:t>
      </w:r>
    </w:p>
    <w:p w:rsidR="00F67EA3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“1645  [followed by something blacked out and illegible]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Of the Tartars, or Moguls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out of Texeira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in Spanish:</w:t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= ff.119a-136b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Most of whose relations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are borrowed from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Emir Cond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a Persian historiographer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To which is adioined a bried description,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 xml:space="preserve">of the </w:t>
      </w:r>
      <w:r>
        <w:rPr>
          <w:rFonts w:ascii="Gentium Plus" w:hAnsi="Gentium Plus" w:cs="Gentium Plus"/>
          <w:strike/>
          <w:lang w:val="en-US"/>
        </w:rPr>
        <w:t>most</w:t>
      </w:r>
      <w:r>
        <w:rPr>
          <w:rFonts w:ascii="Gentium Plus" w:hAnsi="Gentium Plus" w:cs="Gentium Plus"/>
          <w:lang w:val="en-US"/>
        </w:rPr>
        <w:t xml:space="preserve"> remarkable Provinces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= ff.137a-140a</w:t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belonging to the kingdome of Persia</w:t>
      </w: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</w:r>
      <w:r>
        <w:rPr>
          <w:rFonts w:ascii="Gentium Plus" w:hAnsi="Gentium Plus" w:cs="Gentium Plus"/>
          <w:lang w:val="en-US"/>
        </w:rPr>
        <w:tab/>
        <w:t>by the same Author.”</w:t>
      </w:r>
    </w:p>
    <w:p w:rsidR="005C07B9" w:rsidRDefault="005C07B9">
      <w:pPr>
        <w:rPr>
          <w:rFonts w:ascii="Gentium Plus" w:hAnsi="Gentium Plus" w:cs="Gentium Plus"/>
          <w:lang w:val="en-US"/>
        </w:rPr>
      </w:pPr>
    </w:p>
    <w:p w:rsidR="005C07B9" w:rsidRDefault="005C07B9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ff.141a-144b: “ Of the mountaines (of the earth) according to the Arabians (And first) of the mountains of the moone.”</w:t>
      </w:r>
    </w:p>
    <w:p w:rsidR="005C07B9" w:rsidRDefault="005C07B9">
      <w:pPr>
        <w:rPr>
          <w:rFonts w:ascii="Gentium Plus" w:hAnsi="Gentium Plus" w:cs="Gentium Plus"/>
          <w:lang w:val="en-US"/>
        </w:rPr>
      </w:pPr>
    </w:p>
    <w:p w:rsidR="00F216A5" w:rsidRPr="00F216A5" w:rsidRDefault="00F216A5">
      <w:pPr>
        <w:rPr>
          <w:rFonts w:ascii="Gentium Plus" w:hAnsi="Gentium Plus" w:cs="Gentium Plus"/>
          <w:u w:val="single"/>
          <w:lang w:val="en-US"/>
        </w:rPr>
      </w:pPr>
      <w:r w:rsidRPr="00F216A5">
        <w:rPr>
          <w:rFonts w:ascii="Gentium Plus" w:hAnsi="Gentium Plus" w:cs="Gentium Plus"/>
          <w:u w:val="single"/>
          <w:lang w:val="en-US"/>
        </w:rPr>
        <w:t>Annotations/autograph:</w:t>
      </w:r>
    </w:p>
    <w:p w:rsidR="005C07B9" w:rsidRDefault="00F216A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</w:r>
      <w:r w:rsidR="005C07B9">
        <w:rPr>
          <w:rFonts w:ascii="Gentium Plus" w:hAnsi="Gentium Plus" w:cs="Gentium Plus"/>
          <w:lang w:val="en-US"/>
        </w:rPr>
        <w:t xml:space="preserve">The first </w:t>
      </w:r>
      <w:r>
        <w:rPr>
          <w:rFonts w:ascii="Gentium Plus" w:hAnsi="Gentium Plus" w:cs="Gentium Plus"/>
          <w:lang w:val="en-US"/>
        </w:rPr>
        <w:t xml:space="preserve">two </w:t>
      </w:r>
      <w:r w:rsidR="005C07B9">
        <w:rPr>
          <w:rFonts w:ascii="Gentium Plus" w:hAnsi="Gentium Plus" w:cs="Gentium Plus"/>
          <w:lang w:val="en-US"/>
        </w:rPr>
        <w:t xml:space="preserve">of these items </w:t>
      </w:r>
      <w:r>
        <w:rPr>
          <w:rFonts w:ascii="Gentium Plus" w:hAnsi="Gentium Plus" w:cs="Gentium Plus"/>
          <w:lang w:val="en-US"/>
        </w:rPr>
        <w:t>are</w:t>
      </w:r>
      <w:r w:rsidR="005C07B9">
        <w:rPr>
          <w:rFonts w:ascii="Gentium Plus" w:hAnsi="Gentium Plus" w:cs="Gentium Plus"/>
          <w:lang w:val="en-US"/>
        </w:rPr>
        <w:t xml:space="preserve"> a fair copy that seems to </w:t>
      </w:r>
      <w:r w:rsidR="00156C08">
        <w:rPr>
          <w:rFonts w:ascii="Gentium Plus" w:hAnsi="Gentium Plus" w:cs="Gentium Plus"/>
          <w:lang w:val="en-US"/>
        </w:rPr>
        <w:t xml:space="preserve">have </w:t>
      </w:r>
      <w:bookmarkStart w:id="0" w:name="_GoBack"/>
      <w:bookmarkEnd w:id="0"/>
      <w:r w:rsidR="005C07B9">
        <w:rPr>
          <w:rFonts w:ascii="Gentium Plus" w:hAnsi="Gentium Plus" w:cs="Gentium Plus"/>
          <w:lang w:val="en-US"/>
        </w:rPr>
        <w:t>been begu</w:t>
      </w:r>
      <w:r>
        <w:rPr>
          <w:rFonts w:ascii="Gentium Plus" w:hAnsi="Gentium Plus" w:cs="Gentium Plus"/>
          <w:lang w:val="en-US"/>
        </w:rPr>
        <w:t>n</w:t>
      </w:r>
      <w:r w:rsidR="005C07B9">
        <w:rPr>
          <w:rFonts w:ascii="Gentium Plus" w:hAnsi="Gentium Plus" w:cs="Gentium Plus"/>
          <w:lang w:val="en-US"/>
        </w:rPr>
        <w:t xml:space="preserve"> by Greaves, then continued by someone else, but corrected by Greaves.</w:t>
      </w:r>
    </w:p>
    <w:p w:rsidR="00F216A5" w:rsidRDefault="00F216A5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ab/>
        <w:t>The whole of the third item is in Greaves’s own hand, I believe, and at f.142b there is a lengthy marginal annotation by him.</w:t>
      </w:r>
    </w:p>
    <w:p w:rsidR="00F216A5" w:rsidRDefault="00F216A5">
      <w:pPr>
        <w:rPr>
          <w:rFonts w:ascii="Gentium Plus" w:hAnsi="Gentium Plus" w:cs="Gentium Plus"/>
          <w:lang w:val="en-US"/>
        </w:rPr>
      </w:pPr>
    </w:p>
    <w:p w:rsidR="00F216A5" w:rsidRPr="005C07B9" w:rsidRDefault="00F216A5">
      <w:pPr>
        <w:rPr>
          <w:rFonts w:ascii="Gentium Plus" w:hAnsi="Gentium Plus" w:cs="Gentium Plus"/>
          <w:lang w:val="en-US"/>
        </w:rPr>
      </w:pPr>
      <w:r w:rsidRPr="00F216A5">
        <w:rPr>
          <w:rFonts w:ascii="Gentium Plus" w:hAnsi="Gentium Plus" w:cs="Gentium Plus"/>
          <w:b/>
          <w:bCs/>
          <w:lang w:val="en-US"/>
        </w:rPr>
        <w:t>Sample photos JB</w:t>
      </w:r>
      <w:r>
        <w:rPr>
          <w:rFonts w:ascii="Gentium Plus" w:hAnsi="Gentium Plus" w:cs="Gentium Plus"/>
          <w:lang w:val="en-US"/>
        </w:rPr>
        <w:t>: 119a, 120a, 120b-121a, 124b-125a, 127b-128a, 135b, 136b-137a, 138b-139a, 141a, 141b-142a, 142b-143a, 143b-144a, 144b</w:t>
      </w:r>
    </w:p>
    <w:sectPr w:rsidR="00F216A5" w:rsidRPr="005C07B9" w:rsidSect="008174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6F"/>
    <w:rsid w:val="000F3917"/>
    <w:rsid w:val="000F4B6F"/>
    <w:rsid w:val="00156C08"/>
    <w:rsid w:val="0023285B"/>
    <w:rsid w:val="005C07B9"/>
    <w:rsid w:val="008174D4"/>
    <w:rsid w:val="0094486B"/>
    <w:rsid w:val="00B31A3C"/>
    <w:rsid w:val="00BA6848"/>
    <w:rsid w:val="00C8536D"/>
    <w:rsid w:val="00C965B9"/>
    <w:rsid w:val="00EF6591"/>
    <w:rsid w:val="00F216A5"/>
    <w:rsid w:val="00F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F5AC0"/>
  <w15:chartTrackingRefBased/>
  <w15:docId w15:val="{2177702C-AA5F-A940-9A43-1281487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Bray</dc:creator>
  <cp:keywords/>
  <dc:description/>
  <cp:lastModifiedBy>Julia Bray</cp:lastModifiedBy>
  <cp:revision>4</cp:revision>
  <dcterms:created xsi:type="dcterms:W3CDTF">2021-04-22T20:49:00Z</dcterms:created>
  <dcterms:modified xsi:type="dcterms:W3CDTF">2021-04-22T21:08:00Z</dcterms:modified>
</cp:coreProperties>
</file>