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D727C" w14:textId="77777777" w:rsidR="00AC53C0" w:rsidRDefault="00AC53C0" w:rsidP="00AC53C0">
      <w:pPr>
        <w:pStyle w:val="NoSpacing"/>
        <w:spacing w:line="276" w:lineRule="auto"/>
        <w:rPr>
          <w:rFonts w:ascii="Times New Roman" w:eastAsiaTheme="minorEastAsia" w:hAnsi="Times New Roman" w:cs="Times New Roman"/>
          <w:b/>
          <w:bCs/>
          <w:color w:val="000000" w:themeColor="text1"/>
        </w:rPr>
      </w:pPr>
      <w:r w:rsidRPr="795D0E3D">
        <w:rPr>
          <w:rFonts w:ascii="Times New Roman" w:eastAsiaTheme="minorEastAsia" w:hAnsi="Times New Roman" w:cs="Times New Roman"/>
          <w:b/>
          <w:bCs/>
          <w:color w:val="000000" w:themeColor="text1"/>
        </w:rPr>
        <w:t xml:space="preserve">Preparation of samples and libraries for </w:t>
      </w:r>
      <w:proofErr w:type="spellStart"/>
      <w:r w:rsidRPr="795D0E3D">
        <w:rPr>
          <w:rFonts w:ascii="Times New Roman" w:eastAsiaTheme="minorEastAsia" w:hAnsi="Times New Roman" w:cs="Times New Roman"/>
          <w:b/>
          <w:bCs/>
          <w:color w:val="000000" w:themeColor="text1"/>
        </w:rPr>
        <w:t>scRNA</w:t>
      </w:r>
      <w:proofErr w:type="spellEnd"/>
      <w:r w:rsidRPr="795D0E3D">
        <w:rPr>
          <w:rFonts w:ascii="Times New Roman" w:eastAsiaTheme="minorEastAsia" w:hAnsi="Times New Roman" w:cs="Times New Roman"/>
          <w:b/>
          <w:bCs/>
          <w:color w:val="000000" w:themeColor="text1"/>
        </w:rPr>
        <w:t>-seq</w:t>
      </w:r>
    </w:p>
    <w:p w14:paraId="671DAAE1" w14:textId="77777777" w:rsidR="00AC53C0" w:rsidRPr="0058645D" w:rsidRDefault="00AC53C0" w:rsidP="00AC53C0">
      <w:pPr>
        <w:pStyle w:val="NoSpacing"/>
        <w:spacing w:line="276" w:lineRule="auto"/>
        <w:jc w:val="both"/>
        <w:rPr>
          <w:rFonts w:ascii="Times New Roman" w:eastAsiaTheme="minorEastAsia" w:hAnsi="Times New Roman" w:cs="Times New Roman"/>
          <w:b/>
          <w:bCs/>
          <w:color w:val="000000" w:themeColor="text1"/>
        </w:rPr>
      </w:pPr>
      <w:r w:rsidRPr="00385975">
        <w:rPr>
          <w:rFonts w:ascii="Times New Roman" w:eastAsiaTheme="minorEastAsia" w:hAnsi="Times New Roman" w:cs="Times New Roman"/>
          <w:color w:val="000000" w:themeColor="text1"/>
        </w:rPr>
        <w:t xml:space="preserve">Synovial tissue was obtained from surgical procedures. Cells were isolated from fresh tissue through enzyme digestion using 100 µg/ml </w:t>
      </w:r>
      <w:proofErr w:type="spellStart"/>
      <w:r w:rsidRPr="00385975">
        <w:rPr>
          <w:rFonts w:ascii="Times New Roman" w:eastAsiaTheme="minorEastAsia" w:hAnsi="Times New Roman" w:cs="Times New Roman"/>
          <w:color w:val="000000" w:themeColor="text1"/>
        </w:rPr>
        <w:t>Liberase</w:t>
      </w:r>
      <w:proofErr w:type="spellEnd"/>
      <w:r w:rsidRPr="00385975">
        <w:rPr>
          <w:rFonts w:ascii="Times New Roman" w:eastAsiaTheme="minorEastAsia" w:hAnsi="Times New Roman" w:cs="Times New Roman"/>
          <w:color w:val="000000" w:themeColor="text1"/>
        </w:rPr>
        <w:t xml:space="preserve"> TL and 100 µg/ml DNase in RPMI. The isolated cells were either directly subjected to the Chromium Single Cell Gene Expression Chip (10X Genomics) assay or sorted into live CD3+ and CD3- populations using Fluorescence-activated Cell Sorting (FACS).</w:t>
      </w:r>
      <w:r>
        <w:rPr>
          <w:rFonts w:ascii="Times New Roman" w:eastAsiaTheme="minorEastAsia" w:hAnsi="Times New Roman" w:cs="Times New Roman" w:hint="eastAsia"/>
          <w:color w:val="000000" w:themeColor="text1"/>
        </w:rPr>
        <w:t xml:space="preserve"> </w:t>
      </w:r>
      <w:r w:rsidRPr="00385975">
        <w:rPr>
          <w:rFonts w:ascii="Times New Roman" w:eastAsiaTheme="minorEastAsia" w:hAnsi="Times New Roman" w:cs="Times New Roman"/>
          <w:color w:val="000000" w:themeColor="text1"/>
        </w:rPr>
        <w:t xml:space="preserve">For FACS, the single cell suspension was first incubated with Human </w:t>
      </w:r>
      <w:proofErr w:type="spellStart"/>
      <w:r w:rsidRPr="00385975">
        <w:rPr>
          <w:rFonts w:ascii="Times New Roman" w:eastAsiaTheme="minorEastAsia" w:hAnsi="Times New Roman" w:cs="Times New Roman"/>
          <w:color w:val="000000" w:themeColor="text1"/>
        </w:rPr>
        <w:t>TruStain</w:t>
      </w:r>
      <w:proofErr w:type="spellEnd"/>
      <w:r w:rsidRPr="00385975">
        <w:rPr>
          <w:rFonts w:ascii="Times New Roman" w:eastAsiaTheme="minorEastAsia" w:hAnsi="Times New Roman" w:cs="Times New Roman"/>
          <w:color w:val="000000" w:themeColor="text1"/>
        </w:rPr>
        <w:t xml:space="preserve"> </w:t>
      </w:r>
      <w:proofErr w:type="spellStart"/>
      <w:r w:rsidRPr="00385975">
        <w:rPr>
          <w:rFonts w:ascii="Times New Roman" w:eastAsiaTheme="minorEastAsia" w:hAnsi="Times New Roman" w:cs="Times New Roman"/>
          <w:color w:val="000000" w:themeColor="text1"/>
        </w:rPr>
        <w:t>FcX</w:t>
      </w:r>
      <w:proofErr w:type="spellEnd"/>
      <w:r w:rsidRPr="00385975">
        <w:rPr>
          <w:rFonts w:ascii="Times New Roman" w:eastAsiaTheme="minorEastAsia" w:hAnsi="Times New Roman" w:cs="Times New Roman"/>
          <w:color w:val="000000" w:themeColor="text1"/>
        </w:rPr>
        <w:t xml:space="preserve"> solution (</w:t>
      </w:r>
      <w:proofErr w:type="spellStart"/>
      <w:r w:rsidRPr="00385975">
        <w:rPr>
          <w:rFonts w:ascii="Times New Roman" w:eastAsiaTheme="minorEastAsia" w:hAnsi="Times New Roman" w:cs="Times New Roman"/>
          <w:color w:val="000000" w:themeColor="text1"/>
        </w:rPr>
        <w:t>Biolegend</w:t>
      </w:r>
      <w:proofErr w:type="spellEnd"/>
      <w:r w:rsidRPr="00385975">
        <w:rPr>
          <w:rFonts w:ascii="Times New Roman" w:eastAsiaTheme="minorEastAsia" w:hAnsi="Times New Roman" w:cs="Times New Roman"/>
          <w:color w:val="000000" w:themeColor="text1"/>
        </w:rPr>
        <w:t xml:space="preserve">) to block Fc receptors and then stained with anti-CD3 (clone OKT3) and Fixable Viability Dye </w:t>
      </w:r>
      <w:proofErr w:type="spellStart"/>
      <w:r w:rsidRPr="00385975">
        <w:rPr>
          <w:rFonts w:ascii="Times New Roman" w:eastAsiaTheme="minorEastAsia" w:hAnsi="Times New Roman" w:cs="Times New Roman"/>
          <w:color w:val="000000" w:themeColor="text1"/>
        </w:rPr>
        <w:t>eFluor</w:t>
      </w:r>
      <w:proofErr w:type="spellEnd"/>
      <w:r w:rsidRPr="00385975">
        <w:rPr>
          <w:rFonts w:ascii="Times New Roman" w:eastAsiaTheme="minorEastAsia" w:hAnsi="Times New Roman" w:cs="Times New Roman"/>
          <w:color w:val="000000" w:themeColor="text1"/>
        </w:rPr>
        <w:t xml:space="preserve"> 780 (</w:t>
      </w:r>
      <w:proofErr w:type="spellStart"/>
      <w:r w:rsidRPr="00385975">
        <w:rPr>
          <w:rFonts w:ascii="Times New Roman" w:eastAsiaTheme="minorEastAsia" w:hAnsi="Times New Roman" w:cs="Times New Roman"/>
          <w:color w:val="000000" w:themeColor="text1"/>
        </w:rPr>
        <w:t>eBioscience</w:t>
      </w:r>
      <w:proofErr w:type="spellEnd"/>
      <w:r w:rsidRPr="00385975">
        <w:rPr>
          <w:rFonts w:ascii="Times New Roman" w:eastAsiaTheme="minorEastAsia" w:hAnsi="Times New Roman" w:cs="Times New Roman"/>
          <w:color w:val="000000" w:themeColor="text1"/>
        </w:rPr>
        <w:t>/</w:t>
      </w:r>
      <w:proofErr w:type="spellStart"/>
      <w:r w:rsidRPr="00385975">
        <w:rPr>
          <w:rFonts w:ascii="Times New Roman" w:eastAsiaTheme="minorEastAsia" w:hAnsi="Times New Roman" w:cs="Times New Roman"/>
          <w:color w:val="000000" w:themeColor="text1"/>
        </w:rPr>
        <w:t>ThermoFisher</w:t>
      </w:r>
      <w:proofErr w:type="spellEnd"/>
      <w:r w:rsidRPr="00385975">
        <w:rPr>
          <w:rFonts w:ascii="Times New Roman" w:eastAsiaTheme="minorEastAsia" w:hAnsi="Times New Roman" w:cs="Times New Roman"/>
          <w:color w:val="000000" w:themeColor="text1"/>
        </w:rPr>
        <w:t xml:space="preserve">). Approximately 20,000 cells from each population were loaded onto a Chromium Next GEM Chip (10X Genomics), and </w:t>
      </w:r>
      <w:proofErr w:type="spellStart"/>
      <w:r w:rsidRPr="00385975">
        <w:rPr>
          <w:rFonts w:ascii="Times New Roman" w:eastAsiaTheme="minorEastAsia" w:hAnsi="Times New Roman" w:cs="Times New Roman"/>
          <w:color w:val="000000" w:themeColor="text1"/>
        </w:rPr>
        <w:t>scRNA</w:t>
      </w:r>
      <w:proofErr w:type="spellEnd"/>
      <w:r w:rsidRPr="00385975">
        <w:rPr>
          <w:rFonts w:ascii="Times New Roman" w:eastAsiaTheme="minorEastAsia" w:hAnsi="Times New Roman" w:cs="Times New Roman"/>
          <w:color w:val="000000" w:themeColor="text1"/>
        </w:rPr>
        <w:t xml:space="preserve">-seq libraries were prepared according to the manufacturer’s instructions. For samples directly applied to library preparation without sorting, around 20,000 cells from each sample were loaded. The resulting DNA libraries were sequenced at &gt;50,000 reads per cell on a </w:t>
      </w:r>
      <w:proofErr w:type="spellStart"/>
      <w:r w:rsidRPr="00385975">
        <w:rPr>
          <w:rFonts w:ascii="Times New Roman" w:eastAsiaTheme="minorEastAsia" w:hAnsi="Times New Roman" w:cs="Times New Roman"/>
          <w:color w:val="000000" w:themeColor="text1"/>
        </w:rPr>
        <w:t>NovaSeq</w:t>
      </w:r>
      <w:proofErr w:type="spellEnd"/>
      <w:r w:rsidRPr="00385975">
        <w:rPr>
          <w:rFonts w:ascii="Times New Roman" w:eastAsiaTheme="minorEastAsia" w:hAnsi="Times New Roman" w:cs="Times New Roman"/>
          <w:color w:val="000000" w:themeColor="text1"/>
        </w:rPr>
        <w:t xml:space="preserve"> 6000 using PE150 mode.</w:t>
      </w:r>
    </w:p>
    <w:p w14:paraId="4E70EC18" w14:textId="77777777" w:rsidR="00AC53C0" w:rsidRDefault="00AC53C0" w:rsidP="00761D10">
      <w:pPr>
        <w:spacing w:line="276" w:lineRule="auto"/>
        <w:rPr>
          <w:b/>
          <w:bCs/>
          <w:i/>
          <w:iCs/>
          <w:color w:val="000000" w:themeColor="text1"/>
        </w:rPr>
      </w:pPr>
    </w:p>
    <w:p w14:paraId="5F531D0E" w14:textId="416157C5" w:rsidR="00761D10" w:rsidRDefault="00761D10" w:rsidP="00761D10">
      <w:pPr>
        <w:spacing w:line="276" w:lineRule="auto"/>
        <w:rPr>
          <w:b/>
          <w:bCs/>
          <w:color w:val="000000" w:themeColor="text1"/>
        </w:rPr>
      </w:pPr>
      <w:r w:rsidRPr="00D07245">
        <w:rPr>
          <w:b/>
          <w:bCs/>
          <w:i/>
          <w:iCs/>
          <w:color w:val="000000" w:themeColor="text1"/>
        </w:rPr>
        <w:t>In vitro</w:t>
      </w:r>
      <w:r w:rsidRPr="795D0E3D">
        <w:rPr>
          <w:b/>
          <w:bCs/>
          <w:color w:val="000000" w:themeColor="text1"/>
        </w:rPr>
        <w:t xml:space="preserve"> </w:t>
      </w:r>
      <w:r>
        <w:rPr>
          <w:b/>
          <w:bCs/>
          <w:color w:val="000000" w:themeColor="text1"/>
        </w:rPr>
        <w:t xml:space="preserve">model </w:t>
      </w:r>
      <w:r w:rsidRPr="005C2E90">
        <w:rPr>
          <w:b/>
          <w:bCs/>
          <w:color w:val="000000" w:themeColor="text1"/>
        </w:rPr>
        <w:t xml:space="preserve">for </w:t>
      </w:r>
      <w:r w:rsidRPr="005C2E90">
        <w:rPr>
          <w:rFonts w:eastAsia="Times New Roman"/>
          <w:b/>
          <w:bCs/>
          <w:color w:val="333333"/>
        </w:rPr>
        <w:t>CD4+</w:t>
      </w:r>
      <w:r>
        <w:rPr>
          <w:rFonts w:eastAsia="Times New Roman"/>
          <w:color w:val="333333"/>
        </w:rPr>
        <w:t xml:space="preserve"> </w:t>
      </w:r>
      <w:r w:rsidRPr="795D0E3D">
        <w:rPr>
          <w:b/>
          <w:bCs/>
          <w:color w:val="000000" w:themeColor="text1"/>
        </w:rPr>
        <w:t>TRM17</w:t>
      </w:r>
      <w:r>
        <w:rPr>
          <w:b/>
          <w:bCs/>
          <w:color w:val="000000" w:themeColor="text1"/>
        </w:rPr>
        <w:t xml:space="preserve"> </w:t>
      </w:r>
      <w:r w:rsidRPr="795D0E3D">
        <w:rPr>
          <w:b/>
          <w:bCs/>
          <w:color w:val="000000" w:themeColor="text1"/>
        </w:rPr>
        <w:t>cell</w:t>
      </w:r>
      <w:r>
        <w:rPr>
          <w:b/>
          <w:bCs/>
          <w:color w:val="000000" w:themeColor="text1"/>
        </w:rPr>
        <w:t xml:space="preserve"> generation</w:t>
      </w:r>
    </w:p>
    <w:p w14:paraId="128E897D" w14:textId="77777777" w:rsidR="00761D10" w:rsidRPr="00221794" w:rsidRDefault="00761D10" w:rsidP="00761D10">
      <w:pPr>
        <w:spacing w:line="276" w:lineRule="auto"/>
        <w:rPr>
          <w:color w:val="000000" w:themeColor="text1"/>
        </w:rPr>
      </w:pPr>
      <w:r w:rsidRPr="219B363F">
        <w:rPr>
          <w:color w:val="000000" w:themeColor="text1"/>
        </w:rPr>
        <w:t xml:space="preserve">PBMCs were obtained </w:t>
      </w:r>
      <w:r w:rsidRPr="795D0E3D">
        <w:rPr>
          <w:color w:val="000000" w:themeColor="text1"/>
        </w:rPr>
        <w:t xml:space="preserve">by density gradient centrifugation using Histopaque-1077 (Sigma-Aldrich) </w:t>
      </w:r>
      <w:r w:rsidRPr="219B363F">
        <w:rPr>
          <w:color w:val="000000" w:themeColor="text1"/>
        </w:rPr>
        <w:t xml:space="preserve">from the whole blood of patients with </w:t>
      </w:r>
      <w:proofErr w:type="spellStart"/>
      <w:r w:rsidRPr="219B363F">
        <w:rPr>
          <w:color w:val="000000" w:themeColor="text1"/>
        </w:rPr>
        <w:t>AxSpA</w:t>
      </w:r>
      <w:proofErr w:type="spellEnd"/>
      <w:r w:rsidRPr="219B363F">
        <w:rPr>
          <w:color w:val="000000" w:themeColor="text1"/>
        </w:rPr>
        <w:t xml:space="preserve"> or PsA</w:t>
      </w:r>
      <w:r w:rsidRPr="795D0E3D">
        <w:rPr>
          <w:color w:val="000000" w:themeColor="text1"/>
        </w:rPr>
        <w:t xml:space="preserve"> attending OUH (Ethics 06/Q1606/139)</w:t>
      </w:r>
      <w:r w:rsidRPr="219B363F">
        <w:rPr>
          <w:color w:val="000000" w:themeColor="text1"/>
        </w:rPr>
        <w:t>. Memory CD4+ T cells were isolated using an untouched negative isolation kit (</w:t>
      </w:r>
      <w:proofErr w:type="spellStart"/>
      <w:r w:rsidRPr="219B363F">
        <w:rPr>
          <w:color w:val="000000" w:themeColor="text1"/>
        </w:rPr>
        <w:t>Miltenyi</w:t>
      </w:r>
      <w:proofErr w:type="spellEnd"/>
      <w:r w:rsidRPr="219B363F">
        <w:rPr>
          <w:color w:val="000000" w:themeColor="text1"/>
        </w:rPr>
        <w:t xml:space="preserve"> </w:t>
      </w:r>
      <w:proofErr w:type="spellStart"/>
      <w:r w:rsidRPr="219B363F">
        <w:rPr>
          <w:color w:val="000000" w:themeColor="text1"/>
        </w:rPr>
        <w:t>Biotec</w:t>
      </w:r>
      <w:proofErr w:type="spellEnd"/>
      <w:r w:rsidRPr="219B363F">
        <w:rPr>
          <w:color w:val="000000" w:themeColor="text1"/>
        </w:rPr>
        <w:t xml:space="preserve">). </w:t>
      </w:r>
      <w:r w:rsidRPr="795D0E3D">
        <w:rPr>
          <w:color w:val="000000" w:themeColor="text1"/>
        </w:rPr>
        <w:t>Isolated memory CD4+ T cells were stimulated with plate bound α-CD3 (5</w:t>
      </w:r>
      <w:r>
        <w:rPr>
          <w:color w:val="000000" w:themeColor="text1"/>
        </w:rPr>
        <w:t xml:space="preserve"> </w:t>
      </w:r>
      <w:r w:rsidRPr="795D0E3D">
        <w:rPr>
          <w:color w:val="000000" w:themeColor="text1"/>
        </w:rPr>
        <w:t xml:space="preserve">µg/ml, </w:t>
      </w:r>
      <w:proofErr w:type="spellStart"/>
      <w:r w:rsidRPr="795D0E3D">
        <w:rPr>
          <w:color w:val="000000" w:themeColor="text1"/>
        </w:rPr>
        <w:t>Biolegend</w:t>
      </w:r>
      <w:proofErr w:type="spellEnd"/>
      <w:r w:rsidRPr="795D0E3D">
        <w:rPr>
          <w:color w:val="000000" w:themeColor="text1"/>
        </w:rPr>
        <w:t>, cat: 300332), soluble α-CD28 (1</w:t>
      </w:r>
      <w:r>
        <w:rPr>
          <w:color w:val="000000" w:themeColor="text1"/>
        </w:rPr>
        <w:t xml:space="preserve"> </w:t>
      </w:r>
      <w:r w:rsidRPr="795D0E3D">
        <w:rPr>
          <w:color w:val="000000" w:themeColor="text1"/>
        </w:rPr>
        <w:t xml:space="preserve">µg/ml, </w:t>
      </w:r>
      <w:proofErr w:type="spellStart"/>
      <w:r w:rsidRPr="795D0E3D">
        <w:rPr>
          <w:color w:val="000000" w:themeColor="text1"/>
        </w:rPr>
        <w:t>Biolegend</w:t>
      </w:r>
      <w:proofErr w:type="spellEnd"/>
      <w:r w:rsidRPr="795D0E3D">
        <w:rPr>
          <w:color w:val="000000" w:themeColor="text1"/>
        </w:rPr>
        <w:t>, cat: 302934), and Th17 skewing cytokines (IL-1β and IL-23, 20</w:t>
      </w:r>
      <w:r>
        <w:rPr>
          <w:color w:val="000000" w:themeColor="text1"/>
        </w:rPr>
        <w:t xml:space="preserve"> </w:t>
      </w:r>
      <w:r w:rsidRPr="795D0E3D">
        <w:rPr>
          <w:color w:val="000000" w:themeColor="text1"/>
        </w:rPr>
        <w:t xml:space="preserve">ng/ml) for six days as part of a Th17 expansion phase.  Cells were cultured throughout in RPMI 1640 medium (Sigma) supplemented with 10% fetal bovine serum (FBS) and 1% </w:t>
      </w:r>
      <w:proofErr w:type="spellStart"/>
      <w:r w:rsidRPr="795D0E3D">
        <w:rPr>
          <w:color w:val="000000" w:themeColor="text1"/>
        </w:rPr>
        <w:t>GlutaMAX</w:t>
      </w:r>
      <w:proofErr w:type="spellEnd"/>
      <w:r w:rsidRPr="795D0E3D">
        <w:rPr>
          <w:color w:val="000000" w:themeColor="text1"/>
        </w:rPr>
        <w:t xml:space="preserve"> (Gibco) </w:t>
      </w:r>
      <w:r>
        <w:rPr>
          <w:color w:val="000000" w:themeColor="text1"/>
        </w:rPr>
        <w:t xml:space="preserve">(R10) </w:t>
      </w:r>
      <w:r w:rsidRPr="795D0E3D">
        <w:rPr>
          <w:color w:val="000000" w:themeColor="text1"/>
        </w:rPr>
        <w:t>at 37°C in a humidified atmosphere containing 5% carbon dioxide. Cells were then cultured without TCR stimulation in the presence of TGF-β (2</w:t>
      </w:r>
      <w:r>
        <w:rPr>
          <w:color w:val="000000" w:themeColor="text1"/>
        </w:rPr>
        <w:t xml:space="preserve"> </w:t>
      </w:r>
      <w:r w:rsidRPr="795D0E3D">
        <w:rPr>
          <w:color w:val="000000" w:themeColor="text1"/>
        </w:rPr>
        <w:t>ng/ml) and IL-7 (20</w:t>
      </w:r>
      <w:r>
        <w:rPr>
          <w:color w:val="000000" w:themeColor="text1"/>
        </w:rPr>
        <w:t xml:space="preserve"> </w:t>
      </w:r>
      <w:r w:rsidRPr="795D0E3D">
        <w:rPr>
          <w:color w:val="000000" w:themeColor="text1"/>
        </w:rPr>
        <w:t xml:space="preserve">ng/ml) for a further six days to mimic a tissue residency phase. </w:t>
      </w:r>
      <w:r>
        <w:rPr>
          <w:color w:val="000000" w:themeColor="text1"/>
        </w:rPr>
        <w:t xml:space="preserve">The phenotype of input (day 0) and output (day 12) </w:t>
      </w:r>
      <w:r w:rsidRPr="00DC4C8D">
        <w:t xml:space="preserve">cells </w:t>
      </w:r>
      <w:r>
        <w:t xml:space="preserve">were measured using </w:t>
      </w:r>
      <w:r w:rsidRPr="00DC4C8D">
        <w:t>flow cytometry</w:t>
      </w:r>
      <w:r>
        <w:t xml:space="preserve"> following</w:t>
      </w:r>
      <w:r w:rsidRPr="00DC4C8D">
        <w:t xml:space="preserve"> </w:t>
      </w:r>
      <w:r>
        <w:t xml:space="preserve">intracellular staining (post </w:t>
      </w:r>
      <w:r w:rsidRPr="00DC4C8D">
        <w:t>PMA/Ionomycin</w:t>
      </w:r>
      <w:r>
        <w:t xml:space="preserve"> stimulation). </w:t>
      </w:r>
      <w:r w:rsidRPr="00DC4C8D">
        <w:t>Following the tissue residency phase, cells were restimulated in various combinations of TCR stimulation (</w:t>
      </w:r>
      <w:r>
        <w:t xml:space="preserve">anti-CD3 and anti-CD28 </w:t>
      </w:r>
      <w:r w:rsidRPr="00DC4C8D">
        <w:t>T cell activation beads) with or without IL-1β and/or IL-23 for a further three days,</w:t>
      </w:r>
      <w:r w:rsidRPr="00DC4C8D">
        <w:rPr>
          <w:color w:val="000000" w:themeColor="text1"/>
        </w:rPr>
        <w:t xml:space="preserve"> after which cell</w:t>
      </w:r>
      <w:r w:rsidRPr="795D0E3D">
        <w:rPr>
          <w:color w:val="000000" w:themeColor="text1"/>
        </w:rPr>
        <w:t xml:space="preserve"> culture supernatant was collected for ELISA.</w:t>
      </w:r>
    </w:p>
    <w:p w14:paraId="013D4D5E" w14:textId="77777777" w:rsidR="00761D10" w:rsidRPr="00552371" w:rsidRDefault="00761D10" w:rsidP="00761D10">
      <w:pPr>
        <w:spacing w:line="276" w:lineRule="auto"/>
        <w:rPr>
          <w:color w:val="000000" w:themeColor="text1"/>
        </w:rPr>
      </w:pPr>
      <w:r w:rsidRPr="62A5F6F7">
        <w:rPr>
          <w:color w:val="000000" w:themeColor="text1"/>
        </w:rPr>
        <w:t xml:space="preserve">For experiments involving BRD1 knockout, resting isolated memory CD4+ T cells were </w:t>
      </w:r>
      <w:r>
        <w:rPr>
          <w:color w:val="000000" w:themeColor="text1"/>
        </w:rPr>
        <w:t xml:space="preserve">transfected with Cas9 and guide RNA for </w:t>
      </w:r>
      <w:r w:rsidRPr="62A5F6F7">
        <w:rPr>
          <w:color w:val="000000" w:themeColor="text1"/>
        </w:rPr>
        <w:t>BRD1</w:t>
      </w:r>
      <w:r>
        <w:rPr>
          <w:color w:val="000000" w:themeColor="text1"/>
        </w:rPr>
        <w:t xml:space="preserve"> or AAVS control</w:t>
      </w:r>
      <w:r w:rsidRPr="62A5F6F7">
        <w:rPr>
          <w:color w:val="000000" w:themeColor="text1"/>
        </w:rPr>
        <w:t xml:space="preserve"> and were rested for a further three days to allow for complete protein degradation. </w:t>
      </w:r>
      <w:r>
        <w:rPr>
          <w:color w:val="000000" w:themeColor="text1"/>
        </w:rPr>
        <w:t>These c</w:t>
      </w:r>
      <w:r w:rsidRPr="62A5F6F7">
        <w:rPr>
          <w:color w:val="000000" w:themeColor="text1"/>
        </w:rPr>
        <w:t>ells were</w:t>
      </w:r>
      <w:r>
        <w:rPr>
          <w:color w:val="000000" w:themeColor="text1"/>
        </w:rPr>
        <w:t xml:space="preserve"> then</w:t>
      </w:r>
      <w:r w:rsidRPr="62A5F6F7">
        <w:rPr>
          <w:color w:val="000000" w:themeColor="text1"/>
        </w:rPr>
        <w:t xml:space="preserve"> </w:t>
      </w:r>
      <w:r>
        <w:rPr>
          <w:color w:val="000000" w:themeColor="text1"/>
        </w:rPr>
        <w:t xml:space="preserve">used as </w:t>
      </w:r>
      <w:r w:rsidRPr="62A5F6F7">
        <w:rPr>
          <w:color w:val="000000" w:themeColor="text1"/>
        </w:rPr>
        <w:t xml:space="preserve">input </w:t>
      </w:r>
      <w:r>
        <w:rPr>
          <w:color w:val="000000" w:themeColor="text1"/>
        </w:rPr>
        <w:t>for</w:t>
      </w:r>
      <w:r w:rsidRPr="62A5F6F7">
        <w:rPr>
          <w:color w:val="000000" w:themeColor="text1"/>
        </w:rPr>
        <w:t xml:space="preserve"> the </w:t>
      </w:r>
      <w:r>
        <w:rPr>
          <w:rFonts w:eastAsia="Times New Roman"/>
          <w:color w:val="333333"/>
        </w:rPr>
        <w:t xml:space="preserve">CD4+ </w:t>
      </w:r>
      <w:r w:rsidRPr="62A5F6F7">
        <w:rPr>
          <w:color w:val="000000" w:themeColor="text1"/>
        </w:rPr>
        <w:t>TRM17 model as described above.</w:t>
      </w:r>
      <w:r>
        <w:rPr>
          <w:color w:val="000000" w:themeColor="text1"/>
        </w:rPr>
        <w:t xml:space="preserve"> To model antigen re-call, BRD1-KO cells were re-stimulated with anti-CD3 and anti-CD28 T cell activation beads (TAB, </w:t>
      </w:r>
      <w:proofErr w:type="spellStart"/>
      <w:r w:rsidRPr="219B363F">
        <w:rPr>
          <w:color w:val="000000" w:themeColor="text1"/>
        </w:rPr>
        <w:t>Miltenyi</w:t>
      </w:r>
      <w:proofErr w:type="spellEnd"/>
      <w:r w:rsidRPr="219B363F">
        <w:rPr>
          <w:color w:val="000000" w:themeColor="text1"/>
        </w:rPr>
        <w:t xml:space="preserve"> </w:t>
      </w:r>
      <w:proofErr w:type="spellStart"/>
      <w:r w:rsidRPr="219B363F">
        <w:rPr>
          <w:color w:val="000000" w:themeColor="text1"/>
        </w:rPr>
        <w:t>Biotec</w:t>
      </w:r>
      <w:proofErr w:type="spellEnd"/>
      <w:r>
        <w:rPr>
          <w:color w:val="000000" w:themeColor="text1"/>
        </w:rPr>
        <w:t>) and cytokines (</w:t>
      </w:r>
      <w:r w:rsidRPr="795D0E3D">
        <w:rPr>
          <w:color w:val="000000" w:themeColor="text1"/>
        </w:rPr>
        <w:t>IL-1β and IL-23, 20ng/ml</w:t>
      </w:r>
      <w:r>
        <w:rPr>
          <w:color w:val="000000" w:themeColor="text1"/>
        </w:rPr>
        <w:t xml:space="preserve">, from </w:t>
      </w:r>
      <w:proofErr w:type="spellStart"/>
      <w:r w:rsidRPr="00F45462">
        <w:rPr>
          <w:color w:val="000000" w:themeColor="text1"/>
        </w:rPr>
        <w:lastRenderedPageBreak/>
        <w:t>PeproTech</w:t>
      </w:r>
      <w:proofErr w:type="spellEnd"/>
      <w:r>
        <w:rPr>
          <w:color w:val="000000" w:themeColor="text1"/>
        </w:rPr>
        <w:t xml:space="preserve">) for 3 days before harvesting supernatant for cytokine secretion analysis using ELISA. </w:t>
      </w:r>
    </w:p>
    <w:p w14:paraId="27CDB12B" w14:textId="77777777" w:rsidR="00761D10" w:rsidRDefault="00761D10" w:rsidP="00761D10">
      <w:pPr>
        <w:spacing w:line="276" w:lineRule="auto"/>
        <w:rPr>
          <w:color w:val="000000" w:themeColor="text1"/>
        </w:rPr>
      </w:pPr>
    </w:p>
    <w:p w14:paraId="191283EF" w14:textId="77777777" w:rsidR="00761D10" w:rsidRPr="00F30CDA" w:rsidRDefault="00761D10" w:rsidP="00761D10">
      <w:pPr>
        <w:spacing w:line="276" w:lineRule="auto"/>
        <w:outlineLvl w:val="2"/>
        <w:rPr>
          <w:b/>
          <w:color w:val="000000" w:themeColor="text1"/>
        </w:rPr>
      </w:pPr>
      <w:r w:rsidRPr="00F30CDA">
        <w:rPr>
          <w:b/>
          <w:color w:val="000000" w:themeColor="text1"/>
        </w:rPr>
        <w:t>BRD1 knockout</w:t>
      </w:r>
    </w:p>
    <w:p w14:paraId="765C2779" w14:textId="77777777" w:rsidR="00761D10" w:rsidRDefault="00761D10" w:rsidP="00761D10">
      <w:pPr>
        <w:spacing w:line="276" w:lineRule="auto"/>
      </w:pPr>
      <w:r w:rsidRPr="00F30CDA">
        <w:t xml:space="preserve">To precomplex Cas9/RNP, </w:t>
      </w:r>
      <w:r w:rsidRPr="00F30CDA">
        <w:rPr>
          <w:rFonts w:hint="eastAsia"/>
        </w:rPr>
        <w:t xml:space="preserve">6 </w:t>
      </w:r>
      <w:proofErr w:type="spellStart"/>
      <w:r w:rsidRPr="00F30CDA">
        <w:rPr>
          <w:rFonts w:hint="eastAsia"/>
        </w:rPr>
        <w:t>ul</w:t>
      </w:r>
      <w:proofErr w:type="spellEnd"/>
      <w:r w:rsidRPr="00F30CDA">
        <w:rPr>
          <w:rFonts w:hint="eastAsia"/>
        </w:rPr>
        <w:t xml:space="preserve"> 30</w:t>
      </w:r>
      <w:r w:rsidRPr="00CD3A3A">
        <w:t xml:space="preserve"> </w:t>
      </w:r>
      <w:proofErr w:type="spellStart"/>
      <w:r w:rsidRPr="00CD3A3A">
        <w:t>μ</w:t>
      </w:r>
      <w:r w:rsidRPr="00F30CDA">
        <w:rPr>
          <w:rFonts w:hint="eastAsia"/>
        </w:rPr>
        <w:t>M</w:t>
      </w:r>
      <w:proofErr w:type="spellEnd"/>
      <w:r w:rsidRPr="00F30CDA">
        <w:rPr>
          <w:rFonts w:hint="eastAsia"/>
        </w:rPr>
        <w:t xml:space="preserve"> g</w:t>
      </w:r>
      <w:r>
        <w:t xml:space="preserve">uide </w:t>
      </w:r>
      <w:r w:rsidRPr="00F30CDA">
        <w:rPr>
          <w:rFonts w:hint="eastAsia"/>
        </w:rPr>
        <w:t>RNA (AAVS1 and BRD1 from IDT</w:t>
      </w:r>
      <w:r w:rsidRPr="00F30CDA">
        <w:t xml:space="preserve">) and </w:t>
      </w:r>
      <w:r w:rsidRPr="00F30CDA">
        <w:rPr>
          <w:rFonts w:hint="eastAsia"/>
        </w:rPr>
        <w:t>2</w:t>
      </w:r>
      <w:r w:rsidRPr="00F30CDA">
        <w:t xml:space="preserve"> µl </w:t>
      </w:r>
      <w:r w:rsidRPr="00F30CDA">
        <w:rPr>
          <w:rFonts w:hint="eastAsia"/>
        </w:rPr>
        <w:t>30</w:t>
      </w:r>
      <w:r>
        <w:t xml:space="preserve"> </w:t>
      </w:r>
      <w:proofErr w:type="spellStart"/>
      <w:r w:rsidRPr="00CD3A3A">
        <w:t>μ</w:t>
      </w:r>
      <w:r w:rsidRPr="00F30CDA">
        <w:rPr>
          <w:rFonts w:hint="eastAsia"/>
        </w:rPr>
        <w:t>M</w:t>
      </w:r>
      <w:proofErr w:type="spellEnd"/>
      <w:r w:rsidRPr="00F30CDA">
        <w:rPr>
          <w:rFonts w:hint="eastAsia"/>
        </w:rPr>
        <w:t xml:space="preserve"> </w:t>
      </w:r>
      <w:proofErr w:type="spellStart"/>
      <w:r w:rsidRPr="00F30CDA">
        <w:t>TrueCut</w:t>
      </w:r>
      <w:proofErr w:type="spellEnd"/>
      <w:r w:rsidRPr="00F30CDA">
        <w:t xml:space="preserve"> Cas9 Protein v2 (catalog number A36499; </w:t>
      </w:r>
      <w:proofErr w:type="spellStart"/>
      <w:r w:rsidRPr="00F30CDA">
        <w:t>Thermo</w:t>
      </w:r>
      <w:proofErr w:type="spellEnd"/>
      <w:r w:rsidRPr="00F30CDA">
        <w:t xml:space="preserve"> Fisher Scientific) were gently mixed</w:t>
      </w:r>
      <w:r w:rsidRPr="00793F53">
        <w:t xml:space="preserve"> by pipetting up and down </w:t>
      </w:r>
      <w:r>
        <w:t>i</w:t>
      </w:r>
      <w:r w:rsidRPr="00793F53">
        <w:t xml:space="preserve">n a PCR strip and incubated at room temperature for </w:t>
      </w:r>
      <w:r w:rsidRPr="00793F53">
        <w:rPr>
          <w:rFonts w:hint="eastAsia"/>
        </w:rPr>
        <w:t>20</w:t>
      </w:r>
      <w:r w:rsidRPr="00793F53">
        <w:t xml:space="preserve"> min</w:t>
      </w:r>
      <w:r>
        <w:t>.</w:t>
      </w:r>
    </w:p>
    <w:p w14:paraId="486345A1" w14:textId="77777777" w:rsidR="00761D10" w:rsidRPr="00793F53" w:rsidRDefault="00761D10" w:rsidP="00761D10">
      <w:pPr>
        <w:spacing w:line="276" w:lineRule="auto"/>
      </w:pPr>
      <w:r>
        <w:t>For nu</w:t>
      </w:r>
      <w:r w:rsidRPr="00672B28">
        <w:t>cleofection</w:t>
      </w:r>
      <w:r>
        <w:t>,</w:t>
      </w:r>
      <w:r w:rsidRPr="00672B28">
        <w:t xml:space="preserve"> 200 µl complete R10 media per well of a 96-well plate was prewarmed. 1 million </w:t>
      </w:r>
      <w:r>
        <w:t xml:space="preserve">CD4+ </w:t>
      </w:r>
      <w:r w:rsidRPr="00672B28">
        <w:t xml:space="preserve">T cells were re-suspended in 20 µl primary cell nucleofection solution (P2 Primary Cell 96-well Nucleofector </w:t>
      </w:r>
      <w:r>
        <w:t>kit,</w:t>
      </w:r>
      <w:r w:rsidRPr="00672B28">
        <w:t xml:space="preserve"> Lonza</w:t>
      </w:r>
      <w:r>
        <w:t>)</w:t>
      </w:r>
      <w:r w:rsidRPr="00672B28">
        <w:t xml:space="preserve"> and </w:t>
      </w:r>
      <w:r>
        <w:t>mixed</w:t>
      </w:r>
      <w:r w:rsidRPr="00672B28">
        <w:t xml:space="preserve"> with 8 µl </w:t>
      </w:r>
      <w:r>
        <w:t xml:space="preserve">precomplexed </w:t>
      </w:r>
      <w:r w:rsidRPr="00672B28">
        <w:t>Cas9/RNP. The cell/RNP mix was transferred to Nucleofection cuvette strips. Cells were electroporated using a 4D nucleofector (4D-Nucleofector Core Unit: Lonza, AAF-1002B; 4D-Nucleofector X Unit: AAF-1002X; Lonza)</w:t>
      </w:r>
      <w:r>
        <w:t xml:space="preserve"> with the EH100 p</w:t>
      </w:r>
      <w:r w:rsidRPr="00672B28">
        <w:t>ulse</w:t>
      </w:r>
      <w:r>
        <w:t xml:space="preserve"> condition. </w:t>
      </w:r>
      <w:r w:rsidRPr="00672B28">
        <w:t xml:space="preserve">After nucleofection, </w:t>
      </w:r>
      <w:r>
        <w:t xml:space="preserve">cells were moved to </w:t>
      </w:r>
      <w:r w:rsidRPr="00672B28">
        <w:t xml:space="preserve">prewarmed R10 media </w:t>
      </w:r>
      <w:r>
        <w:t>and</w:t>
      </w:r>
      <w:r w:rsidRPr="00672B28">
        <w:t xml:space="preserve"> cultured for 3 days</w:t>
      </w:r>
      <w:r>
        <w:t xml:space="preserve"> before the </w:t>
      </w:r>
      <w:r>
        <w:rPr>
          <w:rFonts w:eastAsia="Times New Roman"/>
          <w:color w:val="333333"/>
        </w:rPr>
        <w:t xml:space="preserve">CD4+ </w:t>
      </w:r>
      <w:r>
        <w:t>TRM17 assay</w:t>
      </w:r>
      <w:r w:rsidRPr="00672B28">
        <w:t>.</w:t>
      </w:r>
    </w:p>
    <w:p w14:paraId="64466B78" w14:textId="77777777" w:rsidR="00BC0CF6" w:rsidRPr="00F30CDA" w:rsidRDefault="00BC0CF6" w:rsidP="00BC0CF6">
      <w:pPr>
        <w:spacing w:line="276" w:lineRule="auto"/>
        <w:outlineLvl w:val="2"/>
        <w:rPr>
          <w:b/>
          <w:color w:val="000000" w:themeColor="text1"/>
        </w:rPr>
      </w:pPr>
      <w:r>
        <w:rPr>
          <w:b/>
          <w:color w:val="000000" w:themeColor="text1"/>
        </w:rPr>
        <w:t>Th17 expansion assay for the screen of epigenetic inhibitor library</w:t>
      </w:r>
    </w:p>
    <w:p w14:paraId="7C95C2F7" w14:textId="77777777" w:rsidR="00BC0CF6" w:rsidRDefault="00BC0CF6" w:rsidP="00BC0CF6">
      <w:pPr>
        <w:spacing w:line="276" w:lineRule="auto"/>
      </w:pPr>
      <w:r>
        <w:t xml:space="preserve">Isolated CD4+ T cells from the blood from patients with </w:t>
      </w:r>
      <w:proofErr w:type="spellStart"/>
      <w:r>
        <w:t>SpA</w:t>
      </w:r>
      <w:proofErr w:type="spellEnd"/>
      <w:r>
        <w:t xml:space="preserve"> were stimulated with </w:t>
      </w:r>
      <w:r>
        <w:rPr>
          <w:color w:val="000000" w:themeColor="text1"/>
        </w:rPr>
        <w:t xml:space="preserve">anti-CD3 and anti-CD28 T cell activation beads (TAB, 1 bead per 5 cells, </w:t>
      </w:r>
      <w:proofErr w:type="spellStart"/>
      <w:r w:rsidRPr="219B363F">
        <w:rPr>
          <w:color w:val="000000" w:themeColor="text1"/>
        </w:rPr>
        <w:t>Miltenyi</w:t>
      </w:r>
      <w:proofErr w:type="spellEnd"/>
      <w:r w:rsidRPr="219B363F">
        <w:rPr>
          <w:color w:val="000000" w:themeColor="text1"/>
        </w:rPr>
        <w:t xml:space="preserve"> </w:t>
      </w:r>
      <w:proofErr w:type="spellStart"/>
      <w:r w:rsidRPr="219B363F">
        <w:rPr>
          <w:color w:val="000000" w:themeColor="text1"/>
        </w:rPr>
        <w:t>Biotec</w:t>
      </w:r>
      <w:proofErr w:type="spellEnd"/>
      <w:r>
        <w:rPr>
          <w:color w:val="000000" w:themeColor="text1"/>
        </w:rPr>
        <w:t>) and cytokines (</w:t>
      </w:r>
      <w:r w:rsidRPr="795D0E3D">
        <w:rPr>
          <w:color w:val="000000" w:themeColor="text1"/>
        </w:rPr>
        <w:t>IL-1β and IL-23, 20</w:t>
      </w:r>
      <w:r>
        <w:rPr>
          <w:color w:val="000000" w:themeColor="text1"/>
        </w:rPr>
        <w:t xml:space="preserve"> </w:t>
      </w:r>
      <w:r w:rsidRPr="795D0E3D">
        <w:rPr>
          <w:color w:val="000000" w:themeColor="text1"/>
        </w:rPr>
        <w:t>ng/ml</w:t>
      </w:r>
      <w:r>
        <w:rPr>
          <w:color w:val="000000" w:themeColor="text1"/>
        </w:rPr>
        <w:t>,</w:t>
      </w:r>
      <w:r w:rsidRPr="008C660A">
        <w:rPr>
          <w:color w:val="000000" w:themeColor="text1"/>
        </w:rPr>
        <w:t xml:space="preserve"> </w:t>
      </w:r>
      <w:r>
        <w:rPr>
          <w:color w:val="000000" w:themeColor="text1"/>
        </w:rPr>
        <w:t xml:space="preserve">from </w:t>
      </w:r>
      <w:proofErr w:type="spellStart"/>
      <w:r w:rsidRPr="00F45462">
        <w:rPr>
          <w:color w:val="000000" w:themeColor="text1"/>
        </w:rPr>
        <w:t>PeproTech</w:t>
      </w:r>
      <w:proofErr w:type="spellEnd"/>
      <w:r>
        <w:rPr>
          <w:color w:val="000000" w:themeColor="text1"/>
        </w:rPr>
        <w:t xml:space="preserve">) for 6 days. The inhibitors or DMSO vehicle control were added at 1 </w:t>
      </w:r>
      <w:proofErr w:type="spellStart"/>
      <w:r w:rsidRPr="00CD3A3A">
        <w:t>μ</w:t>
      </w:r>
      <w:r w:rsidRPr="00F30CDA">
        <w:rPr>
          <w:rFonts w:hint="eastAsia"/>
        </w:rPr>
        <w:t>M</w:t>
      </w:r>
      <w:proofErr w:type="spellEnd"/>
      <w:r>
        <w:rPr>
          <w:color w:val="000000" w:themeColor="text1"/>
        </w:rPr>
        <w:t xml:space="preserve"> on day 0 and replenished on day 3. On day 6, supernatant and cells were </w:t>
      </w:r>
      <w:proofErr w:type="spellStart"/>
      <w:r>
        <w:rPr>
          <w:color w:val="000000" w:themeColor="text1"/>
        </w:rPr>
        <w:t>analysed</w:t>
      </w:r>
      <w:proofErr w:type="spellEnd"/>
      <w:r>
        <w:rPr>
          <w:color w:val="000000" w:themeColor="text1"/>
        </w:rPr>
        <w:t xml:space="preserve"> using ELISA and intracellular cytokine staining respectively for IL-17A secretion and the percentage of IL-17A+ Th17 cells.</w:t>
      </w:r>
    </w:p>
    <w:p w14:paraId="18657EE9" w14:textId="77777777" w:rsidR="00BC0CF6" w:rsidRDefault="00BC0CF6" w:rsidP="00BC0CF6">
      <w:pPr>
        <w:spacing w:line="276" w:lineRule="auto"/>
        <w:rPr>
          <w:color w:val="000000" w:themeColor="text1"/>
        </w:rPr>
      </w:pPr>
    </w:p>
    <w:p w14:paraId="08C269D2" w14:textId="77777777" w:rsidR="00BC0CF6" w:rsidRPr="00F30CDA" w:rsidRDefault="00BC0CF6" w:rsidP="00BC0CF6">
      <w:pPr>
        <w:spacing w:line="276" w:lineRule="auto"/>
        <w:outlineLvl w:val="2"/>
        <w:rPr>
          <w:b/>
          <w:color w:val="000000" w:themeColor="text1"/>
        </w:rPr>
      </w:pPr>
      <w:r>
        <w:rPr>
          <w:b/>
          <w:color w:val="000000" w:themeColor="text1"/>
        </w:rPr>
        <w:t>siRNA screen of the targets of OF-1</w:t>
      </w:r>
    </w:p>
    <w:p w14:paraId="2562411B" w14:textId="77777777" w:rsidR="00BC0CF6" w:rsidRDefault="00BC0CF6" w:rsidP="00BC0CF6">
      <w:pPr>
        <w:spacing w:line="276" w:lineRule="auto"/>
        <w:rPr>
          <w:color w:val="000000" w:themeColor="text1"/>
        </w:rPr>
      </w:pPr>
      <w:r>
        <w:t xml:space="preserve">Isolated CD4+ T cells from blood from patients with </w:t>
      </w:r>
      <w:proofErr w:type="spellStart"/>
      <w:r>
        <w:t>SpA</w:t>
      </w:r>
      <w:proofErr w:type="spellEnd"/>
      <w:r>
        <w:t xml:space="preserve"> were pre-stimulated with 1</w:t>
      </w:r>
      <w:r w:rsidRPr="00423838">
        <w:t xml:space="preserve"> µg/ml Phytohemagglutinin </w:t>
      </w:r>
      <w:r>
        <w:t xml:space="preserve">(PHA) for overnight before the transfection of siRNAs using </w:t>
      </w:r>
      <w:r w:rsidRPr="00423838">
        <w:t>Neon™ Transfection System</w:t>
      </w:r>
      <w:r>
        <w:t>. Non-targeting siRNA control and p</w:t>
      </w:r>
      <w:r w:rsidRPr="00423838">
        <w:t xml:space="preserve">redesigned </w:t>
      </w:r>
      <w:r>
        <w:t xml:space="preserve">siRNAs targeting </w:t>
      </w:r>
      <w:r w:rsidRPr="00BA625A">
        <w:rPr>
          <w:i/>
          <w:iCs/>
        </w:rPr>
        <w:t>BRPF1, BRD1 and BRPF3</w:t>
      </w:r>
      <w:r>
        <w:t xml:space="preserve"> respectively from </w:t>
      </w:r>
      <w:proofErr w:type="spellStart"/>
      <w:r w:rsidRPr="00915A15">
        <w:t>Dharmacon</w:t>
      </w:r>
      <w:proofErr w:type="spellEnd"/>
      <w:r w:rsidRPr="00915A15">
        <w:t xml:space="preserve"> </w:t>
      </w:r>
      <w:r>
        <w:t xml:space="preserve">were used (Horizon Discovery). Cells were cultured in R10 for 3 days allowing the degradation of targeted protein before the stimulation using TAB (1 bead per 5 cells) and cytokines </w:t>
      </w:r>
      <w:r>
        <w:rPr>
          <w:color w:val="000000" w:themeColor="text1"/>
        </w:rPr>
        <w:t>(</w:t>
      </w:r>
      <w:r w:rsidRPr="795D0E3D">
        <w:rPr>
          <w:color w:val="000000" w:themeColor="text1"/>
        </w:rPr>
        <w:t>IL-1β and IL-23, 20ng/ml</w:t>
      </w:r>
      <w:r>
        <w:rPr>
          <w:color w:val="000000" w:themeColor="text1"/>
        </w:rPr>
        <w:t xml:space="preserve">, from </w:t>
      </w:r>
      <w:proofErr w:type="spellStart"/>
      <w:r w:rsidRPr="00F45462">
        <w:rPr>
          <w:color w:val="000000" w:themeColor="text1"/>
        </w:rPr>
        <w:t>PeproTech</w:t>
      </w:r>
      <w:proofErr w:type="spellEnd"/>
      <w:r>
        <w:rPr>
          <w:color w:val="000000" w:themeColor="text1"/>
        </w:rPr>
        <w:t>) to induce the Th17 response. The secreted IL-17A and IFN</w:t>
      </w:r>
      <w:r w:rsidRPr="00411308">
        <w:rPr>
          <w:color w:val="000000" w:themeColor="text1"/>
        </w:rPr>
        <w:t>-</w:t>
      </w:r>
      <w:r w:rsidRPr="00CD3A3A">
        <w:rPr>
          <w:color w:val="000000" w:themeColor="text1"/>
        </w:rPr>
        <w:t>γ</w:t>
      </w:r>
      <w:r>
        <w:rPr>
          <w:color w:val="000000" w:themeColor="text1"/>
        </w:rPr>
        <w:t xml:space="preserve"> were quantified by ELISA. The cell pellets were collected for bulk RNA sequencing to investigate the influence of </w:t>
      </w:r>
      <w:r w:rsidRPr="00F743FB">
        <w:rPr>
          <w:i/>
          <w:iCs/>
          <w:color w:val="000000" w:themeColor="text1"/>
        </w:rPr>
        <w:t>BRPF1</w:t>
      </w:r>
      <w:r>
        <w:rPr>
          <w:color w:val="000000" w:themeColor="text1"/>
        </w:rPr>
        <w:t xml:space="preserve"> and </w:t>
      </w:r>
      <w:r w:rsidRPr="00F743FB">
        <w:rPr>
          <w:i/>
          <w:iCs/>
          <w:color w:val="000000" w:themeColor="text1"/>
        </w:rPr>
        <w:t>BRD1</w:t>
      </w:r>
      <w:r>
        <w:rPr>
          <w:color w:val="000000" w:themeColor="text1"/>
        </w:rPr>
        <w:t xml:space="preserve"> siRNA on T cell transcriptome.</w:t>
      </w:r>
    </w:p>
    <w:p w14:paraId="24E152C2" w14:textId="77777777" w:rsidR="00BC0CF6" w:rsidRDefault="00BC0CF6" w:rsidP="00BC0CF6">
      <w:pPr>
        <w:spacing w:line="276" w:lineRule="auto"/>
      </w:pPr>
    </w:p>
    <w:p w14:paraId="71F9146C" w14:textId="77777777" w:rsidR="007130A3" w:rsidRPr="00411308" w:rsidRDefault="007130A3" w:rsidP="007130A3">
      <w:pPr>
        <w:spacing w:line="276" w:lineRule="auto"/>
        <w:rPr>
          <w:b/>
          <w:bCs/>
          <w:color w:val="000000" w:themeColor="text1"/>
        </w:rPr>
      </w:pPr>
      <w:r w:rsidRPr="00411308">
        <w:rPr>
          <w:b/>
          <w:bCs/>
          <w:color w:val="000000" w:themeColor="text1"/>
        </w:rPr>
        <w:t>Intracellular cytokine staining (ICS)</w:t>
      </w:r>
    </w:p>
    <w:p w14:paraId="7B916546" w14:textId="0FD0BDB6" w:rsidR="007130A3" w:rsidRPr="00411308" w:rsidRDefault="007130A3" w:rsidP="007130A3">
      <w:pPr>
        <w:spacing w:line="276" w:lineRule="auto"/>
        <w:rPr>
          <w:color w:val="000000" w:themeColor="text1"/>
        </w:rPr>
      </w:pPr>
      <w:r w:rsidRPr="00411308">
        <w:rPr>
          <w:color w:val="000000" w:themeColor="text1"/>
        </w:rPr>
        <w:t>T cells were stimulated with 100ng/mL PMA (Sigma-Aldrich) and 1ug/mL Ionomycin (Sigma-Aldrich) for 2</w:t>
      </w:r>
      <w:r>
        <w:rPr>
          <w:color w:val="000000" w:themeColor="text1"/>
        </w:rPr>
        <w:t xml:space="preserve"> </w:t>
      </w:r>
      <w:r w:rsidRPr="00411308">
        <w:rPr>
          <w:color w:val="000000" w:themeColor="text1"/>
        </w:rPr>
        <w:t>h followed by 2</w:t>
      </w:r>
      <w:r>
        <w:rPr>
          <w:color w:val="000000" w:themeColor="text1"/>
        </w:rPr>
        <w:t xml:space="preserve"> </w:t>
      </w:r>
      <w:r w:rsidRPr="00411308">
        <w:rPr>
          <w:color w:val="000000" w:themeColor="text1"/>
        </w:rPr>
        <w:t xml:space="preserve">h incubation with 5 </w:t>
      </w:r>
      <w:proofErr w:type="spellStart"/>
      <w:r w:rsidRPr="00411308">
        <w:rPr>
          <w:color w:val="000000" w:themeColor="text1"/>
        </w:rPr>
        <w:t>μg</w:t>
      </w:r>
      <w:proofErr w:type="spellEnd"/>
      <w:r w:rsidRPr="00411308">
        <w:rPr>
          <w:color w:val="000000" w:themeColor="text1"/>
        </w:rPr>
        <w:t>/ml Brefeldin-A (Sigma-</w:t>
      </w:r>
      <w:r w:rsidRPr="00411308">
        <w:rPr>
          <w:color w:val="000000" w:themeColor="text1"/>
        </w:rPr>
        <w:lastRenderedPageBreak/>
        <w:t xml:space="preserve">Aldrich) before intracellular cytokine staining. The following FACS anti-human antibodies were used: CD3 (clone OKT3; </w:t>
      </w:r>
      <w:proofErr w:type="spellStart"/>
      <w:r w:rsidRPr="00411308">
        <w:rPr>
          <w:color w:val="000000" w:themeColor="text1"/>
        </w:rPr>
        <w:t>BioLegend</w:t>
      </w:r>
      <w:proofErr w:type="spellEnd"/>
      <w:r w:rsidRPr="00411308">
        <w:rPr>
          <w:color w:val="000000" w:themeColor="text1"/>
        </w:rPr>
        <w:t xml:space="preserve">); CD4 (clone RPA-T4; </w:t>
      </w:r>
      <w:proofErr w:type="spellStart"/>
      <w:r w:rsidRPr="00411308">
        <w:rPr>
          <w:color w:val="000000" w:themeColor="text1"/>
        </w:rPr>
        <w:t>BioLegend</w:t>
      </w:r>
      <w:proofErr w:type="spellEnd"/>
      <w:r w:rsidRPr="00411308">
        <w:rPr>
          <w:color w:val="000000" w:themeColor="text1"/>
        </w:rPr>
        <w:t xml:space="preserve">); CXCR6 (clone 13B 1E5; BD Biosciences); IL-17A (clone eBio64DEC17; </w:t>
      </w:r>
      <w:proofErr w:type="spellStart"/>
      <w:r w:rsidRPr="00411308">
        <w:rPr>
          <w:color w:val="000000" w:themeColor="text1"/>
        </w:rPr>
        <w:t>eBioscience</w:t>
      </w:r>
      <w:proofErr w:type="spellEnd"/>
      <w:r w:rsidRPr="00411308">
        <w:rPr>
          <w:color w:val="000000" w:themeColor="text1"/>
        </w:rPr>
        <w:t>) and IFN-</w:t>
      </w:r>
      <w:r w:rsidRPr="00CD3A3A">
        <w:rPr>
          <w:color w:val="000000" w:themeColor="text1"/>
        </w:rPr>
        <w:t>γ</w:t>
      </w:r>
      <w:r w:rsidRPr="00411308">
        <w:rPr>
          <w:color w:val="000000" w:themeColor="text1"/>
        </w:rPr>
        <w:t xml:space="preserve"> (clone 4S.B3; </w:t>
      </w:r>
      <w:proofErr w:type="spellStart"/>
      <w:r w:rsidRPr="00411308">
        <w:rPr>
          <w:color w:val="000000" w:themeColor="text1"/>
        </w:rPr>
        <w:t>BioLegend</w:t>
      </w:r>
      <w:proofErr w:type="spellEnd"/>
      <w:r w:rsidRPr="00411308">
        <w:rPr>
          <w:color w:val="000000" w:themeColor="text1"/>
        </w:rPr>
        <w:t xml:space="preserve">). To exclude dead cells, samples were stained with </w:t>
      </w:r>
      <w:proofErr w:type="spellStart"/>
      <w:r w:rsidRPr="00411308">
        <w:rPr>
          <w:color w:val="000000" w:themeColor="text1"/>
        </w:rPr>
        <w:t>eBioscience</w:t>
      </w:r>
      <w:proofErr w:type="spellEnd"/>
      <w:r w:rsidRPr="00411308">
        <w:rPr>
          <w:color w:val="000000" w:themeColor="text1"/>
        </w:rPr>
        <w:t xml:space="preserve"> TM Fixable Viability Dye </w:t>
      </w:r>
      <w:proofErr w:type="spellStart"/>
      <w:r w:rsidRPr="00411308">
        <w:rPr>
          <w:color w:val="000000" w:themeColor="text1"/>
        </w:rPr>
        <w:t>eFluorTM</w:t>
      </w:r>
      <w:proofErr w:type="spellEnd"/>
      <w:r w:rsidRPr="00411308">
        <w:rPr>
          <w:color w:val="000000" w:themeColor="text1"/>
        </w:rPr>
        <w:t xml:space="preserve"> 780 (65-0865-14, Invitrogen). For intracellular cytokines and transcription factor staining, cells were fixed and permeabilized using BD </w:t>
      </w:r>
      <w:proofErr w:type="spellStart"/>
      <w:r w:rsidRPr="00411308">
        <w:rPr>
          <w:color w:val="000000" w:themeColor="text1"/>
        </w:rPr>
        <w:t>Cytofix</w:t>
      </w:r>
      <w:proofErr w:type="spellEnd"/>
      <w:r w:rsidRPr="00411308">
        <w:rPr>
          <w:color w:val="000000" w:themeColor="text1"/>
        </w:rPr>
        <w:t>/</w:t>
      </w:r>
      <w:proofErr w:type="spellStart"/>
      <w:r w:rsidRPr="00411308">
        <w:rPr>
          <w:color w:val="000000" w:themeColor="text1"/>
        </w:rPr>
        <w:t>CytopermTM</w:t>
      </w:r>
      <w:proofErr w:type="spellEnd"/>
      <w:r w:rsidRPr="00411308">
        <w:rPr>
          <w:color w:val="000000" w:themeColor="text1"/>
        </w:rPr>
        <w:t xml:space="preserve"> Plus kit (564715, BD Biosciences). Data analysis was performed using </w:t>
      </w:r>
      <w:proofErr w:type="spellStart"/>
      <w:r w:rsidRPr="00411308">
        <w:rPr>
          <w:color w:val="000000" w:themeColor="text1"/>
        </w:rPr>
        <w:t>FlowJo</w:t>
      </w:r>
      <w:proofErr w:type="spellEnd"/>
      <w:r w:rsidRPr="00411308">
        <w:rPr>
          <w:color w:val="000000" w:themeColor="text1"/>
        </w:rPr>
        <w:t xml:space="preserve"> software.</w:t>
      </w:r>
    </w:p>
    <w:p w14:paraId="13E719F4" w14:textId="77777777" w:rsidR="007130A3" w:rsidRPr="00411308" w:rsidRDefault="007130A3" w:rsidP="007130A3">
      <w:pPr>
        <w:spacing w:line="276" w:lineRule="auto"/>
        <w:rPr>
          <w:color w:val="000000" w:themeColor="text1"/>
        </w:rPr>
      </w:pPr>
    </w:p>
    <w:p w14:paraId="23DB724B" w14:textId="77777777" w:rsidR="007130A3" w:rsidRPr="00411308" w:rsidRDefault="007130A3" w:rsidP="007130A3">
      <w:pPr>
        <w:spacing w:line="276" w:lineRule="auto"/>
        <w:rPr>
          <w:b/>
          <w:bCs/>
          <w:color w:val="000000" w:themeColor="text1"/>
        </w:rPr>
      </w:pPr>
      <w:r w:rsidRPr="00411308">
        <w:rPr>
          <w:b/>
          <w:bCs/>
          <w:color w:val="000000" w:themeColor="text1"/>
        </w:rPr>
        <w:t>Enzyme-linked immunosorbent assays (ELISA)</w:t>
      </w:r>
    </w:p>
    <w:p w14:paraId="34BC7A1E" w14:textId="77777777" w:rsidR="007130A3" w:rsidRPr="00D07245" w:rsidRDefault="007130A3" w:rsidP="007130A3">
      <w:pPr>
        <w:spacing w:line="276" w:lineRule="auto"/>
        <w:rPr>
          <w:color w:val="000000" w:themeColor="text1"/>
        </w:rPr>
      </w:pPr>
      <w:r w:rsidRPr="00411308">
        <w:rPr>
          <w:color w:val="000000" w:themeColor="text1"/>
        </w:rPr>
        <w:t>The concentrations of IL-17A and IFN-</w:t>
      </w:r>
      <w:r w:rsidRPr="00AA59F5">
        <w:rPr>
          <w:color w:val="000000" w:themeColor="text1"/>
        </w:rPr>
        <w:t xml:space="preserve">γ </w:t>
      </w:r>
      <w:r w:rsidRPr="00411308">
        <w:rPr>
          <w:color w:val="000000" w:themeColor="text1"/>
        </w:rPr>
        <w:t xml:space="preserve">in cell culture supernatants were assayed using standard ELISA kits (88-7176-88, 88-7316-88 Invitrogen) following the protocol set out by the manufacturer. The </w:t>
      </w:r>
      <w:proofErr w:type="spellStart"/>
      <w:r w:rsidRPr="00411308">
        <w:rPr>
          <w:color w:val="000000" w:themeColor="text1"/>
        </w:rPr>
        <w:t>Multiskan</w:t>
      </w:r>
      <w:proofErr w:type="spellEnd"/>
      <w:r w:rsidRPr="00411308">
        <w:rPr>
          <w:color w:val="000000" w:themeColor="text1"/>
        </w:rPr>
        <w:t xml:space="preserve"> Ascent ELISA reader was employed to read the ELISA plates at a test wavelength of 450 nm and a background wavelength of 570 nm. Then, the standard curve of ELISA was plotted using Microsoft Excel software, while the corresponding concentrations of samples were calculated using the absorbance value and standard curve.</w:t>
      </w:r>
    </w:p>
    <w:p w14:paraId="640ECAB1" w14:textId="0327F266" w:rsidR="6DD2E473" w:rsidRPr="007130A3" w:rsidRDefault="6DD2E473" w:rsidP="013D0A44">
      <w:pPr>
        <w:spacing w:line="240" w:lineRule="auto"/>
        <w:rPr>
          <w:sz w:val="20"/>
          <w:szCs w:val="20"/>
          <w:lang w:eastAsia="zh-CN"/>
        </w:rPr>
      </w:pPr>
    </w:p>
    <w:sectPr w:rsidR="6DD2E473" w:rsidRPr="007130A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4DF8E" w14:textId="77777777" w:rsidR="00BD13BC" w:rsidRDefault="00BD13BC" w:rsidP="000351CB">
      <w:pPr>
        <w:spacing w:line="240" w:lineRule="auto"/>
      </w:pPr>
      <w:r>
        <w:separator/>
      </w:r>
    </w:p>
  </w:endnote>
  <w:endnote w:type="continuationSeparator" w:id="0">
    <w:p w14:paraId="0B384CDD" w14:textId="77777777" w:rsidR="00BD13BC" w:rsidRDefault="00BD13BC" w:rsidP="000351CB">
      <w:pPr>
        <w:spacing w:line="240" w:lineRule="auto"/>
      </w:pPr>
      <w:r>
        <w:continuationSeparator/>
      </w:r>
    </w:p>
  </w:endnote>
  <w:endnote w:type="continuationNotice" w:id="1">
    <w:p w14:paraId="58D47E27" w14:textId="77777777" w:rsidR="00BD13BC" w:rsidRDefault="00BD13B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A6BDC" w14:textId="77777777" w:rsidR="00BD13BC" w:rsidRDefault="00BD13BC" w:rsidP="000351CB">
      <w:pPr>
        <w:spacing w:line="240" w:lineRule="auto"/>
      </w:pPr>
      <w:r>
        <w:separator/>
      </w:r>
    </w:p>
  </w:footnote>
  <w:footnote w:type="continuationSeparator" w:id="0">
    <w:p w14:paraId="43AAD630" w14:textId="77777777" w:rsidR="00BD13BC" w:rsidRDefault="00BD13BC" w:rsidP="000351CB">
      <w:pPr>
        <w:spacing w:line="240" w:lineRule="auto"/>
      </w:pPr>
      <w:r>
        <w:continuationSeparator/>
      </w:r>
    </w:p>
  </w:footnote>
  <w:footnote w:type="continuationNotice" w:id="1">
    <w:p w14:paraId="55FEFC04" w14:textId="77777777" w:rsidR="00BD13BC" w:rsidRDefault="00BD13BC">
      <w:pPr>
        <w:spacing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1CB"/>
    <w:rsid w:val="00000DE5"/>
    <w:rsid w:val="0000203B"/>
    <w:rsid w:val="00002C3B"/>
    <w:rsid w:val="00004D62"/>
    <w:rsid w:val="00005529"/>
    <w:rsid w:val="000117EB"/>
    <w:rsid w:val="0001760A"/>
    <w:rsid w:val="000252C0"/>
    <w:rsid w:val="00030876"/>
    <w:rsid w:val="000351CB"/>
    <w:rsid w:val="00044265"/>
    <w:rsid w:val="0005741D"/>
    <w:rsid w:val="00066BB2"/>
    <w:rsid w:val="00067650"/>
    <w:rsid w:val="000707E4"/>
    <w:rsid w:val="000716AC"/>
    <w:rsid w:val="000730F1"/>
    <w:rsid w:val="0007779F"/>
    <w:rsid w:val="000800EC"/>
    <w:rsid w:val="00081593"/>
    <w:rsid w:val="000A3616"/>
    <w:rsid w:val="000B061B"/>
    <w:rsid w:val="000B7FF7"/>
    <w:rsid w:val="000C55DE"/>
    <w:rsid w:val="000C64F1"/>
    <w:rsid w:val="000F0664"/>
    <w:rsid w:val="000F140D"/>
    <w:rsid w:val="000F22AC"/>
    <w:rsid w:val="000F3D0B"/>
    <w:rsid w:val="000F7920"/>
    <w:rsid w:val="0010639C"/>
    <w:rsid w:val="0011641C"/>
    <w:rsid w:val="001223A2"/>
    <w:rsid w:val="00126079"/>
    <w:rsid w:val="00127F7E"/>
    <w:rsid w:val="001335AE"/>
    <w:rsid w:val="00143192"/>
    <w:rsid w:val="00152BA7"/>
    <w:rsid w:val="00161C73"/>
    <w:rsid w:val="00174C6D"/>
    <w:rsid w:val="00190CAE"/>
    <w:rsid w:val="00193F38"/>
    <w:rsid w:val="001967E4"/>
    <w:rsid w:val="001A796A"/>
    <w:rsid w:val="001B08F4"/>
    <w:rsid w:val="001B422A"/>
    <w:rsid w:val="001D3262"/>
    <w:rsid w:val="001D4455"/>
    <w:rsid w:val="001D6B95"/>
    <w:rsid w:val="001E00A8"/>
    <w:rsid w:val="001E03EA"/>
    <w:rsid w:val="001E2F41"/>
    <w:rsid w:val="001F0F51"/>
    <w:rsid w:val="001F5CE3"/>
    <w:rsid w:val="001F5D96"/>
    <w:rsid w:val="001F6804"/>
    <w:rsid w:val="002113CC"/>
    <w:rsid w:val="00217225"/>
    <w:rsid w:val="002238C4"/>
    <w:rsid w:val="002278F1"/>
    <w:rsid w:val="00232D6E"/>
    <w:rsid w:val="00245314"/>
    <w:rsid w:val="002533FE"/>
    <w:rsid w:val="00257AFE"/>
    <w:rsid w:val="00271B81"/>
    <w:rsid w:val="002835BD"/>
    <w:rsid w:val="00287E5A"/>
    <w:rsid w:val="00295AA0"/>
    <w:rsid w:val="002B6EED"/>
    <w:rsid w:val="002C6865"/>
    <w:rsid w:val="002C7004"/>
    <w:rsid w:val="002D2011"/>
    <w:rsid w:val="002D4809"/>
    <w:rsid w:val="002E2CA8"/>
    <w:rsid w:val="002E73AC"/>
    <w:rsid w:val="002E7D21"/>
    <w:rsid w:val="00300886"/>
    <w:rsid w:val="00305B76"/>
    <w:rsid w:val="00311C4E"/>
    <w:rsid w:val="0031701A"/>
    <w:rsid w:val="00317080"/>
    <w:rsid w:val="003351BD"/>
    <w:rsid w:val="00335F38"/>
    <w:rsid w:val="003417E6"/>
    <w:rsid w:val="00370BF3"/>
    <w:rsid w:val="00375A83"/>
    <w:rsid w:val="0038039F"/>
    <w:rsid w:val="00397617"/>
    <w:rsid w:val="003A2E7B"/>
    <w:rsid w:val="003A45E8"/>
    <w:rsid w:val="003D3397"/>
    <w:rsid w:val="003D71E6"/>
    <w:rsid w:val="003E6018"/>
    <w:rsid w:val="003E6E83"/>
    <w:rsid w:val="003E728B"/>
    <w:rsid w:val="003F058D"/>
    <w:rsid w:val="003F0F37"/>
    <w:rsid w:val="0040152F"/>
    <w:rsid w:val="00404177"/>
    <w:rsid w:val="00410C08"/>
    <w:rsid w:val="00413D05"/>
    <w:rsid w:val="0041720C"/>
    <w:rsid w:val="00440663"/>
    <w:rsid w:val="00440728"/>
    <w:rsid w:val="00442923"/>
    <w:rsid w:val="00445B6F"/>
    <w:rsid w:val="00446162"/>
    <w:rsid w:val="00460410"/>
    <w:rsid w:val="00474B2E"/>
    <w:rsid w:val="00484AB2"/>
    <w:rsid w:val="004850DE"/>
    <w:rsid w:val="00487E17"/>
    <w:rsid w:val="004912C6"/>
    <w:rsid w:val="004A1958"/>
    <w:rsid w:val="004A3368"/>
    <w:rsid w:val="004A7D97"/>
    <w:rsid w:val="004B262E"/>
    <w:rsid w:val="004C3370"/>
    <w:rsid w:val="004C4706"/>
    <w:rsid w:val="004C5F4D"/>
    <w:rsid w:val="004D226D"/>
    <w:rsid w:val="004D2696"/>
    <w:rsid w:val="004D3A66"/>
    <w:rsid w:val="004D3E03"/>
    <w:rsid w:val="004E5369"/>
    <w:rsid w:val="004E5BBD"/>
    <w:rsid w:val="00500776"/>
    <w:rsid w:val="005035D7"/>
    <w:rsid w:val="00505BB7"/>
    <w:rsid w:val="005125E0"/>
    <w:rsid w:val="00530583"/>
    <w:rsid w:val="005310A4"/>
    <w:rsid w:val="0053218D"/>
    <w:rsid w:val="005340D9"/>
    <w:rsid w:val="0054398E"/>
    <w:rsid w:val="00551C9D"/>
    <w:rsid w:val="00557922"/>
    <w:rsid w:val="005717BB"/>
    <w:rsid w:val="00572730"/>
    <w:rsid w:val="0059189E"/>
    <w:rsid w:val="00591B9A"/>
    <w:rsid w:val="005A3DC3"/>
    <w:rsid w:val="005B08B5"/>
    <w:rsid w:val="005B74B8"/>
    <w:rsid w:val="005B77CF"/>
    <w:rsid w:val="005C1AD7"/>
    <w:rsid w:val="005D1F00"/>
    <w:rsid w:val="005D3409"/>
    <w:rsid w:val="005E1004"/>
    <w:rsid w:val="005E1D66"/>
    <w:rsid w:val="005E40E7"/>
    <w:rsid w:val="005F4941"/>
    <w:rsid w:val="0060099F"/>
    <w:rsid w:val="00600C44"/>
    <w:rsid w:val="00612B6F"/>
    <w:rsid w:val="00614AE2"/>
    <w:rsid w:val="00623FC8"/>
    <w:rsid w:val="006253F3"/>
    <w:rsid w:val="00625553"/>
    <w:rsid w:val="00637535"/>
    <w:rsid w:val="006414EA"/>
    <w:rsid w:val="0065468C"/>
    <w:rsid w:val="00656246"/>
    <w:rsid w:val="00660007"/>
    <w:rsid w:val="00662634"/>
    <w:rsid w:val="00665A48"/>
    <w:rsid w:val="00672A4A"/>
    <w:rsid w:val="00684087"/>
    <w:rsid w:val="006842AE"/>
    <w:rsid w:val="00695817"/>
    <w:rsid w:val="00695BF0"/>
    <w:rsid w:val="006961A2"/>
    <w:rsid w:val="0069788D"/>
    <w:rsid w:val="006C7CF4"/>
    <w:rsid w:val="006D65E9"/>
    <w:rsid w:val="006D67BF"/>
    <w:rsid w:val="006E569F"/>
    <w:rsid w:val="006F32F5"/>
    <w:rsid w:val="006F7FF4"/>
    <w:rsid w:val="00707B6A"/>
    <w:rsid w:val="007130A3"/>
    <w:rsid w:val="00713B24"/>
    <w:rsid w:val="00715588"/>
    <w:rsid w:val="0072304B"/>
    <w:rsid w:val="00725486"/>
    <w:rsid w:val="00726594"/>
    <w:rsid w:val="00741101"/>
    <w:rsid w:val="00754AAD"/>
    <w:rsid w:val="00761D10"/>
    <w:rsid w:val="0076293E"/>
    <w:rsid w:val="00772363"/>
    <w:rsid w:val="00782EEB"/>
    <w:rsid w:val="00792EF8"/>
    <w:rsid w:val="007966B0"/>
    <w:rsid w:val="007A6BDE"/>
    <w:rsid w:val="007B0DF9"/>
    <w:rsid w:val="007C50DD"/>
    <w:rsid w:val="007C7511"/>
    <w:rsid w:val="007D263F"/>
    <w:rsid w:val="007D37D3"/>
    <w:rsid w:val="007D56DE"/>
    <w:rsid w:val="007D7161"/>
    <w:rsid w:val="007E153E"/>
    <w:rsid w:val="007E7571"/>
    <w:rsid w:val="007E7991"/>
    <w:rsid w:val="007F045E"/>
    <w:rsid w:val="007F090B"/>
    <w:rsid w:val="00801D9E"/>
    <w:rsid w:val="00822310"/>
    <w:rsid w:val="00824F18"/>
    <w:rsid w:val="0083089D"/>
    <w:rsid w:val="00842AC0"/>
    <w:rsid w:val="00846A3A"/>
    <w:rsid w:val="00854072"/>
    <w:rsid w:val="00864169"/>
    <w:rsid w:val="008647FC"/>
    <w:rsid w:val="00887CDC"/>
    <w:rsid w:val="008B6822"/>
    <w:rsid w:val="008C7466"/>
    <w:rsid w:val="008E0651"/>
    <w:rsid w:val="008E6861"/>
    <w:rsid w:val="009015D6"/>
    <w:rsid w:val="00917492"/>
    <w:rsid w:val="009211B9"/>
    <w:rsid w:val="0092657D"/>
    <w:rsid w:val="0092689D"/>
    <w:rsid w:val="00927957"/>
    <w:rsid w:val="00930F60"/>
    <w:rsid w:val="009319ED"/>
    <w:rsid w:val="009443D8"/>
    <w:rsid w:val="00946CF9"/>
    <w:rsid w:val="0094732D"/>
    <w:rsid w:val="009501ED"/>
    <w:rsid w:val="00953978"/>
    <w:rsid w:val="009622F9"/>
    <w:rsid w:val="0097136F"/>
    <w:rsid w:val="00974A2B"/>
    <w:rsid w:val="00976AA4"/>
    <w:rsid w:val="009803D3"/>
    <w:rsid w:val="00993486"/>
    <w:rsid w:val="00995C1E"/>
    <w:rsid w:val="00996383"/>
    <w:rsid w:val="00997AFB"/>
    <w:rsid w:val="009A627E"/>
    <w:rsid w:val="009B071E"/>
    <w:rsid w:val="009B2B75"/>
    <w:rsid w:val="009B6E74"/>
    <w:rsid w:val="009D7153"/>
    <w:rsid w:val="009F449F"/>
    <w:rsid w:val="009F4F76"/>
    <w:rsid w:val="009F6980"/>
    <w:rsid w:val="00A1180D"/>
    <w:rsid w:val="00A15F27"/>
    <w:rsid w:val="00A31740"/>
    <w:rsid w:val="00A40784"/>
    <w:rsid w:val="00A4151C"/>
    <w:rsid w:val="00A43F8A"/>
    <w:rsid w:val="00A46B30"/>
    <w:rsid w:val="00A475A6"/>
    <w:rsid w:val="00A50463"/>
    <w:rsid w:val="00A505BB"/>
    <w:rsid w:val="00A50C10"/>
    <w:rsid w:val="00A522AA"/>
    <w:rsid w:val="00A5575A"/>
    <w:rsid w:val="00A55DCE"/>
    <w:rsid w:val="00A67C39"/>
    <w:rsid w:val="00A80D52"/>
    <w:rsid w:val="00AB2966"/>
    <w:rsid w:val="00AC4730"/>
    <w:rsid w:val="00AC53C0"/>
    <w:rsid w:val="00AD2548"/>
    <w:rsid w:val="00AD3649"/>
    <w:rsid w:val="00AD4E27"/>
    <w:rsid w:val="00AE0DE0"/>
    <w:rsid w:val="00AE5A32"/>
    <w:rsid w:val="00AE5FD6"/>
    <w:rsid w:val="00B03246"/>
    <w:rsid w:val="00B1308D"/>
    <w:rsid w:val="00B16E6A"/>
    <w:rsid w:val="00B17AF7"/>
    <w:rsid w:val="00B23ED8"/>
    <w:rsid w:val="00B25BA0"/>
    <w:rsid w:val="00B35F08"/>
    <w:rsid w:val="00B53598"/>
    <w:rsid w:val="00B548CF"/>
    <w:rsid w:val="00B665DE"/>
    <w:rsid w:val="00B73779"/>
    <w:rsid w:val="00B751BF"/>
    <w:rsid w:val="00B765C2"/>
    <w:rsid w:val="00B76FAF"/>
    <w:rsid w:val="00B7771E"/>
    <w:rsid w:val="00B923C1"/>
    <w:rsid w:val="00BA2F8E"/>
    <w:rsid w:val="00BA41F5"/>
    <w:rsid w:val="00BB5569"/>
    <w:rsid w:val="00BC0CF6"/>
    <w:rsid w:val="00BC2289"/>
    <w:rsid w:val="00BC4C75"/>
    <w:rsid w:val="00BC652E"/>
    <w:rsid w:val="00BD09B7"/>
    <w:rsid w:val="00BD13BC"/>
    <w:rsid w:val="00BD706A"/>
    <w:rsid w:val="00BE0671"/>
    <w:rsid w:val="00BE5A03"/>
    <w:rsid w:val="00BF476B"/>
    <w:rsid w:val="00BF5A74"/>
    <w:rsid w:val="00C06743"/>
    <w:rsid w:val="00C07066"/>
    <w:rsid w:val="00C13CF6"/>
    <w:rsid w:val="00C15B54"/>
    <w:rsid w:val="00C21074"/>
    <w:rsid w:val="00C32B66"/>
    <w:rsid w:val="00C40DEC"/>
    <w:rsid w:val="00C44139"/>
    <w:rsid w:val="00C563E3"/>
    <w:rsid w:val="00C81596"/>
    <w:rsid w:val="00C85A17"/>
    <w:rsid w:val="00C86688"/>
    <w:rsid w:val="00C91EA3"/>
    <w:rsid w:val="00C94C99"/>
    <w:rsid w:val="00C97E56"/>
    <w:rsid w:val="00CA4E7E"/>
    <w:rsid w:val="00CA4F4C"/>
    <w:rsid w:val="00CB1519"/>
    <w:rsid w:val="00CB53FE"/>
    <w:rsid w:val="00CB6FDB"/>
    <w:rsid w:val="00CB758F"/>
    <w:rsid w:val="00CC00F2"/>
    <w:rsid w:val="00CC425B"/>
    <w:rsid w:val="00CD0718"/>
    <w:rsid w:val="00CD159B"/>
    <w:rsid w:val="00CF0043"/>
    <w:rsid w:val="00D023BD"/>
    <w:rsid w:val="00D14804"/>
    <w:rsid w:val="00D24EE8"/>
    <w:rsid w:val="00D42CFD"/>
    <w:rsid w:val="00D47B00"/>
    <w:rsid w:val="00D514E0"/>
    <w:rsid w:val="00D52DA4"/>
    <w:rsid w:val="00D670E0"/>
    <w:rsid w:val="00D73E5E"/>
    <w:rsid w:val="00D74467"/>
    <w:rsid w:val="00D754EB"/>
    <w:rsid w:val="00D9056E"/>
    <w:rsid w:val="00D920CF"/>
    <w:rsid w:val="00D97A6F"/>
    <w:rsid w:val="00DA3FB5"/>
    <w:rsid w:val="00DA4D11"/>
    <w:rsid w:val="00DA7EC7"/>
    <w:rsid w:val="00DB05EF"/>
    <w:rsid w:val="00DB294B"/>
    <w:rsid w:val="00DB5B3E"/>
    <w:rsid w:val="00DB66BA"/>
    <w:rsid w:val="00DB7AC4"/>
    <w:rsid w:val="00DD168F"/>
    <w:rsid w:val="00DD504E"/>
    <w:rsid w:val="00DD6A81"/>
    <w:rsid w:val="00DD70BD"/>
    <w:rsid w:val="00DE1C26"/>
    <w:rsid w:val="00DE2650"/>
    <w:rsid w:val="00DF7681"/>
    <w:rsid w:val="00E0691E"/>
    <w:rsid w:val="00E10E8A"/>
    <w:rsid w:val="00E15E13"/>
    <w:rsid w:val="00E33A23"/>
    <w:rsid w:val="00E44862"/>
    <w:rsid w:val="00E46024"/>
    <w:rsid w:val="00E61792"/>
    <w:rsid w:val="00E624C3"/>
    <w:rsid w:val="00E728D8"/>
    <w:rsid w:val="00E928AC"/>
    <w:rsid w:val="00E929E0"/>
    <w:rsid w:val="00E94391"/>
    <w:rsid w:val="00E94584"/>
    <w:rsid w:val="00E955EB"/>
    <w:rsid w:val="00E97E8E"/>
    <w:rsid w:val="00EA634E"/>
    <w:rsid w:val="00EB46C8"/>
    <w:rsid w:val="00EC3F12"/>
    <w:rsid w:val="00EC6064"/>
    <w:rsid w:val="00ED1357"/>
    <w:rsid w:val="00ED58FB"/>
    <w:rsid w:val="00ED699C"/>
    <w:rsid w:val="00EE5C9D"/>
    <w:rsid w:val="00F0535C"/>
    <w:rsid w:val="00F06D7A"/>
    <w:rsid w:val="00F12637"/>
    <w:rsid w:val="00F315D4"/>
    <w:rsid w:val="00F352F3"/>
    <w:rsid w:val="00F35C78"/>
    <w:rsid w:val="00F374B2"/>
    <w:rsid w:val="00F46C49"/>
    <w:rsid w:val="00F51BFC"/>
    <w:rsid w:val="00F628CC"/>
    <w:rsid w:val="00F67A65"/>
    <w:rsid w:val="00F73CC1"/>
    <w:rsid w:val="00F7772E"/>
    <w:rsid w:val="00F851C6"/>
    <w:rsid w:val="00F86DB8"/>
    <w:rsid w:val="00F90074"/>
    <w:rsid w:val="00FA1574"/>
    <w:rsid w:val="00FC0208"/>
    <w:rsid w:val="00FD09C0"/>
    <w:rsid w:val="00FD1D0A"/>
    <w:rsid w:val="00FD784D"/>
    <w:rsid w:val="00FE3DDB"/>
    <w:rsid w:val="00FF1C33"/>
    <w:rsid w:val="013D0A44"/>
    <w:rsid w:val="01823404"/>
    <w:rsid w:val="031E0465"/>
    <w:rsid w:val="040AD36C"/>
    <w:rsid w:val="0750AF6D"/>
    <w:rsid w:val="08E0E3DF"/>
    <w:rsid w:val="0A11D34A"/>
    <w:rsid w:val="0B073494"/>
    <w:rsid w:val="0CF07FE7"/>
    <w:rsid w:val="0FE2B64E"/>
    <w:rsid w:val="1195184A"/>
    <w:rsid w:val="1318D23E"/>
    <w:rsid w:val="14FB91CC"/>
    <w:rsid w:val="18E233E8"/>
    <w:rsid w:val="18E28A3D"/>
    <w:rsid w:val="1BB67ECA"/>
    <w:rsid w:val="1DE13E47"/>
    <w:rsid w:val="200331C0"/>
    <w:rsid w:val="2375E535"/>
    <w:rsid w:val="2788208D"/>
    <w:rsid w:val="291C825E"/>
    <w:rsid w:val="2C1BA055"/>
    <w:rsid w:val="2FF3773B"/>
    <w:rsid w:val="2FFC3E39"/>
    <w:rsid w:val="30C9B5B5"/>
    <w:rsid w:val="31348CD3"/>
    <w:rsid w:val="3758B6EB"/>
    <w:rsid w:val="414DE0F1"/>
    <w:rsid w:val="41F3CA02"/>
    <w:rsid w:val="43E79D82"/>
    <w:rsid w:val="443739F3"/>
    <w:rsid w:val="4833865D"/>
    <w:rsid w:val="4B4E3A32"/>
    <w:rsid w:val="4F930B21"/>
    <w:rsid w:val="56C3C8B4"/>
    <w:rsid w:val="5B739CAC"/>
    <w:rsid w:val="5C435DE5"/>
    <w:rsid w:val="605A075A"/>
    <w:rsid w:val="63D69E51"/>
    <w:rsid w:val="66A5699D"/>
    <w:rsid w:val="678E948C"/>
    <w:rsid w:val="68469695"/>
    <w:rsid w:val="6BBE0480"/>
    <w:rsid w:val="6DD2E473"/>
    <w:rsid w:val="720F6199"/>
    <w:rsid w:val="72266FD1"/>
    <w:rsid w:val="7258DF40"/>
    <w:rsid w:val="736E57F2"/>
    <w:rsid w:val="73ECC21B"/>
    <w:rsid w:val="74614EA2"/>
    <w:rsid w:val="7695E9BC"/>
    <w:rsid w:val="76F411C8"/>
    <w:rsid w:val="772C5063"/>
    <w:rsid w:val="78813197"/>
    <w:rsid w:val="7A63F125"/>
    <w:rsid w:val="7D9B9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6A2B9"/>
  <w15:chartTrackingRefBased/>
  <w15:docId w15:val="{3598DEC7-B415-40EE-9FA9-BF8E406ED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486"/>
    <w:pPr>
      <w:spacing w:line="480" w:lineRule="auto"/>
      <w:jc w:val="both"/>
    </w:pPr>
    <w:rPr>
      <w:rFonts w:ascii="Times New Roman" w:eastAsia="SimSun" w:hAnsi="Times New Roman" w:cs="Times New Roman"/>
      <w:kern w:val="0"/>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51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0351CB"/>
    <w:rPr>
      <w:sz w:val="18"/>
      <w:szCs w:val="18"/>
    </w:rPr>
  </w:style>
  <w:style w:type="paragraph" w:styleId="Footer">
    <w:name w:val="footer"/>
    <w:basedOn w:val="Normal"/>
    <w:link w:val="FooterChar"/>
    <w:uiPriority w:val="99"/>
    <w:unhideWhenUsed/>
    <w:rsid w:val="000351C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0351CB"/>
    <w:rPr>
      <w:sz w:val="18"/>
      <w:szCs w:val="18"/>
    </w:rPr>
  </w:style>
  <w:style w:type="paragraph" w:styleId="NormalWeb">
    <w:name w:val="Normal (Web)"/>
    <w:basedOn w:val="Normal"/>
    <w:uiPriority w:val="99"/>
    <w:semiHidden/>
    <w:unhideWhenUsed/>
    <w:rsid w:val="002B6EED"/>
    <w:pPr>
      <w:spacing w:before="100" w:beforeAutospacing="1" w:after="100" w:afterAutospacing="1" w:line="240" w:lineRule="auto"/>
      <w:jc w:val="left"/>
    </w:pPr>
    <w:rPr>
      <w:rFonts w:eastAsia="Times New Roman"/>
      <w:lang w:val="en-GB" w:eastAsia="zh-CN"/>
    </w:rPr>
  </w:style>
  <w:style w:type="paragraph" w:styleId="Revision">
    <w:name w:val="Revision"/>
    <w:hidden/>
    <w:uiPriority w:val="99"/>
    <w:semiHidden/>
    <w:rsid w:val="002238C4"/>
    <w:rPr>
      <w:rFonts w:ascii="Times New Roman" w:eastAsia="SimSun" w:hAnsi="Times New Roman" w:cs="Times New Roman"/>
      <w:kern w:val="0"/>
      <w:sz w:val="24"/>
      <w:lang w:eastAsia="en-US"/>
    </w:rPr>
  </w:style>
  <w:style w:type="paragraph" w:styleId="NoSpacing">
    <w:name w:val="No Spacing"/>
    <w:uiPriority w:val="1"/>
    <w:qFormat/>
    <w:rsid w:val="00AC53C0"/>
    <w:rPr>
      <w:rFonts w:ascii="SimSun" w:eastAsia="SimSun" w:hAnsi="SimSun" w:cs="SimSu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665906">
      <w:bodyDiv w:val="1"/>
      <w:marLeft w:val="0"/>
      <w:marRight w:val="0"/>
      <w:marTop w:val="0"/>
      <w:marBottom w:val="0"/>
      <w:divBdr>
        <w:top w:val="none" w:sz="0" w:space="0" w:color="auto"/>
        <w:left w:val="none" w:sz="0" w:space="0" w:color="auto"/>
        <w:bottom w:val="none" w:sz="0" w:space="0" w:color="auto"/>
        <w:right w:val="none" w:sz="0" w:space="0" w:color="auto"/>
      </w:divBdr>
    </w:div>
    <w:div w:id="1882668012">
      <w:bodyDiv w:val="1"/>
      <w:marLeft w:val="0"/>
      <w:marRight w:val="0"/>
      <w:marTop w:val="0"/>
      <w:marBottom w:val="0"/>
      <w:divBdr>
        <w:top w:val="none" w:sz="0" w:space="0" w:color="auto"/>
        <w:left w:val="none" w:sz="0" w:space="0" w:color="auto"/>
        <w:bottom w:val="none" w:sz="0" w:space="0" w:color="auto"/>
        <w:right w:val="none" w:sz="0" w:space="0" w:color="auto"/>
      </w:divBdr>
    </w:div>
    <w:div w:id="1966618039">
      <w:bodyDiv w:val="1"/>
      <w:marLeft w:val="0"/>
      <w:marRight w:val="0"/>
      <w:marTop w:val="0"/>
      <w:marBottom w:val="0"/>
      <w:divBdr>
        <w:top w:val="none" w:sz="0" w:space="0" w:color="auto"/>
        <w:left w:val="none" w:sz="0" w:space="0" w:color="auto"/>
        <w:bottom w:val="none" w:sz="0" w:space="0" w:color="auto"/>
        <w:right w:val="none" w:sz="0" w:space="0" w:color="auto"/>
      </w:divBdr>
    </w:div>
    <w:div w:id="214119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999</Words>
  <Characters>5698</Characters>
  <Application>Microsoft Office Word</Application>
  <DocSecurity>0</DocSecurity>
  <Lines>47</Lines>
  <Paragraphs>13</Paragraphs>
  <ScaleCrop>false</ScaleCrop>
  <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Jinyi Zhao</dc:creator>
  <cp:keywords/>
  <dc:description/>
  <cp:lastModifiedBy>Liye Chen</cp:lastModifiedBy>
  <cp:revision>375</cp:revision>
  <dcterms:created xsi:type="dcterms:W3CDTF">2023-03-15T20:45:00Z</dcterms:created>
  <dcterms:modified xsi:type="dcterms:W3CDTF">2025-03-15T03:11:00Z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eada585c35a4e9337b6057c89259fdb55f1294235650392657c9c7632ed560f5</vt:lpwstr>
  </property>
</Properties>
</file>