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C07" w:rsidRDefault="00864C07" w:rsidP="00864C07">
      <w:pPr>
        <w:spacing w:line="360" w:lineRule="auto"/>
        <w:rPr>
          <w:rFonts w:ascii="Arial" w:hAnsi="Arial"/>
          <w:b/>
          <w:bCs/>
          <w:sz w:val="20"/>
          <w:szCs w:val="20"/>
        </w:rPr>
      </w:pPr>
      <w:r>
        <w:rPr>
          <w:rFonts w:ascii="Arial" w:hAnsi="Arial"/>
          <w:b/>
          <w:bCs/>
          <w:sz w:val="20"/>
          <w:szCs w:val="20"/>
        </w:rPr>
        <w:t>SUPPLEMENTARY FIGURES</w:t>
      </w:r>
    </w:p>
    <w:p w:rsidR="00864C07" w:rsidRDefault="00864C07" w:rsidP="00864C07">
      <w:pPr>
        <w:spacing w:line="360" w:lineRule="auto"/>
        <w:rPr>
          <w:rFonts w:ascii="Arial" w:hAnsi="Arial"/>
          <w:b/>
          <w:bCs/>
          <w:sz w:val="20"/>
          <w:szCs w:val="20"/>
        </w:rPr>
      </w:pPr>
      <w:r w:rsidRPr="009E0EAF">
        <w:rPr>
          <w:noProof/>
          <w:lang w:eastAsia="en-GB"/>
        </w:rPr>
        <w:drawing>
          <wp:inline distT="0" distB="0" distL="0" distR="0" wp14:anchorId="0E8EF812" wp14:editId="1DCF91CC">
            <wp:extent cx="5760720" cy="460857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S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4608575"/>
                    </a:xfrm>
                    <a:prstGeom prst="rect">
                      <a:avLst/>
                    </a:prstGeom>
                  </pic:spPr>
                </pic:pic>
              </a:graphicData>
            </a:graphic>
          </wp:inline>
        </w:drawing>
      </w:r>
    </w:p>
    <w:p w:rsidR="00393E87" w:rsidRDefault="00864C07" w:rsidP="00714BBF">
      <w:pPr>
        <w:spacing w:line="360" w:lineRule="auto"/>
        <w:rPr>
          <w:rFonts w:ascii="Arial" w:hAnsi="Arial"/>
          <w:color w:val="222222"/>
          <w:sz w:val="20"/>
          <w:szCs w:val="20"/>
          <w:shd w:val="clear" w:color="auto" w:fill="FFFFFF"/>
        </w:rPr>
      </w:pPr>
      <w:r w:rsidRPr="00940ED9">
        <w:rPr>
          <w:rFonts w:ascii="Arial" w:hAnsi="Arial"/>
          <w:sz w:val="20"/>
          <w:szCs w:val="20"/>
        </w:rPr>
        <w:t xml:space="preserve">Figure </w:t>
      </w:r>
      <w:r>
        <w:rPr>
          <w:rFonts w:ascii="Arial" w:hAnsi="Arial"/>
          <w:sz w:val="20"/>
          <w:szCs w:val="20"/>
        </w:rPr>
        <w:t>S</w:t>
      </w:r>
      <w:r w:rsidRPr="00940ED9">
        <w:rPr>
          <w:rFonts w:ascii="Arial" w:hAnsi="Arial"/>
          <w:sz w:val="20"/>
          <w:szCs w:val="20"/>
        </w:rPr>
        <w:t>1</w:t>
      </w:r>
      <w:r w:rsidRPr="00714BBF">
        <w:rPr>
          <w:rFonts w:ascii="Arial" w:hAnsi="Arial"/>
          <w:sz w:val="20"/>
          <w:szCs w:val="20"/>
        </w:rPr>
        <w:t xml:space="preserve">. </w:t>
      </w:r>
      <w:r w:rsidR="00714BBF" w:rsidRPr="00714BBF">
        <w:rPr>
          <w:rFonts w:ascii="Arial" w:hAnsi="Arial"/>
          <w:color w:val="222222"/>
          <w:sz w:val="20"/>
          <w:szCs w:val="20"/>
          <w:shd w:val="clear" w:color="auto" w:fill="FFFFFF"/>
        </w:rPr>
        <w:t xml:space="preserve">Backbone RMSD </w:t>
      </w:r>
      <w:proofErr w:type="spellStart"/>
      <w:r w:rsidR="00714BBF" w:rsidRPr="00714BBF">
        <w:rPr>
          <w:rFonts w:ascii="Arial" w:hAnsi="Arial"/>
          <w:color w:val="222222"/>
          <w:sz w:val="20"/>
          <w:szCs w:val="20"/>
          <w:shd w:val="clear" w:color="auto" w:fill="FFFFFF"/>
        </w:rPr>
        <w:t>heatmap</w:t>
      </w:r>
      <w:proofErr w:type="spellEnd"/>
      <w:r w:rsidR="00714BBF" w:rsidRPr="00714BBF">
        <w:rPr>
          <w:rFonts w:ascii="Arial" w:hAnsi="Arial"/>
          <w:color w:val="222222"/>
          <w:sz w:val="20"/>
          <w:szCs w:val="20"/>
          <w:shd w:val="clear" w:color="auto" w:fill="FFFFFF"/>
        </w:rPr>
        <w:t xml:space="preserve"> of different methods from the AMA–II competition, including </w:t>
      </w:r>
      <w:proofErr w:type="spellStart"/>
      <w:r w:rsidR="00714BBF" w:rsidRPr="00714BBF">
        <w:rPr>
          <w:rFonts w:ascii="Arial" w:hAnsi="Arial"/>
          <w:color w:val="222222"/>
          <w:sz w:val="20"/>
          <w:szCs w:val="20"/>
          <w:shd w:val="clear" w:color="auto" w:fill="FFFFFF"/>
        </w:rPr>
        <w:t>ABodyBuilder</w:t>
      </w:r>
      <w:proofErr w:type="spellEnd"/>
      <w:r w:rsidR="00714BBF" w:rsidRPr="00714BBF">
        <w:rPr>
          <w:rFonts w:ascii="Arial" w:hAnsi="Arial"/>
          <w:color w:val="222222"/>
          <w:sz w:val="20"/>
          <w:szCs w:val="20"/>
          <w:shd w:val="clear" w:color="auto" w:fill="FFFFFF"/>
        </w:rPr>
        <w:t xml:space="preserve"> (top–left), </w:t>
      </w:r>
      <w:proofErr w:type="spellStart"/>
      <w:r w:rsidR="00714BBF" w:rsidRPr="00714BBF">
        <w:rPr>
          <w:rFonts w:ascii="Arial" w:hAnsi="Arial"/>
          <w:color w:val="222222"/>
          <w:sz w:val="20"/>
          <w:szCs w:val="20"/>
          <w:shd w:val="clear" w:color="auto" w:fill="FFFFFF"/>
        </w:rPr>
        <w:t>RosettaAntibody</w:t>
      </w:r>
      <w:proofErr w:type="spellEnd"/>
      <w:r w:rsidR="00714BBF" w:rsidRPr="00714BBF">
        <w:rPr>
          <w:rFonts w:ascii="Arial" w:hAnsi="Arial"/>
          <w:color w:val="222222"/>
          <w:sz w:val="20"/>
          <w:szCs w:val="20"/>
          <w:shd w:val="clear" w:color="auto" w:fill="FFFFFF"/>
        </w:rPr>
        <w:t xml:space="preserve"> (</w:t>
      </w:r>
      <w:proofErr w:type="spellStart"/>
      <w:r w:rsidR="00714BBF" w:rsidRPr="00714BBF">
        <w:rPr>
          <w:rFonts w:ascii="Arial" w:hAnsi="Arial"/>
          <w:color w:val="222222"/>
          <w:sz w:val="20"/>
          <w:szCs w:val="20"/>
          <w:shd w:val="clear" w:color="auto" w:fill="FFFFFF"/>
        </w:rPr>
        <w:t>Weitzner</w:t>
      </w:r>
      <w:proofErr w:type="spellEnd"/>
      <w:r w:rsidR="00714BBF" w:rsidRPr="00714BBF">
        <w:rPr>
          <w:rFonts w:ascii="Arial" w:hAnsi="Arial"/>
          <w:color w:val="222222"/>
          <w:sz w:val="20"/>
          <w:szCs w:val="20"/>
          <w:shd w:val="clear" w:color="auto" w:fill="FFFFFF"/>
        </w:rPr>
        <w:t xml:space="preserve"> et al., 2014) (</w:t>
      </w:r>
      <w:r w:rsidR="009E0EAF">
        <w:rPr>
          <w:rFonts w:ascii="Arial" w:hAnsi="Arial"/>
          <w:color w:val="222222"/>
          <w:sz w:val="20"/>
          <w:szCs w:val="20"/>
          <w:shd w:val="clear" w:color="auto" w:fill="FFFFFF"/>
        </w:rPr>
        <w:t>top-right</w:t>
      </w:r>
      <w:r w:rsidR="00714BBF" w:rsidRPr="00714BBF">
        <w:rPr>
          <w:rFonts w:ascii="Arial" w:hAnsi="Arial"/>
          <w:color w:val="222222"/>
          <w:sz w:val="20"/>
          <w:szCs w:val="20"/>
          <w:shd w:val="clear" w:color="auto" w:fill="FFFFFF"/>
        </w:rPr>
        <w:t xml:space="preserve">), </w:t>
      </w:r>
      <w:proofErr w:type="spellStart"/>
      <w:r w:rsidR="009E0EAF" w:rsidRPr="00714BBF">
        <w:rPr>
          <w:rFonts w:ascii="Arial" w:hAnsi="Arial"/>
          <w:color w:val="222222"/>
          <w:sz w:val="20"/>
          <w:szCs w:val="20"/>
          <w:shd w:val="clear" w:color="auto" w:fill="FFFFFF"/>
        </w:rPr>
        <w:t>Kotai</w:t>
      </w:r>
      <w:proofErr w:type="spellEnd"/>
      <w:r w:rsidR="009E0EAF" w:rsidRPr="00714BBF">
        <w:rPr>
          <w:rFonts w:ascii="Arial" w:hAnsi="Arial"/>
          <w:color w:val="222222"/>
          <w:sz w:val="20"/>
          <w:szCs w:val="20"/>
          <w:shd w:val="clear" w:color="auto" w:fill="FFFFFF"/>
        </w:rPr>
        <w:t xml:space="preserve"> Antibody Builder (</w:t>
      </w:r>
      <w:proofErr w:type="spellStart"/>
      <w:r w:rsidR="009E0EAF" w:rsidRPr="00714BBF">
        <w:rPr>
          <w:rFonts w:ascii="Arial" w:hAnsi="Arial"/>
          <w:color w:val="222222"/>
          <w:sz w:val="20"/>
          <w:szCs w:val="20"/>
          <w:shd w:val="clear" w:color="auto" w:fill="FFFFFF"/>
        </w:rPr>
        <w:t>Shirai</w:t>
      </w:r>
      <w:proofErr w:type="spellEnd"/>
      <w:r w:rsidR="009E0EAF" w:rsidRPr="00714BBF">
        <w:rPr>
          <w:rFonts w:ascii="Arial" w:hAnsi="Arial"/>
          <w:color w:val="222222"/>
          <w:sz w:val="20"/>
          <w:szCs w:val="20"/>
          <w:shd w:val="clear" w:color="auto" w:fill="FFFFFF"/>
        </w:rPr>
        <w:t xml:space="preserve"> et al., 2014) (</w:t>
      </w:r>
      <w:r w:rsidR="009E0EAF">
        <w:rPr>
          <w:rFonts w:ascii="Arial" w:hAnsi="Arial"/>
          <w:color w:val="222222"/>
          <w:sz w:val="20"/>
          <w:szCs w:val="20"/>
          <w:shd w:val="clear" w:color="auto" w:fill="FFFFFF"/>
        </w:rPr>
        <w:t>bottom-left</w:t>
      </w:r>
      <w:r w:rsidR="009E0EAF" w:rsidRPr="00714BBF">
        <w:rPr>
          <w:rFonts w:ascii="Arial" w:hAnsi="Arial"/>
          <w:color w:val="222222"/>
          <w:sz w:val="20"/>
          <w:szCs w:val="20"/>
          <w:shd w:val="clear" w:color="auto" w:fill="FFFFFF"/>
        </w:rPr>
        <w:t>),</w:t>
      </w:r>
      <w:r w:rsidR="009E0EAF">
        <w:rPr>
          <w:rFonts w:ascii="Arial" w:hAnsi="Arial"/>
          <w:color w:val="222222"/>
          <w:sz w:val="20"/>
          <w:szCs w:val="20"/>
          <w:shd w:val="clear" w:color="auto" w:fill="FFFFFF"/>
        </w:rPr>
        <w:t xml:space="preserve"> </w:t>
      </w:r>
      <w:r w:rsidR="00714BBF" w:rsidRPr="00714BBF">
        <w:rPr>
          <w:rFonts w:ascii="Arial" w:hAnsi="Arial"/>
          <w:color w:val="222222"/>
          <w:sz w:val="20"/>
          <w:szCs w:val="20"/>
          <w:shd w:val="clear" w:color="auto" w:fill="FFFFFF"/>
        </w:rPr>
        <w:t>and PIGS (</w:t>
      </w:r>
      <w:proofErr w:type="spellStart"/>
      <w:r w:rsidR="00714BBF" w:rsidRPr="00714BBF">
        <w:rPr>
          <w:rFonts w:ascii="Arial" w:hAnsi="Arial"/>
          <w:color w:val="222222"/>
          <w:sz w:val="20"/>
          <w:szCs w:val="20"/>
          <w:shd w:val="clear" w:color="auto" w:fill="FFFFFF"/>
        </w:rPr>
        <w:t>Marcatili</w:t>
      </w:r>
      <w:proofErr w:type="spellEnd"/>
      <w:r w:rsidR="00714BBF" w:rsidRPr="00714BBF">
        <w:rPr>
          <w:rFonts w:ascii="Arial" w:hAnsi="Arial"/>
          <w:color w:val="222222"/>
          <w:sz w:val="20"/>
          <w:szCs w:val="20"/>
          <w:shd w:val="clear" w:color="auto" w:fill="FFFFFF"/>
        </w:rPr>
        <w:t xml:space="preserve"> et al., 2014) (bottom–right). The RMSD of each region was calculated as described in </w:t>
      </w:r>
      <w:proofErr w:type="spellStart"/>
      <w:r w:rsidR="00714BBF" w:rsidRPr="00714BBF">
        <w:rPr>
          <w:rFonts w:ascii="Arial" w:hAnsi="Arial"/>
          <w:color w:val="222222"/>
          <w:sz w:val="20"/>
          <w:szCs w:val="20"/>
          <w:shd w:val="clear" w:color="auto" w:fill="FFFFFF"/>
        </w:rPr>
        <w:t>Almagro</w:t>
      </w:r>
      <w:proofErr w:type="spellEnd"/>
      <w:r w:rsidR="00714BBF" w:rsidRPr="00714BBF">
        <w:rPr>
          <w:rFonts w:ascii="Arial" w:hAnsi="Arial"/>
          <w:color w:val="222222"/>
          <w:sz w:val="20"/>
          <w:szCs w:val="20"/>
          <w:shd w:val="clear" w:color="auto" w:fill="FFFFFF"/>
        </w:rPr>
        <w:t xml:space="preserve"> et al. (2014). </w:t>
      </w:r>
      <w:proofErr w:type="spellStart"/>
      <w:r w:rsidR="00714BBF" w:rsidRPr="00714BBF">
        <w:rPr>
          <w:rFonts w:ascii="Arial" w:hAnsi="Arial"/>
          <w:color w:val="222222"/>
          <w:sz w:val="20"/>
          <w:szCs w:val="20"/>
          <w:shd w:val="clear" w:color="auto" w:fill="FFFFFF"/>
        </w:rPr>
        <w:t>ABodyBuilder</w:t>
      </w:r>
      <w:proofErr w:type="spellEnd"/>
      <w:r w:rsidR="00714BBF" w:rsidRPr="00714BBF">
        <w:rPr>
          <w:rFonts w:ascii="Arial" w:hAnsi="Arial"/>
          <w:color w:val="222222"/>
          <w:sz w:val="20"/>
          <w:szCs w:val="20"/>
          <w:shd w:val="clear" w:color="auto" w:fill="FFFFFF"/>
        </w:rPr>
        <w:t xml:space="preserve"> was run using only structures that were released to the PDB by 31 March, 2013</w:t>
      </w:r>
      <w:r w:rsidR="00607ED1">
        <w:rPr>
          <w:rFonts w:ascii="Arial" w:hAnsi="Arial"/>
          <w:color w:val="222222"/>
          <w:sz w:val="20"/>
          <w:szCs w:val="20"/>
          <w:shd w:val="clear" w:color="auto" w:fill="FFFFFF"/>
        </w:rPr>
        <w:t>.</w:t>
      </w:r>
    </w:p>
    <w:p w:rsidR="009E0EAF" w:rsidRDefault="009E0EAF">
      <w:pPr>
        <w:rPr>
          <w:rFonts w:ascii="Arial" w:hAnsi="Arial"/>
          <w:color w:val="222222"/>
          <w:sz w:val="20"/>
          <w:szCs w:val="20"/>
          <w:shd w:val="clear" w:color="auto" w:fill="FFFFFF"/>
        </w:rPr>
      </w:pPr>
      <w:r>
        <w:rPr>
          <w:rFonts w:ascii="Arial" w:hAnsi="Arial"/>
          <w:color w:val="222222"/>
          <w:sz w:val="20"/>
          <w:szCs w:val="20"/>
          <w:shd w:val="clear" w:color="auto" w:fill="FFFFFF"/>
        </w:rPr>
        <w:br w:type="page"/>
      </w:r>
    </w:p>
    <w:p w:rsidR="009E0EAF" w:rsidRDefault="006E1DE7" w:rsidP="006E1DE7">
      <w:pPr>
        <w:keepNext/>
        <w:spacing w:line="360" w:lineRule="auto"/>
        <w:jc w:val="center"/>
      </w:pPr>
      <w:r>
        <w:rPr>
          <w:noProof/>
          <w:lang w:eastAsia="en-GB"/>
        </w:rPr>
        <w:lastRenderedPageBreak/>
        <w:drawing>
          <wp:inline distT="0" distB="0" distL="0" distR="0">
            <wp:extent cx="5379511" cy="688994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385318" cy="6897384"/>
                    </a:xfrm>
                    <a:prstGeom prst="rect">
                      <a:avLst/>
                    </a:prstGeom>
                  </pic:spPr>
                </pic:pic>
              </a:graphicData>
            </a:graphic>
          </wp:inline>
        </w:drawing>
      </w:r>
    </w:p>
    <w:p w:rsidR="009E0EAF" w:rsidRDefault="009E0EAF">
      <w:pPr>
        <w:rPr>
          <w:sz w:val="20"/>
          <w:szCs w:val="20"/>
        </w:rPr>
      </w:pPr>
      <w:r>
        <w:t xml:space="preserve">Figure S2: An example output of an </w:t>
      </w:r>
      <w:proofErr w:type="spellStart"/>
      <w:r>
        <w:t>ABodyBuilder</w:t>
      </w:r>
      <w:proofErr w:type="spellEnd"/>
      <w:r>
        <w:t xml:space="preserve"> model annotated with data-driven estimated accuracy. Each part of the modelling process has been extensively benchmarked so that the prediction performance can be estimated based on modelling parameters. For example, the regions in blue have been modelled to within an accuracy of 1Å with a confidence of 75%. For framework regions this means that given the template sequence identity to the target we expect that in at least 75% of cases the coordinates of the backbone and cβ atoms</w:t>
      </w:r>
      <w:r w:rsidR="006329F3">
        <w:t xml:space="preserve"> will be predicted to </w:t>
      </w:r>
      <w:r>
        <w:t xml:space="preserve">within 1Å </w:t>
      </w:r>
      <w:r w:rsidR="006329F3">
        <w:t xml:space="preserve">RMSD </w:t>
      </w:r>
      <w:r>
        <w:t>of the crystal structure</w:t>
      </w:r>
      <w:r w:rsidR="006329F3">
        <w:t xml:space="preserve">. For the CDR regions the accuracy estimation is based on the performance of FREAD for the given CDR of that length. A user may change both the confidence and the accuracy thresholds, changing the colouring of both </w:t>
      </w:r>
      <w:r w:rsidR="006E1DE7">
        <w:t>the sequence and the structure.</w:t>
      </w:r>
      <w:bookmarkStart w:id="0" w:name="_GoBack"/>
      <w:bookmarkEnd w:id="0"/>
      <w:r>
        <w:rPr>
          <w:sz w:val="20"/>
          <w:szCs w:val="20"/>
        </w:rPr>
        <w:br w:type="page"/>
      </w:r>
    </w:p>
    <w:p w:rsidR="009E0EAF" w:rsidRDefault="006E1DE7" w:rsidP="009E0EAF">
      <w:pPr>
        <w:keepNext/>
        <w:tabs>
          <w:tab w:val="left" w:pos="6360"/>
        </w:tabs>
      </w:pPr>
      <w:r>
        <w:rPr>
          <w:noProof/>
          <w:lang w:eastAsia="en-GB"/>
        </w:rPr>
        <w:lastRenderedPageBreak/>
        <w:drawing>
          <wp:inline distT="0" distB="0" distL="0" distR="0">
            <wp:extent cx="5760720" cy="38849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3.png"/>
                    <pic:cNvPicPr/>
                  </pic:nvPicPr>
                  <pic:blipFill>
                    <a:blip r:embed="rId7">
                      <a:extLst>
                        <a:ext uri="{28A0092B-C50C-407E-A947-70E740481C1C}">
                          <a14:useLocalDpi xmlns:a14="http://schemas.microsoft.com/office/drawing/2010/main" val="0"/>
                        </a:ext>
                      </a:extLst>
                    </a:blip>
                    <a:stretch>
                      <a:fillRect/>
                    </a:stretch>
                  </pic:blipFill>
                  <pic:spPr>
                    <a:xfrm>
                      <a:off x="0" y="0"/>
                      <a:ext cx="5760720" cy="3884930"/>
                    </a:xfrm>
                    <a:prstGeom prst="rect">
                      <a:avLst/>
                    </a:prstGeom>
                  </pic:spPr>
                </pic:pic>
              </a:graphicData>
            </a:graphic>
          </wp:inline>
        </w:drawing>
      </w:r>
    </w:p>
    <w:p w:rsidR="009E0EAF" w:rsidRPr="006329F3" w:rsidRDefault="009E0EAF" w:rsidP="009E0EAF">
      <w:pPr>
        <w:rPr>
          <w:sz w:val="20"/>
          <w:szCs w:val="20"/>
        </w:rPr>
      </w:pPr>
      <w:r>
        <w:t>Figure S3:</w:t>
      </w:r>
      <w:r w:rsidR="006329F3">
        <w:t xml:space="preserve"> An example output of an </w:t>
      </w:r>
      <w:proofErr w:type="spellStart"/>
      <w:r w:rsidR="006329F3">
        <w:t>ABodyBuilder</w:t>
      </w:r>
      <w:proofErr w:type="spellEnd"/>
      <w:r w:rsidR="006329F3">
        <w:t xml:space="preserve"> model annotated with residues that may cause issues for </w:t>
      </w:r>
      <w:r w:rsidR="006329F3">
        <w:rPr>
          <w:i/>
        </w:rPr>
        <w:t>in vitro</w:t>
      </w:r>
      <w:r w:rsidR="006329F3">
        <w:t xml:space="preserve"> development. Sequence motifs and their associated potential liability have been collected from the literature. When a motif is identified in the sequence it is flagged on the structure for assessment by the expert user. Liabilities may be filtered according to whether they are exposed (&gt;10% relative exposure) or buried. Individual liabilities may also be toggled on or off. A file listing each liability and its location in the sequence is provided for download. </w:t>
      </w:r>
    </w:p>
    <w:sectPr w:rsidR="009E0EAF" w:rsidRPr="006329F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C07"/>
    <w:rsid w:val="00057422"/>
    <w:rsid w:val="000D44B4"/>
    <w:rsid w:val="00136983"/>
    <w:rsid w:val="0015051F"/>
    <w:rsid w:val="00150D8F"/>
    <w:rsid w:val="00206CC6"/>
    <w:rsid w:val="00226B31"/>
    <w:rsid w:val="00233C44"/>
    <w:rsid w:val="00260F35"/>
    <w:rsid w:val="00305759"/>
    <w:rsid w:val="003909C9"/>
    <w:rsid w:val="00393E87"/>
    <w:rsid w:val="003D7414"/>
    <w:rsid w:val="004309F6"/>
    <w:rsid w:val="00496690"/>
    <w:rsid w:val="004A1683"/>
    <w:rsid w:val="004B2DBB"/>
    <w:rsid w:val="004C124D"/>
    <w:rsid w:val="004C14BA"/>
    <w:rsid w:val="004C6CD7"/>
    <w:rsid w:val="004D1D75"/>
    <w:rsid w:val="004E099C"/>
    <w:rsid w:val="004F4A41"/>
    <w:rsid w:val="00500967"/>
    <w:rsid w:val="005332A1"/>
    <w:rsid w:val="00554D65"/>
    <w:rsid w:val="0058386F"/>
    <w:rsid w:val="005D3B77"/>
    <w:rsid w:val="005D44B0"/>
    <w:rsid w:val="00607ED1"/>
    <w:rsid w:val="006273E2"/>
    <w:rsid w:val="006329F3"/>
    <w:rsid w:val="006D51B9"/>
    <w:rsid w:val="006E1DE7"/>
    <w:rsid w:val="00711B1C"/>
    <w:rsid w:val="00714BBF"/>
    <w:rsid w:val="00746298"/>
    <w:rsid w:val="0076723C"/>
    <w:rsid w:val="00773ABD"/>
    <w:rsid w:val="00864C07"/>
    <w:rsid w:val="00877632"/>
    <w:rsid w:val="00893B9E"/>
    <w:rsid w:val="008B1E05"/>
    <w:rsid w:val="009179AC"/>
    <w:rsid w:val="0098520B"/>
    <w:rsid w:val="00996F6F"/>
    <w:rsid w:val="009D317E"/>
    <w:rsid w:val="009E0EAF"/>
    <w:rsid w:val="00A00890"/>
    <w:rsid w:val="00A01779"/>
    <w:rsid w:val="00A17CD4"/>
    <w:rsid w:val="00AA3AC2"/>
    <w:rsid w:val="00C20F22"/>
    <w:rsid w:val="00C31D64"/>
    <w:rsid w:val="00C41CD5"/>
    <w:rsid w:val="00C631F3"/>
    <w:rsid w:val="00C83D4B"/>
    <w:rsid w:val="00C93D9C"/>
    <w:rsid w:val="00CE69B0"/>
    <w:rsid w:val="00D47EBC"/>
    <w:rsid w:val="00DD07A5"/>
    <w:rsid w:val="00DE01E3"/>
    <w:rsid w:val="00DF1674"/>
    <w:rsid w:val="00E52D64"/>
    <w:rsid w:val="00EB03EF"/>
    <w:rsid w:val="00EE415E"/>
    <w:rsid w:val="00F0754E"/>
    <w:rsid w:val="00F24E86"/>
    <w:rsid w:val="00F44EA8"/>
    <w:rsid w:val="00F55378"/>
    <w:rsid w:val="00F8392A"/>
    <w:rsid w:val="00FE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C07"/>
    <w:rPr>
      <w:rFonts w:ascii="Calibri" w:eastAsia="SimSun" w:hAnsi="Calibri"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4C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C07"/>
    <w:rPr>
      <w:rFonts w:ascii="Tahoma" w:eastAsia="SimSun" w:hAnsi="Tahoma" w:cs="Tahoma"/>
      <w:sz w:val="16"/>
      <w:szCs w:val="16"/>
      <w:lang w:eastAsia="zh-CN"/>
    </w:rPr>
  </w:style>
  <w:style w:type="paragraph" w:styleId="Caption">
    <w:name w:val="caption"/>
    <w:basedOn w:val="Normal"/>
    <w:next w:val="Normal"/>
    <w:uiPriority w:val="35"/>
    <w:unhideWhenUsed/>
    <w:qFormat/>
    <w:rsid w:val="00864C07"/>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C07"/>
    <w:rPr>
      <w:rFonts w:ascii="Calibri" w:eastAsia="SimSun" w:hAnsi="Calibri"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4C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C07"/>
    <w:rPr>
      <w:rFonts w:ascii="Tahoma" w:eastAsia="SimSun" w:hAnsi="Tahoma" w:cs="Tahoma"/>
      <w:sz w:val="16"/>
      <w:szCs w:val="16"/>
      <w:lang w:eastAsia="zh-CN"/>
    </w:rPr>
  </w:style>
  <w:style w:type="paragraph" w:styleId="Caption">
    <w:name w:val="caption"/>
    <w:basedOn w:val="Normal"/>
    <w:next w:val="Normal"/>
    <w:uiPriority w:val="35"/>
    <w:unhideWhenUsed/>
    <w:qFormat/>
    <w:rsid w:val="00864C07"/>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F. Hoffmann-La Roche, Ltd.</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Dunbar, James {PRLD~Penzberg}</dc:creator>
  <cp:lastModifiedBy>Dunbar, James {PRLD~Penzberg}</cp:lastModifiedBy>
  <cp:revision>4</cp:revision>
  <dcterms:created xsi:type="dcterms:W3CDTF">2016-01-28T11:03:00Z</dcterms:created>
  <dcterms:modified xsi:type="dcterms:W3CDTF">2016-04-14T15:57:00Z</dcterms:modified>
</cp:coreProperties>
</file>