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3778E" w14:textId="17167893" w:rsidR="00BF0794" w:rsidRPr="00BF0794" w:rsidRDefault="00BF0794" w:rsidP="00BF0794">
      <w:pPr>
        <w:spacing w:line="360" w:lineRule="auto"/>
        <w:jc w:val="center"/>
        <w:rPr>
          <w:rFonts w:ascii="Georgia" w:hAnsi="Georgia"/>
          <w:b/>
          <w:bCs/>
          <w:sz w:val="22"/>
          <w:szCs w:val="22"/>
        </w:rPr>
      </w:pPr>
      <w:r w:rsidRPr="00BF0794">
        <w:rPr>
          <w:rFonts w:ascii="Georgia" w:hAnsi="Georgia"/>
          <w:b/>
          <w:bCs/>
          <w:sz w:val="22"/>
          <w:szCs w:val="22"/>
        </w:rPr>
        <w:t>Supplemental Materials</w:t>
      </w:r>
    </w:p>
    <w:p w14:paraId="541C58A6" w14:textId="77777777" w:rsidR="00BF0794" w:rsidRDefault="00BF0794" w:rsidP="00BF0794">
      <w:pPr>
        <w:spacing w:line="360" w:lineRule="auto"/>
        <w:jc w:val="center"/>
        <w:rPr>
          <w:rFonts w:ascii="Georgia" w:hAnsi="Georgia"/>
          <w:sz w:val="22"/>
          <w:szCs w:val="22"/>
        </w:rPr>
      </w:pPr>
    </w:p>
    <w:p w14:paraId="762CE69A" w14:textId="31A2264D" w:rsidR="00BF0794" w:rsidRPr="00212076" w:rsidRDefault="00BF0794" w:rsidP="00BF0794">
      <w:pPr>
        <w:spacing w:line="360" w:lineRule="auto"/>
        <w:rPr>
          <w:rFonts w:ascii="Georgia" w:hAnsi="Georgia"/>
          <w:sz w:val="22"/>
          <w:szCs w:val="22"/>
        </w:rPr>
      </w:pPr>
      <w:r w:rsidRPr="00212076">
        <w:rPr>
          <w:rFonts w:ascii="Georgia" w:hAnsi="Georgia"/>
          <w:sz w:val="22"/>
          <w:szCs w:val="22"/>
        </w:rPr>
        <w:t xml:space="preserve">This </w:t>
      </w:r>
      <w:r>
        <w:rPr>
          <w:rFonts w:ascii="Georgia" w:hAnsi="Georgia"/>
          <w:sz w:val="22"/>
          <w:szCs w:val="22"/>
        </w:rPr>
        <w:t>supplement</w:t>
      </w:r>
      <w:r w:rsidRPr="00212076">
        <w:rPr>
          <w:rFonts w:ascii="Georgia" w:hAnsi="Georgia"/>
          <w:sz w:val="22"/>
          <w:szCs w:val="22"/>
        </w:rPr>
        <w:t xml:space="preserve"> includes tables with coverage probabilities for all experiments, as well as plots depicting empirical Type I and Type II errors. </w:t>
      </w:r>
    </w:p>
    <w:p w14:paraId="33978DEB" w14:textId="77777777" w:rsidR="00BF0794" w:rsidRPr="00212076" w:rsidRDefault="00BF0794" w:rsidP="00BF0794">
      <w:pPr>
        <w:rPr>
          <w:rFonts w:ascii="Georgia" w:hAnsi="Georgia"/>
          <w:szCs w:val="22"/>
        </w:rPr>
      </w:pPr>
    </w:p>
    <w:p w14:paraId="582C4078" w14:textId="77777777" w:rsidR="00BF0794" w:rsidRPr="00212076" w:rsidRDefault="00BF0794" w:rsidP="00BF0794">
      <w:pPr>
        <w:rPr>
          <w:rFonts w:ascii="Georgia" w:hAnsi="Georgia"/>
          <w:b/>
          <w:bCs/>
          <w:sz w:val="22"/>
          <w:szCs w:val="22"/>
        </w:rPr>
      </w:pPr>
      <w:r w:rsidRPr="00212076">
        <w:rPr>
          <w:rFonts w:ascii="Georgia" w:hAnsi="Georgia"/>
          <w:b/>
          <w:bCs/>
          <w:sz w:val="22"/>
          <w:szCs w:val="22"/>
        </w:rPr>
        <w:t>§1   Coverage</w:t>
      </w:r>
    </w:p>
    <w:p w14:paraId="34B21C1A" w14:textId="77777777" w:rsidR="00BF0794" w:rsidRPr="00212076" w:rsidRDefault="00BF0794" w:rsidP="00BF0794">
      <w:pPr>
        <w:jc w:val="center"/>
        <w:rPr>
          <w:rFonts w:ascii="Georgia" w:hAnsi="Georgia"/>
          <w:szCs w:val="22"/>
        </w:rPr>
      </w:pPr>
      <w:r w:rsidRPr="00212076">
        <w:rPr>
          <w:rFonts w:ascii="Georgia" w:hAnsi="Georgia"/>
          <w:noProof/>
          <w:szCs w:val="22"/>
        </w:rPr>
        <w:drawing>
          <wp:inline distT="0" distB="0" distL="0" distR="0" wp14:anchorId="571B875D" wp14:editId="5624EEB3">
            <wp:extent cx="3957950" cy="1187385"/>
            <wp:effectExtent l="0" t="0" r="5080" b="0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44" cy="12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E97D" w14:textId="18C1B9A0" w:rsidR="00BF0794" w:rsidRPr="00212076" w:rsidRDefault="00BF0794" w:rsidP="00BF0794">
      <w:pPr>
        <w:pStyle w:val="Caption"/>
        <w:spacing w:after="0"/>
        <w:jc w:val="both"/>
        <w:rPr>
          <w:rFonts w:ascii="Georg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1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 xml:space="preserve">95% </m:t>
        </m:r>
      </m:oMath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continuous outcome with MSE loss; correlated predictors.</w:t>
      </w:r>
    </w:p>
    <w:p w14:paraId="2EC6244C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sz w:val="22"/>
          <w:szCs w:val="22"/>
        </w:rPr>
      </w:pPr>
    </w:p>
    <w:p w14:paraId="026B40D2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jc w:val="center"/>
        <w:rPr>
          <w:rFonts w:ascii="Georgia" w:hAnsi="Georgia"/>
          <w:sz w:val="22"/>
          <w:szCs w:val="22"/>
        </w:rPr>
      </w:pPr>
      <w:r w:rsidRPr="00212076">
        <w:rPr>
          <w:rFonts w:ascii="Georgia" w:hAnsi="Georgia"/>
          <w:noProof/>
          <w:sz w:val="22"/>
          <w:szCs w:val="22"/>
        </w:rPr>
        <w:drawing>
          <wp:inline distT="0" distB="0" distL="0" distR="0" wp14:anchorId="61E622CA" wp14:editId="54D19073">
            <wp:extent cx="3957320" cy="1203429"/>
            <wp:effectExtent l="0" t="0" r="5080" b="3175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575" cy="120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5728" w14:textId="6A436C88" w:rsidR="00BF0794" w:rsidRPr="00212076" w:rsidRDefault="00BF0794" w:rsidP="00BF0794">
      <w:pPr>
        <w:pStyle w:val="Caption"/>
        <w:spacing w:after="0"/>
        <w:jc w:val="both"/>
        <w:rPr>
          <w:rFonts w:ascii="Georg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2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>95%</m:t>
        </m:r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continuous outcome with MAE loss; correlated predictors.</w:t>
      </w:r>
    </w:p>
    <w:p w14:paraId="59F69371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sz w:val="22"/>
          <w:szCs w:val="22"/>
        </w:rPr>
      </w:pPr>
    </w:p>
    <w:p w14:paraId="638334D5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jc w:val="center"/>
        <w:rPr>
          <w:rFonts w:ascii="Georgia" w:hAnsi="Georgia"/>
          <w:sz w:val="22"/>
          <w:szCs w:val="22"/>
        </w:rPr>
      </w:pPr>
      <w:r w:rsidRPr="00212076">
        <w:rPr>
          <w:rFonts w:ascii="Georgia" w:hAnsi="Georgia"/>
          <w:noProof/>
          <w:sz w:val="22"/>
          <w:szCs w:val="22"/>
        </w:rPr>
        <w:drawing>
          <wp:inline distT="0" distB="0" distL="0" distR="0" wp14:anchorId="069F694B" wp14:editId="2C9709BC">
            <wp:extent cx="3957320" cy="1217029"/>
            <wp:effectExtent l="0" t="0" r="5080" b="254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183" cy="12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C6F7" w14:textId="31C9B8B4" w:rsidR="00BF0794" w:rsidRPr="00212076" w:rsidRDefault="00BF0794" w:rsidP="00BF0794">
      <w:pPr>
        <w:pStyle w:val="Caption"/>
        <w:spacing w:after="0"/>
        <w:jc w:val="both"/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3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>95%</m:t>
        </m:r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continuous outcome with MSE loss; uncorrelated predictors.</w:t>
      </w:r>
    </w:p>
    <w:p w14:paraId="6F73C7AC" w14:textId="77777777" w:rsidR="00BF0794" w:rsidRPr="00212076" w:rsidRDefault="00BF0794" w:rsidP="00BF0794">
      <w:pPr>
        <w:rPr>
          <w:rFonts w:ascii="Georgia" w:hAnsi="Georgia"/>
        </w:rPr>
      </w:pPr>
    </w:p>
    <w:p w14:paraId="47BFF870" w14:textId="77777777" w:rsidR="00BF0794" w:rsidRPr="00212076" w:rsidRDefault="00BF0794" w:rsidP="00BF0794">
      <w:pPr>
        <w:jc w:val="center"/>
        <w:rPr>
          <w:rFonts w:ascii="Georgia" w:hAnsi="Georgia"/>
        </w:rPr>
      </w:pPr>
      <w:r w:rsidRPr="00212076">
        <w:rPr>
          <w:rFonts w:ascii="Georgia" w:hAnsi="Georgia"/>
          <w:noProof/>
        </w:rPr>
        <w:drawing>
          <wp:inline distT="0" distB="0" distL="0" distR="0" wp14:anchorId="395D4092" wp14:editId="4983019F">
            <wp:extent cx="3957320" cy="1211326"/>
            <wp:effectExtent l="0" t="0" r="5080" b="0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47" cy="121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AA58" w14:textId="2A7E119F" w:rsidR="00BF0794" w:rsidRPr="00212076" w:rsidRDefault="00BF0794" w:rsidP="00BF0794">
      <w:pPr>
        <w:pStyle w:val="Caption"/>
        <w:spacing w:after="0"/>
        <w:jc w:val="both"/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4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>95%</m:t>
        </m:r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continuous outcome with MAE loss; uncorrelated predictors.</w:t>
      </w:r>
    </w:p>
    <w:p w14:paraId="7055BAA6" w14:textId="77777777" w:rsidR="00BF0794" w:rsidRPr="00212076" w:rsidRDefault="00BF0794" w:rsidP="00BF0794">
      <w:pPr>
        <w:rPr>
          <w:rFonts w:ascii="Georgia" w:hAnsi="Georgia"/>
        </w:rPr>
      </w:pPr>
    </w:p>
    <w:p w14:paraId="23E6537D" w14:textId="77777777" w:rsidR="00BF0794" w:rsidRPr="00212076" w:rsidRDefault="00BF0794" w:rsidP="00BF0794">
      <w:pPr>
        <w:jc w:val="center"/>
        <w:rPr>
          <w:rFonts w:ascii="Georgia" w:hAnsi="Georgia"/>
        </w:rPr>
      </w:pPr>
      <w:r w:rsidRPr="00212076">
        <w:rPr>
          <w:rFonts w:ascii="Georgia" w:hAnsi="Georgia"/>
          <w:noProof/>
        </w:rPr>
        <w:lastRenderedPageBreak/>
        <w:drawing>
          <wp:inline distT="0" distB="0" distL="0" distR="0" wp14:anchorId="41E20FC5" wp14:editId="1883DEB2">
            <wp:extent cx="3957950" cy="1225999"/>
            <wp:effectExtent l="0" t="0" r="5080" b="635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289" cy="123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AC83" w14:textId="04A21AAB" w:rsidR="00BF0794" w:rsidRPr="00212076" w:rsidRDefault="00BF0794" w:rsidP="00BF0794">
      <w:pPr>
        <w:pStyle w:val="Caption"/>
        <w:spacing w:after="0"/>
        <w:jc w:val="both"/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5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>95%</m:t>
        </m:r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classification outcome with MMCE loss; correlated predictors.</w:t>
      </w:r>
    </w:p>
    <w:p w14:paraId="4B701014" w14:textId="77777777" w:rsidR="00BF0794" w:rsidRPr="00212076" w:rsidRDefault="00BF0794" w:rsidP="00BF0794">
      <w:pPr>
        <w:rPr>
          <w:rFonts w:ascii="Georgia" w:hAnsi="Georgia"/>
        </w:rPr>
      </w:pPr>
    </w:p>
    <w:p w14:paraId="2525BE16" w14:textId="77777777" w:rsidR="00BF0794" w:rsidRPr="00212076" w:rsidRDefault="00BF0794" w:rsidP="00BF0794">
      <w:pPr>
        <w:jc w:val="center"/>
        <w:rPr>
          <w:rFonts w:ascii="Georgia" w:hAnsi="Georgia"/>
        </w:rPr>
      </w:pPr>
      <w:r w:rsidRPr="00212076">
        <w:rPr>
          <w:rFonts w:ascii="Georgia" w:hAnsi="Georgia"/>
          <w:noProof/>
        </w:rPr>
        <w:drawing>
          <wp:inline distT="0" distB="0" distL="0" distR="0" wp14:anchorId="16031C3F" wp14:editId="105F5E9A">
            <wp:extent cx="3961316" cy="1248122"/>
            <wp:effectExtent l="0" t="0" r="1270" b="0"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428" cy="12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E45" w14:textId="5F6CE9A8" w:rsidR="00BF0794" w:rsidRPr="00212076" w:rsidRDefault="00BF0794" w:rsidP="00BF0794">
      <w:pPr>
        <w:pStyle w:val="Caption"/>
        <w:spacing w:after="0"/>
        <w:jc w:val="both"/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6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>95%</m:t>
        </m:r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classification outcome with CE loss; correlated predictors.</w:t>
      </w:r>
    </w:p>
    <w:p w14:paraId="1D681376" w14:textId="77777777" w:rsidR="00BF0794" w:rsidRPr="00212076" w:rsidRDefault="00BF0794" w:rsidP="00BF0794">
      <w:pPr>
        <w:rPr>
          <w:rFonts w:ascii="Georgia" w:hAnsi="Georgia"/>
        </w:rPr>
      </w:pPr>
    </w:p>
    <w:p w14:paraId="3CBF59E7" w14:textId="77777777" w:rsidR="00BF0794" w:rsidRPr="00212076" w:rsidRDefault="00BF0794" w:rsidP="00BF0794">
      <w:pPr>
        <w:jc w:val="center"/>
        <w:rPr>
          <w:rFonts w:ascii="Georgia" w:hAnsi="Georgia"/>
        </w:rPr>
      </w:pPr>
      <w:r w:rsidRPr="00212076">
        <w:rPr>
          <w:rFonts w:ascii="Georgia" w:hAnsi="Georgia"/>
          <w:noProof/>
        </w:rPr>
        <w:drawing>
          <wp:inline distT="0" distB="0" distL="0" distR="0" wp14:anchorId="35BCF8E3" wp14:editId="2DA4E61F">
            <wp:extent cx="3961130" cy="1237524"/>
            <wp:effectExtent l="0" t="0" r="1270" b="0"/>
            <wp:docPr id="58" name="Picture 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520" cy="124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CA10" w14:textId="704CBF6D" w:rsidR="00BF0794" w:rsidRPr="00212076" w:rsidRDefault="00BF0794" w:rsidP="00BF0794">
      <w:pPr>
        <w:pStyle w:val="Caption"/>
        <w:spacing w:after="0"/>
        <w:jc w:val="both"/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7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>95%</m:t>
        </m:r>
      </m:oMath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 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classification outcome with MMCE loss; uncorrelated predictors.</w:t>
      </w:r>
    </w:p>
    <w:p w14:paraId="649C84CD" w14:textId="77777777" w:rsidR="00BF0794" w:rsidRPr="00212076" w:rsidRDefault="00BF0794" w:rsidP="00BF0794">
      <w:pPr>
        <w:rPr>
          <w:rFonts w:ascii="Georgia" w:hAnsi="Georgia"/>
        </w:rPr>
      </w:pPr>
    </w:p>
    <w:p w14:paraId="639FA721" w14:textId="77777777" w:rsidR="00BF0794" w:rsidRPr="00212076" w:rsidRDefault="00BF0794" w:rsidP="00BF0794">
      <w:pPr>
        <w:jc w:val="center"/>
        <w:rPr>
          <w:rFonts w:ascii="Georgia" w:hAnsi="Georgia"/>
        </w:rPr>
      </w:pPr>
      <w:r w:rsidRPr="00212076">
        <w:rPr>
          <w:rFonts w:ascii="Georgia" w:hAnsi="Georgia"/>
          <w:noProof/>
        </w:rPr>
        <w:drawing>
          <wp:inline distT="0" distB="0" distL="0" distR="0" wp14:anchorId="2A1CFBF2" wp14:editId="34FA2DBC">
            <wp:extent cx="3961130" cy="1259042"/>
            <wp:effectExtent l="0" t="0" r="1270" b="0"/>
            <wp:docPr id="59" name="Picture 5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314" cy="126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8416" w14:textId="4B5899EE" w:rsidR="00BF0794" w:rsidRPr="00212076" w:rsidRDefault="00BF0794" w:rsidP="00BF0794">
      <w:pPr>
        <w:pStyle w:val="Caption"/>
        <w:spacing w:after="0"/>
        <w:jc w:val="both"/>
        <w:rPr>
          <w:rFonts w:ascii="Georgia" w:hAnsi="Georgia"/>
          <w:i w:val="0"/>
          <w:iCs w:val="0"/>
          <w:color w:val="auto"/>
          <w:sz w:val="20"/>
          <w:szCs w:val="20"/>
        </w:rPr>
      </w:pPr>
      <w:r w:rsidRPr="00212076">
        <w:rPr>
          <w:rFonts w:ascii="Georgia" w:hAnsi="Georgia"/>
          <w:b/>
          <w:bCs/>
          <w:i w:val="0"/>
          <w:iCs w:val="0"/>
          <w:color w:val="auto"/>
          <w:sz w:val="20"/>
          <w:szCs w:val="20"/>
        </w:rPr>
        <w:t>Table 8</w:t>
      </w:r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. Empirical coverage probabilities of </w:t>
      </w:r>
      <m:oMath>
        <m:r>
          <w:rPr>
            <w:rFonts w:ascii="Cambria Math" w:hAnsi="Cambria Math"/>
            <w:color w:val="auto"/>
            <w:sz w:val="20"/>
            <w:szCs w:val="20"/>
          </w:rPr>
          <m:t>95%</m:t>
        </m:r>
      </m:oMath>
      <w:r w:rsidRPr="00212076">
        <w:rPr>
          <w:rFonts w:ascii="Georgia" w:hAnsi="Georgia"/>
          <w:i w:val="0"/>
          <w:iCs w:val="0"/>
          <w:color w:val="auto"/>
          <w:sz w:val="20"/>
          <w:szCs w:val="20"/>
        </w:rPr>
        <w:t xml:space="preserve"> confidence intervals in the simulation study, calculated from </w:t>
      </w:r>
      <m:oMath>
        <m:sSup>
          <m:sSupPr>
            <m:ctrlPr>
              <w:rPr>
                <w:rFonts w:ascii="Cambria Math" w:hAnsi="Cambria Math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0"/>
                <w:szCs w:val="20"/>
              </w:rPr>
              <m:t>4</m:t>
            </m:r>
          </m:sup>
        </m:sSup>
      </m:oMath>
      <w:r w:rsidRPr="00212076">
        <w:rPr>
          <w:rFonts w:ascii="Georgia" w:eastAsiaTheme="minorEastAsia" w:hAnsi="Georgia"/>
          <w:i w:val="0"/>
          <w:iCs w:val="0"/>
          <w:color w:val="auto"/>
          <w:sz w:val="20"/>
          <w:szCs w:val="20"/>
        </w:rPr>
        <w:t xml:space="preserve"> simulation replicates; classification outcome with CE loss; uncorrelated predictors.</w:t>
      </w:r>
    </w:p>
    <w:p w14:paraId="46673DCC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sz w:val="22"/>
          <w:szCs w:val="22"/>
        </w:rPr>
      </w:pPr>
    </w:p>
    <w:p w14:paraId="01BA940E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sz w:val="22"/>
          <w:szCs w:val="22"/>
        </w:rPr>
      </w:pPr>
    </w:p>
    <w:p w14:paraId="6DCE8180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2"/>
          <w:szCs w:val="22"/>
        </w:rPr>
      </w:pPr>
    </w:p>
    <w:p w14:paraId="264AEFFC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2"/>
          <w:szCs w:val="22"/>
        </w:rPr>
      </w:pPr>
    </w:p>
    <w:p w14:paraId="23E550EB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2"/>
          <w:szCs w:val="22"/>
        </w:rPr>
      </w:pPr>
    </w:p>
    <w:p w14:paraId="2F5E0DF4" w14:textId="77777777" w:rsidR="00BF0794" w:rsidRDefault="00BF0794" w:rsidP="00BF0794">
      <w:pPr>
        <w:spacing w:line="360" w:lineRule="auto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br w:type="page"/>
      </w:r>
    </w:p>
    <w:p w14:paraId="464A2787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2"/>
          <w:szCs w:val="22"/>
        </w:rPr>
      </w:pPr>
      <w:r w:rsidRPr="00212076">
        <w:rPr>
          <w:rFonts w:ascii="Georgia" w:hAnsi="Georgia"/>
          <w:b/>
          <w:bCs/>
          <w:sz w:val="22"/>
          <w:szCs w:val="22"/>
        </w:rPr>
        <w:lastRenderedPageBreak/>
        <w:t>§2   Errors</w:t>
      </w:r>
    </w:p>
    <w:p w14:paraId="25DB3060" w14:textId="77777777" w:rsidR="00BF0794" w:rsidRPr="00212076" w:rsidRDefault="00BF0794" w:rsidP="00BF0794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2"/>
          <w:szCs w:val="22"/>
        </w:rPr>
      </w:pPr>
      <w:r w:rsidRPr="00212076">
        <w:rPr>
          <w:rFonts w:ascii="Georgia" w:hAnsi="Georgia"/>
          <w:b/>
          <w:bCs/>
          <w:noProof/>
          <w:sz w:val="22"/>
          <w:szCs w:val="22"/>
        </w:rPr>
        <w:drawing>
          <wp:inline distT="0" distB="0" distL="0" distR="0" wp14:anchorId="7CB94F53" wp14:editId="6C250EAC">
            <wp:extent cx="5727700" cy="7446010"/>
            <wp:effectExtent l="0" t="0" r="0" b="0"/>
            <wp:docPr id="60" name="Picture 6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8D8B" w14:textId="21161781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1</w:t>
      </w:r>
      <w:r w:rsidRPr="00212076">
        <w:rPr>
          <w:rFonts w:ascii="Georgia" w:hAnsi="Georgia"/>
          <w:sz w:val="20"/>
          <w:szCs w:val="20"/>
        </w:rPr>
        <w:t xml:space="preserve">. Simulation results for continuous outcome with MAE loss and correlated predictors. </w:t>
      </w:r>
      <w:r w:rsidRPr="00212076">
        <w:rPr>
          <w:rFonts w:ascii="Georgia" w:hAnsi="Georgia"/>
          <w:b/>
          <w:bCs/>
          <w:sz w:val="20"/>
          <w:szCs w:val="20"/>
        </w:rPr>
        <w:t>A</w:t>
      </w:r>
      <w:r w:rsidRPr="00212076">
        <w:rPr>
          <w:rFonts w:ascii="Georgia" w:hAnsi="Georgia"/>
          <w:sz w:val="20"/>
          <w:szCs w:val="20"/>
        </w:rPr>
        <w:t xml:space="preserve">: Boxplots of simulated CPI values of variables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10</m:t>
            </m:r>
          </m:sub>
        </m:sSub>
      </m:oMath>
      <w:r w:rsidRPr="00212076">
        <w:rPr>
          <w:rFonts w:ascii="Georgia" w:hAnsi="Georgia"/>
          <w:sz w:val="20"/>
          <w:szCs w:val="20"/>
        </w:rPr>
        <w:t xml:space="preserve"> with increasing effect size. The red line indicates a CPI value of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>, corresponding to a completely uninformati</w:t>
      </w:r>
      <w:proofErr w:type="spellStart"/>
      <w:r w:rsidRPr="00212076">
        <w:rPr>
          <w:rFonts w:ascii="Georgia" w:hAnsi="Georgia"/>
          <w:sz w:val="20"/>
          <w:szCs w:val="20"/>
        </w:rPr>
        <w:t>ve</w:t>
      </w:r>
      <w:proofErr w:type="spellEnd"/>
      <w:r w:rsidRPr="00212076">
        <w:rPr>
          <w:rFonts w:ascii="Georgia" w:hAnsi="Georgia"/>
          <w:sz w:val="20"/>
          <w:szCs w:val="20"/>
        </w:rPr>
        <w:t xml:space="preserve"> predictor. </w:t>
      </w:r>
      <w:r w:rsidRPr="00212076">
        <w:rPr>
          <w:rFonts w:ascii="Georgia" w:hAnsi="Georgia"/>
          <w:b/>
          <w:bCs/>
          <w:sz w:val="20"/>
          <w:szCs w:val="20"/>
        </w:rPr>
        <w:t>B</w:t>
      </w:r>
      <w:r w:rsidRPr="00212076">
        <w:rPr>
          <w:rFonts w:ascii="Georgia" w:hAnsi="Georgia"/>
          <w:sz w:val="20"/>
          <w:szCs w:val="20"/>
        </w:rPr>
        <w:t xml:space="preserve">: Histograms of simulation replications of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-statistics of variables with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. The distribution of the expected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 under the null hypothesis is shown in red. </w:t>
      </w:r>
      <w:r w:rsidRPr="00212076">
        <w:rPr>
          <w:rFonts w:ascii="Georgia" w:hAnsi="Georgia"/>
          <w:b/>
          <w:bCs/>
          <w:sz w:val="20"/>
          <w:szCs w:val="20"/>
        </w:rPr>
        <w:t>C</w:t>
      </w:r>
      <w:r w:rsidRPr="00212076">
        <w:rPr>
          <w:rFonts w:ascii="Georgia" w:hAnsi="Georgia"/>
          <w:sz w:val="20"/>
          <w:szCs w:val="20"/>
        </w:rPr>
        <w:t xml:space="preserve">: Proportion of rejected hypotheses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0 correspond to the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level,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. </w:t>
      </w:r>
    </w:p>
    <w:p w14:paraId="55D1EFF3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 wp14:anchorId="64B0CF7F" wp14:editId="6E153471">
            <wp:extent cx="5727700" cy="7446010"/>
            <wp:effectExtent l="0" t="0" r="0" b="0"/>
            <wp:docPr id="61" name="Picture 6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310A" w14:textId="679073BF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2</w:t>
      </w:r>
      <w:r w:rsidRPr="00212076">
        <w:rPr>
          <w:rFonts w:ascii="Georgia" w:hAnsi="Georgia"/>
          <w:sz w:val="20"/>
          <w:szCs w:val="20"/>
        </w:rPr>
        <w:t xml:space="preserve">. Simulation results for continuous outcome with MSE loss and uncorrelated predictors. </w:t>
      </w:r>
      <w:r w:rsidRPr="00212076">
        <w:rPr>
          <w:rFonts w:ascii="Georgia" w:hAnsi="Georgia"/>
          <w:b/>
          <w:bCs/>
          <w:sz w:val="20"/>
          <w:szCs w:val="20"/>
        </w:rPr>
        <w:t>A</w:t>
      </w:r>
      <w:r w:rsidRPr="00212076">
        <w:rPr>
          <w:rFonts w:ascii="Georgia" w:hAnsi="Georgia"/>
          <w:sz w:val="20"/>
          <w:szCs w:val="20"/>
        </w:rPr>
        <w:t xml:space="preserve">: Boxplots of simulated CPI values of variables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10</m:t>
            </m:r>
          </m:sub>
        </m:sSub>
      </m:oMath>
      <w:r w:rsidRPr="00212076">
        <w:rPr>
          <w:rFonts w:ascii="Georgia" w:hAnsi="Georgia"/>
          <w:sz w:val="20"/>
          <w:szCs w:val="20"/>
        </w:rPr>
        <w:t xml:space="preserve"> with increasing effect size. The red line indicates a CPI value of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, corresponding to a completely uninformative predictor. </w:t>
      </w:r>
      <w:r w:rsidRPr="00212076">
        <w:rPr>
          <w:rFonts w:ascii="Georgia" w:hAnsi="Georgia"/>
          <w:b/>
          <w:bCs/>
          <w:sz w:val="20"/>
          <w:szCs w:val="20"/>
        </w:rPr>
        <w:t>B</w:t>
      </w:r>
      <w:r w:rsidRPr="00212076">
        <w:rPr>
          <w:rFonts w:ascii="Georgia" w:hAnsi="Georgia"/>
          <w:sz w:val="20"/>
          <w:szCs w:val="20"/>
        </w:rPr>
        <w:t xml:space="preserve">: Histograms of simulation replications of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-statistics of variables with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. The distribution of the expected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 under the null hypothesis is shown in red. </w:t>
      </w:r>
      <w:r w:rsidRPr="00212076">
        <w:rPr>
          <w:rFonts w:ascii="Georgia" w:hAnsi="Georgia"/>
          <w:b/>
          <w:bCs/>
          <w:sz w:val="20"/>
          <w:szCs w:val="20"/>
        </w:rPr>
        <w:t>C</w:t>
      </w:r>
      <w:r w:rsidRPr="00212076">
        <w:rPr>
          <w:rFonts w:ascii="Georgia" w:hAnsi="Georgia"/>
          <w:sz w:val="20"/>
          <w:szCs w:val="20"/>
        </w:rPr>
        <w:t xml:space="preserve">: Proportion of rejected hypotheses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0 correspond to the Type I error, at e</w:t>
      </w:r>
      <w:proofErr w:type="spellStart"/>
      <w:r w:rsidRPr="00212076">
        <w:rPr>
          <w:rFonts w:ascii="Georgia" w:hAnsi="Georgia"/>
          <w:sz w:val="20"/>
          <w:szCs w:val="20"/>
        </w:rPr>
        <w:t>ffect</w:t>
      </w:r>
      <w:proofErr w:type="spellEnd"/>
      <w:r w:rsidRPr="00212076">
        <w:rPr>
          <w:rFonts w:ascii="Georgia" w:hAnsi="Georgia"/>
          <w:sz w:val="20"/>
          <w:szCs w:val="20"/>
        </w:rPr>
        <w:t xml:space="preserve">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level,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. </w:t>
      </w:r>
    </w:p>
    <w:p w14:paraId="00393ED4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2F2BF799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44C68558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b/>
          <w:bCs/>
          <w:sz w:val="20"/>
          <w:szCs w:val="20"/>
        </w:rPr>
      </w:pPr>
      <w:r w:rsidRPr="00212076"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 wp14:anchorId="3E89D62D" wp14:editId="48EA5164">
            <wp:extent cx="5727700" cy="7446010"/>
            <wp:effectExtent l="0" t="0" r="0" b="0"/>
            <wp:docPr id="62" name="Picture 6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6441" w14:textId="2BB555F5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3</w:t>
      </w:r>
      <w:r w:rsidRPr="00212076">
        <w:rPr>
          <w:rFonts w:ascii="Georgia" w:hAnsi="Georgia"/>
          <w:sz w:val="20"/>
          <w:szCs w:val="20"/>
        </w:rPr>
        <w:t xml:space="preserve">. Simulation results for continuous outcome with MAE loss and uncorrelated predictors. </w:t>
      </w:r>
      <w:r w:rsidRPr="00212076">
        <w:rPr>
          <w:rFonts w:ascii="Georgia" w:hAnsi="Georgia"/>
          <w:b/>
          <w:bCs/>
          <w:sz w:val="20"/>
          <w:szCs w:val="20"/>
        </w:rPr>
        <w:t>A</w:t>
      </w:r>
      <w:r w:rsidRPr="00212076">
        <w:rPr>
          <w:rFonts w:ascii="Georgia" w:hAnsi="Georgia"/>
          <w:sz w:val="20"/>
          <w:szCs w:val="20"/>
        </w:rPr>
        <w:t xml:space="preserve">: Boxplots of simulated CPI values of variables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10</m:t>
            </m:r>
          </m:sub>
        </m:sSub>
      </m:oMath>
      <w:r w:rsidRPr="00212076">
        <w:rPr>
          <w:rFonts w:ascii="Georgia" w:hAnsi="Georgia"/>
          <w:sz w:val="20"/>
          <w:szCs w:val="20"/>
        </w:rPr>
        <w:t xml:space="preserve"> with increasing effect size. The red line indicates a CPI value of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>, corresponding to a completely uninforma</w:t>
      </w:r>
      <w:proofErr w:type="spellStart"/>
      <w:r w:rsidRPr="00212076">
        <w:rPr>
          <w:rFonts w:ascii="Georgia" w:hAnsi="Georgia"/>
          <w:sz w:val="20"/>
          <w:szCs w:val="20"/>
        </w:rPr>
        <w:t>tive</w:t>
      </w:r>
      <w:proofErr w:type="spellEnd"/>
      <w:r w:rsidRPr="00212076">
        <w:rPr>
          <w:rFonts w:ascii="Georgia" w:hAnsi="Georgia"/>
          <w:sz w:val="20"/>
          <w:szCs w:val="20"/>
        </w:rPr>
        <w:t xml:space="preserve"> predictor. </w:t>
      </w:r>
      <w:r w:rsidRPr="00212076">
        <w:rPr>
          <w:rFonts w:ascii="Georgia" w:hAnsi="Georgia"/>
          <w:b/>
          <w:bCs/>
          <w:sz w:val="20"/>
          <w:szCs w:val="20"/>
        </w:rPr>
        <w:t>B</w:t>
      </w:r>
      <w:r w:rsidRPr="00212076">
        <w:rPr>
          <w:rFonts w:ascii="Georgia" w:hAnsi="Georgia"/>
          <w:sz w:val="20"/>
          <w:szCs w:val="20"/>
        </w:rPr>
        <w:t xml:space="preserve">: Histograms of simulation replications of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-statistics of variables with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. The distribution of the expected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 under the null hypothesis is shown in red. </w:t>
      </w:r>
      <w:r w:rsidRPr="00212076">
        <w:rPr>
          <w:rFonts w:ascii="Georgia" w:hAnsi="Georgia"/>
          <w:b/>
          <w:bCs/>
          <w:sz w:val="20"/>
          <w:szCs w:val="20"/>
        </w:rPr>
        <w:t>C</w:t>
      </w:r>
      <w:r w:rsidRPr="00212076">
        <w:rPr>
          <w:rFonts w:ascii="Georgia" w:hAnsi="Georgia"/>
          <w:sz w:val="20"/>
          <w:szCs w:val="20"/>
        </w:rPr>
        <w:t xml:space="preserve">: Proportion of rejected hypotheses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0 correspond to the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level,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. </w:t>
      </w:r>
    </w:p>
    <w:p w14:paraId="1D70B894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0865CAA1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441B3331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b/>
          <w:bCs/>
          <w:sz w:val="20"/>
          <w:szCs w:val="20"/>
        </w:rPr>
      </w:pPr>
      <w:r w:rsidRPr="00212076">
        <w:rPr>
          <w:rFonts w:ascii="Georgia" w:hAnsi="Georgia"/>
          <w:b/>
          <w:bCs/>
          <w:noProof/>
          <w:sz w:val="20"/>
          <w:szCs w:val="20"/>
        </w:rPr>
        <w:lastRenderedPageBreak/>
        <w:drawing>
          <wp:inline distT="0" distB="0" distL="0" distR="0" wp14:anchorId="60414962" wp14:editId="43A92F8F">
            <wp:extent cx="5727700" cy="7446010"/>
            <wp:effectExtent l="0" t="0" r="0" b="0"/>
            <wp:docPr id="63" name="Picture 6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BB30" w14:textId="66AF5D3C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4</w:t>
      </w:r>
      <w:r w:rsidRPr="00212076">
        <w:rPr>
          <w:rFonts w:ascii="Georgia" w:hAnsi="Georgia"/>
          <w:sz w:val="20"/>
          <w:szCs w:val="20"/>
        </w:rPr>
        <w:t xml:space="preserve">. Simulation results for binary outcome with MMCE loss and correlated predictors. </w:t>
      </w:r>
      <w:r w:rsidRPr="00212076">
        <w:rPr>
          <w:rFonts w:ascii="Georgia" w:hAnsi="Georgia"/>
          <w:b/>
          <w:bCs/>
          <w:sz w:val="20"/>
          <w:szCs w:val="20"/>
        </w:rPr>
        <w:t>A</w:t>
      </w:r>
      <w:r w:rsidRPr="00212076">
        <w:rPr>
          <w:rFonts w:ascii="Georgia" w:hAnsi="Georgia"/>
          <w:sz w:val="20"/>
          <w:szCs w:val="20"/>
        </w:rPr>
        <w:t xml:space="preserve">: Boxplots of simulated CPI values of variables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10</m:t>
            </m:r>
          </m:sub>
        </m:sSub>
      </m:oMath>
      <w:r w:rsidRPr="00212076">
        <w:rPr>
          <w:rFonts w:ascii="Georgia" w:hAnsi="Georgia"/>
          <w:sz w:val="20"/>
          <w:szCs w:val="20"/>
        </w:rPr>
        <w:t xml:space="preserve"> with increasing effect size. The red line indicates a CPI value of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, corresponding to a completely uninformative predictor. </w:t>
      </w:r>
      <w:r w:rsidRPr="00212076">
        <w:rPr>
          <w:rFonts w:ascii="Georgia" w:hAnsi="Georgia"/>
          <w:b/>
          <w:bCs/>
          <w:sz w:val="20"/>
          <w:szCs w:val="20"/>
        </w:rPr>
        <w:t>B</w:t>
      </w:r>
      <w:r w:rsidRPr="00212076">
        <w:rPr>
          <w:rFonts w:ascii="Georgia" w:hAnsi="Georgia"/>
          <w:sz w:val="20"/>
          <w:szCs w:val="20"/>
        </w:rPr>
        <w:t xml:space="preserve">: Histograms of simulation replications of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-statistics of variables with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. The distribution of the expected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 under the null hypothesis is shown in red. </w:t>
      </w:r>
      <w:r w:rsidRPr="00212076">
        <w:rPr>
          <w:rFonts w:ascii="Georgia" w:hAnsi="Georgia"/>
          <w:b/>
          <w:bCs/>
          <w:sz w:val="20"/>
          <w:szCs w:val="20"/>
        </w:rPr>
        <w:t>C</w:t>
      </w:r>
      <w:r w:rsidRPr="00212076">
        <w:rPr>
          <w:rFonts w:ascii="Georgia" w:hAnsi="Georgia"/>
          <w:sz w:val="20"/>
          <w:szCs w:val="20"/>
        </w:rPr>
        <w:t xml:space="preserve">: Proportion of rejected hypotheses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0 correspond to the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level,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. </w:t>
      </w:r>
    </w:p>
    <w:p w14:paraId="0C24F8DB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016BA9ED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1A629DB3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b/>
          <w:bCs/>
          <w:sz w:val="20"/>
          <w:szCs w:val="20"/>
        </w:rPr>
      </w:pPr>
      <w:r w:rsidRPr="00212076">
        <w:rPr>
          <w:rFonts w:ascii="Georgia" w:hAnsi="Georgia"/>
          <w:b/>
          <w:bCs/>
          <w:noProof/>
          <w:sz w:val="20"/>
          <w:szCs w:val="20"/>
        </w:rPr>
        <w:lastRenderedPageBreak/>
        <w:drawing>
          <wp:inline distT="0" distB="0" distL="0" distR="0" wp14:anchorId="4C925D8F" wp14:editId="261C2446">
            <wp:extent cx="5727700" cy="7446010"/>
            <wp:effectExtent l="0" t="0" r="0" b="0"/>
            <wp:docPr id="2048" name="Picture 204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A322" w14:textId="7098C0B4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5</w:t>
      </w:r>
      <w:r w:rsidRPr="00212076">
        <w:rPr>
          <w:rFonts w:ascii="Georgia" w:hAnsi="Georgia"/>
          <w:sz w:val="20"/>
          <w:szCs w:val="20"/>
        </w:rPr>
        <w:t xml:space="preserve">. Simulation results for binary outcome with CE loss and correlated predictors. </w:t>
      </w:r>
      <w:r w:rsidRPr="00212076">
        <w:rPr>
          <w:rFonts w:ascii="Georgia" w:hAnsi="Georgia"/>
          <w:b/>
          <w:bCs/>
          <w:sz w:val="20"/>
          <w:szCs w:val="20"/>
        </w:rPr>
        <w:t>A</w:t>
      </w:r>
      <w:r w:rsidRPr="00212076">
        <w:rPr>
          <w:rFonts w:ascii="Georgia" w:hAnsi="Georgia"/>
          <w:sz w:val="20"/>
          <w:szCs w:val="20"/>
        </w:rPr>
        <w:t xml:space="preserve">: Boxplots of simulated CPI values of variables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10</m:t>
            </m:r>
          </m:sub>
        </m:sSub>
      </m:oMath>
      <w:r w:rsidRPr="00212076">
        <w:rPr>
          <w:rFonts w:ascii="Georgia" w:hAnsi="Georgia"/>
          <w:sz w:val="20"/>
          <w:szCs w:val="20"/>
        </w:rPr>
        <w:t xml:space="preserve"> with increasing effect size. The red line indicates a CPI value of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, corresponding to a completely uninformative predictor. </w:t>
      </w:r>
      <w:r w:rsidRPr="00212076">
        <w:rPr>
          <w:rFonts w:ascii="Georgia" w:hAnsi="Georgia"/>
          <w:b/>
          <w:bCs/>
          <w:sz w:val="20"/>
          <w:szCs w:val="20"/>
        </w:rPr>
        <w:t>B</w:t>
      </w:r>
      <w:r w:rsidRPr="00212076">
        <w:rPr>
          <w:rFonts w:ascii="Georgia" w:hAnsi="Georgia"/>
          <w:sz w:val="20"/>
          <w:szCs w:val="20"/>
        </w:rPr>
        <w:t xml:space="preserve">: Histograms of simulation replications of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-statistics of variables with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. The distribution of the expected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 under the null hypothesis is shown in red. </w:t>
      </w:r>
      <w:r w:rsidRPr="00212076">
        <w:rPr>
          <w:rFonts w:ascii="Georgia" w:hAnsi="Georgia"/>
          <w:b/>
          <w:bCs/>
          <w:sz w:val="20"/>
          <w:szCs w:val="20"/>
        </w:rPr>
        <w:t>C</w:t>
      </w:r>
      <w:r w:rsidRPr="00212076">
        <w:rPr>
          <w:rFonts w:ascii="Georgia" w:hAnsi="Georgia"/>
          <w:sz w:val="20"/>
          <w:szCs w:val="20"/>
        </w:rPr>
        <w:t xml:space="preserve">: Proportion of rejected hypotheses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0 correspond to the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level,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. </w:t>
      </w:r>
    </w:p>
    <w:p w14:paraId="01A74328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08C811A1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7E58F486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b/>
          <w:bCs/>
          <w:sz w:val="20"/>
          <w:szCs w:val="20"/>
        </w:rPr>
      </w:pPr>
      <w:r w:rsidRPr="00212076">
        <w:rPr>
          <w:rFonts w:ascii="Georgia" w:hAnsi="Georgia"/>
          <w:b/>
          <w:bCs/>
          <w:noProof/>
          <w:sz w:val="20"/>
          <w:szCs w:val="20"/>
        </w:rPr>
        <w:lastRenderedPageBreak/>
        <w:drawing>
          <wp:inline distT="0" distB="0" distL="0" distR="0" wp14:anchorId="20A8456F" wp14:editId="727C690C">
            <wp:extent cx="5727700" cy="7446010"/>
            <wp:effectExtent l="0" t="0" r="0" b="0"/>
            <wp:docPr id="14" name="Picture 14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imelin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B65F" w14:textId="2F25A789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6</w:t>
      </w:r>
      <w:r w:rsidRPr="00212076">
        <w:rPr>
          <w:rFonts w:ascii="Georgia" w:hAnsi="Georgia"/>
          <w:sz w:val="20"/>
          <w:szCs w:val="20"/>
        </w:rPr>
        <w:t xml:space="preserve">. Simulation results for binary outcome with MMCE loss and uncorrelated predictors. </w:t>
      </w:r>
      <w:r w:rsidRPr="00212076">
        <w:rPr>
          <w:rFonts w:ascii="Georgia" w:hAnsi="Georgia"/>
          <w:b/>
          <w:bCs/>
          <w:sz w:val="20"/>
          <w:szCs w:val="20"/>
        </w:rPr>
        <w:t>A</w:t>
      </w:r>
      <w:r w:rsidRPr="00212076">
        <w:rPr>
          <w:rFonts w:ascii="Georgia" w:hAnsi="Georgia"/>
          <w:sz w:val="20"/>
          <w:szCs w:val="20"/>
        </w:rPr>
        <w:t xml:space="preserve">: Boxplots of simulated CPI values of variables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10</m:t>
            </m:r>
          </m:sub>
        </m:sSub>
      </m:oMath>
      <w:r w:rsidRPr="00212076">
        <w:rPr>
          <w:rFonts w:ascii="Georgia" w:hAnsi="Georgia"/>
          <w:sz w:val="20"/>
          <w:szCs w:val="20"/>
        </w:rPr>
        <w:t xml:space="preserve"> with increasing effect size. The red line indicates a CPI value of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, corresponding to a completely uninformative predictor. </w:t>
      </w:r>
      <w:r w:rsidRPr="00212076">
        <w:rPr>
          <w:rFonts w:ascii="Georgia" w:hAnsi="Georgia"/>
          <w:b/>
          <w:bCs/>
          <w:sz w:val="20"/>
          <w:szCs w:val="20"/>
        </w:rPr>
        <w:t>B</w:t>
      </w:r>
      <w:r w:rsidRPr="00212076">
        <w:rPr>
          <w:rFonts w:ascii="Georgia" w:hAnsi="Georgia"/>
          <w:sz w:val="20"/>
          <w:szCs w:val="20"/>
        </w:rPr>
        <w:t xml:space="preserve">: Histograms of simulation replications of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-statistics of variables with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. The distribution of the expected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 under the null hypothesis is shown in red. </w:t>
      </w:r>
      <w:r w:rsidRPr="00212076">
        <w:rPr>
          <w:rFonts w:ascii="Georgia" w:hAnsi="Georgia"/>
          <w:b/>
          <w:bCs/>
          <w:sz w:val="20"/>
          <w:szCs w:val="20"/>
        </w:rPr>
        <w:t>C</w:t>
      </w:r>
      <w:r w:rsidRPr="00212076">
        <w:rPr>
          <w:rFonts w:ascii="Georgia" w:hAnsi="Georgia"/>
          <w:sz w:val="20"/>
          <w:szCs w:val="20"/>
        </w:rPr>
        <w:t xml:space="preserve">: Proportion of rejected hypotheses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0 correspond to the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level,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. </w:t>
      </w:r>
    </w:p>
    <w:p w14:paraId="4AC63C25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31FE24EB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7DDB1E2A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b/>
          <w:bCs/>
          <w:sz w:val="20"/>
          <w:szCs w:val="20"/>
        </w:rPr>
      </w:pPr>
      <w:r w:rsidRPr="00212076">
        <w:rPr>
          <w:rFonts w:ascii="Georgia" w:hAnsi="Georgia"/>
          <w:b/>
          <w:bCs/>
          <w:noProof/>
          <w:sz w:val="20"/>
          <w:szCs w:val="20"/>
        </w:rPr>
        <w:lastRenderedPageBreak/>
        <w:drawing>
          <wp:inline distT="0" distB="0" distL="0" distR="0" wp14:anchorId="29D6D444" wp14:editId="319A058D">
            <wp:extent cx="5727700" cy="7446010"/>
            <wp:effectExtent l="0" t="0" r="0" b="0"/>
            <wp:docPr id="2049" name="Picture 20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2672" w14:textId="52990D35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7</w:t>
      </w:r>
      <w:r w:rsidRPr="00212076">
        <w:rPr>
          <w:rFonts w:ascii="Georgia" w:hAnsi="Georgia"/>
          <w:sz w:val="20"/>
          <w:szCs w:val="20"/>
        </w:rPr>
        <w:t xml:space="preserve">. Simulation results for binary outcome with CE loss and uncorrelated predictors. </w:t>
      </w:r>
      <w:r w:rsidRPr="00212076">
        <w:rPr>
          <w:rFonts w:ascii="Georgia" w:hAnsi="Georgia"/>
          <w:b/>
          <w:bCs/>
          <w:sz w:val="20"/>
          <w:szCs w:val="20"/>
        </w:rPr>
        <w:t>A</w:t>
      </w:r>
      <w:r w:rsidRPr="00212076">
        <w:rPr>
          <w:rFonts w:ascii="Georgia" w:hAnsi="Georgia"/>
          <w:sz w:val="20"/>
          <w:szCs w:val="20"/>
        </w:rPr>
        <w:t xml:space="preserve">: Boxplots of simulated CPI values of variables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10</m:t>
            </m:r>
          </m:sub>
        </m:sSub>
      </m:oMath>
      <w:r w:rsidRPr="00212076">
        <w:rPr>
          <w:rFonts w:ascii="Georgia" w:hAnsi="Georgia"/>
          <w:sz w:val="20"/>
          <w:szCs w:val="20"/>
        </w:rPr>
        <w:t xml:space="preserve"> with increasing effect size. The red line indicates a CPI value of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, corresponding to a completely uninformative predictor. </w:t>
      </w:r>
      <w:r w:rsidRPr="00212076">
        <w:rPr>
          <w:rFonts w:ascii="Georgia" w:hAnsi="Georgia"/>
          <w:b/>
          <w:bCs/>
          <w:sz w:val="20"/>
          <w:szCs w:val="20"/>
        </w:rPr>
        <w:t>B</w:t>
      </w:r>
      <w:r w:rsidRPr="00212076">
        <w:rPr>
          <w:rFonts w:ascii="Georgia" w:hAnsi="Georgia"/>
          <w:sz w:val="20"/>
          <w:szCs w:val="20"/>
        </w:rPr>
        <w:t xml:space="preserve">: Histograms of simulation replications of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-statistics of variables with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. The distribution of the expected </w:t>
      </w:r>
      <w:r w:rsidRPr="00212076">
        <w:rPr>
          <w:rFonts w:ascii="Georgia" w:hAnsi="Georgia"/>
          <w:i/>
          <w:iCs/>
          <w:sz w:val="20"/>
          <w:szCs w:val="20"/>
        </w:rPr>
        <w:t>t</w:t>
      </w:r>
      <w:r w:rsidRPr="00212076">
        <w:rPr>
          <w:rFonts w:ascii="Georgia" w:hAnsi="Georgia"/>
          <w:sz w:val="20"/>
          <w:szCs w:val="20"/>
        </w:rPr>
        <w:t xml:space="preserve">-statistic under the null hypothesis is shown in red. </w:t>
      </w:r>
      <w:r w:rsidRPr="00212076">
        <w:rPr>
          <w:rFonts w:ascii="Georgia" w:hAnsi="Georgia"/>
          <w:b/>
          <w:bCs/>
          <w:sz w:val="20"/>
          <w:szCs w:val="20"/>
        </w:rPr>
        <w:t>C</w:t>
      </w:r>
      <w:r w:rsidRPr="00212076">
        <w:rPr>
          <w:rFonts w:ascii="Georgia" w:hAnsi="Georgia"/>
          <w:sz w:val="20"/>
          <w:szCs w:val="20"/>
        </w:rPr>
        <w:t xml:space="preserve">: Proportion of rejected hypotheses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0 correspond to the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level,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. </w:t>
      </w:r>
    </w:p>
    <w:p w14:paraId="44CCC08D" w14:textId="77777777" w:rsidR="00BF0794" w:rsidRPr="00212076" w:rsidRDefault="00BF0794" w:rsidP="00BF0794">
      <w:pPr>
        <w:pStyle w:val="NormalWeb"/>
        <w:spacing w:before="0" w:beforeAutospacing="0" w:after="0" w:afterAutospacing="0"/>
        <w:jc w:val="both"/>
        <w:rPr>
          <w:rFonts w:ascii="Georgia" w:hAnsi="Georgia"/>
          <w:sz w:val="20"/>
          <w:szCs w:val="20"/>
        </w:rPr>
      </w:pPr>
    </w:p>
    <w:p w14:paraId="7E03B297" w14:textId="77777777" w:rsidR="00BF0794" w:rsidRPr="00212076" w:rsidRDefault="00BF0794" w:rsidP="00BF0794">
      <w:pPr>
        <w:rPr>
          <w:rFonts w:ascii="Georgia" w:hAnsi="Georgia"/>
          <w:b/>
          <w:bCs/>
        </w:rPr>
      </w:pPr>
    </w:p>
    <w:p w14:paraId="6EE75518" w14:textId="77777777" w:rsidR="00BF0794" w:rsidRDefault="00BF0794" w:rsidP="00BF0794">
      <w:pPr>
        <w:rPr>
          <w:rFonts w:ascii="Georgia" w:hAnsi="Georgia"/>
          <w:b/>
          <w:bCs/>
          <w:sz w:val="22"/>
          <w:szCs w:val="22"/>
        </w:rPr>
      </w:pPr>
      <w:r w:rsidRPr="00212076">
        <w:rPr>
          <w:rFonts w:ascii="Georgia" w:hAnsi="Georgia"/>
          <w:b/>
          <w:bCs/>
          <w:sz w:val="22"/>
          <w:szCs w:val="22"/>
        </w:rPr>
        <w:lastRenderedPageBreak/>
        <w:t>§3   Comparative Performance</w:t>
      </w:r>
    </w:p>
    <w:p w14:paraId="3BB87EDE" w14:textId="77777777" w:rsidR="00BF0794" w:rsidRPr="00212076" w:rsidRDefault="00BF0794" w:rsidP="00BF0794">
      <w:pPr>
        <w:rPr>
          <w:rFonts w:ascii="Georgia" w:hAnsi="Georgia"/>
          <w:b/>
          <w:bCs/>
          <w:sz w:val="22"/>
          <w:szCs w:val="22"/>
        </w:rPr>
      </w:pPr>
    </w:p>
    <w:p w14:paraId="2FE7DBF2" w14:textId="77777777" w:rsidR="00BF0794" w:rsidRPr="00212076" w:rsidRDefault="00BF0794" w:rsidP="00BF0794">
      <w:pPr>
        <w:rPr>
          <w:rFonts w:ascii="Georgia" w:hAnsi="Georgia"/>
          <w:b/>
          <w:bCs/>
        </w:rPr>
      </w:pPr>
      <w:r w:rsidRPr="00212076">
        <w:rPr>
          <w:rFonts w:ascii="Georgia" w:hAnsi="Georgia"/>
          <w:b/>
          <w:bCs/>
          <w:noProof/>
        </w:rPr>
        <w:drawing>
          <wp:inline distT="0" distB="0" distL="0" distR="0" wp14:anchorId="7CD3CBAF" wp14:editId="6439F421">
            <wp:extent cx="5727700" cy="34366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AFD3" w14:textId="549C8D4F" w:rsidR="00BF0794" w:rsidRPr="00212076" w:rsidRDefault="00BF0794" w:rsidP="00BF0794">
      <w:pPr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8</w:t>
      </w:r>
      <w:r w:rsidRPr="00212076">
        <w:rPr>
          <w:rFonts w:ascii="Georgia" w:hAnsi="Georgia"/>
          <w:sz w:val="20"/>
          <w:szCs w:val="20"/>
        </w:rPr>
        <w:t xml:space="preserve">. Comparative performance of VI measures across different simulations and algorithms, computed with training and test samples of </w:t>
      </w:r>
      <m:oMath>
        <m:r>
          <w:rPr>
            <w:rFonts w:ascii="Cambria Math" w:hAnsi="Cambria Math"/>
            <w:sz w:val="20"/>
            <w:szCs w:val="20"/>
          </w:rPr>
          <m:t>n = 100, p = 10</m:t>
        </m:r>
      </m:oMath>
      <w:r w:rsidRPr="00212076">
        <w:rPr>
          <w:rFonts w:ascii="Georgia" w:hAnsi="Georgia"/>
          <w:sz w:val="20"/>
          <w:szCs w:val="20"/>
        </w:rPr>
        <w:t xml:space="preserve"> and correlated predictors. Plots depict the rejection rate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 correspond to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 of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>.</w:t>
      </w:r>
    </w:p>
    <w:p w14:paraId="757F147B" w14:textId="77777777" w:rsidR="00BF0794" w:rsidRPr="00212076" w:rsidRDefault="00BF0794" w:rsidP="00BF0794">
      <w:pPr>
        <w:rPr>
          <w:rFonts w:ascii="Georgia" w:hAnsi="Georgia"/>
          <w:b/>
          <w:bCs/>
        </w:rPr>
      </w:pPr>
    </w:p>
    <w:p w14:paraId="2741A301" w14:textId="77777777" w:rsidR="00BF0794" w:rsidRPr="00212076" w:rsidRDefault="00BF0794" w:rsidP="00BF0794">
      <w:pPr>
        <w:rPr>
          <w:rFonts w:ascii="Georgia" w:hAnsi="Georgia"/>
          <w:b/>
          <w:bCs/>
        </w:rPr>
      </w:pPr>
      <w:r w:rsidRPr="00212076">
        <w:rPr>
          <w:rFonts w:ascii="Georgia" w:hAnsi="Georgia"/>
          <w:b/>
          <w:bCs/>
          <w:noProof/>
        </w:rPr>
        <w:drawing>
          <wp:inline distT="0" distB="0" distL="0" distR="0" wp14:anchorId="1E57840F" wp14:editId="1E7206C6">
            <wp:extent cx="5727700" cy="34366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1BA2" w14:textId="14E5EE7D" w:rsidR="00BF0794" w:rsidRPr="00212076" w:rsidRDefault="00BF0794" w:rsidP="00BF0794">
      <w:pPr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9</w:t>
      </w:r>
      <w:r w:rsidRPr="00212076">
        <w:rPr>
          <w:rFonts w:ascii="Georgia" w:hAnsi="Georgia"/>
          <w:sz w:val="20"/>
          <w:szCs w:val="20"/>
        </w:rPr>
        <w:t xml:space="preserve">. Comparative performance of VI measures across different simulations and algorithms, computed with training and test samples of </w:t>
      </w:r>
      <m:oMath>
        <m:r>
          <w:rPr>
            <w:rFonts w:ascii="Cambria Math" w:hAnsi="Cambria Math"/>
            <w:sz w:val="20"/>
            <w:szCs w:val="20"/>
          </w:rPr>
          <m:t>n = 500, p = 10</m:t>
        </m:r>
      </m:oMath>
      <w:r w:rsidRPr="00212076">
        <w:rPr>
          <w:rFonts w:ascii="Georgia" w:hAnsi="Georgia"/>
          <w:sz w:val="20"/>
          <w:szCs w:val="20"/>
        </w:rPr>
        <w:t xml:space="preserve"> and correlated predictors. Plots depict the rejection rate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 correspond to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 of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>.</w:t>
      </w:r>
    </w:p>
    <w:p w14:paraId="3D8BC728" w14:textId="77777777" w:rsidR="00BF0794" w:rsidRPr="00212076" w:rsidRDefault="00BF0794" w:rsidP="00BF0794">
      <w:pPr>
        <w:rPr>
          <w:rFonts w:ascii="Georgia" w:hAnsi="Georgia"/>
          <w:b/>
          <w:bCs/>
        </w:rPr>
      </w:pPr>
    </w:p>
    <w:p w14:paraId="366410F0" w14:textId="77777777" w:rsidR="00BF0794" w:rsidRPr="00212076" w:rsidRDefault="00BF0794" w:rsidP="00BF0794">
      <w:pPr>
        <w:rPr>
          <w:rFonts w:ascii="Georgia" w:hAnsi="Georgia"/>
          <w:b/>
          <w:bCs/>
        </w:rPr>
      </w:pPr>
      <w:r w:rsidRPr="00212076">
        <w:rPr>
          <w:rFonts w:ascii="Georgia" w:hAnsi="Georgia"/>
          <w:b/>
          <w:bCs/>
          <w:noProof/>
        </w:rPr>
        <w:lastRenderedPageBreak/>
        <w:drawing>
          <wp:inline distT="0" distB="0" distL="0" distR="0" wp14:anchorId="177A8CCF" wp14:editId="5378A17D">
            <wp:extent cx="5727700" cy="3436620"/>
            <wp:effectExtent l="0" t="0" r="0" b="508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A500" w14:textId="53FADC45" w:rsidR="00BF0794" w:rsidRPr="00212076" w:rsidRDefault="00BF0794" w:rsidP="00BF0794">
      <w:pPr>
        <w:jc w:val="both"/>
        <w:rPr>
          <w:rFonts w:ascii="Georgia" w:hAnsi="Georgia"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10</w:t>
      </w:r>
      <w:r w:rsidRPr="00212076">
        <w:rPr>
          <w:rFonts w:ascii="Georgia" w:hAnsi="Georgia"/>
          <w:sz w:val="20"/>
          <w:szCs w:val="20"/>
        </w:rPr>
        <w:t xml:space="preserve">. Comparative performance of VI measures across different simulations and algorithms, computed with training and test samples of </w:t>
      </w:r>
      <m:oMath>
        <m:r>
          <w:rPr>
            <w:rFonts w:ascii="Cambria Math" w:hAnsi="Cambria Math"/>
            <w:sz w:val="20"/>
            <w:szCs w:val="20"/>
          </w:rPr>
          <m:t>n = 1000, p = 10</m:t>
        </m:r>
      </m:oMath>
      <w:r w:rsidRPr="00212076">
        <w:rPr>
          <w:rFonts w:ascii="Georgia" w:hAnsi="Georgia"/>
          <w:sz w:val="20"/>
          <w:szCs w:val="20"/>
        </w:rPr>
        <w:t xml:space="preserve"> and correlated predictors. Plots depict the rejection rate at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 xml:space="preserve"> as a function of effect size. Results at effect size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212076">
        <w:rPr>
          <w:rFonts w:ascii="Georgia" w:hAnsi="Georgia"/>
          <w:sz w:val="20"/>
          <w:szCs w:val="20"/>
        </w:rPr>
        <w:t xml:space="preserve"> correspond to Type I error, at effect sizes </w:t>
      </w:r>
      <m:oMath>
        <m:r>
          <w:rPr>
            <w:rFonts w:ascii="Cambria Math" w:hAnsi="Cambria Math"/>
            <w:sz w:val="20"/>
            <w:szCs w:val="20"/>
          </w:rPr>
          <m:t>&gt;0</m:t>
        </m:r>
      </m:oMath>
      <w:r w:rsidRPr="00212076">
        <w:rPr>
          <w:rFonts w:ascii="Georgia" w:hAnsi="Georgia"/>
          <w:sz w:val="20"/>
          <w:szCs w:val="20"/>
        </w:rPr>
        <w:t xml:space="preserve"> to statistical power. The dashed line indicates the nominal level of </w:t>
      </w:r>
      <m:oMath>
        <m:r>
          <w:rPr>
            <w:rFonts w:ascii="Cambria Math" w:hAnsi="Cambria Math"/>
            <w:sz w:val="20"/>
            <w:szCs w:val="20"/>
          </w:rPr>
          <m:t>α=0.05</m:t>
        </m:r>
      </m:oMath>
      <w:r w:rsidRPr="00212076">
        <w:rPr>
          <w:rFonts w:ascii="Georgia" w:hAnsi="Georgia"/>
          <w:sz w:val="20"/>
          <w:szCs w:val="20"/>
        </w:rPr>
        <w:t>.</w:t>
      </w:r>
    </w:p>
    <w:p w14:paraId="3FC8B45C" w14:textId="77777777" w:rsidR="00BF0794" w:rsidRPr="00212076" w:rsidRDefault="00BF0794" w:rsidP="00BF0794">
      <w:pPr>
        <w:rPr>
          <w:rFonts w:ascii="Georgia" w:hAnsi="Georgia"/>
          <w:b/>
          <w:bCs/>
        </w:rPr>
      </w:pPr>
    </w:p>
    <w:p w14:paraId="11BC1294" w14:textId="77777777" w:rsidR="00BF0794" w:rsidRPr="00212076" w:rsidRDefault="00BF0794" w:rsidP="00BF0794">
      <w:pPr>
        <w:rPr>
          <w:rFonts w:ascii="Georgia" w:hAnsi="Georgia"/>
          <w:b/>
          <w:bCs/>
          <w:sz w:val="22"/>
          <w:szCs w:val="22"/>
        </w:rPr>
      </w:pPr>
      <w:r w:rsidRPr="00212076">
        <w:rPr>
          <w:rFonts w:ascii="Georgia" w:hAnsi="Georgia"/>
          <w:b/>
          <w:bCs/>
          <w:sz w:val="22"/>
          <w:szCs w:val="22"/>
        </w:rPr>
        <w:t>§4   Knockoff Sampler</w:t>
      </w:r>
    </w:p>
    <w:p w14:paraId="7721737B" w14:textId="77777777" w:rsidR="00BF0794" w:rsidRPr="00212076" w:rsidRDefault="00BF0794" w:rsidP="00BF0794">
      <w:pPr>
        <w:jc w:val="center"/>
        <w:rPr>
          <w:rFonts w:ascii="Georgia" w:hAnsi="Georgia"/>
          <w:b/>
          <w:bCs/>
        </w:rPr>
      </w:pPr>
      <w:r w:rsidRPr="00212076">
        <w:rPr>
          <w:rFonts w:ascii="Georgia" w:hAnsi="Georgia"/>
          <w:b/>
          <w:bCs/>
          <w:noProof/>
        </w:rPr>
        <w:drawing>
          <wp:inline distT="0" distB="0" distL="0" distR="0" wp14:anchorId="55D80C67" wp14:editId="5C60BD02">
            <wp:extent cx="4624754" cy="36998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525" cy="37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2CF8" w14:textId="59E11902" w:rsidR="00BF0794" w:rsidRDefault="00BF0794" w:rsidP="00BF0794">
      <w:pPr>
        <w:jc w:val="both"/>
        <w:rPr>
          <w:rFonts w:ascii="Georgia" w:hAnsi="Georgia"/>
          <w:b/>
          <w:bCs/>
          <w:sz w:val="20"/>
          <w:szCs w:val="20"/>
        </w:rPr>
      </w:pPr>
      <w:r w:rsidRPr="00212076">
        <w:rPr>
          <w:rFonts w:ascii="Georgia" w:hAnsi="Georgia"/>
          <w:b/>
          <w:bCs/>
          <w:sz w:val="20"/>
          <w:szCs w:val="20"/>
        </w:rPr>
        <w:t>Figure 11</w:t>
      </w:r>
      <w:r w:rsidRPr="00212076">
        <w:rPr>
          <w:rFonts w:ascii="Georgia" w:hAnsi="Georgia"/>
          <w:sz w:val="20"/>
          <w:szCs w:val="20"/>
        </w:rPr>
        <w:t xml:space="preserve">. Power and FDR as a function of effect size and autocorrelation for CPI and knockoff filter. Target FDR is </w:t>
      </w:r>
      <m:oMath>
        <m:r>
          <w:rPr>
            <w:rFonts w:ascii="Cambria Math" w:hAnsi="Cambria Math"/>
            <w:sz w:val="20"/>
            <w:szCs w:val="20"/>
          </w:rPr>
          <m:t>10%</m:t>
        </m:r>
      </m:oMath>
      <w:r w:rsidRPr="00212076">
        <w:rPr>
          <w:rFonts w:ascii="Georgia" w:hAnsi="Georgia"/>
          <w:sz w:val="20"/>
          <w:szCs w:val="20"/>
        </w:rPr>
        <w:t xml:space="preserve">. Results are from a lasso regression with </w:t>
      </w:r>
      <m:oMath>
        <m:r>
          <w:rPr>
            <w:rFonts w:ascii="Cambria Math" w:hAnsi="Cambria Math"/>
            <w:sz w:val="20"/>
            <w:szCs w:val="20"/>
          </w:rPr>
          <m:t>n = 300, p = 2000</m:t>
        </m:r>
      </m:oMath>
      <w:r w:rsidRPr="00212076">
        <w:rPr>
          <w:rFonts w:ascii="Georgia" w:hAnsi="Georgia"/>
          <w:sz w:val="20"/>
          <w:szCs w:val="20"/>
        </w:rPr>
        <w:t>. Each point represents 10,000 replications.</w:t>
      </w:r>
      <w:r w:rsidRPr="00212076">
        <w:rPr>
          <w:rFonts w:ascii="Georgia" w:hAnsi="Georgia"/>
          <w:b/>
          <w:bCs/>
          <w:sz w:val="20"/>
          <w:szCs w:val="20"/>
        </w:rPr>
        <w:t xml:space="preserve"> </w:t>
      </w:r>
    </w:p>
    <w:p w14:paraId="26C20687" w14:textId="77777777" w:rsidR="0014795B" w:rsidRDefault="0014795B"/>
    <w:sectPr w:rsidR="0014795B" w:rsidSect="004E213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794"/>
    <w:rsid w:val="0014795B"/>
    <w:rsid w:val="004E2135"/>
    <w:rsid w:val="00BF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272708"/>
  <w15:chartTrackingRefBased/>
  <w15:docId w15:val="{AA329150-505F-F141-A788-85AB2D0D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Times New Roman (Body CS)"/>
        <w:sz w:val="22"/>
        <w:szCs w:val="24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794"/>
    <w:pPr>
      <w:spacing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0794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BF079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1225</Words>
  <Characters>6988</Characters>
  <Application>Microsoft Office Word</Application>
  <DocSecurity>0</DocSecurity>
  <Lines>58</Lines>
  <Paragraphs>16</Paragraphs>
  <ScaleCrop>false</ScaleCrop>
  <Company/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Watson</dc:creator>
  <cp:keywords/>
  <dc:description/>
  <cp:lastModifiedBy>David Watson</cp:lastModifiedBy>
  <cp:revision>1</cp:revision>
  <dcterms:created xsi:type="dcterms:W3CDTF">2021-06-22T20:52:00Z</dcterms:created>
  <dcterms:modified xsi:type="dcterms:W3CDTF">2021-06-22T20:54:00Z</dcterms:modified>
</cp:coreProperties>
</file>