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6AE4E" w14:textId="6D7EE0DF" w:rsidR="00004969" w:rsidRPr="00004969" w:rsidRDefault="00004969" w:rsidP="00004969">
      <w:pPr>
        <w:pStyle w:val="Heading1"/>
        <w:rPr>
          <w:rFonts w:eastAsia="MS Mincho"/>
          <w:lang w:eastAsia="ja-JP"/>
        </w:rPr>
      </w:pPr>
      <w:r w:rsidRPr="00004969">
        <w:rPr>
          <w:rFonts w:eastAsia="MS Mincho"/>
          <w:lang w:eastAsia="ja-JP"/>
        </w:rPr>
        <w:t>Supplement</w:t>
      </w:r>
      <w:r w:rsidR="00011C3B" w:rsidRPr="00DD4288">
        <w:rPr>
          <w:rFonts w:eastAsia="Times New Roman"/>
          <w:lang w:val="en-US" w:eastAsia="ja-JP"/>
        </w:rPr>
        <w:t>ary</w:t>
      </w:r>
      <w:r w:rsidRPr="00004969">
        <w:rPr>
          <w:rFonts w:eastAsia="MS Mincho"/>
          <w:lang w:eastAsia="ja-JP"/>
        </w:rPr>
        <w:t xml:space="preserve"> materials 3</w:t>
      </w:r>
    </w:p>
    <w:p w14:paraId="11098FC6" w14:textId="77777777" w:rsidR="00004969" w:rsidRPr="00C84CEC" w:rsidRDefault="00004969" w:rsidP="00C84CEC">
      <w:pPr>
        <w:spacing w:line="480" w:lineRule="auto"/>
        <w:jc w:val="both"/>
        <w:rPr>
          <w:rFonts w:ascii="Garamond" w:eastAsia="MS Mincho" w:hAnsi="Garamond" w:cs="Calibri"/>
          <w:b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 xml:space="preserve">Descriptive results of the </w:t>
      </w:r>
      <w:r w:rsid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>e</w:t>
      </w:r>
      <w:r w:rsidRP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>vidence and ga</w:t>
      </w:r>
      <w:r w:rsid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>p map (EGM)</w:t>
      </w:r>
    </w:p>
    <w:p w14:paraId="36DD6391" w14:textId="77777777" w:rsidR="00004969" w:rsidRPr="00C84CEC" w:rsidRDefault="00004969" w:rsidP="00C84CEC">
      <w:pPr>
        <w:spacing w:line="480" w:lineRule="auto"/>
        <w:jc w:val="both"/>
        <w:rPr>
          <w:rFonts w:ascii="Garamond" w:eastAsia="MS Mincho" w:hAnsi="Garamond" w:cs="Calibri"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Here we summarize the main results of the evidence and gap that are not described in the main manuscript. </w:t>
      </w:r>
    </w:p>
    <w:p w14:paraId="664173D6" w14:textId="77777777" w:rsidR="00004969" w:rsidRPr="00C84CEC" w:rsidRDefault="00004969" w:rsidP="00C84CEC">
      <w:pPr>
        <w:spacing w:line="480" w:lineRule="auto"/>
        <w:jc w:val="both"/>
        <w:rPr>
          <w:rFonts w:ascii="Garamond" w:eastAsia="MS Mincho" w:hAnsi="Garamond" w:cs="Calibri"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We included 90 primary studies in this EGM, but </w:t>
      </w:r>
      <w:proofErr w:type="spellStart"/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Kumral</w:t>
      </w:r>
      <w:proofErr w:type="spellEnd"/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 2016* did not report any relevant outcomes. Therefore, the EPPI-mapper software does not display it.</w:t>
      </w:r>
    </w:p>
    <w:p w14:paraId="7805C17D" w14:textId="77777777" w:rsidR="00C84CEC" w:rsidRDefault="00C84CEC" w:rsidP="00C84CEC">
      <w:pPr>
        <w:spacing w:line="480" w:lineRule="auto"/>
        <w:jc w:val="both"/>
        <w:rPr>
          <w:rFonts w:ascii="Garamond" w:eastAsia="MS Mincho" w:hAnsi="Garamond" w:cs="Calibri"/>
          <w:b/>
          <w:bCs/>
          <w:sz w:val="24"/>
          <w:szCs w:val="24"/>
          <w:lang w:eastAsia="ja-JP"/>
        </w:rPr>
      </w:pPr>
      <w:r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>Sub-groups of the population</w:t>
      </w:r>
    </w:p>
    <w:p w14:paraId="0FDCD611" w14:textId="77777777" w:rsidR="00C84CEC" w:rsidRPr="00C84CEC" w:rsidRDefault="002A25FF" w:rsidP="00C84CEC">
      <w:pPr>
        <w:spacing w:line="480" w:lineRule="auto"/>
        <w:jc w:val="both"/>
        <w:rPr>
          <w:rFonts w:ascii="Garamond" w:eastAsia="MS Mincho" w:hAnsi="Garamond" w:cs="Calibri"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All included studies focussed on adults</w:t>
      </w:r>
      <w:r w:rsidR="00C84CEC"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, with one focusing on older adults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. </w:t>
      </w:r>
      <w:r w:rsidR="00004969"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Two studies 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explored </w:t>
      </w:r>
      <w:r w:rsidR="00004969"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smoking cessation in pregnancy. Four studies 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in </w:t>
      </w:r>
      <w:r w:rsidR="00004969"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people dealing with substance use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, seven in people with a physical condition, and six in people with a mental condition. Three studies looked into veterans, whereas only two studies looked into minoritized groups of the population. </w:t>
      </w:r>
    </w:p>
    <w:p w14:paraId="260D152E" w14:textId="77777777" w:rsidR="00004969" w:rsidRPr="00C84CEC" w:rsidRDefault="002A25FF" w:rsidP="00C84CEC">
      <w:pPr>
        <w:spacing w:line="480" w:lineRule="auto"/>
        <w:jc w:val="both"/>
        <w:rPr>
          <w:rFonts w:ascii="Garamond" w:eastAsia="MS Mincho" w:hAnsi="Garamond" w:cs="Calibri"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 xml:space="preserve">Flavours </w:t>
      </w:r>
    </w:p>
    <w:p w14:paraId="5EF258BB" w14:textId="77777777" w:rsidR="002A25FF" w:rsidRPr="00C84CEC" w:rsidRDefault="002A25FF" w:rsidP="00C84CEC">
      <w:pPr>
        <w:spacing w:after="0" w:line="600" w:lineRule="auto"/>
        <w:jc w:val="both"/>
        <w:rPr>
          <w:rFonts w:ascii="Garamond" w:eastAsia="MS Mincho" w:hAnsi="Garamond" w:cs="Calibri"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sz w:val="24"/>
          <w:szCs w:val="24"/>
          <w:lang w:eastAsia="ja-JP"/>
        </w:rPr>
        <w:t xml:space="preserve">Ninety-five studies reported the flavours offered to the participants.  Tobacco was the most </w:t>
      </w:r>
      <w:r w:rsidR="00C84CEC">
        <w:rPr>
          <w:rFonts w:ascii="Garamond" w:eastAsia="MS Mincho" w:hAnsi="Garamond" w:cs="Calibri"/>
          <w:sz w:val="24"/>
          <w:szCs w:val="24"/>
          <w:lang w:eastAsia="ja-JP"/>
        </w:rPr>
        <w:t xml:space="preserve">frequent </w:t>
      </w:r>
      <w:r w:rsidRPr="00C84CEC">
        <w:rPr>
          <w:rFonts w:ascii="Garamond" w:eastAsia="MS Mincho" w:hAnsi="Garamond" w:cs="Calibri"/>
          <w:sz w:val="24"/>
          <w:szCs w:val="24"/>
          <w:lang w:eastAsia="ja-JP"/>
        </w:rPr>
        <w:t xml:space="preserve">flavour (n=35) followed by participant offered choice, and mint/menthol flavour (n=22). </w:t>
      </w:r>
    </w:p>
    <w:p w14:paraId="1242E1AB" w14:textId="77777777" w:rsidR="002A25FF" w:rsidRPr="00C84CEC" w:rsidRDefault="002A25FF" w:rsidP="00C84CEC">
      <w:pPr>
        <w:spacing w:line="600" w:lineRule="auto"/>
        <w:jc w:val="both"/>
        <w:rPr>
          <w:rFonts w:ascii="Garamond" w:eastAsia="MS Mincho" w:hAnsi="Garamond" w:cs="Calibri"/>
          <w:b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/>
          <w:bCs/>
          <w:sz w:val="24"/>
          <w:szCs w:val="24"/>
          <w:lang w:eastAsia="ja-JP"/>
        </w:rPr>
        <w:t>Geographic and economic distribution</w:t>
      </w:r>
    </w:p>
    <w:p w14:paraId="2AD80788" w14:textId="77777777" w:rsidR="002A25FF" w:rsidRPr="00004969" w:rsidRDefault="002A25FF" w:rsidP="00C84CEC">
      <w:pPr>
        <w:spacing w:line="600" w:lineRule="auto"/>
        <w:jc w:val="both"/>
        <w:rPr>
          <w:rFonts w:ascii="Garamond" w:eastAsia="MS Mincho" w:hAnsi="Garamond" w:cs="Calibri"/>
          <w:b/>
          <w:bCs/>
          <w:sz w:val="24"/>
          <w:szCs w:val="24"/>
          <w:lang w:eastAsia="ja-JP"/>
        </w:rPr>
      </w:pP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Forty-one studies took place in the USA, followed by 18 studies in the UK, 12 using data from multiple countries and 10 being conducted in Italy. Forty-six included studies did not report the country where the data was originated from. The rest of the studies has a wide geographical distribution.  </w:t>
      </w:r>
      <w:proofErr w:type="spellStart"/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Kumral</w:t>
      </w:r>
      <w:proofErr w:type="spellEnd"/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 2016 was based in Turkey, being the only study with data originated from an upper-middle-income country. All other studies used data originated from</w:t>
      </w:r>
      <w:r w:rsid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 h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>igh</w:t>
      </w:r>
      <w:r w:rsidR="00C84CEC">
        <w:rPr>
          <w:rFonts w:ascii="Garamond" w:eastAsia="MS Mincho" w:hAnsi="Garamond" w:cs="Calibri"/>
          <w:bCs/>
          <w:sz w:val="24"/>
          <w:szCs w:val="24"/>
          <w:lang w:eastAsia="ja-JP"/>
        </w:rPr>
        <w:t>-</w:t>
      </w:r>
      <w:r w:rsidRPr="00C84CEC">
        <w:rPr>
          <w:rFonts w:ascii="Garamond" w:eastAsia="MS Mincho" w:hAnsi="Garamond" w:cs="Calibri"/>
          <w:bCs/>
          <w:sz w:val="24"/>
          <w:szCs w:val="24"/>
          <w:lang w:eastAsia="ja-JP"/>
        </w:rPr>
        <w:t xml:space="preserve">income countries. </w:t>
      </w:r>
    </w:p>
    <w:p w14:paraId="3CA5BEE7" w14:textId="77777777" w:rsidR="00011C3B" w:rsidRPr="00004969" w:rsidRDefault="00004969" w:rsidP="00004969">
      <w:pPr>
        <w:spacing w:line="360" w:lineRule="auto"/>
        <w:rPr>
          <w:rFonts w:ascii="Garamond" w:hAnsi="Garamond"/>
          <w:sz w:val="24"/>
          <w:szCs w:val="24"/>
        </w:rPr>
      </w:pPr>
      <w:r w:rsidRPr="00004969">
        <w:rPr>
          <w:rFonts w:ascii="Garamond" w:hAnsi="Garamond"/>
          <w:sz w:val="24"/>
          <w:szCs w:val="24"/>
        </w:rPr>
        <w:t xml:space="preserve">* Reference: </w:t>
      </w:r>
      <w:proofErr w:type="spellStart"/>
      <w:r w:rsidRPr="00004969">
        <w:rPr>
          <w:rFonts w:ascii="Garamond" w:hAnsi="Garamond"/>
          <w:sz w:val="24"/>
          <w:szCs w:val="24"/>
        </w:rPr>
        <w:t>Kumral</w:t>
      </w:r>
      <w:proofErr w:type="spellEnd"/>
      <w:r w:rsidRPr="00004969">
        <w:rPr>
          <w:rFonts w:ascii="Garamond" w:hAnsi="Garamond"/>
          <w:sz w:val="24"/>
          <w:szCs w:val="24"/>
        </w:rPr>
        <w:t xml:space="preserve"> TL, </w:t>
      </w:r>
      <w:proofErr w:type="spellStart"/>
      <w:r w:rsidRPr="00004969">
        <w:rPr>
          <w:rFonts w:ascii="Garamond" w:hAnsi="Garamond"/>
          <w:sz w:val="24"/>
          <w:szCs w:val="24"/>
        </w:rPr>
        <w:t>Saltürk</w:t>
      </w:r>
      <w:proofErr w:type="spellEnd"/>
      <w:r w:rsidRPr="00004969">
        <w:rPr>
          <w:rFonts w:ascii="Garamond" w:hAnsi="Garamond"/>
          <w:sz w:val="24"/>
          <w:szCs w:val="24"/>
        </w:rPr>
        <w:t xml:space="preserve"> Z, Yildirim G, Uyar Y, </w:t>
      </w:r>
      <w:proofErr w:type="spellStart"/>
      <w:r w:rsidRPr="00004969">
        <w:rPr>
          <w:rFonts w:ascii="Garamond" w:hAnsi="Garamond"/>
          <w:sz w:val="24"/>
          <w:szCs w:val="24"/>
        </w:rPr>
        <w:t>Berkiten</w:t>
      </w:r>
      <w:proofErr w:type="spellEnd"/>
      <w:r w:rsidRPr="00004969">
        <w:rPr>
          <w:rFonts w:ascii="Garamond" w:hAnsi="Garamond"/>
          <w:sz w:val="24"/>
          <w:szCs w:val="24"/>
        </w:rPr>
        <w:t xml:space="preserve"> G, Atar Y, et al. How does electronic cigarette smoking affect sinonasal symptoms and nasal mucociliary clearance? B-ENT 2016;12(1):17-21.</w:t>
      </w:r>
    </w:p>
    <w:sectPr w:rsidR="003E3EC2" w:rsidRPr="00004969" w:rsidSect="000049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969"/>
    <w:rsid w:val="00004969"/>
    <w:rsid w:val="00011C3B"/>
    <w:rsid w:val="00104F44"/>
    <w:rsid w:val="002A25FF"/>
    <w:rsid w:val="006A1699"/>
    <w:rsid w:val="00A11EA6"/>
    <w:rsid w:val="00C8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9209B"/>
  <w15:chartTrackingRefBased/>
  <w15:docId w15:val="{F4739B52-9C65-461F-8A33-3559BDD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4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Medical Sciences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Monserrat Guilherme Conde</dc:creator>
  <cp:keywords/>
  <dc:description/>
  <cp:lastModifiedBy>Angela Wu</cp:lastModifiedBy>
  <cp:revision>2</cp:revision>
  <dcterms:created xsi:type="dcterms:W3CDTF">2025-05-23T15:24:00Z</dcterms:created>
  <dcterms:modified xsi:type="dcterms:W3CDTF">2025-05-23T16:13:00Z</dcterms:modified>
</cp:coreProperties>
</file>