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7796E" w14:textId="202DE4E7" w:rsidR="0033449F" w:rsidRPr="00DD4288" w:rsidRDefault="00DD4288" w:rsidP="00DD4288">
      <w:pPr>
        <w:pStyle w:val="Heading1"/>
        <w:rPr>
          <w:rFonts w:eastAsia="Times New Roman"/>
          <w:lang w:val="en-US" w:eastAsia="ja-JP"/>
        </w:rPr>
      </w:pPr>
      <w:r w:rsidRPr="00DD4288">
        <w:rPr>
          <w:rFonts w:eastAsia="Times New Roman"/>
          <w:lang w:val="en-US" w:eastAsia="ja-JP"/>
        </w:rPr>
        <w:t>Supplementary materials 2</w:t>
      </w:r>
      <w:r>
        <w:rPr>
          <w:rFonts w:eastAsia="Times New Roman"/>
          <w:lang w:val="en-US" w:eastAsia="ja-JP"/>
        </w:rPr>
        <w:t xml:space="preserve"> - </w:t>
      </w:r>
      <w:bookmarkStart w:id="0" w:name="_GoBack"/>
      <w:bookmarkEnd w:id="0"/>
      <w:r w:rsidR="0033449F" w:rsidRPr="00DD4288">
        <w:rPr>
          <w:rFonts w:eastAsia="Times New Roman"/>
          <w:lang w:val="en-US" w:eastAsia="ja-JP"/>
        </w:rPr>
        <w:t>Glossary</w:t>
      </w:r>
    </w:p>
    <w:p w14:paraId="6C95FCA2" w14:textId="77777777" w:rsidR="00DD4288" w:rsidRDefault="00DD4288" w:rsidP="0033449F">
      <w:pPr>
        <w:rPr>
          <w:rFonts w:ascii="Calibri" w:eastAsia="Calibri" w:hAnsi="Calibri" w:cs="Calibri"/>
          <w:color w:val="000000"/>
          <w:lang w:eastAsia="ja-JP"/>
        </w:rPr>
      </w:pPr>
    </w:p>
    <w:p w14:paraId="4A477E89" w14:textId="6DE45B78" w:rsidR="0033449F" w:rsidRPr="00DD4288" w:rsidRDefault="0033449F" w:rsidP="0033449F">
      <w:pPr>
        <w:rPr>
          <w:rFonts w:ascii="Garamond" w:eastAsia="Calibri" w:hAnsi="Garamond" w:cs="Calibri"/>
          <w:color w:val="000000"/>
          <w:sz w:val="24"/>
          <w:szCs w:val="24"/>
          <w:lang w:val="en-US" w:eastAsia="ja-JP"/>
        </w:rPr>
      </w:pPr>
      <w:r w:rsidRPr="00DD4288">
        <w:rPr>
          <w:rFonts w:ascii="Garamond" w:eastAsia="Calibri" w:hAnsi="Garamond" w:cs="Calibri"/>
          <w:color w:val="000000"/>
          <w:sz w:val="24"/>
          <w:szCs w:val="24"/>
          <w:lang w:eastAsia="ja-JP"/>
        </w:rPr>
        <w:t>This glossary describes the definitions of the key terms of our EGM. It includes a descriptive list of overall terminology, interventions, outcome categories and filters</w:t>
      </w:r>
    </w:p>
    <w:p w14:paraId="672A6659" w14:textId="77777777" w:rsidR="0033449F" w:rsidRPr="00DD4288" w:rsidRDefault="0033449F" w:rsidP="0033449F">
      <w:pPr>
        <w:rPr>
          <w:rFonts w:ascii="Garamond" w:eastAsia="Calibri" w:hAnsi="Garamond" w:cs="Calibri"/>
          <w:color w:val="000000"/>
          <w:sz w:val="24"/>
          <w:szCs w:val="24"/>
          <w:lang w:eastAsia="ja-JP"/>
        </w:rPr>
      </w:pPr>
    </w:p>
    <w:tbl>
      <w:tblPr>
        <w:tblStyle w:val="TableGrid1"/>
        <w:tblW w:w="271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387"/>
        <w:gridCol w:w="22807"/>
      </w:tblGrid>
      <w:tr w:rsidR="0033449F" w:rsidRPr="00DD4288" w14:paraId="348F201C" w14:textId="77777777" w:rsidTr="004D15E6">
        <w:trPr>
          <w:trHeight w:val="300"/>
        </w:trPr>
        <w:tc>
          <w:tcPr>
            <w:tcW w:w="27194" w:type="dxa"/>
            <w:gridSpan w:val="2"/>
            <w:tcMar>
              <w:left w:w="105" w:type="dxa"/>
              <w:right w:w="105" w:type="dxa"/>
            </w:tcMar>
          </w:tcPr>
          <w:p w14:paraId="43BE6B07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Overall terminology</w:t>
            </w:r>
          </w:p>
        </w:tc>
      </w:tr>
      <w:tr w:rsidR="0033449F" w:rsidRPr="00DD4288" w14:paraId="71B366A7" w14:textId="77777777" w:rsidTr="00BA4BA5">
        <w:trPr>
          <w:trHeight w:val="300"/>
        </w:trPr>
        <w:tc>
          <w:tcPr>
            <w:tcW w:w="4387" w:type="dxa"/>
            <w:tcMar>
              <w:left w:w="105" w:type="dxa"/>
              <w:right w:w="105" w:type="dxa"/>
            </w:tcMar>
          </w:tcPr>
          <w:p w14:paraId="0CEB4B25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Term</w:t>
            </w:r>
          </w:p>
          <w:p w14:paraId="0A37501D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22807" w:type="dxa"/>
            <w:tcMar>
              <w:left w:w="105" w:type="dxa"/>
              <w:right w:w="105" w:type="dxa"/>
            </w:tcMar>
          </w:tcPr>
          <w:p w14:paraId="3DA1D686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Definition</w:t>
            </w:r>
          </w:p>
        </w:tc>
      </w:tr>
      <w:tr w:rsidR="0033449F" w:rsidRPr="00DD4288" w14:paraId="44FE5B19" w14:textId="77777777" w:rsidTr="00BA4BA5">
        <w:trPr>
          <w:trHeight w:val="300"/>
        </w:trPr>
        <w:tc>
          <w:tcPr>
            <w:tcW w:w="4387" w:type="dxa"/>
            <w:tcMar>
              <w:left w:w="105" w:type="dxa"/>
              <w:right w:w="105" w:type="dxa"/>
            </w:tcMar>
          </w:tcPr>
          <w:p w14:paraId="507A1658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 xml:space="preserve">Evidence and gap map </w:t>
            </w:r>
          </w:p>
          <w:p w14:paraId="5DAB6C7B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</w:p>
        </w:tc>
        <w:tc>
          <w:tcPr>
            <w:tcW w:w="22807" w:type="dxa"/>
            <w:tcMar>
              <w:left w:w="105" w:type="dxa"/>
              <w:right w:w="105" w:type="dxa"/>
            </w:tcMar>
          </w:tcPr>
          <w:p w14:paraId="3C6B7218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“Evidence and gap maps are interactive visual presentations of available and non-existent research evidence for a given topic or policy domain. They follow rigorous methods and usually map evidence produced by systematic reviews and primary studies.”</w:t>
            </w:r>
          </w:p>
          <w:p w14:paraId="02EB378F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  <w:p w14:paraId="3D5ACB91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Source: Evidence and gap maps - The Campbell Collaboration</w:t>
            </w:r>
          </w:p>
          <w:p w14:paraId="099C705E" w14:textId="77777777" w:rsidR="0033449F" w:rsidRPr="00DD4288" w:rsidRDefault="00392578" w:rsidP="0033449F">
            <w:pPr>
              <w:rPr>
                <w:rStyle w:val="Hyperlink1"/>
                <w:rFonts w:ascii="Garamond" w:hAnsi="Garamond"/>
              </w:rPr>
            </w:pPr>
            <w:hyperlink r:id="rId4">
              <w:r w:rsidR="0033449F" w:rsidRPr="00DD4288">
                <w:rPr>
                  <w:rStyle w:val="Hyperlink1"/>
                  <w:rFonts w:ascii="Garamond" w:hAnsi="Garamond"/>
                </w:rPr>
                <w:t>Electronic cigarettes and subsequent use of cigarettes in young people: An evidence and gap map - Conde - 2024 - Addiction - Wiley Online Library</w:t>
              </w:r>
            </w:hyperlink>
          </w:p>
          <w:p w14:paraId="6A05A809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  <w:highlight w:val="yellow"/>
              </w:rPr>
            </w:pPr>
          </w:p>
        </w:tc>
      </w:tr>
      <w:tr w:rsidR="0033449F" w:rsidRPr="00DD4288" w14:paraId="669A2B09" w14:textId="77777777" w:rsidTr="00BA4BA5">
        <w:trPr>
          <w:trHeight w:val="300"/>
        </w:trPr>
        <w:tc>
          <w:tcPr>
            <w:tcW w:w="4387" w:type="dxa"/>
            <w:tcMar>
              <w:left w:w="105" w:type="dxa"/>
              <w:right w:w="105" w:type="dxa"/>
            </w:tcMar>
          </w:tcPr>
          <w:p w14:paraId="63E842C6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Systematic review</w:t>
            </w:r>
          </w:p>
        </w:tc>
        <w:tc>
          <w:tcPr>
            <w:tcW w:w="22807" w:type="dxa"/>
            <w:tcMar>
              <w:left w:w="105" w:type="dxa"/>
              <w:right w:w="105" w:type="dxa"/>
            </w:tcMar>
          </w:tcPr>
          <w:p w14:paraId="2D102E72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Systematic reviews are studies that aim to synthetize all available evidence that meets pre-specified requirements, to answer a specific research question. The systematic methods are defined in advance.</w:t>
            </w:r>
          </w:p>
          <w:p w14:paraId="5A39BBE3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  <w:p w14:paraId="5BA74EA5" w14:textId="77777777" w:rsidR="0033449F" w:rsidRPr="00DD4288" w:rsidRDefault="0033449F" w:rsidP="0033449F">
            <w:pPr>
              <w:rPr>
                <w:rFonts w:ascii="Garamond" w:hAnsi="Garamond" w:cs="Times New Roman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Source:</w:t>
            </w:r>
          </w:p>
          <w:p w14:paraId="6E85AFB4" w14:textId="77777777" w:rsidR="0033449F" w:rsidRPr="00DD4288" w:rsidRDefault="0033449F" w:rsidP="0033449F">
            <w:pPr>
              <w:rPr>
                <w:rFonts w:ascii="Garamond" w:hAnsi="Garamond" w:cs="Times New Roman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https://systematicreviewsjournal.biomedcentral.com/articles/10.1186/2046-4053-4-1</w:t>
            </w:r>
          </w:p>
          <w:p w14:paraId="0F641F4C" w14:textId="77777777" w:rsidR="0033449F" w:rsidRPr="00DD4288" w:rsidRDefault="00392578" w:rsidP="0033449F">
            <w:pPr>
              <w:rPr>
                <w:rFonts w:ascii="Garamond" w:eastAsia="Calibri" w:hAnsi="Garamond" w:cs="Calibri"/>
                <w:color w:val="467886"/>
                <w:u w:val="single"/>
              </w:rPr>
            </w:pPr>
            <w:hyperlink r:id="rId5">
              <w:r w:rsidR="0033449F" w:rsidRPr="00DD4288">
                <w:rPr>
                  <w:rFonts w:ascii="Garamond" w:eastAsia="Calibri" w:hAnsi="Garamond" w:cs="Calibri"/>
                  <w:color w:val="467886"/>
                  <w:u w:val="single"/>
                </w:rPr>
                <w:t>https://training.cochrane.org/handbook/current/chapter-i</w:t>
              </w:r>
            </w:hyperlink>
          </w:p>
          <w:p w14:paraId="69952930" w14:textId="77777777" w:rsidR="0033449F" w:rsidRPr="00DD4288" w:rsidRDefault="00392578" w:rsidP="0033449F">
            <w:pPr>
              <w:rPr>
                <w:rFonts w:ascii="Garamond" w:hAnsi="Garamond" w:cs="Times New Roman"/>
              </w:rPr>
            </w:pPr>
            <w:hyperlink r:id="rId6">
              <w:r w:rsidR="0033449F" w:rsidRPr="00DD4288">
                <w:rPr>
                  <w:rStyle w:val="Hyperlink1"/>
                  <w:rFonts w:ascii="Garamond" w:hAnsi="Garamond"/>
                </w:rPr>
                <w:t>Electronic cigarettes and subsequent use of cigarettes in young people: An evidence and gap map - Conde - 2024 - Addiction - Wiley Online Library</w:t>
              </w:r>
            </w:hyperlink>
          </w:p>
          <w:p w14:paraId="41C8F396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</w:tr>
      <w:tr w:rsidR="0033449F" w:rsidRPr="00DD4288" w14:paraId="2E989F58" w14:textId="77777777" w:rsidTr="00BA4BA5">
        <w:trPr>
          <w:trHeight w:val="300"/>
        </w:trPr>
        <w:tc>
          <w:tcPr>
            <w:tcW w:w="4387" w:type="dxa"/>
            <w:tcMar>
              <w:left w:w="105" w:type="dxa"/>
              <w:right w:w="105" w:type="dxa"/>
            </w:tcMar>
          </w:tcPr>
          <w:p w14:paraId="2439C02D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E-cigarette(s)</w:t>
            </w:r>
          </w:p>
        </w:tc>
        <w:tc>
          <w:tcPr>
            <w:tcW w:w="22807" w:type="dxa"/>
            <w:tcMar>
              <w:left w:w="105" w:type="dxa"/>
              <w:right w:w="105" w:type="dxa"/>
            </w:tcMar>
          </w:tcPr>
          <w:p w14:paraId="772AB253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" An electronic vaping device that is handheld and produces for inhalation an aerosol formed by heating an e-liquid using a battery-powered heating coil."</w:t>
            </w:r>
          </w:p>
          <w:p w14:paraId="72A3D3EC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  <w:p w14:paraId="64CEB72A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 Source: E-cigarette - Definition (v1) by Addiction Ontology | </w:t>
            </w:r>
            <w:proofErr w:type="spellStart"/>
            <w:r w:rsidRPr="00DD4288">
              <w:rPr>
                <w:rFonts w:ascii="Garamond" w:eastAsia="Calibri" w:hAnsi="Garamond" w:cs="Calibri"/>
                <w:color w:val="000000"/>
              </w:rPr>
              <w:t>Qeios</w:t>
            </w:r>
            <w:proofErr w:type="spellEnd"/>
          </w:p>
        </w:tc>
      </w:tr>
    </w:tbl>
    <w:p w14:paraId="0D0B940D" w14:textId="77777777" w:rsidR="0033449F" w:rsidRPr="00DD4288" w:rsidRDefault="0033449F" w:rsidP="0033449F">
      <w:pPr>
        <w:spacing w:line="279" w:lineRule="auto"/>
        <w:rPr>
          <w:rFonts w:ascii="Garamond" w:eastAsia="Times New Roman" w:hAnsi="Garamond" w:cs="Times New Roman"/>
          <w:sz w:val="24"/>
          <w:szCs w:val="24"/>
          <w:lang w:val="en-US" w:eastAsia="ja-JP"/>
        </w:rPr>
      </w:pPr>
    </w:p>
    <w:p w14:paraId="0E27B00A" w14:textId="77777777" w:rsidR="0033449F" w:rsidRPr="00DD4288" w:rsidRDefault="0033449F" w:rsidP="0033449F">
      <w:pPr>
        <w:spacing w:line="279" w:lineRule="auto"/>
        <w:rPr>
          <w:rFonts w:ascii="Garamond" w:eastAsia="Times New Roman" w:hAnsi="Garamond" w:cs="Times New Roman"/>
          <w:sz w:val="24"/>
          <w:szCs w:val="24"/>
          <w:lang w:val="en-US" w:eastAsia="ja-JP"/>
        </w:rPr>
      </w:pPr>
    </w:p>
    <w:tbl>
      <w:tblPr>
        <w:tblStyle w:val="TableGrid1"/>
        <w:tblW w:w="272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7080"/>
        <w:gridCol w:w="20128"/>
      </w:tblGrid>
      <w:tr w:rsidR="001C507A" w:rsidRPr="00DD4288" w14:paraId="6AF34351" w14:textId="77777777" w:rsidTr="00BA4BA5">
        <w:trPr>
          <w:trHeight w:val="294"/>
        </w:trPr>
        <w:tc>
          <w:tcPr>
            <w:tcW w:w="7080" w:type="dxa"/>
            <w:shd w:val="clear" w:color="auto" w:fill="E8E8E8"/>
            <w:tcMar>
              <w:left w:w="105" w:type="dxa"/>
              <w:right w:w="105" w:type="dxa"/>
            </w:tcMar>
          </w:tcPr>
          <w:p w14:paraId="60061E4C" w14:textId="197AD61B" w:rsidR="001C507A" w:rsidRPr="00DD4288" w:rsidRDefault="001C507A" w:rsidP="001D20DC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Comparators</w:t>
            </w:r>
          </w:p>
        </w:tc>
        <w:tc>
          <w:tcPr>
            <w:tcW w:w="20128" w:type="dxa"/>
            <w:shd w:val="clear" w:color="auto" w:fill="E8E8E8"/>
            <w:tcMar>
              <w:left w:w="105" w:type="dxa"/>
              <w:right w:w="105" w:type="dxa"/>
            </w:tcMar>
          </w:tcPr>
          <w:p w14:paraId="7D0A4921" w14:textId="77777777" w:rsidR="001C507A" w:rsidRPr="00DD4288" w:rsidRDefault="001C507A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Definition</w:t>
            </w:r>
          </w:p>
        </w:tc>
      </w:tr>
      <w:tr w:rsidR="001C507A" w:rsidRPr="00DD4288" w14:paraId="06C96487" w14:textId="77777777" w:rsidTr="00BA4BA5">
        <w:trPr>
          <w:trHeight w:val="707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44EAFD9C" w14:textId="17282BD1" w:rsidR="001C507A" w:rsidRPr="00DD4288" w:rsidRDefault="001C507A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versus NRT</w:t>
            </w:r>
          </w:p>
          <w:p w14:paraId="25492721" w14:textId="2E424687" w:rsidR="001C507A" w:rsidRPr="00DD4288" w:rsidRDefault="001C507A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3430808A" w14:textId="5B7A3DFE" w:rsidR="00364D97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compared to Nicotine Replacement Therapy</w:t>
            </w:r>
          </w:p>
          <w:p w14:paraId="2E18037E" w14:textId="7804019A" w:rsidR="001C507A" w:rsidRPr="00DD4288" w:rsidRDefault="001C507A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replacement therapy is a therapeutic use of nicotine containing medications. (</w:t>
            </w:r>
            <w:proofErr w:type="spellStart"/>
            <w:r w:rsidRPr="00DD4288">
              <w:rPr>
                <w:rFonts w:ascii="Garamond" w:eastAsia="Calibri" w:hAnsi="Garamond" w:cs="Calibri"/>
                <w:color w:val="000000"/>
              </w:rPr>
              <w:t>E.g</w:t>
            </w:r>
            <w:proofErr w:type="spellEnd"/>
            <w:r w:rsidRPr="00DD4288">
              <w:rPr>
                <w:rFonts w:ascii="Garamond" w:eastAsia="Calibri" w:hAnsi="Garamond" w:cs="Calibri"/>
                <w:color w:val="000000"/>
              </w:rPr>
              <w:t xml:space="preserve">, gum, transdermal patch, nasal </w:t>
            </w:r>
            <w:r w:rsidR="006D5E95" w:rsidRPr="00DD4288">
              <w:rPr>
                <w:rFonts w:ascii="Garamond" w:eastAsia="Calibri" w:hAnsi="Garamond" w:cs="Calibri"/>
                <w:color w:val="000000"/>
              </w:rPr>
              <w:t>spray</w:t>
            </w:r>
            <w:r w:rsidRPr="00DD4288">
              <w:rPr>
                <w:rFonts w:ascii="Garamond" w:eastAsia="Calibri" w:hAnsi="Garamond" w:cs="Calibri"/>
                <w:color w:val="000000"/>
              </w:rPr>
              <w:t>, oral inhaler, tablets).</w:t>
            </w:r>
          </w:p>
        </w:tc>
      </w:tr>
      <w:tr w:rsidR="001C507A" w:rsidRPr="00DD4288" w14:paraId="2D46FAB3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7936ABBE" w14:textId="7628CD75" w:rsidR="001C507A" w:rsidRPr="00DD4288" w:rsidRDefault="001C507A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versus varenicline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3F0A589C" w14:textId="0E733E46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compared to varenicline</w:t>
            </w:r>
          </w:p>
        </w:tc>
      </w:tr>
      <w:tr w:rsidR="001C507A" w:rsidRPr="00DD4288" w14:paraId="3A1CEA8B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3CF2D8B6" w14:textId="0720EF5A" w:rsidR="001C507A" w:rsidRPr="00DD4288" w:rsidRDefault="001C507A" w:rsidP="00364D97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Nicotine EC versus </w:t>
            </w:r>
            <w:proofErr w:type="spellStart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cytisine</w:t>
            </w:r>
            <w:proofErr w:type="spellEnd"/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1FD187FA" w14:textId="158AF204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Nicotine e-cigarettes compared to </w:t>
            </w:r>
            <w:proofErr w:type="spellStart"/>
            <w:r w:rsidRPr="00DD4288">
              <w:rPr>
                <w:rFonts w:ascii="Garamond" w:eastAsia="Calibri" w:hAnsi="Garamond" w:cs="Calibri"/>
                <w:color w:val="000000"/>
              </w:rPr>
              <w:t>cytisine</w:t>
            </w:r>
            <w:proofErr w:type="spellEnd"/>
          </w:p>
        </w:tc>
      </w:tr>
      <w:tr w:rsidR="001C507A" w:rsidRPr="00DD4288" w14:paraId="6BF3C40C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2FA94B18" w14:textId="5762DF64" w:rsidR="001C507A" w:rsidRPr="00DD4288" w:rsidRDefault="001C507A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versus bupropion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34824FA9" w14:textId="3A653303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compared to bupropion</w:t>
            </w:r>
          </w:p>
        </w:tc>
      </w:tr>
      <w:tr w:rsidR="001C507A" w:rsidRPr="00DD4288" w14:paraId="36C2A2EE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11E90EB3" w14:textId="6520E7B0" w:rsidR="001C507A" w:rsidRPr="00DD4288" w:rsidRDefault="001C507A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versus heated tobacco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2A426AD0" w14:textId="4DDAFCCB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compared to heated tobacc</w:t>
            </w:r>
            <w:r w:rsidR="00BA4BA5" w:rsidRPr="00DD4288">
              <w:rPr>
                <w:rFonts w:ascii="Garamond" w:eastAsia="Calibri" w:hAnsi="Garamond" w:cs="Calibri"/>
                <w:color w:val="000000"/>
              </w:rPr>
              <w:t>o</w:t>
            </w:r>
          </w:p>
        </w:tc>
      </w:tr>
      <w:tr w:rsidR="001C507A" w:rsidRPr="00DD4288" w14:paraId="127F5A43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01CC5D30" w14:textId="1BBE8145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versus nicotine pouches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181FAEBD" w14:textId="5C749C15" w:rsidR="00BA4BA5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compared to nicotine pouches</w:t>
            </w:r>
          </w:p>
        </w:tc>
      </w:tr>
      <w:tr w:rsidR="001C507A" w:rsidRPr="00DD4288" w14:paraId="2B855F25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66B49B8E" w14:textId="362A9C64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versus non-nicotine EC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39C090F2" w14:textId="2C40347E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compared to non-nicotine e-cigarettes</w:t>
            </w:r>
          </w:p>
        </w:tc>
      </w:tr>
      <w:tr w:rsidR="001C507A" w:rsidRPr="00DD4288" w14:paraId="1BED7B56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0FEEB32D" w14:textId="3E4D73A4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Nicotine EC versus </w:t>
            </w:r>
            <w:proofErr w:type="spellStart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behavioural</w:t>
            </w:r>
            <w:proofErr w:type="spellEnd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 support only/no support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535C6DCF" w14:textId="2DFF0A70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Nicotine e-cigarettes compared to </w:t>
            </w:r>
            <w:proofErr w:type="spellStart"/>
            <w:r w:rsidRPr="00DD4288">
              <w:rPr>
                <w:rFonts w:ascii="Garamond" w:eastAsia="Calibri" w:hAnsi="Garamond" w:cs="Calibri"/>
                <w:color w:val="000000"/>
              </w:rPr>
              <w:t>behavioural</w:t>
            </w:r>
            <w:proofErr w:type="spellEnd"/>
            <w:r w:rsidRPr="00DD4288">
              <w:rPr>
                <w:rFonts w:ascii="Garamond" w:eastAsia="Calibri" w:hAnsi="Garamond" w:cs="Calibri"/>
                <w:color w:val="000000"/>
              </w:rPr>
              <w:t xml:space="preserve"> support only or no support</w:t>
            </w:r>
          </w:p>
        </w:tc>
      </w:tr>
      <w:tr w:rsidR="001C507A" w:rsidRPr="00DD4288" w14:paraId="0E28EE7E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41B3EAA5" w14:textId="05D05264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Higher versus lower nicotine content ECs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2E3DA67E" w14:textId="3C5A33F8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Higher compared to lower nicotine content electronic cigarettes </w:t>
            </w:r>
          </w:p>
        </w:tc>
      </w:tr>
      <w:tr w:rsidR="001C507A" w:rsidRPr="00DD4288" w14:paraId="7BE8B253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3CF0F426" w14:textId="588EE5EB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Comparisons based on </w:t>
            </w:r>
            <w:proofErr w:type="spellStart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flavour</w:t>
            </w:r>
            <w:proofErr w:type="spellEnd"/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02D336C4" w14:textId="354E0A60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1C507A" w:rsidRPr="00DD4288" w14:paraId="56519874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0953C6A1" w14:textId="7BDED424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Comparisons based on device type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6DF7CBC8" w14:textId="0FB1D96C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1C507A" w:rsidRPr="00DD4288" w14:paraId="36354A5D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0EB6DED1" w14:textId="2C38EFF5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salts EC versus free-base nicotine EC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188EB7FE" w14:textId="0CB710FF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salts e-cigarettes compared to free-base nicotine e-cigarettes</w:t>
            </w:r>
          </w:p>
        </w:tc>
      </w:tr>
      <w:tr w:rsidR="001C507A" w:rsidRPr="00DD4288" w14:paraId="1D98509A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3A3F55AC" w14:textId="26727D17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Non-nicotine EC versus </w:t>
            </w:r>
            <w:proofErr w:type="spellStart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behavioural</w:t>
            </w:r>
            <w:proofErr w:type="spellEnd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 support only/no support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2AC68991" w14:textId="47D42B50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Non-nicotine e-cigarettes compared to </w:t>
            </w:r>
            <w:proofErr w:type="spellStart"/>
            <w:r w:rsidRPr="00DD4288">
              <w:rPr>
                <w:rFonts w:ascii="Garamond" w:eastAsia="Calibri" w:hAnsi="Garamond" w:cs="Calibri"/>
                <w:color w:val="000000"/>
              </w:rPr>
              <w:t>behavioural</w:t>
            </w:r>
            <w:proofErr w:type="spellEnd"/>
            <w:r w:rsidRPr="00DD4288">
              <w:rPr>
                <w:rFonts w:ascii="Garamond" w:eastAsia="Calibri" w:hAnsi="Garamond" w:cs="Calibri"/>
                <w:color w:val="000000"/>
              </w:rPr>
              <w:t xml:space="preserve"> support only or no support</w:t>
            </w:r>
          </w:p>
        </w:tc>
      </w:tr>
      <w:tr w:rsidR="001C507A" w:rsidRPr="00DD4288" w14:paraId="59549A58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3675FC5F" w14:textId="70CB22C7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Non-nicotine EC + NRT versus NRT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675F97EF" w14:textId="2E6F2F5E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Non-nicotine e-cigarettes combined with Nicotine Replacement Therapy compared to Nicotine Replacement Therapy</w:t>
            </w:r>
          </w:p>
        </w:tc>
      </w:tr>
      <w:tr w:rsidR="001C507A" w:rsidRPr="00DD4288" w14:paraId="7851B0DC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232F506B" w14:textId="409E6B08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Non-nicotine EC versus NRT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692CD76F" w14:textId="031C1337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Non-nicotine e-cigarettes compared to Nicotine Replacement Therapy</w:t>
            </w:r>
          </w:p>
        </w:tc>
      </w:tr>
      <w:tr w:rsidR="001C507A" w:rsidRPr="00DD4288" w14:paraId="527CBD18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026A29A2" w14:textId="420245C2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Advice to use e-cigarettes compared to no advice to use e-cigarettes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3DCBE77F" w14:textId="51D75CA4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1C507A" w:rsidRPr="00DD4288" w14:paraId="5BA65D5E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0CB83370" w14:textId="29E07B86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+ NRT versus non-nicotine EC + NRT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1199FDB2" w14:textId="504DF284" w:rsidR="001C507A" w:rsidRPr="00DD4288" w:rsidRDefault="00364D97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combined with Nicotine Replacement Therapy compared to non-nicotine e-cigarettes with Nicotine Replacement Therapy</w:t>
            </w:r>
          </w:p>
        </w:tc>
      </w:tr>
      <w:tr w:rsidR="001C507A" w:rsidRPr="00DD4288" w14:paraId="05873D2F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5D055671" w14:textId="7FD3D6E3" w:rsidR="001C507A" w:rsidRPr="00DD4288" w:rsidRDefault="001C507A" w:rsidP="001C507A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+ NRT versus NRT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30D20E9C" w14:textId="75BCD877" w:rsidR="001C507A" w:rsidRPr="00DD4288" w:rsidRDefault="0032553E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combined with Nicotine Replacement Therapy compared to Nicotine Replacement Therapy</w:t>
            </w:r>
          </w:p>
        </w:tc>
      </w:tr>
      <w:tr w:rsidR="0032553E" w:rsidRPr="00DD4288" w14:paraId="790B883F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57CEAED5" w14:textId="0AC2B764" w:rsidR="0032553E" w:rsidRPr="00DD4288" w:rsidRDefault="0032553E" w:rsidP="0032553E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+ varenicline vs varenicline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2F15F959" w14:textId="6A46E9B4" w:rsidR="0032553E" w:rsidRPr="00DD4288" w:rsidRDefault="0032553E" w:rsidP="0032553E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combined with varenicline compared to varenicline</w:t>
            </w:r>
          </w:p>
        </w:tc>
      </w:tr>
      <w:tr w:rsidR="0032553E" w:rsidRPr="00DD4288" w14:paraId="42039C7A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0998BFE4" w14:textId="19CCFFE8" w:rsidR="0032553E" w:rsidRPr="00DD4288" w:rsidRDefault="0032553E" w:rsidP="0032553E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Nicotine EC + </w:t>
            </w:r>
            <w:proofErr w:type="spellStart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cytisine</w:t>
            </w:r>
            <w:proofErr w:type="spellEnd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 vs. </w:t>
            </w:r>
            <w:proofErr w:type="spellStart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cytisine</w:t>
            </w:r>
            <w:proofErr w:type="spellEnd"/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4406554F" w14:textId="4E156B0E" w:rsidR="0032553E" w:rsidRPr="00DD4288" w:rsidRDefault="0032553E" w:rsidP="0032553E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Nicotine e-cigarettes combined with </w:t>
            </w:r>
            <w:proofErr w:type="spellStart"/>
            <w:r w:rsidRPr="00DD4288">
              <w:rPr>
                <w:rFonts w:ascii="Garamond" w:eastAsia="Calibri" w:hAnsi="Garamond" w:cs="Calibri"/>
                <w:color w:val="000000"/>
              </w:rPr>
              <w:t>cytisine</w:t>
            </w:r>
            <w:proofErr w:type="spellEnd"/>
            <w:r w:rsidRPr="00DD4288">
              <w:rPr>
                <w:rFonts w:ascii="Garamond" w:eastAsia="Calibri" w:hAnsi="Garamond" w:cs="Calibri"/>
                <w:color w:val="000000"/>
              </w:rPr>
              <w:t xml:space="preserve"> compared to </w:t>
            </w:r>
            <w:proofErr w:type="spellStart"/>
            <w:r w:rsidRPr="00DD4288">
              <w:rPr>
                <w:rFonts w:ascii="Garamond" w:eastAsia="Calibri" w:hAnsi="Garamond" w:cs="Calibri"/>
                <w:color w:val="000000"/>
              </w:rPr>
              <w:t>cytisine</w:t>
            </w:r>
            <w:proofErr w:type="spellEnd"/>
          </w:p>
        </w:tc>
      </w:tr>
      <w:tr w:rsidR="0032553E" w:rsidRPr="00DD4288" w14:paraId="2C034EBE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0E6C0B72" w14:textId="6A30ABC5" w:rsidR="0032553E" w:rsidRPr="00DD4288" w:rsidRDefault="0032553E" w:rsidP="0032553E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+ bupropion vs bupropion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61FFC3B1" w14:textId="5B0617F8" w:rsidR="0032553E" w:rsidRPr="00DD4288" w:rsidRDefault="0032553E" w:rsidP="0032553E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combined with bupropion compared to bupropion</w:t>
            </w:r>
          </w:p>
        </w:tc>
      </w:tr>
      <w:tr w:rsidR="0032553E" w:rsidRPr="00DD4288" w14:paraId="7672D878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45EFB762" w14:textId="4593ADAF" w:rsidR="0032553E" w:rsidRPr="00DD4288" w:rsidRDefault="0032553E" w:rsidP="0032553E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Nicotine EC versus Nicotine Free control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185B0245" w14:textId="3E51668E" w:rsidR="0032553E" w:rsidRPr="00DD4288" w:rsidRDefault="0032553E" w:rsidP="0032553E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Nicotine e-cigarettes compared to Nicotine free control</w:t>
            </w:r>
          </w:p>
        </w:tc>
      </w:tr>
      <w:tr w:rsidR="0032553E" w:rsidRPr="00DD4288" w14:paraId="78E06D72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3BBD7AED" w14:textId="0383A1D0" w:rsidR="0032553E" w:rsidRPr="00DD4288" w:rsidRDefault="0032553E" w:rsidP="0032553E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High Dose Nicotine EC versus Control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6F21A5BE" w14:textId="7FFAA8C6" w:rsidR="0032553E" w:rsidRPr="00DD4288" w:rsidRDefault="0032553E" w:rsidP="0032553E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High Dose Nicotine e-cigarettes compared to control</w:t>
            </w:r>
          </w:p>
        </w:tc>
      </w:tr>
      <w:tr w:rsidR="0032553E" w:rsidRPr="00DD4288" w14:paraId="549ADF42" w14:textId="77777777" w:rsidTr="00BA4BA5">
        <w:trPr>
          <w:trHeight w:val="294"/>
        </w:trPr>
        <w:tc>
          <w:tcPr>
            <w:tcW w:w="7080" w:type="dxa"/>
            <w:tcMar>
              <w:left w:w="105" w:type="dxa"/>
              <w:right w:w="105" w:type="dxa"/>
            </w:tcMar>
          </w:tcPr>
          <w:p w14:paraId="39A32CF2" w14:textId="3FD80007" w:rsidR="0032553E" w:rsidRPr="00DD4288" w:rsidRDefault="0032553E" w:rsidP="0032553E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Low Dose Nicotine EC versus Control</w:t>
            </w:r>
          </w:p>
        </w:tc>
        <w:tc>
          <w:tcPr>
            <w:tcW w:w="20128" w:type="dxa"/>
            <w:tcMar>
              <w:left w:w="105" w:type="dxa"/>
              <w:right w:w="105" w:type="dxa"/>
            </w:tcMar>
          </w:tcPr>
          <w:p w14:paraId="44002511" w14:textId="6A2CADA1" w:rsidR="0032553E" w:rsidRPr="00DD4288" w:rsidRDefault="0032553E" w:rsidP="0032553E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Low Dose Nicotine e-cigarettes compared to control</w:t>
            </w:r>
          </w:p>
        </w:tc>
      </w:tr>
    </w:tbl>
    <w:p w14:paraId="23DE523C" w14:textId="77777777" w:rsidR="0033449F" w:rsidRPr="00DD4288" w:rsidRDefault="0033449F" w:rsidP="0033449F">
      <w:pPr>
        <w:spacing w:line="279" w:lineRule="auto"/>
        <w:rPr>
          <w:rFonts w:ascii="Garamond" w:eastAsia="Times New Roman" w:hAnsi="Garamond" w:cs="Times New Roman"/>
          <w:sz w:val="24"/>
          <w:szCs w:val="24"/>
          <w:lang w:val="en-US" w:eastAsia="ja-JP"/>
        </w:rPr>
      </w:pPr>
    </w:p>
    <w:p w14:paraId="52E56223" w14:textId="77777777" w:rsidR="0033449F" w:rsidRPr="00DD4288" w:rsidRDefault="0033449F" w:rsidP="0033449F">
      <w:pPr>
        <w:spacing w:line="279" w:lineRule="auto"/>
        <w:rPr>
          <w:rFonts w:ascii="Garamond" w:eastAsia="Times New Roman" w:hAnsi="Garamond" w:cs="Times New Roman"/>
          <w:sz w:val="24"/>
          <w:szCs w:val="24"/>
          <w:lang w:val="en-US" w:eastAsia="ja-JP"/>
        </w:rPr>
      </w:pPr>
    </w:p>
    <w:tbl>
      <w:tblPr>
        <w:tblStyle w:val="TableGrid1"/>
        <w:tblW w:w="272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8923"/>
        <w:gridCol w:w="18285"/>
      </w:tblGrid>
      <w:tr w:rsidR="008D0F1C" w:rsidRPr="00DD4288" w14:paraId="48E2DC9D" w14:textId="77777777" w:rsidTr="00BA4BA5">
        <w:trPr>
          <w:trHeight w:val="300"/>
        </w:trPr>
        <w:tc>
          <w:tcPr>
            <w:tcW w:w="8923" w:type="dxa"/>
            <w:shd w:val="clear" w:color="auto" w:fill="1E8BCD"/>
            <w:tcMar>
              <w:left w:w="105" w:type="dxa"/>
              <w:right w:w="105" w:type="dxa"/>
            </w:tcMar>
          </w:tcPr>
          <w:p w14:paraId="059C0F4C" w14:textId="63BD5C09" w:rsidR="008D0F1C" w:rsidRPr="00DD4288" w:rsidRDefault="008D0F1C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Outcomes</w:t>
            </w:r>
          </w:p>
        </w:tc>
        <w:tc>
          <w:tcPr>
            <w:tcW w:w="18285" w:type="dxa"/>
            <w:shd w:val="clear" w:color="auto" w:fill="1E8BCD"/>
            <w:tcMar>
              <w:left w:w="105" w:type="dxa"/>
              <w:right w:w="105" w:type="dxa"/>
            </w:tcMar>
          </w:tcPr>
          <w:p w14:paraId="352C4B5F" w14:textId="77777777" w:rsidR="008D0F1C" w:rsidRPr="00DD4288" w:rsidRDefault="008D0F1C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Definition</w:t>
            </w:r>
          </w:p>
        </w:tc>
      </w:tr>
      <w:tr w:rsidR="008D0F1C" w:rsidRPr="00DD4288" w14:paraId="0E9A0DE4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301244F5" w14:textId="77777777" w:rsidR="008D0F1C" w:rsidRPr="00DD4288" w:rsidRDefault="008D0F1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Vaping cessation at 6 months or longer</w:t>
            </w:r>
          </w:p>
          <w:p w14:paraId="5043CB0F" w14:textId="77777777" w:rsidR="008D0F1C" w:rsidRPr="00DD4288" w:rsidRDefault="008D0F1C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2B6CDB05" w14:textId="2A9E9487" w:rsidR="008D0F1C" w:rsidRPr="00DD4288" w:rsidRDefault="008D0F1C" w:rsidP="0033449F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>Vaping cessation at least six months from the start of the intervention.</w:t>
            </w:r>
          </w:p>
          <w:p w14:paraId="07459315" w14:textId="1050B51A" w:rsidR="008D0F1C" w:rsidRPr="00DD4288" w:rsidRDefault="008D0F1C" w:rsidP="0033449F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8D0F1C" w:rsidRPr="00DD4288" w14:paraId="57D795AA" w14:textId="77777777" w:rsidTr="00CC757B">
        <w:trPr>
          <w:trHeight w:val="300"/>
        </w:trPr>
        <w:tc>
          <w:tcPr>
            <w:tcW w:w="8923" w:type="dxa"/>
            <w:shd w:val="clear" w:color="auto" w:fill="auto"/>
            <w:tcMar>
              <w:left w:w="105" w:type="dxa"/>
              <w:right w:w="105" w:type="dxa"/>
            </w:tcMar>
          </w:tcPr>
          <w:p w14:paraId="14FD86A9" w14:textId="7EC80C40" w:rsidR="008D0F1C" w:rsidRPr="00DD4288" w:rsidRDefault="008D0F1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Adverse events</w:t>
            </w:r>
            <w:r w:rsidR="00544D89" w:rsidRPr="00DD4288">
              <w:rPr>
                <w:rFonts w:ascii="Garamond" w:eastAsia="Calibri" w:hAnsi="Garamond" w:cs="Calibri"/>
                <w:b/>
                <w:color w:val="000000"/>
              </w:rPr>
              <w:t xml:space="preserve"> at 1 week or longer</w:t>
            </w:r>
          </w:p>
          <w:p w14:paraId="2BA226A1" w14:textId="77777777" w:rsidR="008D0F1C" w:rsidRPr="00DD4288" w:rsidRDefault="008D0F1C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18285" w:type="dxa"/>
            <w:shd w:val="clear" w:color="auto" w:fill="auto"/>
            <w:tcMar>
              <w:left w:w="105" w:type="dxa"/>
              <w:right w:w="105" w:type="dxa"/>
            </w:tcMar>
          </w:tcPr>
          <w:p w14:paraId="1D225A60" w14:textId="77777777" w:rsidR="008D0F1C" w:rsidRPr="00DD4288" w:rsidRDefault="008D0F1C" w:rsidP="008D0F1C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Number of participants reporting adverse events (AEs) at one week or longer (as defined by study authors).</w:t>
            </w:r>
          </w:p>
          <w:p w14:paraId="1B35E156" w14:textId="51FAF007" w:rsidR="008D0F1C" w:rsidRPr="00DD4288" w:rsidRDefault="008D0F1C" w:rsidP="0033449F">
            <w:pPr>
              <w:rPr>
                <w:rFonts w:ascii="Garamond" w:eastAsia="Calibri" w:hAnsi="Garamond" w:cs="Calibri"/>
                <w:color w:val="467886"/>
                <w:u w:val="single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8D0F1C" w:rsidRPr="00DD4288" w14:paraId="5B9286B8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1706DC58" w14:textId="3334DC09" w:rsidR="008D0F1C" w:rsidRPr="00DD4288" w:rsidRDefault="008D0F1C" w:rsidP="008D0F1C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Serious adverse events</w:t>
            </w:r>
            <w:r w:rsidR="00544D89" w:rsidRPr="00DD4288">
              <w:rPr>
                <w:rFonts w:ascii="Garamond" w:eastAsia="Calibri" w:hAnsi="Garamond" w:cs="Calibri"/>
                <w:b/>
                <w:color w:val="000000"/>
              </w:rPr>
              <w:t xml:space="preserve"> at 1 week or longer</w:t>
            </w:r>
          </w:p>
          <w:p w14:paraId="68B738C6" w14:textId="6547898E" w:rsidR="008D0F1C" w:rsidRPr="00DD4288" w:rsidRDefault="008D0F1C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75A97044" w14:textId="77777777" w:rsidR="008D0F1C" w:rsidRPr="00DD4288" w:rsidRDefault="008D0F1C" w:rsidP="008D0F1C">
            <w:pPr>
              <w:rPr>
                <w:rFonts w:ascii="Garamond" w:eastAsia="Calibri Light" w:hAnsi="Garamond" w:cs="Calibri Light"/>
                <w:color w:val="000000"/>
              </w:rPr>
            </w:pPr>
            <w:r w:rsidRPr="00DD4288">
              <w:rPr>
                <w:rFonts w:ascii="Garamond" w:eastAsia="Calibri Light" w:hAnsi="Garamond" w:cs="Calibri Light"/>
                <w:color w:val="000000"/>
              </w:rPr>
              <w:t>Number of participants reporting serious adverse events (SAEs) at one week or longer (as defined by the study authors).</w:t>
            </w:r>
          </w:p>
          <w:p w14:paraId="66204FF1" w14:textId="01E71CA6" w:rsidR="008D0F1C" w:rsidRPr="00DD4288" w:rsidRDefault="008D0F1C" w:rsidP="0033449F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8D0F1C" w:rsidRPr="00DD4288" w14:paraId="71AB6DAC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40B809A8" w14:textId="77777777" w:rsidR="008D0F1C" w:rsidRPr="00DD4288" w:rsidRDefault="008D0F1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 xml:space="preserve">Carbon monoxide (ppm) at 1 week or longer </w:t>
            </w:r>
          </w:p>
          <w:p w14:paraId="3BF2DDA4" w14:textId="7819753B" w:rsidR="008D0F1C" w:rsidRPr="00DD4288" w:rsidRDefault="008D0F1C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0E587AE0" w14:textId="74CCDE4E" w:rsidR="008D0F1C" w:rsidRPr="00DD4288" w:rsidRDefault="008D0F1C" w:rsidP="008D0F1C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Changes in Carbon monoxide, as measured through blood or breath, at one week or longer</w:t>
            </w:r>
          </w:p>
          <w:p w14:paraId="02F2C34E" w14:textId="1D26BBB4" w:rsidR="008D0F1C" w:rsidRPr="00DD4288" w:rsidRDefault="008D0F1C" w:rsidP="008D0F1C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8D0F1C" w:rsidRPr="00DD4288" w14:paraId="4C3A5B70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19219836" w14:textId="52977D66" w:rsidR="008D0F1C" w:rsidRPr="00DD4288" w:rsidRDefault="008D0F1C" w:rsidP="008D0F1C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Heart rate (bpm) at 1 week or longer</w:t>
            </w: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4B70EDAF" w14:textId="77777777" w:rsidR="008D0F1C" w:rsidRPr="00DD4288" w:rsidRDefault="008D0F1C" w:rsidP="008D0F1C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Changes to heart rate (bpm) at one week of longer</w:t>
            </w:r>
          </w:p>
          <w:p w14:paraId="296FEF7D" w14:textId="193FF77F" w:rsidR="008D0F1C" w:rsidRPr="00DD4288" w:rsidRDefault="008D0F1C" w:rsidP="008D0F1C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544D89" w:rsidRPr="00DD4288" w14:paraId="23C7359D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42AB6B46" w14:textId="00A4A099" w:rsidR="00544D89" w:rsidRPr="00DD4288" w:rsidRDefault="00544D89" w:rsidP="008D0F1C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Systolic blood pressure at 1 week or longer</w:t>
            </w: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198FAF49" w14:textId="77777777" w:rsidR="00544D89" w:rsidRPr="00DD4288" w:rsidRDefault="00544D89" w:rsidP="00544D89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Changes to systolic blood pressure (mm/hg) at one week of longer</w:t>
            </w:r>
          </w:p>
          <w:p w14:paraId="453F2DA7" w14:textId="150C874D" w:rsidR="00544D89" w:rsidRPr="00DD4288" w:rsidRDefault="00544D89" w:rsidP="008D0F1C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8D0F1C" w:rsidRPr="00DD4288" w14:paraId="4AB9A296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2F273328" w14:textId="69117CB8" w:rsidR="008D0F1C" w:rsidRPr="00DD4288" w:rsidRDefault="00544D89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Blood oxygen saturation at 1 week or longer</w:t>
            </w:r>
          </w:p>
          <w:p w14:paraId="769D0D3C" w14:textId="77777777" w:rsidR="008D0F1C" w:rsidRPr="00DD4288" w:rsidRDefault="008D0F1C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0F69FDF0" w14:textId="511F3D4B" w:rsidR="00544D89" w:rsidRPr="00DD4288" w:rsidRDefault="00544D89" w:rsidP="00544D89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>Changes in blood oxygen saturation at one week of longer</w:t>
            </w:r>
          </w:p>
          <w:p w14:paraId="36FEB5B0" w14:textId="20E15CDC" w:rsidR="008D0F1C" w:rsidRPr="00DD4288" w:rsidRDefault="00544D89" w:rsidP="00544D89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8D0F1C" w:rsidRPr="00DD4288" w14:paraId="358058E4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07CDA5A0" w14:textId="30CEAD0D" w:rsidR="008D0F1C" w:rsidRPr="00DD4288" w:rsidRDefault="008D0F1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Lung function (e.g. FEV) at 1 week or longer</w:t>
            </w:r>
          </w:p>
          <w:p w14:paraId="7196D064" w14:textId="77777777" w:rsidR="008D0F1C" w:rsidRPr="00DD4288" w:rsidRDefault="008D0F1C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34FF1C98" w14:textId="43F9881B" w:rsidR="008D0F1C" w:rsidRPr="00DD4288" w:rsidRDefault="008D0F1C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Changes in lung function measures (E.g., FEV1) at one week or longer</w:t>
            </w:r>
          </w:p>
          <w:p w14:paraId="6D072C0D" w14:textId="1D78F271" w:rsidR="008D0F1C" w:rsidRPr="00DD4288" w:rsidRDefault="008D0F1C" w:rsidP="0033449F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8D0F1C" w:rsidRPr="00DD4288" w14:paraId="243A554B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0EF6BBFC" w14:textId="667E296F" w:rsidR="008D0F1C" w:rsidRPr="00DD4288" w:rsidRDefault="008D0F1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Toxicants (e.g. 3-HPMA,2-HPMA, AAMA, HMPMA, NNAL) at 1 week or longer</w:t>
            </w:r>
          </w:p>
          <w:p w14:paraId="0AD9C6F4" w14:textId="77777777" w:rsidR="008D0F1C" w:rsidRPr="00DD4288" w:rsidRDefault="008D0F1C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4B1F511A" w14:textId="56E75058" w:rsidR="008D0F1C" w:rsidRPr="00DD4288" w:rsidRDefault="008D0F1C" w:rsidP="0033449F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>Toxins/carcinogens as measured through blood or urine at one week or longer.</w:t>
            </w:r>
          </w:p>
          <w:p w14:paraId="65F9C3DC" w14:textId="07D56FAB" w:rsidR="008D0F1C" w:rsidRPr="00DD4288" w:rsidRDefault="008D0F1C" w:rsidP="0033449F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  <w:tr w:rsidR="008D0F1C" w:rsidRPr="00DD4288" w14:paraId="66EF6A25" w14:textId="77777777" w:rsidTr="00BA4BA5">
        <w:trPr>
          <w:trHeight w:val="300"/>
        </w:trPr>
        <w:tc>
          <w:tcPr>
            <w:tcW w:w="8923" w:type="dxa"/>
            <w:tcMar>
              <w:left w:w="105" w:type="dxa"/>
              <w:right w:w="105" w:type="dxa"/>
            </w:tcMar>
          </w:tcPr>
          <w:p w14:paraId="1A965116" w14:textId="0AB2F8E6" w:rsidR="008D0F1C" w:rsidRPr="00DD4288" w:rsidRDefault="008D0F1C" w:rsidP="008D0F1C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Study product use at 6 months or longer at 1 week or longer</w:t>
            </w:r>
          </w:p>
        </w:tc>
        <w:tc>
          <w:tcPr>
            <w:tcW w:w="18285" w:type="dxa"/>
            <w:tcMar>
              <w:left w:w="105" w:type="dxa"/>
              <w:right w:w="105" w:type="dxa"/>
            </w:tcMar>
          </w:tcPr>
          <w:p w14:paraId="64D2A01F" w14:textId="77777777" w:rsidR="008D0F1C" w:rsidRPr="00DD4288" w:rsidRDefault="008D0F1C" w:rsidP="0033449F">
            <w:pPr>
              <w:spacing w:line="279" w:lineRule="auto"/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>Changes in alcohol use status at one week or longer</w:t>
            </w:r>
          </w:p>
          <w:p w14:paraId="7DF4E37C" w14:textId="2340C6ED" w:rsidR="008D0F1C" w:rsidRPr="00DD4288" w:rsidRDefault="008D0F1C" w:rsidP="0033449F">
            <w:pPr>
              <w:rPr>
                <w:rFonts w:ascii="Garamond" w:eastAsia="Calibri" w:hAnsi="Garamond" w:cs="Calibri"/>
              </w:rPr>
            </w:pPr>
            <w:r w:rsidRPr="00DD4288">
              <w:rPr>
                <w:rFonts w:ascii="Garamond" w:eastAsia="Calibri" w:hAnsi="Garamond" w:cs="Calibri"/>
              </w:rPr>
              <w:t xml:space="preserve">Source:  </w:t>
            </w:r>
            <w:r w:rsidR="00CC757B" w:rsidRPr="00DD4288">
              <w:rPr>
                <w:rFonts w:ascii="Garamond" w:eastAsia="Calibri" w:hAnsi="Garamond" w:cs="Calibri"/>
              </w:rPr>
              <w:t>https://doi.org/10.1002/14651858.CD010216.pub9</w:t>
            </w:r>
          </w:p>
        </w:tc>
      </w:tr>
    </w:tbl>
    <w:p w14:paraId="44FB30F8" w14:textId="77777777" w:rsidR="0033449F" w:rsidRPr="00DD4288" w:rsidRDefault="0033449F" w:rsidP="0033449F">
      <w:pPr>
        <w:spacing w:line="279" w:lineRule="auto"/>
        <w:rPr>
          <w:rFonts w:ascii="Garamond" w:eastAsia="Times New Roman" w:hAnsi="Garamond" w:cs="Times New Roman"/>
          <w:sz w:val="24"/>
          <w:szCs w:val="24"/>
          <w:lang w:val="en-US" w:eastAsia="ja-JP"/>
        </w:rPr>
      </w:pPr>
    </w:p>
    <w:p w14:paraId="1DA6542E" w14:textId="77777777" w:rsidR="0033449F" w:rsidRPr="00DD4288" w:rsidRDefault="0033449F" w:rsidP="0033449F">
      <w:pPr>
        <w:spacing w:line="279" w:lineRule="auto"/>
        <w:rPr>
          <w:rFonts w:ascii="Garamond" w:eastAsia="Times New Roman" w:hAnsi="Garamond" w:cs="Times New Roman"/>
          <w:sz w:val="24"/>
          <w:szCs w:val="24"/>
          <w:lang w:val="en-US" w:eastAsia="ja-JP"/>
        </w:rPr>
      </w:pPr>
    </w:p>
    <w:tbl>
      <w:tblPr>
        <w:tblStyle w:val="TableGrid1"/>
        <w:tblW w:w="274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3565"/>
        <w:gridCol w:w="7489"/>
        <w:gridCol w:w="16390"/>
      </w:tblGrid>
      <w:tr w:rsidR="0033449F" w:rsidRPr="00DD4288" w14:paraId="67F75AA0" w14:textId="77777777" w:rsidTr="004D15E6">
        <w:trPr>
          <w:trHeight w:val="302"/>
        </w:trPr>
        <w:tc>
          <w:tcPr>
            <w:tcW w:w="3565" w:type="dxa"/>
            <w:shd w:val="clear" w:color="auto" w:fill="F6C5AC"/>
            <w:tcMar>
              <w:left w:w="105" w:type="dxa"/>
              <w:right w:w="105" w:type="dxa"/>
            </w:tcMar>
          </w:tcPr>
          <w:p w14:paraId="3B1C8E3F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Main filter</w:t>
            </w:r>
          </w:p>
        </w:tc>
        <w:tc>
          <w:tcPr>
            <w:tcW w:w="7489" w:type="dxa"/>
            <w:shd w:val="clear" w:color="auto" w:fill="F6C5AC"/>
            <w:tcMar>
              <w:left w:w="105" w:type="dxa"/>
              <w:right w:w="105" w:type="dxa"/>
            </w:tcMar>
          </w:tcPr>
          <w:p w14:paraId="665161AB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Sub-categories</w:t>
            </w:r>
          </w:p>
        </w:tc>
        <w:tc>
          <w:tcPr>
            <w:tcW w:w="16390" w:type="dxa"/>
            <w:shd w:val="clear" w:color="auto" w:fill="F6C5AC"/>
            <w:tcMar>
              <w:left w:w="105" w:type="dxa"/>
              <w:right w:w="105" w:type="dxa"/>
            </w:tcMar>
          </w:tcPr>
          <w:p w14:paraId="20227392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Definition</w:t>
            </w:r>
          </w:p>
        </w:tc>
      </w:tr>
      <w:tr w:rsidR="0033449F" w:rsidRPr="00DD4288" w14:paraId="1C001456" w14:textId="77777777" w:rsidTr="004D15E6">
        <w:trPr>
          <w:trHeight w:val="302"/>
        </w:trPr>
        <w:tc>
          <w:tcPr>
            <w:tcW w:w="3565" w:type="dxa"/>
            <w:vMerge w:val="restart"/>
            <w:tcMar>
              <w:left w:w="105" w:type="dxa"/>
              <w:right w:w="105" w:type="dxa"/>
            </w:tcMar>
          </w:tcPr>
          <w:p w14:paraId="10D6810B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 xml:space="preserve">Funding </w:t>
            </w:r>
          </w:p>
          <w:p w14:paraId="3041E394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35AEDCA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Not reported.</w:t>
            </w:r>
          </w:p>
        </w:tc>
        <w:tc>
          <w:tcPr>
            <w:tcW w:w="16390" w:type="dxa"/>
            <w:vMerge w:val="restart"/>
            <w:tcMar>
              <w:left w:w="105" w:type="dxa"/>
              <w:right w:w="105" w:type="dxa"/>
            </w:tcMar>
          </w:tcPr>
          <w:p w14:paraId="135328A4" w14:textId="77777777" w:rsidR="0033449F" w:rsidRPr="00DD4288" w:rsidRDefault="0033449F" w:rsidP="0033449F">
            <w:pPr>
              <w:jc w:val="center"/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N/A.</w:t>
            </w:r>
          </w:p>
        </w:tc>
      </w:tr>
      <w:tr w:rsidR="0033449F" w:rsidRPr="00DD4288" w14:paraId="058890D5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722B00AE" w14:textId="77777777" w:rsidR="0033449F" w:rsidRPr="00DD4288" w:rsidRDefault="0033449F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124F5EE1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No tobacco/vaping industry funding</w:t>
            </w:r>
          </w:p>
        </w:tc>
        <w:tc>
          <w:tcPr>
            <w:tcW w:w="16390" w:type="dxa"/>
            <w:vMerge/>
            <w:tcMar>
              <w:left w:w="105" w:type="dxa"/>
              <w:right w:w="105" w:type="dxa"/>
            </w:tcMar>
          </w:tcPr>
          <w:p w14:paraId="42C6D796" w14:textId="77777777" w:rsidR="0033449F" w:rsidRPr="00DD4288" w:rsidRDefault="0033449F" w:rsidP="0033449F">
            <w:pPr>
              <w:rPr>
                <w:rFonts w:ascii="Garamond" w:hAnsi="Garamond" w:cs="Times New Roman"/>
              </w:rPr>
            </w:pPr>
          </w:p>
        </w:tc>
      </w:tr>
      <w:tr w:rsidR="0033449F" w:rsidRPr="00DD4288" w14:paraId="308BED62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6E1831B3" w14:textId="77777777" w:rsidR="0033449F" w:rsidRPr="00DD4288" w:rsidRDefault="0033449F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16486B35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Tobacco/vaping industry funding</w:t>
            </w:r>
          </w:p>
        </w:tc>
        <w:tc>
          <w:tcPr>
            <w:tcW w:w="16390" w:type="dxa"/>
            <w:vMerge/>
            <w:tcMar>
              <w:left w:w="105" w:type="dxa"/>
              <w:right w:w="105" w:type="dxa"/>
            </w:tcMar>
          </w:tcPr>
          <w:p w14:paraId="54E11D2A" w14:textId="77777777" w:rsidR="0033449F" w:rsidRPr="00DD4288" w:rsidRDefault="0033449F" w:rsidP="0033449F">
            <w:pPr>
              <w:rPr>
                <w:rFonts w:ascii="Garamond" w:hAnsi="Garamond" w:cs="Times New Roman"/>
              </w:rPr>
            </w:pPr>
          </w:p>
        </w:tc>
      </w:tr>
      <w:tr w:rsidR="0033449F" w:rsidRPr="00DD4288" w14:paraId="334AB9D0" w14:textId="77777777" w:rsidTr="004D15E6">
        <w:trPr>
          <w:trHeight w:val="486"/>
        </w:trPr>
        <w:tc>
          <w:tcPr>
            <w:tcW w:w="3565" w:type="dxa"/>
            <w:vMerge w:val="restart"/>
            <w:tcMar>
              <w:left w:w="105" w:type="dxa"/>
              <w:right w:w="105" w:type="dxa"/>
            </w:tcMar>
          </w:tcPr>
          <w:p w14:paraId="2A3E8F1F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Study design</w:t>
            </w: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0DB7FBCB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Randomized Controlled Trial (RCT)</w:t>
            </w:r>
          </w:p>
          <w:p w14:paraId="31126E5D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0C8ABA41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Prospective, comparative study performed under controlled conditions with random allocation of interventions to the groups being compared to minimize bias and establish cause-effect relation between an intervention and an outcome. </w:t>
            </w:r>
          </w:p>
          <w:p w14:paraId="6DC0CDCD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Source: https://www.sciencedirect.com/science/article/pii/B9780323884235000960</w:t>
            </w:r>
          </w:p>
          <w:p w14:paraId="2DE403A5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  <w:p w14:paraId="5027E86D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We also map pilot trials/RCTS and feasibility RCTS/studies under this category.</w:t>
            </w:r>
          </w:p>
          <w:p w14:paraId="62431CDC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</w:tr>
      <w:tr w:rsidR="001D20DC" w:rsidRPr="00DD4288" w14:paraId="3996129F" w14:textId="77777777" w:rsidTr="004D15E6">
        <w:trPr>
          <w:trHeight w:val="486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32A1F7BE" w14:textId="77777777" w:rsidR="001D20DC" w:rsidRPr="00DD4288" w:rsidRDefault="001D20DC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0AAA0001" w14:textId="1728FC1A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Non-randomized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36CEE0E2" w14:textId="6A9D3270" w:rsidR="001D20DC" w:rsidRPr="00DD4288" w:rsidRDefault="001D20DC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Study designs that do not include randomization of participants into the comparator groups.</w:t>
            </w:r>
          </w:p>
        </w:tc>
      </w:tr>
      <w:tr w:rsidR="0033449F" w:rsidRPr="00DD4288" w14:paraId="542B526E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49E398E2" w14:textId="77777777" w:rsidR="0033449F" w:rsidRPr="00DD4288" w:rsidRDefault="0033449F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3C819C1A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Higher quality systematic review</w:t>
            </w:r>
          </w:p>
          <w:p w14:paraId="16287F21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</w:p>
          <w:p w14:paraId="5BE93A62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720B8C2C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Systematic review rated as higher quality based on whether they were rated “yes” or partial “yes” on six of the seven critical domains of AMSTAR-2</w:t>
            </w:r>
          </w:p>
          <w:p w14:paraId="384BA73E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</w:tr>
      <w:tr w:rsidR="0033449F" w:rsidRPr="00DD4288" w14:paraId="25F8A285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34B3F2EB" w14:textId="77777777" w:rsidR="0033449F" w:rsidRPr="00DD4288" w:rsidRDefault="0033449F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2A7E7D88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Lower quality systematic review</w:t>
            </w:r>
          </w:p>
          <w:p w14:paraId="7D34F5C7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5B342727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Systematic review rated as higher quality based on whether they were rated “yes” or partial “yes” on six of the seven critical domains of AMSTAR-2.</w:t>
            </w:r>
          </w:p>
        </w:tc>
      </w:tr>
      <w:tr w:rsidR="0033449F" w:rsidRPr="00DD4288" w14:paraId="25BDA42F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5220BBB2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79B79579" w14:textId="77777777" w:rsidR="0033449F" w:rsidRPr="00DD4288" w:rsidRDefault="0033449F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Dual users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7497C710" w14:textId="77777777" w:rsidR="0033449F" w:rsidRPr="00DD4288" w:rsidRDefault="0033449F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Participants vape and smoke at baseline.</w:t>
            </w:r>
          </w:p>
        </w:tc>
      </w:tr>
      <w:tr w:rsidR="001D20DC" w:rsidRPr="00DD4288" w14:paraId="255A15A0" w14:textId="77777777" w:rsidTr="004D15E6">
        <w:trPr>
          <w:trHeight w:val="302"/>
        </w:trPr>
        <w:tc>
          <w:tcPr>
            <w:tcW w:w="3565" w:type="dxa"/>
            <w:vMerge w:val="restart"/>
            <w:tcMar>
              <w:left w:w="105" w:type="dxa"/>
              <w:right w:w="105" w:type="dxa"/>
            </w:tcMar>
          </w:tcPr>
          <w:p w14:paraId="13CB595B" w14:textId="5DC47D79" w:rsidR="001D20DC" w:rsidRPr="00DD4288" w:rsidRDefault="001D20DC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Device type</w:t>
            </w:r>
          </w:p>
          <w:p w14:paraId="6D9C8D39" w14:textId="77777777" w:rsidR="001D20DC" w:rsidRPr="00DD4288" w:rsidRDefault="001D20DC" w:rsidP="0033449F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675E05EE" w14:textId="163AEFA6" w:rsidR="001D20DC" w:rsidRPr="00DD4288" w:rsidRDefault="001D20DC" w:rsidP="001D20DC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Cig-a-like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7B0544C0" w14:textId="60FCDAED" w:rsidR="001D20DC" w:rsidRPr="00DD4288" w:rsidRDefault="00552424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An electronic cigarette that mimics the look and feel of a combustible tobacco cigarette.</w:t>
            </w:r>
          </w:p>
        </w:tc>
      </w:tr>
      <w:tr w:rsidR="001D20DC" w:rsidRPr="00DD4288" w14:paraId="2FC17F8B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0A4F7224" w14:textId="77777777" w:rsidR="001D20DC" w:rsidRPr="00DD4288" w:rsidRDefault="001D20DC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AE48A43" w14:textId="7B18579E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Cartridge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50F40DEB" w14:textId="6F36D55F" w:rsidR="001D20DC" w:rsidRPr="00DD4288" w:rsidRDefault="007E29A0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A replaceable or refillable component that attaches to a separate battery. </w:t>
            </w:r>
          </w:p>
        </w:tc>
      </w:tr>
      <w:tr w:rsidR="001D20DC" w:rsidRPr="00DD4288" w14:paraId="724D3526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39A49C41" w14:textId="77777777" w:rsidR="001D20DC" w:rsidRPr="00DD4288" w:rsidRDefault="001D20DC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7B0B2960" w14:textId="739FFAFD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Refillable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763F37D1" w14:textId="192E1188" w:rsidR="001D20DC" w:rsidRPr="00DD4288" w:rsidRDefault="007E29A0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A vape in which the e-liquid can be refilled.</w:t>
            </w:r>
          </w:p>
        </w:tc>
      </w:tr>
      <w:tr w:rsidR="001D20DC" w:rsidRPr="00DD4288" w14:paraId="651037A6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009E11CF" w14:textId="77777777" w:rsidR="001D20DC" w:rsidRPr="00DD4288" w:rsidRDefault="001D20DC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4B1DDDCF" w14:textId="7788F9EC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Pod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53D31D19" w14:textId="5B44BCC6" w:rsidR="001D20DC" w:rsidRPr="00DD4288" w:rsidRDefault="007E29A0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A type of vape that has a pod instead of a vape tank. </w:t>
            </w:r>
          </w:p>
        </w:tc>
      </w:tr>
      <w:tr w:rsidR="001D20DC" w:rsidRPr="00DD4288" w14:paraId="34D08BB9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60F2C608" w14:textId="77777777" w:rsidR="001D20DC" w:rsidRPr="00DD4288" w:rsidRDefault="001D20DC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CA40888" w14:textId="04623077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Disposable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1BE82B44" w14:textId="0710DE2F" w:rsidR="001D20DC" w:rsidRPr="00DD4288" w:rsidRDefault="007E29A0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 xml:space="preserve">A single use device that comes pre-filled with e-liquid and has a built-in battery. </w:t>
            </w:r>
          </w:p>
        </w:tc>
      </w:tr>
      <w:tr w:rsidR="001D20DC" w:rsidRPr="00DD4288" w14:paraId="6E0DDAD0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5F8515CE" w14:textId="77777777" w:rsidR="001D20DC" w:rsidRPr="00DD4288" w:rsidRDefault="001D20DC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0FA27A7F" w14:textId="0A170FC9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Unclear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67421ADF" w14:textId="307FE59C" w:rsidR="001D20DC" w:rsidRPr="00DD4288" w:rsidRDefault="001D20DC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1D20DC" w:rsidRPr="00DD4288" w14:paraId="498A3885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0C1C6DE8" w14:textId="77777777" w:rsidR="001D20DC" w:rsidRPr="00DD4288" w:rsidRDefault="001D20DC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39B10BBD" w14:textId="001C579C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Multiple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581C1CD0" w14:textId="404E0CAC" w:rsidR="001D20DC" w:rsidRPr="00DD4288" w:rsidRDefault="001D20DC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Two or more device types.</w:t>
            </w:r>
          </w:p>
        </w:tc>
      </w:tr>
      <w:tr w:rsidR="006D6C4D" w:rsidRPr="00DD4288" w14:paraId="2A813228" w14:textId="77777777" w:rsidTr="004D15E6">
        <w:trPr>
          <w:trHeight w:val="302"/>
        </w:trPr>
        <w:tc>
          <w:tcPr>
            <w:tcW w:w="3565" w:type="dxa"/>
            <w:vMerge w:val="restart"/>
            <w:tcMar>
              <w:left w:w="105" w:type="dxa"/>
              <w:right w:w="105" w:type="dxa"/>
            </w:tcMar>
          </w:tcPr>
          <w:p w14:paraId="161824F9" w14:textId="5E8A9D97" w:rsidR="006D6C4D" w:rsidRPr="00DD4288" w:rsidRDefault="006D6C4D" w:rsidP="001D20DC">
            <w:pPr>
              <w:rPr>
                <w:rFonts w:ascii="Garamond" w:eastAsia="Calibri" w:hAnsi="Garamond" w:cs="Calibri"/>
                <w:color w:val="000000"/>
              </w:rPr>
            </w:pPr>
            <w:proofErr w:type="spellStart"/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Flavo</w:t>
            </w:r>
            <w:r w:rsidR="00364D97" w:rsidRPr="00DD4288">
              <w:rPr>
                <w:rFonts w:ascii="Garamond" w:eastAsia="Calibri" w:hAnsi="Garamond" w:cs="Calibri"/>
                <w:b/>
                <w:bCs/>
                <w:color w:val="000000"/>
              </w:rPr>
              <w:t>u</w:t>
            </w: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rs</w:t>
            </w:r>
            <w:proofErr w:type="spellEnd"/>
          </w:p>
          <w:p w14:paraId="2E69773C" w14:textId="77777777" w:rsidR="006D6C4D" w:rsidRPr="00DD4288" w:rsidRDefault="006D6C4D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1F0FF9C3" w14:textId="244B8888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Tobacco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42ED73D3" w14:textId="6343AD7F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706C97F9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6FCB0769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AE83F7A" w14:textId="25ED9D23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Mint/menthol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1AD820BC" w14:textId="2EE5AE01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23C61F68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639CF76A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17CC8E34" w14:textId="693857EF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Participants offered choice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1D781B90" w14:textId="3C51378D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6CC242AA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095168C1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132C681E" w14:textId="1E81A2A5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Sweet (including fruit)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29A2FCA0" w14:textId="12CCF83D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04429B7E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3513F1F2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9359207" w14:textId="3950257F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Tobacco only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772FEA76" w14:textId="5C5BF1BC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224A6BF1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29983776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4F9481AF" w14:textId="778CE37A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Multiple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0F3FEBEC" w14:textId="29E87166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Two or more flavors.</w:t>
            </w:r>
          </w:p>
        </w:tc>
      </w:tr>
      <w:tr w:rsidR="006D6C4D" w:rsidRPr="00DD4288" w14:paraId="75896FD1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6B433A47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0D1F98A0" w14:textId="339B7CA0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Not reported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102EFC15" w14:textId="3BC433C0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0E50FD29" w14:textId="77777777" w:rsidTr="004D15E6">
        <w:trPr>
          <w:trHeight w:val="302"/>
        </w:trPr>
        <w:tc>
          <w:tcPr>
            <w:tcW w:w="3565" w:type="dxa"/>
            <w:vMerge w:val="restart"/>
            <w:tcMar>
              <w:left w:w="105" w:type="dxa"/>
              <w:right w:w="105" w:type="dxa"/>
            </w:tcMar>
          </w:tcPr>
          <w:p w14:paraId="3BEEC60D" w14:textId="6A8E3865" w:rsidR="006D6C4D" w:rsidRPr="00DD4288" w:rsidRDefault="006D6C4D" w:rsidP="001D20DC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Sub-populations</w:t>
            </w: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230BF35" w14:textId="5025E90F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Pregnancy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33242FF8" w14:textId="6A6000C6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3B658D89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2EE88CBA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2A6B9543" w14:textId="5051CAF7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Substance use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7C49EF12" w14:textId="000A8A45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53FCC84C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1269BF65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7DE0538A" w14:textId="3E50A658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Homelessness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21F1CAC6" w14:textId="2F67207B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12FD47DE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664C728D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1DD36DAE" w14:textId="36537829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Based on physical health condition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5323799C" w14:textId="2255D6FE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11C5082A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63373892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88215E0" w14:textId="5BE26F88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Based on mental health condition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118E0E3E" w14:textId="52259A40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4761FC10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3FAB7466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2F9D3FC7" w14:textId="0849341B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Minoritized racial/ethnic group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3EA47D26" w14:textId="079B6A23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7DDB36E4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21324038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1FD67066" w14:textId="3D77FB1A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Young people (19 years or younger)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00A2BA8C" w14:textId="70436EDE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4E1C068C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00E05E04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3A837361" w14:textId="7074946B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Older adults (55 years or older)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5FEE255B" w14:textId="1CDDE06F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6D6C4D" w:rsidRPr="00DD4288" w14:paraId="671AC8CD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219B47C9" w14:textId="77777777" w:rsidR="006D6C4D" w:rsidRPr="00DD4288" w:rsidRDefault="006D6C4D" w:rsidP="001D20DC">
            <w:pPr>
              <w:rPr>
                <w:rFonts w:ascii="Garamond" w:eastAsia="Calibri" w:hAnsi="Garamond" w:cs="Calibri"/>
                <w:b/>
                <w:bCs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D1DB4A6" w14:textId="7C7A4AD4" w:rsidR="006D6C4D" w:rsidRPr="00DD4288" w:rsidRDefault="006D6C4D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Veterans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57A81AD9" w14:textId="43548778" w:rsidR="006D6C4D" w:rsidRPr="00DD4288" w:rsidRDefault="006D6C4D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Military veterans</w:t>
            </w:r>
          </w:p>
        </w:tc>
      </w:tr>
      <w:tr w:rsidR="001D20DC" w:rsidRPr="00DD4288" w14:paraId="6A126E33" w14:textId="77777777" w:rsidTr="004D15E6">
        <w:trPr>
          <w:trHeight w:val="302"/>
        </w:trPr>
        <w:tc>
          <w:tcPr>
            <w:tcW w:w="3565" w:type="dxa"/>
            <w:vMerge w:val="restart"/>
            <w:tcMar>
              <w:left w:w="105" w:type="dxa"/>
              <w:right w:w="105" w:type="dxa"/>
            </w:tcMar>
          </w:tcPr>
          <w:p w14:paraId="77A52294" w14:textId="3673DBA8" w:rsidR="001D20DC" w:rsidRPr="00DD4288" w:rsidRDefault="001D20DC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bCs/>
                <w:color w:val="000000"/>
              </w:rPr>
              <w:t>Country</w:t>
            </w:r>
          </w:p>
          <w:p w14:paraId="765471B1" w14:textId="15BE993F" w:rsidR="001D20DC" w:rsidRPr="00DD4288" w:rsidRDefault="001D20DC" w:rsidP="0033449F">
            <w:pPr>
              <w:rPr>
                <w:rFonts w:ascii="Garamond" w:eastAsia="Calibri" w:hAnsi="Garamond" w:cs="Calibri"/>
                <w:color w:val="000000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007DCDA8" w14:textId="57B81EBB" w:rsidR="001D20DC" w:rsidRPr="00DD4288" w:rsidRDefault="001D20DC" w:rsidP="001D20DC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Country where the data of the study derives from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7D318330" w14:textId="793F475A" w:rsidR="001D20DC" w:rsidRPr="00DD4288" w:rsidRDefault="007E29A0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  <w:tr w:rsidR="001D20DC" w:rsidRPr="00DD4288" w14:paraId="2FC7713C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450EA2D7" w14:textId="77777777" w:rsidR="001D20DC" w:rsidRPr="00DD4288" w:rsidRDefault="001D20DC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576E7ACC" w14:textId="0BC96587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Multiple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09F5CEC2" w14:textId="31E7349F" w:rsidR="001D20DC" w:rsidRPr="00DD4288" w:rsidRDefault="001D20DC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The study uses data from two or more countries.</w:t>
            </w:r>
          </w:p>
        </w:tc>
      </w:tr>
      <w:tr w:rsidR="001D20DC" w:rsidRPr="00DD4288" w14:paraId="75189F39" w14:textId="77777777" w:rsidTr="004D15E6">
        <w:trPr>
          <w:trHeight w:val="302"/>
        </w:trPr>
        <w:tc>
          <w:tcPr>
            <w:tcW w:w="3565" w:type="dxa"/>
            <w:vMerge/>
            <w:tcMar>
              <w:left w:w="105" w:type="dxa"/>
              <w:right w:w="105" w:type="dxa"/>
            </w:tcMar>
          </w:tcPr>
          <w:p w14:paraId="4DD4BD7E" w14:textId="77777777" w:rsidR="001D20DC" w:rsidRPr="00DD4288" w:rsidRDefault="001D20DC" w:rsidP="0033449F">
            <w:pPr>
              <w:rPr>
                <w:rFonts w:ascii="Garamond" w:hAnsi="Garamond" w:cs="Times New Roman"/>
              </w:rPr>
            </w:pPr>
          </w:p>
        </w:tc>
        <w:tc>
          <w:tcPr>
            <w:tcW w:w="7489" w:type="dxa"/>
            <w:tcMar>
              <w:left w:w="105" w:type="dxa"/>
              <w:right w:w="105" w:type="dxa"/>
            </w:tcMar>
          </w:tcPr>
          <w:p w14:paraId="75765852" w14:textId="2E8CF8EB" w:rsidR="001D20DC" w:rsidRPr="00DD4288" w:rsidRDefault="001D20DC" w:rsidP="0033449F">
            <w:pPr>
              <w:rPr>
                <w:rFonts w:ascii="Garamond" w:eastAsia="Calibri" w:hAnsi="Garamond" w:cs="Calibri"/>
                <w:b/>
                <w:color w:val="000000"/>
              </w:rPr>
            </w:pPr>
            <w:r w:rsidRPr="00DD4288">
              <w:rPr>
                <w:rFonts w:ascii="Garamond" w:eastAsia="Calibri" w:hAnsi="Garamond" w:cs="Calibri"/>
                <w:b/>
                <w:color w:val="000000"/>
              </w:rPr>
              <w:t>Unclear</w:t>
            </w:r>
          </w:p>
        </w:tc>
        <w:tc>
          <w:tcPr>
            <w:tcW w:w="16390" w:type="dxa"/>
            <w:tcMar>
              <w:left w:w="105" w:type="dxa"/>
              <w:right w:w="105" w:type="dxa"/>
            </w:tcMar>
          </w:tcPr>
          <w:p w14:paraId="582741EA" w14:textId="5ACE43C8" w:rsidR="001D20DC" w:rsidRPr="00DD4288" w:rsidRDefault="001D20DC" w:rsidP="0033449F">
            <w:pPr>
              <w:rPr>
                <w:rFonts w:ascii="Garamond" w:eastAsia="Calibri" w:hAnsi="Garamond" w:cs="Calibri"/>
                <w:color w:val="000000"/>
              </w:rPr>
            </w:pPr>
            <w:r w:rsidRPr="00DD4288">
              <w:rPr>
                <w:rFonts w:ascii="Garamond" w:eastAsia="Calibri" w:hAnsi="Garamond" w:cs="Calibri"/>
                <w:color w:val="000000"/>
              </w:rPr>
              <w:t>N/A</w:t>
            </w:r>
          </w:p>
        </w:tc>
      </w:tr>
    </w:tbl>
    <w:p w14:paraId="62199465" w14:textId="77777777" w:rsidR="0033449F" w:rsidRPr="00DD4288" w:rsidRDefault="0033449F" w:rsidP="0033449F">
      <w:pPr>
        <w:spacing w:line="279" w:lineRule="auto"/>
        <w:rPr>
          <w:rFonts w:ascii="Garamond" w:eastAsia="Times New Roman" w:hAnsi="Garamond" w:cs="Times New Roman"/>
          <w:sz w:val="24"/>
          <w:szCs w:val="24"/>
          <w:lang w:val="en-US" w:eastAsia="ja-JP"/>
        </w:rPr>
      </w:pPr>
    </w:p>
    <w:p w14:paraId="0DA123B1" w14:textId="77777777" w:rsidR="003E3EC2" w:rsidRPr="00DD4288" w:rsidRDefault="00392578">
      <w:pPr>
        <w:rPr>
          <w:rFonts w:ascii="Garamond" w:hAnsi="Garamond"/>
          <w:sz w:val="24"/>
          <w:szCs w:val="24"/>
        </w:rPr>
      </w:pPr>
    </w:p>
    <w:sectPr w:rsidR="003E3EC2" w:rsidRPr="00DD4288">
      <w:pgSz w:w="28800" w:h="2880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9F"/>
    <w:rsid w:val="00104F44"/>
    <w:rsid w:val="001C507A"/>
    <w:rsid w:val="001D20DC"/>
    <w:rsid w:val="0031202C"/>
    <w:rsid w:val="0032553E"/>
    <w:rsid w:val="0033449F"/>
    <w:rsid w:val="00364D97"/>
    <w:rsid w:val="00392578"/>
    <w:rsid w:val="004D15E6"/>
    <w:rsid w:val="00544D89"/>
    <w:rsid w:val="00552424"/>
    <w:rsid w:val="006A1699"/>
    <w:rsid w:val="006B6AEA"/>
    <w:rsid w:val="006D5E95"/>
    <w:rsid w:val="006D6C4D"/>
    <w:rsid w:val="007E29A0"/>
    <w:rsid w:val="008D0F1C"/>
    <w:rsid w:val="00B1166E"/>
    <w:rsid w:val="00BA4BA5"/>
    <w:rsid w:val="00CC757B"/>
    <w:rsid w:val="00DD4288"/>
    <w:rsid w:val="0783078C"/>
    <w:rsid w:val="0FF09E6C"/>
    <w:rsid w:val="125F3335"/>
    <w:rsid w:val="18AC1869"/>
    <w:rsid w:val="211F5FD5"/>
    <w:rsid w:val="23251845"/>
    <w:rsid w:val="241BE7CD"/>
    <w:rsid w:val="24F3615E"/>
    <w:rsid w:val="25C12148"/>
    <w:rsid w:val="36D98672"/>
    <w:rsid w:val="52F24166"/>
    <w:rsid w:val="5C808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210B4"/>
  <w15:chartTrackingRefBased/>
  <w15:docId w15:val="{BC9D45F8-96FE-4B06-BCDB-525A627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2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3449F"/>
    <w:pPr>
      <w:spacing w:after="0" w:line="240" w:lineRule="auto"/>
    </w:pPr>
    <w:rPr>
      <w:rFonts w:eastAsia="Times New Roman"/>
      <w:sz w:val="24"/>
      <w:szCs w:val="24"/>
      <w:lang w:val="en-US"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1"/>
    <w:basedOn w:val="DefaultParagraphFont"/>
    <w:uiPriority w:val="99"/>
    <w:unhideWhenUsed/>
    <w:rsid w:val="0033449F"/>
    <w:rPr>
      <w:color w:val="467886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49F"/>
    <w:pPr>
      <w:spacing w:line="240" w:lineRule="auto"/>
    </w:pPr>
    <w:rPr>
      <w:rFonts w:eastAsia="Times New Roman"/>
      <w:sz w:val="20"/>
      <w:szCs w:val="20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49F"/>
    <w:rPr>
      <w:rFonts w:eastAsia="Times New Roman"/>
      <w:sz w:val="20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3449F"/>
    <w:rPr>
      <w:sz w:val="16"/>
      <w:szCs w:val="16"/>
    </w:rPr>
  </w:style>
  <w:style w:type="table" w:styleId="TableGrid">
    <w:name w:val="Table Grid"/>
    <w:basedOn w:val="TableNormal"/>
    <w:uiPriority w:val="39"/>
    <w:rsid w:val="00334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3449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49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D42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linelibrary.wiley.com/doi/10.1111/add.16583?af=R" TargetMode="External"/><Relationship Id="rId5" Type="http://schemas.openxmlformats.org/officeDocument/2006/relationships/hyperlink" Target="https://training.cochrane.org/handbook/current/chapter-i" TargetMode="External"/><Relationship Id="rId4" Type="http://schemas.openxmlformats.org/officeDocument/2006/relationships/hyperlink" Target="https://onlinelibrary.wiley.com/doi/10.1111/add.16583?af=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Medical Sciences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Monserrat Guilherme Conde</dc:creator>
  <cp:keywords/>
  <dc:description/>
  <cp:lastModifiedBy>Monserrat Guilherme Conde</cp:lastModifiedBy>
  <cp:revision>2</cp:revision>
  <dcterms:created xsi:type="dcterms:W3CDTF">2025-05-23T12:50:00Z</dcterms:created>
  <dcterms:modified xsi:type="dcterms:W3CDTF">2025-05-23T12:50:00Z</dcterms:modified>
</cp:coreProperties>
</file>