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437" w:rsidRPr="00094437" w:rsidRDefault="00094437" w:rsidP="00094437">
      <w:pPr>
        <w:widowControl w:val="0"/>
        <w:spacing w:before="18" w:line="260" w:lineRule="exact"/>
        <w:jc w:val="center"/>
        <w:rPr>
          <w:rFonts w:ascii="Verdana" w:hAnsi="Verdana"/>
          <w:sz w:val="17"/>
          <w:szCs w:val="17"/>
        </w:rPr>
      </w:pPr>
      <w:bookmarkStart w:id="0" w:name="_Hlk519501075"/>
      <w:r w:rsidRPr="00094437">
        <w:rPr>
          <w:rFonts w:ascii="Verdana" w:hAnsi="Verdana"/>
          <w:sz w:val="17"/>
          <w:szCs w:val="17"/>
        </w:rPr>
        <w:t>Macaque parvocellular mediodorsal thalamus: dissociable contributions to learning and adaptive decision-making</w:t>
      </w:r>
    </w:p>
    <w:p w:rsidR="00094437" w:rsidRPr="00094437" w:rsidRDefault="00094437" w:rsidP="00094437">
      <w:pPr>
        <w:widowControl w:val="0"/>
        <w:spacing w:before="18" w:line="260" w:lineRule="exact"/>
        <w:jc w:val="center"/>
        <w:rPr>
          <w:rFonts w:cstheme="minorHAnsi"/>
          <w:i/>
        </w:rPr>
      </w:pPr>
      <w:r w:rsidRPr="00094437">
        <w:rPr>
          <w:rFonts w:ascii="Verdana" w:hAnsi="Verdana"/>
          <w:sz w:val="17"/>
          <w:szCs w:val="17"/>
        </w:rPr>
        <w:t xml:space="preserve">Mitchell, Anna; </w:t>
      </w:r>
      <w:r w:rsidRPr="00094437">
        <w:rPr>
          <w:rFonts w:ascii="Verdana" w:hAnsi="Verdana"/>
          <w:sz w:val="17"/>
          <w:szCs w:val="17"/>
        </w:rPr>
        <w:t xml:space="preserve">Chakraborty, </w:t>
      </w:r>
      <w:proofErr w:type="spellStart"/>
      <w:r w:rsidRPr="00094437">
        <w:rPr>
          <w:rFonts w:ascii="Verdana" w:hAnsi="Verdana"/>
          <w:sz w:val="17"/>
          <w:szCs w:val="17"/>
        </w:rPr>
        <w:t>Subhojit</w:t>
      </w:r>
      <w:proofErr w:type="spellEnd"/>
      <w:r w:rsidRPr="00094437">
        <w:rPr>
          <w:rFonts w:ascii="Verdana" w:hAnsi="Verdana"/>
          <w:sz w:val="17"/>
          <w:szCs w:val="17"/>
        </w:rPr>
        <w:t xml:space="preserve">; </w:t>
      </w:r>
      <w:proofErr w:type="spellStart"/>
      <w:r w:rsidRPr="00094437">
        <w:rPr>
          <w:rFonts w:ascii="Verdana" w:hAnsi="Verdana"/>
          <w:sz w:val="17"/>
          <w:szCs w:val="17"/>
        </w:rPr>
        <w:t>Ouhaz</w:t>
      </w:r>
      <w:proofErr w:type="spellEnd"/>
      <w:r w:rsidRPr="00094437">
        <w:rPr>
          <w:rFonts w:ascii="Verdana" w:hAnsi="Verdana"/>
          <w:sz w:val="17"/>
          <w:szCs w:val="17"/>
        </w:rPr>
        <w:t>, Zakaria; Mason, Stuart</w:t>
      </w:r>
    </w:p>
    <w:p w:rsidR="00094437" w:rsidRPr="00094437" w:rsidRDefault="00094437" w:rsidP="00094437">
      <w:pPr>
        <w:widowControl w:val="0"/>
        <w:spacing w:before="18" w:line="260" w:lineRule="exact"/>
        <w:rPr>
          <w:rFonts w:cstheme="minorHAnsi"/>
        </w:rPr>
      </w:pPr>
      <w:bookmarkStart w:id="1" w:name="_Hlk512979900"/>
      <w:r w:rsidRPr="00094437">
        <w:rPr>
          <w:rFonts w:cstheme="minorHAnsi"/>
        </w:rPr>
        <w:t>_____________________________________________________________________________________</w:t>
      </w:r>
    </w:p>
    <w:bookmarkEnd w:id="1"/>
    <w:tbl>
      <w:tblPr>
        <w:tblW w:w="10270" w:type="dxa"/>
        <w:tblInd w:w="-108" w:type="dxa"/>
        <w:tblBorders>
          <w:top w:val="nil"/>
          <w:left w:val="nil"/>
          <w:bottom w:val="nil"/>
          <w:right w:val="nil"/>
        </w:tblBorders>
        <w:tblLayout w:type="fixed"/>
        <w:tblLook w:val="0000" w:firstRow="0" w:lastRow="0" w:firstColumn="0" w:lastColumn="0" w:noHBand="0" w:noVBand="0"/>
      </w:tblPr>
      <w:tblGrid>
        <w:gridCol w:w="3424"/>
        <w:gridCol w:w="3422"/>
        <w:gridCol w:w="3424"/>
      </w:tblGrid>
      <w:tr w:rsidR="00094437" w:rsidRPr="00094437" w:rsidTr="00164CD1">
        <w:trPr>
          <w:trHeight w:val="214"/>
        </w:trPr>
        <w:tc>
          <w:tcPr>
            <w:tcW w:w="2568" w:type="dxa"/>
          </w:tcPr>
          <w:p w:rsidR="00094437" w:rsidRPr="00094437" w:rsidRDefault="00094437" w:rsidP="00164CD1">
            <w:pPr>
              <w:pStyle w:val="Default"/>
              <w:rPr>
                <w:rFonts w:asciiTheme="minorHAnsi" w:hAnsiTheme="minorHAnsi" w:cstheme="minorHAnsi"/>
                <w:color w:val="auto"/>
                <w:sz w:val="16"/>
                <w:szCs w:val="16"/>
              </w:rPr>
            </w:pP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 xml:space="preserve">  Review timeline:</w:t>
            </w:r>
          </w:p>
        </w:tc>
        <w:tc>
          <w:tcPr>
            <w:tcW w:w="2566" w:type="dxa"/>
          </w:tcPr>
          <w:p w:rsidR="00094437" w:rsidRPr="00094437" w:rsidRDefault="00094437" w:rsidP="00164CD1">
            <w:pPr>
              <w:pStyle w:val="Default"/>
              <w:rPr>
                <w:rFonts w:asciiTheme="minorHAnsi" w:hAnsiTheme="minorHAnsi" w:cstheme="minorHAnsi"/>
                <w:color w:val="auto"/>
                <w:sz w:val="16"/>
                <w:szCs w:val="16"/>
              </w:rPr>
            </w:pP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 xml:space="preserve">Submission date: </w:t>
            </w:r>
            <w:r w:rsidRPr="00094437">
              <w:rPr>
                <w:rFonts w:asciiTheme="minorHAnsi" w:hAnsiTheme="minorHAnsi" w:cstheme="minorHAnsi"/>
                <w:color w:val="auto"/>
                <w:sz w:val="16"/>
                <w:szCs w:val="16"/>
              </w:rPr>
              <w:t>19.12.17</w:t>
            </w: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Editorial Decision: Major Revision</w:t>
            </w: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Revision Received:</w:t>
            </w:r>
            <w:r w:rsidRPr="00094437">
              <w:rPr>
                <w:rFonts w:asciiTheme="minorHAnsi" w:hAnsiTheme="minorHAnsi" w:cstheme="minorHAnsi"/>
                <w:color w:val="auto"/>
                <w:sz w:val="16"/>
                <w:szCs w:val="16"/>
              </w:rPr>
              <w:t>05.05.18</w:t>
            </w: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Editorial Decision: Minor Revision</w:t>
            </w: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 xml:space="preserve">Revision Received: </w:t>
            </w:r>
            <w:r w:rsidRPr="00094437">
              <w:rPr>
                <w:rFonts w:asciiTheme="minorHAnsi" w:hAnsiTheme="minorHAnsi" w:cstheme="minorHAnsi"/>
                <w:color w:val="auto"/>
                <w:sz w:val="16"/>
                <w:szCs w:val="16"/>
              </w:rPr>
              <w:t>03.07.18</w:t>
            </w:r>
          </w:p>
          <w:p w:rsidR="00094437" w:rsidRPr="00094437" w:rsidRDefault="00094437" w:rsidP="00164CD1">
            <w:pPr>
              <w:pStyle w:val="Default"/>
              <w:rPr>
                <w:rFonts w:asciiTheme="minorHAnsi" w:hAnsiTheme="minorHAnsi" w:cstheme="minorHAnsi"/>
                <w:color w:val="auto"/>
                <w:sz w:val="16"/>
                <w:szCs w:val="16"/>
              </w:rPr>
            </w:pPr>
            <w:r w:rsidRPr="00094437">
              <w:rPr>
                <w:rFonts w:asciiTheme="minorHAnsi" w:hAnsiTheme="minorHAnsi" w:cstheme="minorHAnsi"/>
                <w:color w:val="auto"/>
                <w:sz w:val="16"/>
                <w:szCs w:val="16"/>
              </w:rPr>
              <w:t>Accepted: 04.07.18</w:t>
            </w:r>
          </w:p>
        </w:tc>
        <w:tc>
          <w:tcPr>
            <w:tcW w:w="2568" w:type="dxa"/>
          </w:tcPr>
          <w:p w:rsidR="00094437" w:rsidRPr="00094437" w:rsidRDefault="00094437" w:rsidP="00164CD1">
            <w:pPr>
              <w:pStyle w:val="Default"/>
              <w:rPr>
                <w:rFonts w:asciiTheme="minorHAnsi" w:hAnsiTheme="minorHAnsi" w:cstheme="minorHAnsi"/>
                <w:color w:val="auto"/>
                <w:sz w:val="16"/>
                <w:szCs w:val="16"/>
              </w:rPr>
            </w:pPr>
          </w:p>
          <w:p w:rsidR="00094437" w:rsidRPr="00094437" w:rsidRDefault="00094437" w:rsidP="00164CD1">
            <w:pPr>
              <w:pStyle w:val="Default"/>
              <w:rPr>
                <w:rFonts w:asciiTheme="minorHAnsi" w:hAnsiTheme="minorHAnsi" w:cstheme="minorHAnsi"/>
                <w:color w:val="auto"/>
                <w:sz w:val="16"/>
                <w:szCs w:val="16"/>
              </w:rPr>
            </w:pPr>
          </w:p>
          <w:p w:rsidR="00094437" w:rsidRPr="00094437" w:rsidRDefault="00094437" w:rsidP="00164CD1">
            <w:pPr>
              <w:pStyle w:val="Default"/>
              <w:rPr>
                <w:rFonts w:asciiTheme="minorHAnsi" w:hAnsiTheme="minorHAnsi" w:cstheme="minorHAnsi"/>
                <w:color w:val="auto"/>
                <w:sz w:val="16"/>
                <w:szCs w:val="16"/>
              </w:rPr>
            </w:pPr>
          </w:p>
          <w:p w:rsidR="00094437" w:rsidRPr="00094437" w:rsidRDefault="00094437" w:rsidP="00164CD1">
            <w:pPr>
              <w:pStyle w:val="Default"/>
              <w:rPr>
                <w:rFonts w:asciiTheme="minorHAnsi" w:hAnsiTheme="minorHAnsi" w:cstheme="minorHAnsi"/>
                <w:color w:val="auto"/>
                <w:sz w:val="16"/>
                <w:szCs w:val="16"/>
              </w:rPr>
            </w:pPr>
          </w:p>
          <w:p w:rsidR="00094437" w:rsidRPr="00094437" w:rsidRDefault="00094437" w:rsidP="00164CD1">
            <w:pPr>
              <w:pStyle w:val="Default"/>
              <w:rPr>
                <w:rFonts w:asciiTheme="minorHAnsi" w:hAnsiTheme="minorHAnsi" w:cstheme="minorHAnsi"/>
                <w:color w:val="auto"/>
                <w:sz w:val="16"/>
                <w:szCs w:val="16"/>
              </w:rPr>
            </w:pPr>
          </w:p>
        </w:tc>
      </w:tr>
      <w:tr w:rsidR="00094437" w:rsidRPr="00094437" w:rsidTr="00164CD1">
        <w:trPr>
          <w:trHeight w:val="214"/>
        </w:trPr>
        <w:tc>
          <w:tcPr>
            <w:tcW w:w="2568" w:type="dxa"/>
          </w:tcPr>
          <w:p w:rsidR="00094437" w:rsidRPr="00094437" w:rsidRDefault="00094437" w:rsidP="00164CD1">
            <w:pPr>
              <w:pStyle w:val="Default"/>
              <w:rPr>
                <w:rFonts w:asciiTheme="minorHAnsi" w:hAnsiTheme="minorHAnsi" w:cstheme="minorHAnsi"/>
                <w:color w:val="auto"/>
                <w:sz w:val="16"/>
                <w:szCs w:val="16"/>
              </w:rPr>
            </w:pPr>
          </w:p>
        </w:tc>
        <w:tc>
          <w:tcPr>
            <w:tcW w:w="2566" w:type="dxa"/>
          </w:tcPr>
          <w:p w:rsidR="00094437" w:rsidRPr="00094437" w:rsidRDefault="00094437" w:rsidP="00164CD1">
            <w:pPr>
              <w:pStyle w:val="Default"/>
              <w:rPr>
                <w:rFonts w:asciiTheme="minorHAnsi" w:hAnsiTheme="minorHAnsi" w:cstheme="minorHAnsi"/>
                <w:color w:val="auto"/>
                <w:sz w:val="16"/>
                <w:szCs w:val="16"/>
              </w:rPr>
            </w:pPr>
          </w:p>
        </w:tc>
        <w:tc>
          <w:tcPr>
            <w:tcW w:w="2568" w:type="dxa"/>
          </w:tcPr>
          <w:p w:rsidR="00094437" w:rsidRPr="00094437" w:rsidRDefault="00094437" w:rsidP="00164CD1">
            <w:pPr>
              <w:pStyle w:val="Default"/>
              <w:rPr>
                <w:rFonts w:asciiTheme="minorHAnsi" w:hAnsiTheme="minorHAnsi" w:cstheme="minorHAnsi"/>
                <w:color w:val="auto"/>
                <w:sz w:val="16"/>
                <w:szCs w:val="16"/>
              </w:rPr>
            </w:pPr>
          </w:p>
        </w:tc>
      </w:tr>
    </w:tbl>
    <w:p w:rsidR="00094437" w:rsidRPr="00094437" w:rsidRDefault="00094437" w:rsidP="00094437">
      <w:pPr>
        <w:widowControl w:val="0"/>
        <w:spacing w:line="200" w:lineRule="exact"/>
        <w:rPr>
          <w:rFonts w:eastAsia="Calibri" w:cstheme="minorHAnsi"/>
          <w:sz w:val="16"/>
          <w:szCs w:val="16"/>
        </w:rPr>
      </w:pPr>
      <w:r w:rsidRPr="00094437">
        <w:rPr>
          <w:rFonts w:eastAsia="Calibri" w:cstheme="minorHAnsi"/>
          <w:sz w:val="16"/>
          <w:szCs w:val="16"/>
        </w:rPr>
        <w:t xml:space="preserve">Editor: </w:t>
      </w:r>
      <w:r w:rsidRPr="00094437">
        <w:rPr>
          <w:rFonts w:eastAsia="Calibri" w:cstheme="minorHAnsi"/>
          <w:sz w:val="16"/>
          <w:szCs w:val="16"/>
        </w:rPr>
        <w:t xml:space="preserve">Paul </w:t>
      </w:r>
      <w:proofErr w:type="spellStart"/>
      <w:r w:rsidRPr="00094437">
        <w:rPr>
          <w:rFonts w:eastAsia="Calibri" w:cstheme="minorHAnsi"/>
          <w:sz w:val="16"/>
          <w:szCs w:val="16"/>
        </w:rPr>
        <w:t>Bolam</w:t>
      </w:r>
      <w:proofErr w:type="spellEnd"/>
    </w:p>
    <w:p w:rsidR="00094437" w:rsidRPr="00094437" w:rsidRDefault="00094437" w:rsidP="00094437">
      <w:pPr>
        <w:widowControl w:val="0"/>
        <w:spacing w:line="200" w:lineRule="exact"/>
        <w:rPr>
          <w:rFonts w:eastAsia="Calibri" w:cstheme="minorHAnsi"/>
          <w:sz w:val="16"/>
          <w:szCs w:val="16"/>
        </w:rPr>
      </w:pPr>
      <w:r w:rsidRPr="00094437">
        <w:rPr>
          <w:rFonts w:eastAsia="Calibri" w:cstheme="minorHAnsi"/>
          <w:sz w:val="16"/>
          <w:szCs w:val="16"/>
        </w:rPr>
        <w:t xml:space="preserve">Reviewer 1: </w:t>
      </w:r>
      <w:r w:rsidRPr="00094437">
        <w:rPr>
          <w:rFonts w:eastAsia="Calibri" w:cstheme="minorHAnsi"/>
          <w:sz w:val="16"/>
          <w:szCs w:val="16"/>
        </w:rPr>
        <w:t xml:space="preserve">Yuri </w:t>
      </w:r>
      <w:proofErr w:type="spellStart"/>
      <w:r w:rsidRPr="00094437">
        <w:rPr>
          <w:rFonts w:eastAsia="Calibri" w:cstheme="minorHAnsi"/>
          <w:sz w:val="16"/>
          <w:szCs w:val="16"/>
        </w:rPr>
        <w:t>Saalmann</w:t>
      </w:r>
      <w:proofErr w:type="spellEnd"/>
    </w:p>
    <w:p w:rsidR="00094437" w:rsidRPr="00094437" w:rsidRDefault="00094437" w:rsidP="00094437">
      <w:pPr>
        <w:widowControl w:val="0"/>
        <w:spacing w:line="200" w:lineRule="exact"/>
        <w:rPr>
          <w:rFonts w:eastAsia="Calibri" w:cstheme="minorHAnsi"/>
          <w:sz w:val="16"/>
          <w:szCs w:val="16"/>
        </w:rPr>
      </w:pPr>
      <w:r w:rsidRPr="00094437">
        <w:rPr>
          <w:rFonts w:eastAsia="Calibri" w:cstheme="minorHAnsi"/>
          <w:sz w:val="16"/>
          <w:szCs w:val="16"/>
        </w:rPr>
        <w:t xml:space="preserve">Reviewer 2: Helen </w:t>
      </w:r>
      <w:proofErr w:type="spellStart"/>
      <w:r w:rsidRPr="00094437">
        <w:rPr>
          <w:rFonts w:eastAsia="Calibri" w:cstheme="minorHAnsi"/>
          <w:sz w:val="16"/>
          <w:szCs w:val="16"/>
        </w:rPr>
        <w:t>Barbas</w:t>
      </w:r>
      <w:proofErr w:type="spellEnd"/>
    </w:p>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p w:rsidR="00094437" w:rsidRPr="00094437" w:rsidRDefault="00094437" w:rsidP="00094437">
      <w:pPr>
        <w:widowControl w:val="0"/>
        <w:spacing w:before="8" w:line="180" w:lineRule="exact"/>
        <w:rPr>
          <w:rFonts w:eastAsia="Calibri" w:cstheme="minorHAnsi"/>
          <w:sz w:val="16"/>
          <w:szCs w:val="16"/>
        </w:rPr>
      </w:pPr>
    </w:p>
    <w:p w:rsidR="00094437" w:rsidRPr="00094437" w:rsidRDefault="00094437" w:rsidP="00094437">
      <w:pPr>
        <w:widowControl w:val="0"/>
        <w:spacing w:line="240" w:lineRule="auto"/>
        <w:ind w:right="113"/>
        <w:rPr>
          <w:rFonts w:eastAsia="Arial" w:cstheme="minorHAnsi"/>
          <w:sz w:val="16"/>
          <w:szCs w:val="16"/>
        </w:rPr>
      </w:pPr>
      <w:bookmarkStart w:id="2" w:name="_Hlk512979554"/>
      <w:bookmarkStart w:id="3" w:name="_Hlk512980038"/>
      <w:r w:rsidRPr="00094437">
        <w:rPr>
          <w:rFonts w:eastAsia="Arial" w:cstheme="minorHAnsi"/>
          <w:sz w:val="16"/>
          <w:szCs w:val="16"/>
        </w:rPr>
        <w:t>1st</w:t>
      </w:r>
      <w:r w:rsidRPr="00094437">
        <w:rPr>
          <w:rFonts w:eastAsia="Arial" w:cstheme="minorHAnsi"/>
          <w:spacing w:val="-1"/>
          <w:sz w:val="16"/>
          <w:szCs w:val="16"/>
        </w:rPr>
        <w:t xml:space="preserve"> </w:t>
      </w:r>
      <w:r w:rsidRPr="00094437">
        <w:rPr>
          <w:rFonts w:eastAsia="Arial" w:cstheme="minorHAnsi"/>
          <w:spacing w:val="1"/>
          <w:sz w:val="16"/>
          <w:szCs w:val="16"/>
        </w:rPr>
        <w:t>E</w:t>
      </w:r>
      <w:r w:rsidRPr="00094437">
        <w:rPr>
          <w:rFonts w:eastAsia="Arial" w:cstheme="minorHAnsi"/>
          <w:sz w:val="16"/>
          <w:szCs w:val="16"/>
        </w:rPr>
        <w:t xml:space="preserve">ditorial </w:t>
      </w:r>
      <w:r w:rsidRPr="00094437">
        <w:rPr>
          <w:rFonts w:eastAsia="Arial" w:cstheme="minorHAnsi"/>
          <w:spacing w:val="1"/>
          <w:sz w:val="16"/>
          <w:szCs w:val="16"/>
        </w:rPr>
        <w:t>D</w:t>
      </w:r>
      <w:r w:rsidRPr="00094437">
        <w:rPr>
          <w:rFonts w:eastAsia="Arial" w:cstheme="minorHAnsi"/>
          <w:sz w:val="16"/>
          <w:szCs w:val="16"/>
        </w:rPr>
        <w:t xml:space="preserve">ecision                                                                                                                                                                                          </w:t>
      </w:r>
      <w:r w:rsidRPr="00094437">
        <w:rPr>
          <w:rFonts w:eastAsia="Arial" w:cstheme="minorHAnsi"/>
          <w:sz w:val="16"/>
          <w:szCs w:val="16"/>
        </w:rPr>
        <w:t>06.02.</w:t>
      </w:r>
      <w:r w:rsidRPr="00094437">
        <w:rPr>
          <w:rFonts w:eastAsia="Arial" w:cstheme="minorHAnsi"/>
          <w:sz w:val="16"/>
          <w:szCs w:val="16"/>
        </w:rPr>
        <w:t>2018</w:t>
      </w:r>
    </w:p>
    <w:bookmarkEnd w:id="2"/>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p w:rsidR="00094437" w:rsidRPr="00094437" w:rsidRDefault="00094437" w:rsidP="00094437">
      <w:pPr>
        <w:widowControl w:val="0"/>
        <w:spacing w:before="8" w:line="180" w:lineRule="exact"/>
        <w:rPr>
          <w:rFonts w:eastAsia="Calibri" w:cstheme="minorHAnsi"/>
          <w:sz w:val="16"/>
          <w:szCs w:val="16"/>
        </w:rPr>
      </w:pPr>
      <w:r w:rsidRPr="00094437">
        <w:rPr>
          <w:rFonts w:ascii="Verdana" w:hAnsi="Verdana"/>
          <w:sz w:val="17"/>
          <w:szCs w:val="17"/>
        </w:rPr>
        <w:t xml:space="preserve">Macaque parvocellular mediodorsal thalamus: dissociable contributions to learning and adaptive decision-making </w:t>
      </w:r>
      <w:r w:rsidRPr="00094437">
        <w:rPr>
          <w:rFonts w:ascii="Verdana" w:hAnsi="Verdana"/>
          <w:sz w:val="17"/>
          <w:szCs w:val="17"/>
        </w:rPr>
        <w:br/>
      </w:r>
      <w:r w:rsidRPr="00094437">
        <w:rPr>
          <w:rFonts w:ascii="Verdana" w:hAnsi="Verdana"/>
          <w:sz w:val="17"/>
          <w:szCs w:val="17"/>
        </w:rPr>
        <w:br/>
        <w:t xml:space="preserve">Dear Anna, </w:t>
      </w:r>
      <w:r w:rsidRPr="00094437">
        <w:rPr>
          <w:rFonts w:ascii="Verdana" w:hAnsi="Verdana"/>
          <w:sz w:val="17"/>
          <w:szCs w:val="17"/>
        </w:rPr>
        <w:br/>
      </w:r>
      <w:r w:rsidRPr="00094437">
        <w:rPr>
          <w:rFonts w:ascii="Verdana" w:hAnsi="Verdana"/>
          <w:sz w:val="17"/>
          <w:szCs w:val="17"/>
        </w:rPr>
        <w:br/>
        <w:t xml:space="preserve">Your manuscript has been carefully and thoughtfully reviewed by two external reviewers and the editorial team Both reviewers </w:t>
      </w:r>
      <w:proofErr w:type="spellStart"/>
      <w:r w:rsidRPr="00094437">
        <w:rPr>
          <w:rFonts w:ascii="Verdana" w:hAnsi="Verdana"/>
          <w:sz w:val="17"/>
          <w:szCs w:val="17"/>
        </w:rPr>
        <w:t>recognise</w:t>
      </w:r>
      <w:proofErr w:type="spellEnd"/>
      <w:r w:rsidRPr="00094437">
        <w:rPr>
          <w:rFonts w:ascii="Verdana" w:hAnsi="Verdana"/>
          <w:sz w:val="17"/>
          <w:szCs w:val="17"/>
        </w:rPr>
        <w:t xml:space="preserve"> the importance and significance of your </w:t>
      </w:r>
      <w:proofErr w:type="gramStart"/>
      <w:r w:rsidRPr="00094437">
        <w:rPr>
          <w:rFonts w:ascii="Verdana" w:hAnsi="Verdana"/>
          <w:sz w:val="17"/>
          <w:szCs w:val="17"/>
        </w:rPr>
        <w:t>study</w:t>
      </w:r>
      <w:proofErr w:type="gramEnd"/>
      <w:r w:rsidRPr="00094437">
        <w:rPr>
          <w:rFonts w:ascii="Verdana" w:hAnsi="Verdana"/>
          <w:sz w:val="17"/>
          <w:szCs w:val="17"/>
        </w:rPr>
        <w:t xml:space="preserve"> but both have raise a series of issues that will need to be addressed in a revised version of the manuscript. </w:t>
      </w:r>
      <w:r w:rsidRPr="00094437">
        <w:rPr>
          <w:rFonts w:ascii="Verdana" w:hAnsi="Verdana"/>
          <w:sz w:val="17"/>
          <w:szCs w:val="17"/>
        </w:rPr>
        <w:br/>
      </w:r>
      <w:r w:rsidRPr="00094437">
        <w:rPr>
          <w:rFonts w:ascii="Verdana" w:hAnsi="Verdana"/>
          <w:sz w:val="17"/>
          <w:szCs w:val="17"/>
        </w:rPr>
        <w:br/>
        <w:t xml:space="preserve">Reviewer 1 raises some important points, the most important of which is the issue of the single animals. We, and the reviewer </w:t>
      </w:r>
      <w:proofErr w:type="spellStart"/>
      <w:r w:rsidRPr="00094437">
        <w:rPr>
          <w:rFonts w:ascii="Verdana" w:hAnsi="Verdana"/>
          <w:sz w:val="17"/>
          <w:szCs w:val="17"/>
        </w:rPr>
        <w:t>recognise</w:t>
      </w:r>
      <w:proofErr w:type="spellEnd"/>
      <w:r w:rsidRPr="00094437">
        <w:rPr>
          <w:rFonts w:ascii="Verdana" w:hAnsi="Verdana"/>
          <w:sz w:val="17"/>
          <w:szCs w:val="17"/>
        </w:rPr>
        <w:t xml:space="preserve"> the </w:t>
      </w:r>
      <w:bookmarkStart w:id="4" w:name="_GoBack"/>
      <w:bookmarkEnd w:id="4"/>
      <w:r w:rsidRPr="00094437">
        <w:rPr>
          <w:rFonts w:ascii="Verdana" w:hAnsi="Verdana"/>
          <w:sz w:val="17"/>
          <w:szCs w:val="17"/>
        </w:rPr>
        <w:t xml:space="preserve">difficulty and time need to study additional animals which would be way beyond the timescale of this Special Issue. As the reviewer suggests, perhaps you could tone down the conclusions and discuss caveats associated with single animals. Rather than re-drafting as a review as he/she suggests, perhaps put the findings more in a framework of 'preliminary observations'. This reviewer also </w:t>
      </w:r>
      <w:proofErr w:type="gramStart"/>
      <w:r w:rsidRPr="00094437">
        <w:rPr>
          <w:rFonts w:ascii="Verdana" w:hAnsi="Verdana"/>
          <w:sz w:val="17"/>
          <w:szCs w:val="17"/>
        </w:rPr>
        <w:t>raise</w:t>
      </w:r>
      <w:proofErr w:type="gramEnd"/>
      <w:r w:rsidRPr="00094437">
        <w:rPr>
          <w:rFonts w:ascii="Verdana" w:hAnsi="Verdana"/>
          <w:sz w:val="17"/>
          <w:szCs w:val="17"/>
        </w:rPr>
        <w:t xml:space="preserve"> the points about 'ceiling' effects and several other points that will clearly improve your paper. The issues raised by reviewer 2 can mostly be addressed by clarification of the text and inclusion of additional references. He/she points out several errors in Figure 1 and suggests leaving it out. </w:t>
      </w:r>
      <w:r w:rsidRPr="00094437">
        <w:rPr>
          <w:rFonts w:ascii="Verdana" w:hAnsi="Verdana"/>
          <w:sz w:val="17"/>
          <w:szCs w:val="17"/>
        </w:rPr>
        <w:br/>
      </w:r>
      <w:r w:rsidRPr="00094437">
        <w:rPr>
          <w:rFonts w:ascii="Verdana" w:hAnsi="Verdana"/>
          <w:sz w:val="17"/>
          <w:szCs w:val="17"/>
        </w:rPr>
        <w:br/>
        <w:t xml:space="preserve">In </w:t>
      </w:r>
      <w:proofErr w:type="gramStart"/>
      <w:r w:rsidRPr="00094437">
        <w:rPr>
          <w:rFonts w:ascii="Verdana" w:hAnsi="Verdana"/>
          <w:sz w:val="17"/>
          <w:szCs w:val="17"/>
        </w:rPr>
        <w:t>addition</w:t>
      </w:r>
      <w:proofErr w:type="gramEnd"/>
      <w:r w:rsidRPr="00094437">
        <w:rPr>
          <w:rFonts w:ascii="Verdana" w:hAnsi="Verdana"/>
          <w:sz w:val="17"/>
          <w:szCs w:val="17"/>
        </w:rPr>
        <w:t xml:space="preserve"> we noted the following points that relate to specific requirements of EJN. </w:t>
      </w:r>
      <w:r w:rsidRPr="00094437">
        <w:rPr>
          <w:rFonts w:ascii="Verdana" w:hAnsi="Verdana"/>
          <w:sz w:val="17"/>
          <w:szCs w:val="17"/>
        </w:rPr>
        <w:br/>
        <w:t xml:space="preserve">- The references are not quite in EJN style (too many authors named in in-text citations, all authors should be included in the list and some extraneous information is included for some references e.g. Baxter et al 2000). </w:t>
      </w:r>
      <w:r w:rsidRPr="00094437">
        <w:rPr>
          <w:rFonts w:ascii="Verdana" w:hAnsi="Verdana"/>
          <w:sz w:val="17"/>
          <w:szCs w:val="17"/>
        </w:rPr>
        <w:br/>
        <w:t xml:space="preserve">- Please include the heading 'Introduction'. </w:t>
      </w:r>
      <w:r w:rsidRPr="00094437">
        <w:rPr>
          <w:rFonts w:ascii="Verdana" w:hAnsi="Verdana"/>
          <w:sz w:val="17"/>
          <w:szCs w:val="17"/>
        </w:rPr>
        <w:br/>
        <w:t xml:space="preserve">- Author contributions, COI and data statements are needed </w:t>
      </w:r>
      <w:r w:rsidRPr="00094437">
        <w:rPr>
          <w:rFonts w:ascii="Verdana" w:hAnsi="Verdana"/>
          <w:sz w:val="17"/>
          <w:szCs w:val="17"/>
        </w:rPr>
        <w:br/>
        <w:t xml:space="preserve">- Abbreviation list is needed </w:t>
      </w:r>
      <w:r w:rsidRPr="00094437">
        <w:rPr>
          <w:rFonts w:ascii="Verdana" w:hAnsi="Verdana"/>
          <w:sz w:val="17"/>
          <w:szCs w:val="17"/>
        </w:rPr>
        <w:br/>
        <w:t xml:space="preserve">- Scale bars needed for Fig 3 </w:t>
      </w:r>
      <w:r w:rsidRPr="00094437">
        <w:rPr>
          <w:rFonts w:ascii="Verdana" w:hAnsi="Verdana"/>
          <w:sz w:val="17"/>
          <w:szCs w:val="17"/>
        </w:rPr>
        <w:br/>
      </w:r>
      <w:r w:rsidRPr="00094437">
        <w:rPr>
          <w:rFonts w:ascii="Verdana" w:hAnsi="Verdana"/>
          <w:sz w:val="17"/>
          <w:szCs w:val="17"/>
        </w:rPr>
        <w:br/>
        <w:t xml:space="preserve">When revising the manuscript, please embolden or underline major changes to the text so they are easily identifiable and DO NOT leave 'track change' formatting marks in your paper. Please ensure that you provide a text and a figure file for the Graphical Abstract (as detailed in the instructions below). When carrying out your revisions please refer to the checklist below and visit the EJN author guidelines at www.ejneuroscience.org </w:t>
      </w:r>
      <w:r w:rsidRPr="00094437">
        <w:rPr>
          <w:rFonts w:ascii="Verdana" w:hAnsi="Verdana"/>
          <w:sz w:val="17"/>
          <w:szCs w:val="17"/>
        </w:rPr>
        <w:br/>
      </w:r>
      <w:r w:rsidRPr="00094437">
        <w:rPr>
          <w:rFonts w:ascii="Verdana" w:hAnsi="Verdana"/>
          <w:sz w:val="17"/>
          <w:szCs w:val="17"/>
        </w:rPr>
        <w:br/>
        <w:t>When finalized, please upload your complete revised manuscript onto the website, as a Word file (.doc, or .</w:t>
      </w:r>
      <w:proofErr w:type="spellStart"/>
      <w:r w:rsidRPr="00094437">
        <w:rPr>
          <w:rFonts w:ascii="Verdana" w:hAnsi="Verdana"/>
          <w:sz w:val="17"/>
          <w:szCs w:val="17"/>
        </w:rPr>
        <w:t>docx</w:t>
      </w:r>
      <w:proofErr w:type="spellEnd"/>
      <w:r w:rsidRPr="00094437">
        <w:rPr>
          <w:rFonts w:ascii="Verdana" w:hAnsi="Verdana"/>
          <w:sz w:val="17"/>
          <w:szCs w:val="17"/>
        </w:rPr>
        <w:t xml:space="preserve">). Please also ensure that a complete set of tables and figures is included as separate files, even if these have not changed from the originals. At this stage it is necessary to provide high resolution figures. Please see important instructions below. </w:t>
      </w:r>
      <w:r w:rsidRPr="00094437">
        <w:rPr>
          <w:rFonts w:ascii="Verdana" w:hAnsi="Verdana"/>
          <w:sz w:val="17"/>
          <w:szCs w:val="17"/>
        </w:rPr>
        <w:br/>
      </w:r>
      <w:r w:rsidRPr="00094437">
        <w:rPr>
          <w:rFonts w:ascii="Verdana" w:hAnsi="Verdana"/>
          <w:sz w:val="17"/>
          <w:szCs w:val="17"/>
        </w:rPr>
        <w:br/>
        <w:t xml:space="preserve">Please go into https://mc.manuscriptcentral.com/ejn - Author Centre - manuscripts with decisions where you will find a 'create a revision' link under 'actions'. We ask that you please indicate the way in which you have responded to the points raised by the Editors and Reviewers in a letter. Please upload this response letter as a separate Word (.doc or PDF) file using the file designation "Authors' Response to Reviewers" when uploading your manuscript files. Please DO NOT submit your revised manuscript as a new one. Also, please note that only the Author who submitted the original version of the manuscript should submit a revised version. </w:t>
      </w:r>
      <w:r w:rsidRPr="00094437">
        <w:rPr>
          <w:rFonts w:ascii="Verdana" w:hAnsi="Verdana"/>
          <w:sz w:val="17"/>
          <w:szCs w:val="17"/>
        </w:rPr>
        <w:br/>
      </w:r>
      <w:r w:rsidRPr="00094437">
        <w:rPr>
          <w:rFonts w:ascii="Verdana" w:hAnsi="Verdana"/>
          <w:sz w:val="17"/>
          <w:szCs w:val="17"/>
        </w:rPr>
        <w:br/>
        <w:t xml:space="preserve">If you </w:t>
      </w:r>
      <w:proofErr w:type="gramStart"/>
      <w:r w:rsidRPr="00094437">
        <w:rPr>
          <w:rFonts w:ascii="Verdana" w:hAnsi="Verdana"/>
          <w:sz w:val="17"/>
          <w:szCs w:val="17"/>
        </w:rPr>
        <w:t>are able to</w:t>
      </w:r>
      <w:proofErr w:type="gramEnd"/>
      <w:r w:rsidRPr="00094437">
        <w:rPr>
          <w:rFonts w:ascii="Verdana" w:hAnsi="Verdana"/>
          <w:sz w:val="17"/>
          <w:szCs w:val="17"/>
        </w:rPr>
        <w:t xml:space="preserve"> respond fully to the points raised, we would be pleased to receive a revision of your paper within 12 weeks. </w:t>
      </w:r>
      <w:r w:rsidRPr="00094437">
        <w:rPr>
          <w:rFonts w:ascii="Verdana" w:hAnsi="Verdana"/>
          <w:sz w:val="17"/>
          <w:szCs w:val="17"/>
        </w:rPr>
        <w:br/>
      </w:r>
      <w:r w:rsidRPr="00094437">
        <w:rPr>
          <w:rFonts w:ascii="Verdana" w:hAnsi="Verdana"/>
          <w:sz w:val="17"/>
          <w:szCs w:val="17"/>
        </w:rPr>
        <w:lastRenderedPageBreak/>
        <w:br/>
        <w:t xml:space="preserve">Thank you for your support of this Special Issue of EJN. </w:t>
      </w:r>
      <w:r w:rsidRPr="00094437">
        <w:rPr>
          <w:rFonts w:ascii="Verdana" w:hAnsi="Verdana"/>
          <w:sz w:val="17"/>
          <w:szCs w:val="17"/>
        </w:rPr>
        <w:br/>
      </w:r>
      <w:r w:rsidRPr="00094437">
        <w:rPr>
          <w:rFonts w:ascii="Verdana" w:hAnsi="Verdana"/>
          <w:sz w:val="17"/>
          <w:szCs w:val="17"/>
        </w:rPr>
        <w:br/>
        <w:t xml:space="preserve">Best wishes, </w:t>
      </w:r>
      <w:r w:rsidRPr="00094437">
        <w:rPr>
          <w:rFonts w:ascii="Verdana" w:hAnsi="Verdana"/>
          <w:sz w:val="17"/>
          <w:szCs w:val="17"/>
        </w:rPr>
        <w:br/>
      </w:r>
      <w:r w:rsidRPr="00094437">
        <w:rPr>
          <w:rFonts w:ascii="Verdana" w:hAnsi="Verdana"/>
          <w:sz w:val="17"/>
          <w:szCs w:val="17"/>
        </w:rPr>
        <w:br/>
        <w:t xml:space="preserve">Paul &amp; John </w:t>
      </w:r>
      <w:r w:rsidRPr="00094437">
        <w:rPr>
          <w:rFonts w:ascii="Verdana" w:hAnsi="Verdana"/>
          <w:sz w:val="17"/>
          <w:szCs w:val="17"/>
        </w:rPr>
        <w:br/>
      </w:r>
      <w:r w:rsidRPr="00094437">
        <w:rPr>
          <w:rFonts w:ascii="Verdana" w:hAnsi="Verdana"/>
          <w:sz w:val="17"/>
          <w:szCs w:val="17"/>
        </w:rPr>
        <w:br/>
        <w:t xml:space="preserve">Paul </w:t>
      </w:r>
      <w:proofErr w:type="spellStart"/>
      <w:r w:rsidRPr="00094437">
        <w:rPr>
          <w:rFonts w:ascii="Verdana" w:hAnsi="Verdana"/>
          <w:sz w:val="17"/>
          <w:szCs w:val="17"/>
        </w:rPr>
        <w:t>Bolam</w:t>
      </w:r>
      <w:proofErr w:type="spellEnd"/>
      <w:r w:rsidRPr="00094437">
        <w:rPr>
          <w:rFonts w:ascii="Verdana" w:hAnsi="Verdana"/>
          <w:sz w:val="17"/>
          <w:szCs w:val="17"/>
        </w:rPr>
        <w:t xml:space="preserve"> &amp; John Foxe </w:t>
      </w:r>
      <w:r w:rsidRPr="00094437">
        <w:rPr>
          <w:rFonts w:ascii="Verdana" w:hAnsi="Verdana"/>
          <w:sz w:val="17"/>
          <w:szCs w:val="17"/>
        </w:rPr>
        <w:br/>
        <w:t xml:space="preserve">co-Editors in Chief, EJN </w:t>
      </w:r>
      <w:r w:rsidRPr="00094437">
        <w:rPr>
          <w:rFonts w:ascii="Verdana" w:hAnsi="Verdana"/>
          <w:sz w:val="17"/>
          <w:szCs w:val="17"/>
        </w:rPr>
        <w:br/>
      </w:r>
      <w:r w:rsidRPr="00094437">
        <w:rPr>
          <w:rFonts w:ascii="Verdana" w:hAnsi="Verdana"/>
          <w:sz w:val="17"/>
          <w:szCs w:val="17"/>
        </w:rPr>
        <w:br/>
      </w:r>
      <w:r w:rsidRPr="00094437">
        <w:rPr>
          <w:rFonts w:ascii="Verdana" w:hAnsi="Verdana"/>
          <w:sz w:val="17"/>
          <w:szCs w:val="17"/>
        </w:rPr>
        <w:br/>
        <w:t xml:space="preserve">Reviews: </w:t>
      </w:r>
      <w:r w:rsidRPr="00094437">
        <w:rPr>
          <w:rFonts w:ascii="Verdana" w:hAnsi="Verdana"/>
          <w:sz w:val="17"/>
          <w:szCs w:val="17"/>
        </w:rPr>
        <w:br/>
      </w:r>
      <w:r w:rsidRPr="00094437">
        <w:rPr>
          <w:rFonts w:ascii="Verdana" w:hAnsi="Verdana"/>
          <w:sz w:val="17"/>
          <w:szCs w:val="17"/>
        </w:rPr>
        <w:br/>
        <w:t xml:space="preserve">Reviewer: 1 </w:t>
      </w:r>
      <w:r w:rsidRPr="00094437">
        <w:rPr>
          <w:rFonts w:ascii="Verdana" w:hAnsi="Verdana"/>
          <w:sz w:val="17"/>
          <w:szCs w:val="17"/>
        </w:rPr>
        <w:br/>
      </w:r>
      <w:r w:rsidRPr="00094437">
        <w:rPr>
          <w:rFonts w:ascii="Verdana" w:hAnsi="Verdana"/>
          <w:sz w:val="17"/>
          <w:szCs w:val="17"/>
        </w:rPr>
        <w:br/>
        <w:t xml:space="preserve">Comments to the Author </w:t>
      </w:r>
      <w:r w:rsidRPr="00094437">
        <w:rPr>
          <w:rFonts w:ascii="Verdana" w:hAnsi="Verdana"/>
          <w:sz w:val="17"/>
          <w:szCs w:val="17"/>
        </w:rPr>
        <w:br/>
        <w:t xml:space="preserve">General comments: </w:t>
      </w:r>
      <w:r w:rsidRPr="00094437">
        <w:rPr>
          <w:rFonts w:ascii="Verdana" w:hAnsi="Verdana"/>
          <w:sz w:val="17"/>
          <w:szCs w:val="17"/>
        </w:rPr>
        <w:br/>
      </w:r>
      <w:r w:rsidRPr="00094437">
        <w:rPr>
          <w:rFonts w:ascii="Verdana" w:hAnsi="Verdana"/>
          <w:sz w:val="17"/>
          <w:szCs w:val="17"/>
        </w:rPr>
        <w:br/>
        <w:t>(1) This submission investigates the roles of two divisions of the mediodorsal thalamus (MD), the magnocellular (</w:t>
      </w:r>
      <w:proofErr w:type="spellStart"/>
      <w:r w:rsidRPr="00094437">
        <w:rPr>
          <w:rFonts w:ascii="Verdana" w:hAnsi="Verdana"/>
          <w:sz w:val="17"/>
          <w:szCs w:val="17"/>
        </w:rPr>
        <w:t>MDmc</w:t>
      </w:r>
      <w:proofErr w:type="spellEnd"/>
      <w:r w:rsidRPr="00094437">
        <w:rPr>
          <w:rFonts w:ascii="Verdana" w:hAnsi="Verdana"/>
          <w:sz w:val="17"/>
          <w:szCs w:val="17"/>
        </w:rPr>
        <w:t>) and parvocellular (</w:t>
      </w:r>
      <w:proofErr w:type="spellStart"/>
      <w:r w:rsidRPr="00094437">
        <w:rPr>
          <w:rFonts w:ascii="Verdana" w:hAnsi="Verdana"/>
          <w:sz w:val="17"/>
          <w:szCs w:val="17"/>
        </w:rPr>
        <w:t>MDpc</w:t>
      </w:r>
      <w:proofErr w:type="spellEnd"/>
      <w:r w:rsidRPr="00094437">
        <w:rPr>
          <w:rFonts w:ascii="Verdana" w:hAnsi="Verdana"/>
          <w:sz w:val="17"/>
          <w:szCs w:val="17"/>
        </w:rPr>
        <w:t xml:space="preserve">) divisions, in learning and reward devaluation. This is a valuable area of research because the MD is extensively anatomically connected with the prefrontal cortex (PFC) and there is growing evidence that MD can have a significant influence on PFC neural activity and PFC-dependent functions. Using neurotoxic lesions in macaque monkeys, the authors report that there is a dissociation of function for </w:t>
      </w:r>
      <w:proofErr w:type="spellStart"/>
      <w:r w:rsidRPr="00094437">
        <w:rPr>
          <w:rFonts w:ascii="Verdana" w:hAnsi="Verdana"/>
          <w:sz w:val="17"/>
          <w:szCs w:val="17"/>
        </w:rPr>
        <w:t>MDmc</w:t>
      </w:r>
      <w:proofErr w:type="spellEnd"/>
      <w:r w:rsidRPr="00094437">
        <w:rPr>
          <w:rFonts w:ascii="Verdana" w:hAnsi="Verdana"/>
          <w:sz w:val="17"/>
          <w:szCs w:val="17"/>
        </w:rPr>
        <w:t xml:space="preserve"> and </w:t>
      </w:r>
      <w:proofErr w:type="spellStart"/>
      <w:r w:rsidRPr="00094437">
        <w:rPr>
          <w:rFonts w:ascii="Verdana" w:hAnsi="Verdana"/>
          <w:sz w:val="17"/>
          <w:szCs w:val="17"/>
        </w:rPr>
        <w:t>MDpc</w:t>
      </w:r>
      <w:proofErr w:type="spellEnd"/>
      <w:r w:rsidRPr="00094437">
        <w:rPr>
          <w:rFonts w:ascii="Verdana" w:hAnsi="Verdana"/>
          <w:sz w:val="17"/>
          <w:szCs w:val="17"/>
        </w:rPr>
        <w:t xml:space="preserve">. Specifically, </w:t>
      </w:r>
      <w:proofErr w:type="spellStart"/>
      <w:r w:rsidRPr="00094437">
        <w:rPr>
          <w:rFonts w:ascii="Verdana" w:hAnsi="Verdana"/>
          <w:sz w:val="17"/>
          <w:szCs w:val="17"/>
        </w:rPr>
        <w:t>MDmc</w:t>
      </w:r>
      <w:proofErr w:type="spellEnd"/>
      <w:r w:rsidRPr="00094437">
        <w:rPr>
          <w:rFonts w:ascii="Verdana" w:hAnsi="Verdana"/>
          <w:sz w:val="17"/>
          <w:szCs w:val="17"/>
        </w:rPr>
        <w:t xml:space="preserve"> supports new learning in the object-in-place task (confirming results in previous publications: Mitchell, Browning, et al., 2007; Browning et al., 2015), whereas </w:t>
      </w:r>
      <w:proofErr w:type="spellStart"/>
      <w:r w:rsidRPr="00094437">
        <w:rPr>
          <w:rFonts w:ascii="Verdana" w:hAnsi="Verdana"/>
          <w:sz w:val="17"/>
          <w:szCs w:val="17"/>
        </w:rPr>
        <w:t>MDpc</w:t>
      </w:r>
      <w:proofErr w:type="spellEnd"/>
      <w:r w:rsidRPr="00094437">
        <w:rPr>
          <w:rFonts w:ascii="Verdana" w:hAnsi="Verdana"/>
          <w:sz w:val="17"/>
          <w:szCs w:val="17"/>
        </w:rPr>
        <w:t xml:space="preserve"> does not; and </w:t>
      </w:r>
      <w:proofErr w:type="spellStart"/>
      <w:r w:rsidRPr="00094437">
        <w:rPr>
          <w:rFonts w:ascii="Verdana" w:hAnsi="Verdana"/>
          <w:sz w:val="17"/>
          <w:szCs w:val="17"/>
        </w:rPr>
        <w:t>MDpc</w:t>
      </w:r>
      <w:proofErr w:type="spellEnd"/>
      <w:r w:rsidRPr="00094437">
        <w:rPr>
          <w:rFonts w:ascii="Verdana" w:hAnsi="Verdana"/>
          <w:sz w:val="17"/>
          <w:szCs w:val="17"/>
        </w:rPr>
        <w:t xml:space="preserve"> contributes to reward devaluation, as can </w:t>
      </w:r>
      <w:proofErr w:type="spellStart"/>
      <w:r w:rsidRPr="00094437">
        <w:rPr>
          <w:rFonts w:ascii="Verdana" w:hAnsi="Verdana"/>
          <w:sz w:val="17"/>
          <w:szCs w:val="17"/>
        </w:rPr>
        <w:t>MDmc</w:t>
      </w:r>
      <w:proofErr w:type="spellEnd"/>
      <w:r w:rsidRPr="00094437">
        <w:rPr>
          <w:rFonts w:ascii="Verdana" w:hAnsi="Verdana"/>
          <w:sz w:val="17"/>
          <w:szCs w:val="17"/>
        </w:rPr>
        <w:t xml:space="preserve"> (in line with published </w:t>
      </w:r>
      <w:proofErr w:type="spellStart"/>
      <w:r w:rsidRPr="00094437">
        <w:rPr>
          <w:rFonts w:ascii="Verdana" w:hAnsi="Verdana"/>
          <w:sz w:val="17"/>
          <w:szCs w:val="17"/>
        </w:rPr>
        <w:t>MDmc</w:t>
      </w:r>
      <w:proofErr w:type="spellEnd"/>
      <w:r w:rsidRPr="00094437">
        <w:rPr>
          <w:rFonts w:ascii="Verdana" w:hAnsi="Verdana"/>
          <w:sz w:val="17"/>
          <w:szCs w:val="17"/>
        </w:rPr>
        <w:t xml:space="preserve"> results). However, this report is based on one monkey with a lesion of </w:t>
      </w:r>
      <w:proofErr w:type="spellStart"/>
      <w:r w:rsidRPr="00094437">
        <w:rPr>
          <w:rFonts w:ascii="Verdana" w:hAnsi="Verdana"/>
          <w:sz w:val="17"/>
          <w:szCs w:val="17"/>
        </w:rPr>
        <w:t>MDpc</w:t>
      </w:r>
      <w:proofErr w:type="spellEnd"/>
      <w:r w:rsidRPr="00094437">
        <w:rPr>
          <w:rFonts w:ascii="Verdana" w:hAnsi="Verdana"/>
          <w:sz w:val="17"/>
          <w:szCs w:val="17"/>
        </w:rPr>
        <w:t xml:space="preserve"> only (subject MDP1), in this case bilateral (as well as one monkey with a bilateral </w:t>
      </w:r>
      <w:proofErr w:type="spellStart"/>
      <w:r w:rsidRPr="00094437">
        <w:rPr>
          <w:rFonts w:ascii="Verdana" w:hAnsi="Verdana"/>
          <w:sz w:val="17"/>
          <w:szCs w:val="17"/>
        </w:rPr>
        <w:t>MDmc</w:t>
      </w:r>
      <w:proofErr w:type="spellEnd"/>
      <w:r w:rsidRPr="00094437">
        <w:rPr>
          <w:rFonts w:ascii="Verdana" w:hAnsi="Verdana"/>
          <w:sz w:val="17"/>
          <w:szCs w:val="17"/>
        </w:rPr>
        <w:t xml:space="preserve"> and </w:t>
      </w:r>
      <w:proofErr w:type="spellStart"/>
      <w:r w:rsidRPr="00094437">
        <w:rPr>
          <w:rFonts w:ascii="Verdana" w:hAnsi="Verdana"/>
          <w:sz w:val="17"/>
          <w:szCs w:val="17"/>
        </w:rPr>
        <w:t>MDpc</w:t>
      </w:r>
      <w:proofErr w:type="spellEnd"/>
      <w:r w:rsidRPr="00094437">
        <w:rPr>
          <w:rFonts w:ascii="Verdana" w:hAnsi="Verdana"/>
          <w:sz w:val="17"/>
          <w:szCs w:val="17"/>
        </w:rPr>
        <w:t xml:space="preserve"> lesion (MDP4), one monkey with a unilateral </w:t>
      </w:r>
      <w:proofErr w:type="spellStart"/>
      <w:r w:rsidRPr="00094437">
        <w:rPr>
          <w:rFonts w:ascii="Verdana" w:hAnsi="Verdana"/>
          <w:sz w:val="17"/>
          <w:szCs w:val="17"/>
        </w:rPr>
        <w:t>MDmc</w:t>
      </w:r>
      <w:proofErr w:type="spellEnd"/>
      <w:r w:rsidRPr="00094437">
        <w:rPr>
          <w:rFonts w:ascii="Verdana" w:hAnsi="Verdana"/>
          <w:sz w:val="17"/>
          <w:szCs w:val="17"/>
        </w:rPr>
        <w:t xml:space="preserve"> and </w:t>
      </w:r>
      <w:proofErr w:type="spellStart"/>
      <w:r w:rsidRPr="00094437">
        <w:rPr>
          <w:rFonts w:ascii="Verdana" w:hAnsi="Verdana"/>
          <w:sz w:val="17"/>
          <w:szCs w:val="17"/>
        </w:rPr>
        <w:t>MDpc</w:t>
      </w:r>
      <w:proofErr w:type="spellEnd"/>
      <w:r w:rsidRPr="00094437">
        <w:rPr>
          <w:rFonts w:ascii="Verdana" w:hAnsi="Verdana"/>
          <w:sz w:val="17"/>
          <w:szCs w:val="17"/>
        </w:rPr>
        <w:t xml:space="preserve"> lesion (MDP2), and one monkey with a </w:t>
      </w:r>
      <w:proofErr w:type="spellStart"/>
      <w:r w:rsidRPr="00094437">
        <w:rPr>
          <w:rFonts w:ascii="Verdana" w:hAnsi="Verdana"/>
          <w:sz w:val="17"/>
          <w:szCs w:val="17"/>
        </w:rPr>
        <w:t>MDmc</w:t>
      </w:r>
      <w:proofErr w:type="spellEnd"/>
      <w:r w:rsidRPr="00094437">
        <w:rPr>
          <w:rFonts w:ascii="Verdana" w:hAnsi="Verdana"/>
          <w:sz w:val="17"/>
          <w:szCs w:val="17"/>
        </w:rPr>
        <w:t xml:space="preserve"> and midline thalamic lesion (MDP3)). Because the consensus in the field appears to be the use of two or more animals for each lesion group to show that an effect generalizes, the single case for each lesion type complicates interpretation of the data. </w:t>
      </w:r>
      <w:r w:rsidRPr="00094437">
        <w:rPr>
          <w:rFonts w:ascii="Verdana" w:hAnsi="Verdana"/>
          <w:sz w:val="17"/>
          <w:szCs w:val="17"/>
        </w:rPr>
        <w:br/>
      </w:r>
      <w:r w:rsidRPr="00094437">
        <w:rPr>
          <w:rFonts w:ascii="Verdana" w:hAnsi="Verdana"/>
          <w:sz w:val="17"/>
          <w:szCs w:val="17"/>
        </w:rPr>
        <w:br/>
        <w:t xml:space="preserve">(2) A couple of suggestions on how to move forward with this submission. One, although the high level of difficulty in primate studies is appreciated, the study would be significantly strengthened with the addition of a second animal with a </w:t>
      </w:r>
      <w:proofErr w:type="spellStart"/>
      <w:r w:rsidRPr="00094437">
        <w:rPr>
          <w:rFonts w:ascii="Verdana" w:hAnsi="Verdana"/>
          <w:sz w:val="17"/>
          <w:szCs w:val="17"/>
        </w:rPr>
        <w:t>MDpc</w:t>
      </w:r>
      <w:proofErr w:type="spellEnd"/>
      <w:r w:rsidRPr="00094437">
        <w:rPr>
          <w:rFonts w:ascii="Verdana" w:hAnsi="Verdana"/>
          <w:sz w:val="17"/>
          <w:szCs w:val="17"/>
        </w:rPr>
        <w:t xml:space="preserve"> lesion only, even though this would take considerable additional time. A second option is to revise the manuscript with a more cautious tone when interpreting data. This might involve reframing the paper as more of a review, with the single-case data prefaced with a phrase such as “the preliminary data show…”. Specific comments below. </w:t>
      </w:r>
      <w:r w:rsidRPr="00094437">
        <w:rPr>
          <w:rFonts w:ascii="Verdana" w:hAnsi="Verdana"/>
          <w:sz w:val="17"/>
          <w:szCs w:val="17"/>
        </w:rPr>
        <w:br/>
      </w:r>
      <w:r w:rsidRPr="00094437">
        <w:rPr>
          <w:rFonts w:ascii="Verdana" w:hAnsi="Verdana"/>
          <w:sz w:val="17"/>
          <w:szCs w:val="17"/>
        </w:rPr>
        <w:br/>
        <w:t xml:space="preserve">Specific comments: </w:t>
      </w:r>
      <w:r w:rsidRPr="00094437">
        <w:rPr>
          <w:rFonts w:ascii="Verdana" w:hAnsi="Verdana"/>
          <w:sz w:val="17"/>
          <w:szCs w:val="17"/>
        </w:rPr>
        <w:br/>
      </w:r>
      <w:r w:rsidRPr="00094437">
        <w:rPr>
          <w:rFonts w:ascii="Verdana" w:hAnsi="Verdana"/>
          <w:sz w:val="17"/>
          <w:szCs w:val="17"/>
        </w:rPr>
        <w:br/>
        <w:t xml:space="preserve">Major: </w:t>
      </w:r>
      <w:r w:rsidRPr="00094437">
        <w:rPr>
          <w:rFonts w:ascii="Verdana" w:hAnsi="Verdana"/>
          <w:sz w:val="17"/>
          <w:szCs w:val="17"/>
        </w:rPr>
        <w:br/>
      </w:r>
      <w:r w:rsidRPr="00094437">
        <w:rPr>
          <w:rFonts w:ascii="Verdana" w:hAnsi="Verdana"/>
          <w:sz w:val="17"/>
          <w:szCs w:val="17"/>
        </w:rPr>
        <w:br/>
        <w:t xml:space="preserve">(3) RE: Object discrimination and reward devaluation, e.g., Table 3. Monkey MDP1 at baseline nearly always chose the M&amp;M option (baseline </w:t>
      </w:r>
      <w:proofErr w:type="gramStart"/>
      <w:r w:rsidRPr="00094437">
        <w:rPr>
          <w:rFonts w:ascii="Verdana" w:hAnsi="Verdana"/>
          <w:sz w:val="17"/>
          <w:szCs w:val="17"/>
        </w:rPr>
        <w:t>M:P</w:t>
      </w:r>
      <w:proofErr w:type="gramEnd"/>
      <w:r w:rsidRPr="00094437">
        <w:rPr>
          <w:rFonts w:ascii="Verdana" w:hAnsi="Verdana"/>
          <w:sz w:val="17"/>
          <w:szCs w:val="17"/>
        </w:rPr>
        <w:t xml:space="preserve"> ratio of 29.5:0.5; as did MDP2). This would seem to bias the “difference score” used to assess devaluation? For example, peanut satiation trials are difficult to interpret because the monkey is already at ceiling, i.e., the monkey cannot choose M&amp;Ms any more often than it had at baseline. </w:t>
      </w:r>
      <w:r w:rsidRPr="00094437">
        <w:rPr>
          <w:rFonts w:ascii="Verdana" w:hAnsi="Verdana"/>
          <w:sz w:val="17"/>
          <w:szCs w:val="17"/>
        </w:rPr>
        <w:br/>
      </w:r>
      <w:r w:rsidRPr="00094437">
        <w:rPr>
          <w:rFonts w:ascii="Verdana" w:hAnsi="Verdana"/>
          <w:sz w:val="17"/>
          <w:szCs w:val="17"/>
        </w:rPr>
        <w:br/>
        <w:t xml:space="preserve">(4) The normative sample for the single case analysis are the control animals in Mitchell, Browning, et al. (2007), three of which (out of four) do not nearly always choose M&amp;Ms over peanuts. Without the ceiling effect (discussed in point 3 above), this would seem to allow larger difference scores for the normative sample? How was this </w:t>
      </w:r>
      <w:proofErr w:type="gramStart"/>
      <w:r w:rsidRPr="00094437">
        <w:rPr>
          <w:rFonts w:ascii="Verdana" w:hAnsi="Verdana"/>
          <w:sz w:val="17"/>
          <w:szCs w:val="17"/>
        </w:rPr>
        <w:t>taken into account</w:t>
      </w:r>
      <w:proofErr w:type="gramEnd"/>
      <w:r w:rsidRPr="00094437">
        <w:rPr>
          <w:rFonts w:ascii="Verdana" w:hAnsi="Verdana"/>
          <w:sz w:val="17"/>
          <w:szCs w:val="17"/>
        </w:rPr>
        <w:t xml:space="preserve"> in the single trial analysis for reward devaluation? </w:t>
      </w:r>
      <w:r w:rsidRPr="00094437">
        <w:rPr>
          <w:rFonts w:ascii="Verdana" w:hAnsi="Verdana"/>
          <w:sz w:val="17"/>
          <w:szCs w:val="17"/>
        </w:rPr>
        <w:br/>
      </w:r>
      <w:r w:rsidRPr="00094437">
        <w:rPr>
          <w:rFonts w:ascii="Verdana" w:hAnsi="Verdana"/>
          <w:sz w:val="17"/>
          <w:szCs w:val="17"/>
        </w:rPr>
        <w:br/>
        <w:t xml:space="preserve">(5) As MDP1 and MDP2 clearly valued M&amp;Ms over peanuts, it might be preferable to separately analyze the M&amp;M satiation trials and peanut satiation trials, rather than combine them as done here for the difference score. That is, what are the statistics on the difference score when using only the M&amp;M satiation trials? </w:t>
      </w:r>
      <w:r w:rsidRPr="00094437">
        <w:rPr>
          <w:rFonts w:ascii="Verdana" w:hAnsi="Verdana"/>
          <w:sz w:val="17"/>
          <w:szCs w:val="17"/>
        </w:rPr>
        <w:br/>
      </w:r>
      <w:r w:rsidRPr="00094437">
        <w:rPr>
          <w:rFonts w:ascii="Verdana" w:hAnsi="Verdana"/>
          <w:sz w:val="17"/>
          <w:szCs w:val="17"/>
        </w:rPr>
        <w:br/>
        <w:t xml:space="preserve">(6) RE: Object-in-place learning, e.g., Table 2 and Figure 4. The animal with a unilateral MD and midline lesion (MDP3) showed recovery of function. For the other </w:t>
      </w:r>
      <w:proofErr w:type="spellStart"/>
      <w:r w:rsidRPr="00094437">
        <w:rPr>
          <w:rFonts w:ascii="Verdana" w:hAnsi="Verdana"/>
          <w:sz w:val="17"/>
          <w:szCs w:val="17"/>
        </w:rPr>
        <w:t>MDmc</w:t>
      </w:r>
      <w:proofErr w:type="spellEnd"/>
      <w:r w:rsidRPr="00094437">
        <w:rPr>
          <w:rFonts w:ascii="Verdana" w:hAnsi="Verdana"/>
          <w:sz w:val="17"/>
          <w:szCs w:val="17"/>
        </w:rPr>
        <w:t xml:space="preserve">-lesioned animals (MDP2 and MDP4), is performance on posttest1 and posttest 2 significantly different? </w:t>
      </w:r>
      <w:r w:rsidRPr="00094437">
        <w:rPr>
          <w:rFonts w:ascii="Verdana" w:hAnsi="Verdana"/>
          <w:sz w:val="17"/>
          <w:szCs w:val="17"/>
        </w:rPr>
        <w:br/>
      </w:r>
      <w:r w:rsidRPr="00094437">
        <w:rPr>
          <w:rFonts w:ascii="Verdana" w:hAnsi="Verdana"/>
          <w:sz w:val="17"/>
          <w:szCs w:val="17"/>
        </w:rPr>
        <w:br/>
        <w:t xml:space="preserve">(7) One of the authors’ prior studies (Browning et al., 2015) investigated effects of unilateral </w:t>
      </w:r>
      <w:proofErr w:type="spellStart"/>
      <w:r w:rsidRPr="00094437">
        <w:rPr>
          <w:rFonts w:ascii="Verdana" w:hAnsi="Verdana"/>
          <w:sz w:val="17"/>
          <w:szCs w:val="17"/>
        </w:rPr>
        <w:t>MDmc</w:t>
      </w:r>
      <w:proofErr w:type="spellEnd"/>
      <w:r w:rsidRPr="00094437">
        <w:rPr>
          <w:rFonts w:ascii="Verdana" w:hAnsi="Verdana"/>
          <w:sz w:val="17"/>
          <w:szCs w:val="17"/>
        </w:rPr>
        <w:t xml:space="preserve"> lesions on rapid scene learning (prior to additional ablation of orbital and ventral prefrontal cortical regions) and reported that unilateral lesions impair this ability. In the current submission, the possible recovery of function seems like an important observation (one that was briefly noted in the discussion of Browning et al., 2015), and the authors might consider highlighting this in the main text, and possibly “updating” their conclusions on the effect of unilateral </w:t>
      </w:r>
      <w:proofErr w:type="spellStart"/>
      <w:r w:rsidRPr="00094437">
        <w:rPr>
          <w:rFonts w:ascii="Verdana" w:hAnsi="Verdana"/>
          <w:sz w:val="17"/>
          <w:szCs w:val="17"/>
        </w:rPr>
        <w:t>MDmc</w:t>
      </w:r>
      <w:proofErr w:type="spellEnd"/>
      <w:r w:rsidRPr="00094437">
        <w:rPr>
          <w:rFonts w:ascii="Verdana" w:hAnsi="Verdana"/>
          <w:sz w:val="17"/>
          <w:szCs w:val="17"/>
        </w:rPr>
        <w:t xml:space="preserve"> lesions on learning, drawing from available cases with unilateral </w:t>
      </w:r>
      <w:proofErr w:type="spellStart"/>
      <w:r w:rsidRPr="00094437">
        <w:rPr>
          <w:rFonts w:ascii="Verdana" w:hAnsi="Verdana"/>
          <w:sz w:val="17"/>
          <w:szCs w:val="17"/>
        </w:rPr>
        <w:t>MDmc</w:t>
      </w:r>
      <w:proofErr w:type="spellEnd"/>
      <w:r w:rsidRPr="00094437">
        <w:rPr>
          <w:rFonts w:ascii="Verdana" w:hAnsi="Verdana"/>
          <w:sz w:val="17"/>
          <w:szCs w:val="17"/>
        </w:rPr>
        <w:t xml:space="preserve"> lesions. </w:t>
      </w:r>
      <w:r w:rsidRPr="00094437">
        <w:rPr>
          <w:rFonts w:ascii="Verdana" w:hAnsi="Verdana"/>
          <w:sz w:val="17"/>
          <w:szCs w:val="17"/>
        </w:rPr>
        <w:br/>
      </w:r>
      <w:r w:rsidRPr="00094437">
        <w:rPr>
          <w:rFonts w:ascii="Verdana" w:hAnsi="Verdana"/>
          <w:sz w:val="17"/>
          <w:szCs w:val="17"/>
        </w:rPr>
        <w:br/>
        <w:t xml:space="preserve">(8) To date, the authors have performed </w:t>
      </w:r>
      <w:proofErr w:type="gramStart"/>
      <w:r w:rsidRPr="00094437">
        <w:rPr>
          <w:rFonts w:ascii="Verdana" w:hAnsi="Verdana"/>
          <w:sz w:val="17"/>
          <w:szCs w:val="17"/>
        </w:rPr>
        <w:t>a number of</w:t>
      </w:r>
      <w:proofErr w:type="gramEnd"/>
      <w:r w:rsidRPr="00094437">
        <w:rPr>
          <w:rFonts w:ascii="Verdana" w:hAnsi="Verdana"/>
          <w:sz w:val="17"/>
          <w:szCs w:val="17"/>
        </w:rPr>
        <w:t xml:space="preserve"> important studies elucidating the function of MD in learning and reward devaluation. It would be very helpful if these prior results were briefly summarized in the introduction, so that the reader can gain a sense of what is known (and what is not). </w:t>
      </w:r>
      <w:r w:rsidRPr="00094437">
        <w:rPr>
          <w:rFonts w:ascii="Verdana" w:hAnsi="Verdana"/>
          <w:sz w:val="17"/>
          <w:szCs w:val="17"/>
        </w:rPr>
        <w:br/>
      </w:r>
      <w:r w:rsidRPr="00094437">
        <w:rPr>
          <w:rFonts w:ascii="Verdana" w:hAnsi="Verdana"/>
          <w:sz w:val="17"/>
          <w:szCs w:val="17"/>
        </w:rPr>
        <w:br/>
        <w:t xml:space="preserve">Minor: </w:t>
      </w:r>
      <w:r w:rsidRPr="00094437">
        <w:rPr>
          <w:rFonts w:ascii="Verdana" w:hAnsi="Verdana"/>
          <w:sz w:val="17"/>
          <w:szCs w:val="17"/>
        </w:rPr>
        <w:br/>
      </w:r>
      <w:r w:rsidRPr="00094437">
        <w:rPr>
          <w:rFonts w:ascii="Verdana" w:hAnsi="Verdana"/>
          <w:sz w:val="17"/>
          <w:szCs w:val="17"/>
        </w:rPr>
        <w:lastRenderedPageBreak/>
        <w:br/>
        <w:t xml:space="preserve">(9) Is MDP3’s difficulty in learning the associations related to the lesion? </w:t>
      </w:r>
      <w:r w:rsidRPr="00094437">
        <w:rPr>
          <w:rFonts w:ascii="Verdana" w:hAnsi="Verdana"/>
          <w:sz w:val="17"/>
          <w:szCs w:val="17"/>
        </w:rPr>
        <w:br/>
      </w:r>
      <w:r w:rsidRPr="00094437">
        <w:rPr>
          <w:rFonts w:ascii="Verdana" w:hAnsi="Verdana"/>
          <w:sz w:val="17"/>
          <w:szCs w:val="17"/>
        </w:rPr>
        <w:br/>
        <w:t xml:space="preserve">(10) In the discussion, it might be useful to more deeply explore what it means to have attenuated devaluation. It is not clear that the monkeys are doing “less decision making” (line 459); they are making just as many decisions. </w:t>
      </w:r>
      <w:r w:rsidRPr="00094437">
        <w:rPr>
          <w:rFonts w:ascii="Verdana" w:hAnsi="Verdana"/>
          <w:sz w:val="17"/>
          <w:szCs w:val="17"/>
        </w:rPr>
        <w:br/>
      </w:r>
      <w:r w:rsidRPr="00094437">
        <w:rPr>
          <w:rFonts w:ascii="Verdana" w:hAnsi="Verdana"/>
          <w:sz w:val="17"/>
          <w:szCs w:val="17"/>
        </w:rPr>
        <w:br/>
        <w:t xml:space="preserve">(11) RE: </w:t>
      </w:r>
      <w:proofErr w:type="spellStart"/>
      <w:r w:rsidRPr="00094437">
        <w:rPr>
          <w:rFonts w:ascii="Verdana" w:hAnsi="Verdana"/>
          <w:sz w:val="17"/>
          <w:szCs w:val="17"/>
        </w:rPr>
        <w:t>MDpc</w:t>
      </w:r>
      <w:proofErr w:type="spellEnd"/>
      <w:r w:rsidRPr="00094437">
        <w:rPr>
          <w:rFonts w:ascii="Verdana" w:hAnsi="Verdana"/>
          <w:sz w:val="17"/>
          <w:szCs w:val="17"/>
        </w:rPr>
        <w:t xml:space="preserve"> lesion impacting reward devaluation. It is mentioned in the discussion that “</w:t>
      </w:r>
      <w:proofErr w:type="spellStart"/>
      <w:r w:rsidRPr="00094437">
        <w:rPr>
          <w:rFonts w:ascii="Verdana" w:hAnsi="Verdana"/>
          <w:sz w:val="17"/>
          <w:szCs w:val="17"/>
        </w:rPr>
        <w:t>MDpc</w:t>
      </w:r>
      <w:proofErr w:type="spellEnd"/>
      <w:r w:rsidRPr="00094437">
        <w:rPr>
          <w:rFonts w:ascii="Verdana" w:hAnsi="Verdana"/>
          <w:sz w:val="17"/>
          <w:szCs w:val="17"/>
        </w:rPr>
        <w:t xml:space="preserve"> receives non-reciprocal input from the orbitofrontal cortex” (line 522-523). It might be useful to briefly elaborate on this, i.e., how information about reward values might be transmitted from orbitofrontal cortex to </w:t>
      </w:r>
      <w:proofErr w:type="spellStart"/>
      <w:r w:rsidRPr="00094437">
        <w:rPr>
          <w:rFonts w:ascii="Verdana" w:hAnsi="Verdana"/>
          <w:sz w:val="17"/>
          <w:szCs w:val="17"/>
        </w:rPr>
        <w:t>MDpc</w:t>
      </w:r>
      <w:proofErr w:type="spellEnd"/>
      <w:r w:rsidRPr="00094437">
        <w:rPr>
          <w:rFonts w:ascii="Verdana" w:hAnsi="Verdana"/>
          <w:sz w:val="17"/>
          <w:szCs w:val="17"/>
        </w:rPr>
        <w:t xml:space="preserve"> and then to other brain regions. For example, </w:t>
      </w:r>
      <w:proofErr w:type="spellStart"/>
      <w:r w:rsidRPr="00094437">
        <w:rPr>
          <w:rFonts w:ascii="Verdana" w:hAnsi="Verdana"/>
          <w:sz w:val="17"/>
          <w:szCs w:val="17"/>
        </w:rPr>
        <w:t>Xaio</w:t>
      </w:r>
      <w:proofErr w:type="spellEnd"/>
      <w:r w:rsidRPr="00094437">
        <w:rPr>
          <w:rFonts w:ascii="Verdana" w:hAnsi="Verdana"/>
          <w:sz w:val="17"/>
          <w:szCs w:val="17"/>
        </w:rPr>
        <w:t xml:space="preserve"> et al. (2009) have shown that predominantly layer VI (not layer V) of orbitofrontal cortex sends projections to MD. What role could these modulatory (rather than driver) inputs play? </w:t>
      </w:r>
      <w:r w:rsidRPr="00094437">
        <w:rPr>
          <w:rFonts w:ascii="Verdana" w:hAnsi="Verdana"/>
          <w:sz w:val="17"/>
          <w:szCs w:val="17"/>
        </w:rPr>
        <w:br/>
      </w:r>
      <w:r w:rsidRPr="00094437">
        <w:rPr>
          <w:rFonts w:ascii="Verdana" w:hAnsi="Verdana"/>
          <w:sz w:val="17"/>
          <w:szCs w:val="17"/>
        </w:rPr>
        <w:br/>
      </w:r>
      <w:r w:rsidRPr="00094437">
        <w:rPr>
          <w:rFonts w:ascii="Verdana" w:hAnsi="Verdana"/>
          <w:sz w:val="17"/>
          <w:szCs w:val="17"/>
        </w:rPr>
        <w:br/>
        <w:t xml:space="preserve">Reviewer: 2 </w:t>
      </w:r>
      <w:r w:rsidRPr="00094437">
        <w:rPr>
          <w:rFonts w:ascii="Verdana" w:hAnsi="Verdana"/>
          <w:sz w:val="17"/>
          <w:szCs w:val="17"/>
        </w:rPr>
        <w:br/>
      </w:r>
      <w:r w:rsidRPr="00094437">
        <w:rPr>
          <w:rFonts w:ascii="Verdana" w:hAnsi="Verdana"/>
          <w:sz w:val="17"/>
          <w:szCs w:val="17"/>
        </w:rPr>
        <w:br/>
        <w:t xml:space="preserve">Comments to the Author </w:t>
      </w:r>
      <w:r w:rsidRPr="00094437">
        <w:rPr>
          <w:rFonts w:ascii="Verdana" w:hAnsi="Verdana"/>
          <w:sz w:val="17"/>
          <w:szCs w:val="17"/>
        </w:rPr>
        <w:br/>
        <w:t xml:space="preserve">The authors reported behavioral data related to learning and reward on four rhesus macaques with different neurotoxic lesions in the MD thalamus. The animals were tested on object-in-place scene discrimination learning task; and object discrimination learning and reinforcement devaluation tasks. The lesions in four animals include respectively </w:t>
      </w:r>
      <w:proofErr w:type="spellStart"/>
      <w:r w:rsidRPr="00094437">
        <w:rPr>
          <w:rFonts w:ascii="Verdana" w:hAnsi="Verdana"/>
          <w:sz w:val="17"/>
          <w:szCs w:val="17"/>
        </w:rPr>
        <w:t>MDpc</w:t>
      </w:r>
      <w:proofErr w:type="spellEnd"/>
      <w:r w:rsidRPr="00094437">
        <w:rPr>
          <w:rFonts w:ascii="Verdana" w:hAnsi="Verdana"/>
          <w:sz w:val="17"/>
          <w:szCs w:val="17"/>
        </w:rPr>
        <w:t xml:space="preserve"> (both sides); unilateral </w:t>
      </w:r>
      <w:proofErr w:type="spellStart"/>
      <w:r w:rsidRPr="00094437">
        <w:rPr>
          <w:rFonts w:ascii="Verdana" w:hAnsi="Verdana"/>
          <w:sz w:val="17"/>
          <w:szCs w:val="17"/>
        </w:rPr>
        <w:t>MDpc</w:t>
      </w:r>
      <w:proofErr w:type="spellEnd"/>
      <w:r w:rsidRPr="00094437">
        <w:rPr>
          <w:rFonts w:ascii="Verdana" w:hAnsi="Verdana"/>
          <w:sz w:val="17"/>
          <w:szCs w:val="17"/>
        </w:rPr>
        <w:t xml:space="preserve"> &amp; contralateral </w:t>
      </w:r>
      <w:proofErr w:type="spellStart"/>
      <w:r w:rsidRPr="00094437">
        <w:rPr>
          <w:rFonts w:ascii="Verdana" w:hAnsi="Verdana"/>
          <w:sz w:val="17"/>
          <w:szCs w:val="17"/>
        </w:rPr>
        <w:t>MDmc</w:t>
      </w:r>
      <w:proofErr w:type="spellEnd"/>
      <w:r w:rsidRPr="00094437">
        <w:rPr>
          <w:rFonts w:ascii="Verdana" w:hAnsi="Verdana"/>
          <w:sz w:val="17"/>
          <w:szCs w:val="17"/>
        </w:rPr>
        <w:t xml:space="preserve"> damage; unilateral </w:t>
      </w:r>
      <w:proofErr w:type="spellStart"/>
      <w:r w:rsidRPr="00094437">
        <w:rPr>
          <w:rFonts w:ascii="Verdana" w:hAnsi="Verdana"/>
          <w:sz w:val="17"/>
          <w:szCs w:val="17"/>
        </w:rPr>
        <w:t>MDmc</w:t>
      </w:r>
      <w:proofErr w:type="spellEnd"/>
      <w:r w:rsidRPr="00094437">
        <w:rPr>
          <w:rFonts w:ascii="Verdana" w:hAnsi="Verdana"/>
          <w:sz w:val="17"/>
          <w:szCs w:val="17"/>
        </w:rPr>
        <w:t xml:space="preserve"> &amp; midline nuclei; and bilateral </w:t>
      </w:r>
      <w:proofErr w:type="spellStart"/>
      <w:r w:rsidRPr="00094437">
        <w:rPr>
          <w:rFonts w:ascii="Verdana" w:hAnsi="Verdana"/>
          <w:sz w:val="17"/>
          <w:szCs w:val="17"/>
        </w:rPr>
        <w:t>MDpc</w:t>
      </w:r>
      <w:proofErr w:type="spellEnd"/>
      <w:r w:rsidRPr="00094437">
        <w:rPr>
          <w:rFonts w:ascii="Verdana" w:hAnsi="Verdana"/>
          <w:sz w:val="17"/>
          <w:szCs w:val="17"/>
        </w:rPr>
        <w:t xml:space="preserve"> &amp; </w:t>
      </w:r>
      <w:proofErr w:type="spellStart"/>
      <w:r w:rsidRPr="00094437">
        <w:rPr>
          <w:rFonts w:ascii="Verdana" w:hAnsi="Verdana"/>
          <w:sz w:val="17"/>
          <w:szCs w:val="17"/>
        </w:rPr>
        <w:t>MDmc</w:t>
      </w:r>
      <w:proofErr w:type="spellEnd"/>
      <w:r w:rsidRPr="00094437">
        <w:rPr>
          <w:rFonts w:ascii="Verdana" w:hAnsi="Verdana"/>
          <w:sz w:val="17"/>
          <w:szCs w:val="17"/>
        </w:rPr>
        <w:t xml:space="preserve">. The major findings include: bilateral </w:t>
      </w:r>
      <w:proofErr w:type="spellStart"/>
      <w:r w:rsidRPr="00094437">
        <w:rPr>
          <w:rFonts w:ascii="Verdana" w:hAnsi="Verdana"/>
          <w:sz w:val="17"/>
          <w:szCs w:val="17"/>
        </w:rPr>
        <w:t>MDpc</w:t>
      </w:r>
      <w:proofErr w:type="spellEnd"/>
      <w:r w:rsidRPr="00094437">
        <w:rPr>
          <w:rFonts w:ascii="Verdana" w:hAnsi="Verdana"/>
          <w:sz w:val="17"/>
          <w:szCs w:val="17"/>
        </w:rPr>
        <w:t xml:space="preserve"> damage left new learning intact, but damage to </w:t>
      </w:r>
      <w:proofErr w:type="spellStart"/>
      <w:r w:rsidRPr="00094437">
        <w:rPr>
          <w:rFonts w:ascii="Verdana" w:hAnsi="Verdana"/>
          <w:sz w:val="17"/>
          <w:szCs w:val="17"/>
        </w:rPr>
        <w:t>MDmc</w:t>
      </w:r>
      <w:proofErr w:type="spellEnd"/>
      <w:r w:rsidRPr="00094437">
        <w:rPr>
          <w:rFonts w:ascii="Verdana" w:hAnsi="Verdana"/>
          <w:sz w:val="17"/>
          <w:szCs w:val="17"/>
        </w:rPr>
        <w:t xml:space="preserve"> impaired new learning; midline damage disrupted reward association learning; and </w:t>
      </w:r>
      <w:proofErr w:type="spellStart"/>
      <w:r w:rsidRPr="00094437">
        <w:rPr>
          <w:rFonts w:ascii="Verdana" w:hAnsi="Verdana"/>
          <w:sz w:val="17"/>
          <w:szCs w:val="17"/>
        </w:rPr>
        <w:t>MDpc</w:t>
      </w:r>
      <w:proofErr w:type="spellEnd"/>
      <w:r w:rsidRPr="00094437">
        <w:rPr>
          <w:rFonts w:ascii="Verdana" w:hAnsi="Verdana"/>
          <w:sz w:val="17"/>
          <w:szCs w:val="17"/>
        </w:rPr>
        <w:t xml:space="preserve"> damage attenuated devaluation effects after satiety. One of the strengths of the study was that each animal served as its own control. </w:t>
      </w:r>
      <w:r w:rsidRPr="00094437">
        <w:rPr>
          <w:rFonts w:ascii="Verdana" w:hAnsi="Verdana"/>
          <w:sz w:val="17"/>
          <w:szCs w:val="17"/>
        </w:rPr>
        <w:br/>
        <w:t xml:space="preserve">The experiments were well </w:t>
      </w:r>
      <w:proofErr w:type="gramStart"/>
      <w:r w:rsidRPr="00094437">
        <w:rPr>
          <w:rFonts w:ascii="Verdana" w:hAnsi="Verdana"/>
          <w:sz w:val="17"/>
          <w:szCs w:val="17"/>
        </w:rPr>
        <w:t>designed</w:t>
      </w:r>
      <w:proofErr w:type="gramEnd"/>
      <w:r w:rsidRPr="00094437">
        <w:rPr>
          <w:rFonts w:ascii="Verdana" w:hAnsi="Verdana"/>
          <w:sz w:val="17"/>
          <w:szCs w:val="17"/>
        </w:rPr>
        <w:t xml:space="preserve"> and the findings are interesting for a broad audience of neuroscientists. However, some statements in Introduction and Discussion, especially those about connections between the cortex and MD, need clarification and some references are needed to support other statements. Figure 1 does not seem to be necessary, especially since it focuses on </w:t>
      </w:r>
      <w:proofErr w:type="spellStart"/>
      <w:r w:rsidRPr="00094437">
        <w:rPr>
          <w:rFonts w:ascii="Verdana" w:hAnsi="Verdana"/>
          <w:sz w:val="17"/>
          <w:szCs w:val="17"/>
        </w:rPr>
        <w:t>MDpc</w:t>
      </w:r>
      <w:proofErr w:type="spellEnd"/>
      <w:r w:rsidRPr="00094437">
        <w:rPr>
          <w:rFonts w:ascii="Verdana" w:hAnsi="Verdana"/>
          <w:sz w:val="17"/>
          <w:szCs w:val="17"/>
        </w:rPr>
        <w:t xml:space="preserve">, the sector affected the least in the tasks employed. In addition, some pathways depicted in Figure 1 are not consistent with the evidence in the literature, and the figure would require major over hall if retained. </w:t>
      </w:r>
      <w:r w:rsidRPr="00094437">
        <w:rPr>
          <w:rFonts w:ascii="Verdana" w:hAnsi="Verdana"/>
          <w:sz w:val="17"/>
          <w:szCs w:val="17"/>
        </w:rPr>
        <w:br/>
      </w:r>
      <w:r w:rsidRPr="00094437">
        <w:rPr>
          <w:rFonts w:ascii="Verdana" w:hAnsi="Verdana"/>
          <w:sz w:val="17"/>
          <w:szCs w:val="17"/>
        </w:rPr>
        <w:br/>
        <w:t xml:space="preserve">Major comments: </w:t>
      </w:r>
      <w:r w:rsidRPr="00094437">
        <w:rPr>
          <w:rFonts w:ascii="Verdana" w:hAnsi="Verdana"/>
          <w:sz w:val="17"/>
          <w:szCs w:val="17"/>
        </w:rPr>
        <w:br/>
        <w:t xml:space="preserve">1.- Connections of </w:t>
      </w:r>
      <w:proofErr w:type="spellStart"/>
      <w:r w:rsidRPr="00094437">
        <w:rPr>
          <w:rFonts w:ascii="Verdana" w:hAnsi="Verdana"/>
          <w:sz w:val="17"/>
          <w:szCs w:val="17"/>
        </w:rPr>
        <w:t>MDpc</w:t>
      </w:r>
      <w:proofErr w:type="spellEnd"/>
      <w:r w:rsidRPr="00094437">
        <w:rPr>
          <w:rFonts w:ascii="Verdana" w:hAnsi="Verdana"/>
          <w:sz w:val="17"/>
          <w:szCs w:val="17"/>
        </w:rPr>
        <w:t xml:space="preserve"> and prefrontal cortex areas are reciprocal. The authors stated in the introduction and discussion that </w:t>
      </w:r>
      <w:proofErr w:type="spellStart"/>
      <w:r w:rsidRPr="00094437">
        <w:rPr>
          <w:rFonts w:ascii="Verdana" w:hAnsi="Verdana"/>
          <w:sz w:val="17"/>
          <w:szCs w:val="17"/>
        </w:rPr>
        <w:t>MDpc</w:t>
      </w:r>
      <w:proofErr w:type="spellEnd"/>
      <w:r w:rsidRPr="00094437">
        <w:rPr>
          <w:rFonts w:ascii="Verdana" w:hAnsi="Verdana"/>
          <w:sz w:val="17"/>
          <w:szCs w:val="17"/>
        </w:rPr>
        <w:t xml:space="preserve"> receives non-reciprocal inputs from the orbitofrontal cortex, but the evidence in the literature shows that MD sectors and the orbital cortex are reciprocally connected. Some of the references cited by the authors, including Xiao et al 2009, report injections of retrograde tracers in </w:t>
      </w:r>
      <w:proofErr w:type="spellStart"/>
      <w:r w:rsidRPr="00094437">
        <w:rPr>
          <w:rFonts w:ascii="Verdana" w:hAnsi="Verdana"/>
          <w:sz w:val="17"/>
          <w:szCs w:val="17"/>
        </w:rPr>
        <w:t>MDpc</w:t>
      </w:r>
      <w:proofErr w:type="spellEnd"/>
      <w:r w:rsidRPr="00094437">
        <w:rPr>
          <w:rFonts w:ascii="Verdana" w:hAnsi="Verdana"/>
          <w:sz w:val="17"/>
          <w:szCs w:val="17"/>
        </w:rPr>
        <w:t xml:space="preserve"> and </w:t>
      </w:r>
      <w:proofErr w:type="spellStart"/>
      <w:r w:rsidRPr="00094437">
        <w:rPr>
          <w:rFonts w:ascii="Verdana" w:hAnsi="Verdana"/>
          <w:sz w:val="17"/>
          <w:szCs w:val="17"/>
        </w:rPr>
        <w:t>MDmc</w:t>
      </w:r>
      <w:proofErr w:type="spellEnd"/>
      <w:r w:rsidRPr="00094437">
        <w:rPr>
          <w:rFonts w:ascii="Verdana" w:hAnsi="Verdana"/>
          <w:sz w:val="17"/>
          <w:szCs w:val="17"/>
        </w:rPr>
        <w:t xml:space="preserve"> and findings of cortico-thalamic projections from the orbital cortex to </w:t>
      </w:r>
      <w:proofErr w:type="spellStart"/>
      <w:r w:rsidRPr="00094437">
        <w:rPr>
          <w:rFonts w:ascii="Verdana" w:hAnsi="Verdana"/>
          <w:sz w:val="17"/>
          <w:szCs w:val="17"/>
        </w:rPr>
        <w:t>MDpc</w:t>
      </w:r>
      <w:proofErr w:type="spellEnd"/>
      <w:r w:rsidRPr="00094437">
        <w:rPr>
          <w:rFonts w:ascii="Verdana" w:hAnsi="Verdana"/>
          <w:sz w:val="17"/>
          <w:szCs w:val="17"/>
        </w:rPr>
        <w:t xml:space="preserve"> and </w:t>
      </w:r>
      <w:proofErr w:type="spellStart"/>
      <w:r w:rsidRPr="00094437">
        <w:rPr>
          <w:rFonts w:ascii="Verdana" w:hAnsi="Verdana"/>
          <w:sz w:val="17"/>
          <w:szCs w:val="17"/>
        </w:rPr>
        <w:t>MDmc</w:t>
      </w:r>
      <w:proofErr w:type="spellEnd"/>
      <w:r w:rsidRPr="00094437">
        <w:rPr>
          <w:rFonts w:ascii="Verdana" w:hAnsi="Verdana"/>
          <w:sz w:val="17"/>
          <w:szCs w:val="17"/>
        </w:rPr>
        <w:t xml:space="preserve">. Studies in the literature may report on only </w:t>
      </w:r>
      <w:proofErr w:type="gramStart"/>
      <w:r w:rsidRPr="00094437">
        <w:rPr>
          <w:rFonts w:ascii="Verdana" w:hAnsi="Verdana"/>
          <w:sz w:val="17"/>
          <w:szCs w:val="17"/>
        </w:rPr>
        <w:t>one way</w:t>
      </w:r>
      <w:proofErr w:type="gramEnd"/>
      <w:r w:rsidRPr="00094437">
        <w:rPr>
          <w:rFonts w:ascii="Verdana" w:hAnsi="Verdana"/>
          <w:sz w:val="17"/>
          <w:szCs w:val="17"/>
        </w:rPr>
        <w:t xml:space="preserve"> pathways when retrograde tracers are used, but the pathways are reciprocal. Other studies with retrograde tracer injections in orbital cortex, including areas 12 and 13 also found thalamocortical projections from </w:t>
      </w:r>
      <w:proofErr w:type="spellStart"/>
      <w:r w:rsidRPr="00094437">
        <w:rPr>
          <w:rFonts w:ascii="Verdana" w:hAnsi="Verdana"/>
          <w:sz w:val="17"/>
          <w:szCs w:val="17"/>
        </w:rPr>
        <w:t>MDpc</w:t>
      </w:r>
      <w:proofErr w:type="spellEnd"/>
      <w:r w:rsidRPr="00094437">
        <w:rPr>
          <w:rFonts w:ascii="Verdana" w:hAnsi="Verdana"/>
          <w:sz w:val="17"/>
          <w:szCs w:val="17"/>
        </w:rPr>
        <w:t xml:space="preserve"> and </w:t>
      </w:r>
      <w:proofErr w:type="spellStart"/>
      <w:r w:rsidRPr="00094437">
        <w:rPr>
          <w:rFonts w:ascii="Verdana" w:hAnsi="Verdana"/>
          <w:sz w:val="17"/>
          <w:szCs w:val="17"/>
        </w:rPr>
        <w:t>MDmc</w:t>
      </w:r>
      <w:proofErr w:type="spellEnd"/>
      <w:r w:rsidRPr="00094437">
        <w:rPr>
          <w:rFonts w:ascii="Verdana" w:hAnsi="Verdana"/>
          <w:sz w:val="17"/>
          <w:szCs w:val="17"/>
        </w:rPr>
        <w:t xml:space="preserve"> to the orbital cortex (e. g. </w:t>
      </w:r>
      <w:proofErr w:type="spellStart"/>
      <w:r w:rsidRPr="00094437">
        <w:rPr>
          <w:rFonts w:ascii="Verdana" w:hAnsi="Verdana"/>
          <w:sz w:val="17"/>
          <w:szCs w:val="17"/>
        </w:rPr>
        <w:t>Dermon</w:t>
      </w:r>
      <w:proofErr w:type="spellEnd"/>
      <w:r w:rsidRPr="00094437">
        <w:rPr>
          <w:rFonts w:ascii="Verdana" w:hAnsi="Verdana"/>
          <w:sz w:val="17"/>
          <w:szCs w:val="17"/>
        </w:rPr>
        <w:t xml:space="preserve"> &amp; </w:t>
      </w:r>
      <w:proofErr w:type="spellStart"/>
      <w:r w:rsidRPr="00094437">
        <w:rPr>
          <w:rFonts w:ascii="Verdana" w:hAnsi="Verdana"/>
          <w:sz w:val="17"/>
          <w:szCs w:val="17"/>
        </w:rPr>
        <w:t>Barbas</w:t>
      </w:r>
      <w:proofErr w:type="spellEnd"/>
      <w:r w:rsidRPr="00094437">
        <w:rPr>
          <w:rFonts w:ascii="Verdana" w:hAnsi="Verdana"/>
          <w:sz w:val="17"/>
          <w:szCs w:val="17"/>
        </w:rPr>
        <w:t xml:space="preserve"> 1994, Journal of Comparative Neurology). Injection of bidirectional tracers in the orbital cortex of the monkey has shown anterograde and retrograde labeling in </w:t>
      </w:r>
      <w:proofErr w:type="spellStart"/>
      <w:r w:rsidRPr="00094437">
        <w:rPr>
          <w:rFonts w:ascii="Verdana" w:hAnsi="Verdana"/>
          <w:sz w:val="17"/>
          <w:szCs w:val="17"/>
        </w:rPr>
        <w:t>MDmc</w:t>
      </w:r>
      <w:proofErr w:type="spellEnd"/>
      <w:r w:rsidRPr="00094437">
        <w:rPr>
          <w:rFonts w:ascii="Verdana" w:hAnsi="Verdana"/>
          <w:sz w:val="17"/>
          <w:szCs w:val="17"/>
        </w:rPr>
        <w:t xml:space="preserve"> and </w:t>
      </w:r>
      <w:proofErr w:type="spellStart"/>
      <w:r w:rsidRPr="00094437">
        <w:rPr>
          <w:rFonts w:ascii="Verdana" w:hAnsi="Verdana"/>
          <w:sz w:val="17"/>
          <w:szCs w:val="17"/>
        </w:rPr>
        <w:t>MDpc</w:t>
      </w:r>
      <w:proofErr w:type="spellEnd"/>
      <w:r w:rsidRPr="00094437">
        <w:rPr>
          <w:rFonts w:ascii="Verdana" w:hAnsi="Verdana"/>
          <w:sz w:val="17"/>
          <w:szCs w:val="17"/>
        </w:rPr>
        <w:t xml:space="preserve"> (</w:t>
      </w:r>
      <w:proofErr w:type="spellStart"/>
      <w:r w:rsidRPr="00094437">
        <w:rPr>
          <w:rFonts w:ascii="Verdana" w:hAnsi="Verdana"/>
          <w:sz w:val="17"/>
          <w:szCs w:val="17"/>
        </w:rPr>
        <w:t>Cavada</w:t>
      </w:r>
      <w:proofErr w:type="spellEnd"/>
      <w:r w:rsidRPr="00094437">
        <w:rPr>
          <w:rFonts w:ascii="Verdana" w:hAnsi="Verdana"/>
          <w:sz w:val="17"/>
          <w:szCs w:val="17"/>
        </w:rPr>
        <w:t xml:space="preserve"> et al 2000, Cerebral Cortex; Garcia-</w:t>
      </w:r>
      <w:proofErr w:type="spellStart"/>
      <w:r w:rsidRPr="00094437">
        <w:rPr>
          <w:rFonts w:ascii="Verdana" w:hAnsi="Verdana"/>
          <w:sz w:val="17"/>
          <w:szCs w:val="17"/>
        </w:rPr>
        <w:t>Cabezas</w:t>
      </w:r>
      <w:proofErr w:type="spellEnd"/>
      <w:r w:rsidRPr="00094437">
        <w:rPr>
          <w:rFonts w:ascii="Verdana" w:hAnsi="Verdana"/>
          <w:sz w:val="17"/>
          <w:szCs w:val="17"/>
        </w:rPr>
        <w:t xml:space="preserve"> &amp; </w:t>
      </w:r>
      <w:proofErr w:type="spellStart"/>
      <w:r w:rsidRPr="00094437">
        <w:rPr>
          <w:rFonts w:ascii="Verdana" w:hAnsi="Verdana"/>
          <w:sz w:val="17"/>
          <w:szCs w:val="17"/>
        </w:rPr>
        <w:t>Barbas</w:t>
      </w:r>
      <w:proofErr w:type="spellEnd"/>
      <w:r w:rsidRPr="00094437">
        <w:rPr>
          <w:rFonts w:ascii="Verdana" w:hAnsi="Verdana"/>
          <w:sz w:val="17"/>
          <w:szCs w:val="17"/>
        </w:rPr>
        <w:t xml:space="preserve"> 2017, Cerebral Cortex). </w:t>
      </w:r>
      <w:r w:rsidRPr="00094437">
        <w:rPr>
          <w:rFonts w:ascii="Verdana" w:hAnsi="Verdana"/>
          <w:sz w:val="17"/>
          <w:szCs w:val="17"/>
        </w:rPr>
        <w:br/>
        <w:t xml:space="preserve">The same can be said about connections between the anterior cingulate cortex (ACC) and </w:t>
      </w:r>
      <w:proofErr w:type="spellStart"/>
      <w:r w:rsidRPr="00094437">
        <w:rPr>
          <w:rFonts w:ascii="Verdana" w:hAnsi="Verdana"/>
          <w:sz w:val="17"/>
          <w:szCs w:val="17"/>
        </w:rPr>
        <w:t>MDpc</w:t>
      </w:r>
      <w:proofErr w:type="spellEnd"/>
      <w:r w:rsidRPr="00094437">
        <w:rPr>
          <w:rFonts w:ascii="Verdana" w:hAnsi="Verdana"/>
          <w:sz w:val="17"/>
          <w:szCs w:val="17"/>
        </w:rPr>
        <w:t xml:space="preserve">. Xiao et al found corticothalamic projections from ACC areas to </w:t>
      </w:r>
      <w:proofErr w:type="spellStart"/>
      <w:r w:rsidRPr="00094437">
        <w:rPr>
          <w:rFonts w:ascii="Verdana" w:hAnsi="Verdana"/>
          <w:sz w:val="17"/>
          <w:szCs w:val="17"/>
        </w:rPr>
        <w:t>MDpc</w:t>
      </w:r>
      <w:proofErr w:type="spellEnd"/>
      <w:r w:rsidRPr="00094437">
        <w:rPr>
          <w:rFonts w:ascii="Verdana" w:hAnsi="Verdana"/>
          <w:sz w:val="17"/>
          <w:szCs w:val="17"/>
        </w:rPr>
        <w:t xml:space="preserve"> and </w:t>
      </w:r>
      <w:proofErr w:type="spellStart"/>
      <w:r w:rsidRPr="00094437">
        <w:rPr>
          <w:rFonts w:ascii="Verdana" w:hAnsi="Verdana"/>
          <w:sz w:val="17"/>
          <w:szCs w:val="17"/>
        </w:rPr>
        <w:t>MDmc</w:t>
      </w:r>
      <w:proofErr w:type="spellEnd"/>
      <w:r w:rsidRPr="00094437">
        <w:rPr>
          <w:rFonts w:ascii="Verdana" w:hAnsi="Verdana"/>
          <w:sz w:val="17"/>
          <w:szCs w:val="17"/>
        </w:rPr>
        <w:t xml:space="preserve">, and </w:t>
      </w:r>
      <w:proofErr w:type="spellStart"/>
      <w:r w:rsidRPr="00094437">
        <w:rPr>
          <w:rFonts w:ascii="Verdana" w:hAnsi="Verdana"/>
          <w:sz w:val="17"/>
          <w:szCs w:val="17"/>
        </w:rPr>
        <w:t>Dermon</w:t>
      </w:r>
      <w:proofErr w:type="spellEnd"/>
      <w:r w:rsidRPr="00094437">
        <w:rPr>
          <w:rFonts w:ascii="Verdana" w:hAnsi="Verdana"/>
          <w:sz w:val="17"/>
          <w:szCs w:val="17"/>
        </w:rPr>
        <w:t xml:space="preserve"> &amp; </w:t>
      </w:r>
      <w:proofErr w:type="spellStart"/>
      <w:r w:rsidRPr="00094437">
        <w:rPr>
          <w:rFonts w:ascii="Verdana" w:hAnsi="Verdana"/>
          <w:sz w:val="17"/>
          <w:szCs w:val="17"/>
        </w:rPr>
        <w:t>Barbas</w:t>
      </w:r>
      <w:proofErr w:type="spellEnd"/>
      <w:r w:rsidRPr="00094437">
        <w:rPr>
          <w:rFonts w:ascii="Verdana" w:hAnsi="Verdana"/>
          <w:sz w:val="17"/>
          <w:szCs w:val="17"/>
        </w:rPr>
        <w:t xml:space="preserve"> (1994) found thalamocortical projections from </w:t>
      </w:r>
      <w:proofErr w:type="spellStart"/>
      <w:r w:rsidRPr="00094437">
        <w:rPr>
          <w:rFonts w:ascii="Verdana" w:hAnsi="Verdana"/>
          <w:sz w:val="17"/>
          <w:szCs w:val="17"/>
        </w:rPr>
        <w:t>MDmc</w:t>
      </w:r>
      <w:proofErr w:type="spellEnd"/>
      <w:r w:rsidRPr="00094437">
        <w:rPr>
          <w:rFonts w:ascii="Verdana" w:hAnsi="Verdana"/>
          <w:sz w:val="17"/>
          <w:szCs w:val="17"/>
        </w:rPr>
        <w:t xml:space="preserve"> and </w:t>
      </w:r>
      <w:proofErr w:type="spellStart"/>
      <w:r w:rsidRPr="00094437">
        <w:rPr>
          <w:rFonts w:ascii="Verdana" w:hAnsi="Verdana"/>
          <w:sz w:val="17"/>
          <w:szCs w:val="17"/>
        </w:rPr>
        <w:t>MDpc</w:t>
      </w:r>
      <w:proofErr w:type="spellEnd"/>
      <w:r w:rsidRPr="00094437">
        <w:rPr>
          <w:rFonts w:ascii="Verdana" w:hAnsi="Verdana"/>
          <w:sz w:val="17"/>
          <w:szCs w:val="17"/>
        </w:rPr>
        <w:t xml:space="preserve"> to ACC areas. This evidence is pertinent to the interpretation of the authors’ data. </w:t>
      </w:r>
      <w:r w:rsidRPr="00094437">
        <w:rPr>
          <w:rFonts w:ascii="Verdana" w:hAnsi="Verdana"/>
          <w:sz w:val="17"/>
          <w:szCs w:val="17"/>
        </w:rPr>
        <w:br/>
      </w:r>
      <w:r w:rsidRPr="00094437">
        <w:rPr>
          <w:rFonts w:ascii="Verdana" w:hAnsi="Verdana"/>
          <w:sz w:val="17"/>
          <w:szCs w:val="17"/>
        </w:rPr>
        <w:br/>
        <w:t xml:space="preserve">2.- Orbital areas issue projections to </w:t>
      </w:r>
      <w:proofErr w:type="spellStart"/>
      <w:r w:rsidRPr="00094437">
        <w:rPr>
          <w:rFonts w:ascii="Verdana" w:hAnsi="Verdana"/>
          <w:sz w:val="17"/>
          <w:szCs w:val="17"/>
        </w:rPr>
        <w:t>MDpc</w:t>
      </w:r>
      <w:proofErr w:type="spellEnd"/>
      <w:r w:rsidRPr="00094437">
        <w:rPr>
          <w:rFonts w:ascii="Verdana" w:hAnsi="Verdana"/>
          <w:sz w:val="17"/>
          <w:szCs w:val="17"/>
        </w:rPr>
        <w:t xml:space="preserve"> from layers 5 &amp; 6. The authors stated in Introduction that the driver signal to </w:t>
      </w:r>
      <w:proofErr w:type="spellStart"/>
      <w:r w:rsidRPr="00094437">
        <w:rPr>
          <w:rFonts w:ascii="Verdana" w:hAnsi="Verdana"/>
          <w:sz w:val="17"/>
          <w:szCs w:val="17"/>
        </w:rPr>
        <w:t>MDpc</w:t>
      </w:r>
      <w:proofErr w:type="spellEnd"/>
      <w:r w:rsidRPr="00094437">
        <w:rPr>
          <w:rFonts w:ascii="Verdana" w:hAnsi="Verdana"/>
          <w:sz w:val="17"/>
          <w:szCs w:val="17"/>
        </w:rPr>
        <w:t xml:space="preserve"> “is proposed to originate from the layer 5 cortico-thalamic pathways”. While this may be true, it is important to indicate that cortical projections to MD sectors from prefrontal areas, including the orbital cortex, originate in both layers 5 &amp; 6 (Xiao et al 2009; Garcia-</w:t>
      </w:r>
      <w:proofErr w:type="spellStart"/>
      <w:r w:rsidRPr="00094437">
        <w:rPr>
          <w:rFonts w:ascii="Verdana" w:hAnsi="Verdana"/>
          <w:sz w:val="17"/>
          <w:szCs w:val="17"/>
        </w:rPr>
        <w:t>Cabezas</w:t>
      </w:r>
      <w:proofErr w:type="spellEnd"/>
      <w:r w:rsidRPr="00094437">
        <w:rPr>
          <w:rFonts w:ascii="Verdana" w:hAnsi="Verdana"/>
          <w:sz w:val="17"/>
          <w:szCs w:val="17"/>
        </w:rPr>
        <w:t xml:space="preserve"> &amp; </w:t>
      </w:r>
      <w:proofErr w:type="spellStart"/>
      <w:r w:rsidRPr="00094437">
        <w:rPr>
          <w:rFonts w:ascii="Verdana" w:hAnsi="Verdana"/>
          <w:sz w:val="17"/>
          <w:szCs w:val="17"/>
        </w:rPr>
        <w:t>Barbas</w:t>
      </w:r>
      <w:proofErr w:type="spellEnd"/>
      <w:r w:rsidRPr="00094437">
        <w:rPr>
          <w:rFonts w:ascii="Verdana" w:hAnsi="Verdana"/>
          <w:sz w:val="17"/>
          <w:szCs w:val="17"/>
        </w:rPr>
        <w:t xml:space="preserve"> 2017). In fact, projection neurons from layer 6 predominate, as do projections from many other prefrontal areas to MD. There is no evidence that projections originate exclusively from layer 5 in this system. This also applies for projections from premotor areas directed to the ventral anterior nucleus. </w:t>
      </w:r>
      <w:r w:rsidRPr="00094437">
        <w:rPr>
          <w:rFonts w:ascii="Verdana" w:hAnsi="Verdana"/>
          <w:sz w:val="17"/>
          <w:szCs w:val="17"/>
        </w:rPr>
        <w:br/>
      </w:r>
      <w:r w:rsidRPr="00094437">
        <w:rPr>
          <w:rFonts w:ascii="Verdana" w:hAnsi="Verdana"/>
          <w:sz w:val="17"/>
          <w:szCs w:val="17"/>
        </w:rPr>
        <w:br/>
        <w:t xml:space="preserve">3.- Some references are needed: In the Introduction the authors stated that “The </w:t>
      </w:r>
      <w:proofErr w:type="spellStart"/>
      <w:r w:rsidRPr="00094437">
        <w:rPr>
          <w:rFonts w:ascii="Verdana" w:hAnsi="Verdana"/>
          <w:sz w:val="17"/>
          <w:szCs w:val="17"/>
        </w:rPr>
        <w:t>MDpc</w:t>
      </w:r>
      <w:proofErr w:type="spellEnd"/>
      <w:r w:rsidRPr="00094437">
        <w:rPr>
          <w:rFonts w:ascii="Verdana" w:hAnsi="Verdana"/>
          <w:sz w:val="17"/>
          <w:szCs w:val="17"/>
        </w:rPr>
        <w:t xml:space="preserve"> receives </w:t>
      </w:r>
      <w:proofErr w:type="spellStart"/>
      <w:r w:rsidRPr="00094437">
        <w:rPr>
          <w:rFonts w:ascii="Verdana" w:hAnsi="Verdana"/>
          <w:sz w:val="17"/>
          <w:szCs w:val="17"/>
        </w:rPr>
        <w:t>neuromodulatory</w:t>
      </w:r>
      <w:proofErr w:type="spellEnd"/>
      <w:r w:rsidRPr="00094437">
        <w:rPr>
          <w:rFonts w:ascii="Verdana" w:hAnsi="Verdana"/>
          <w:sz w:val="17"/>
          <w:szCs w:val="17"/>
        </w:rPr>
        <w:t xml:space="preserve"> input from other parts of the midbrain, brainstem and reticular thalamus”. In the Discussion the authors also stated that “Corticothalamic projection neurons to the dorsal thalamus are tenfold more abundant than the thalamocortical inputs to the cortex”. These statements should be backed up with some references from the literature. </w:t>
      </w:r>
      <w:r w:rsidRPr="00094437">
        <w:rPr>
          <w:rFonts w:ascii="Verdana" w:hAnsi="Verdana"/>
          <w:sz w:val="17"/>
          <w:szCs w:val="17"/>
        </w:rPr>
        <w:br/>
      </w:r>
      <w:r w:rsidRPr="00094437">
        <w:rPr>
          <w:rFonts w:ascii="Verdana" w:hAnsi="Verdana"/>
          <w:sz w:val="17"/>
          <w:szCs w:val="17"/>
        </w:rPr>
        <w:br/>
        <w:t xml:space="preserve">4.- Some pathways depicted in Figure 1 are incorrect. The reviewer suggests that this figure be left out, as it focuses on </w:t>
      </w:r>
      <w:proofErr w:type="spellStart"/>
      <w:r w:rsidRPr="00094437">
        <w:rPr>
          <w:rFonts w:ascii="Verdana" w:hAnsi="Verdana"/>
          <w:sz w:val="17"/>
          <w:szCs w:val="17"/>
        </w:rPr>
        <w:t>MDpc</w:t>
      </w:r>
      <w:proofErr w:type="spellEnd"/>
      <w:r w:rsidRPr="00094437">
        <w:rPr>
          <w:rFonts w:ascii="Verdana" w:hAnsi="Verdana"/>
          <w:sz w:val="17"/>
          <w:szCs w:val="17"/>
        </w:rPr>
        <w:t xml:space="preserve"> but not </w:t>
      </w:r>
      <w:proofErr w:type="spellStart"/>
      <w:r w:rsidRPr="00094437">
        <w:rPr>
          <w:rFonts w:ascii="Verdana" w:hAnsi="Verdana"/>
          <w:sz w:val="17"/>
          <w:szCs w:val="17"/>
        </w:rPr>
        <w:t>MDmc</w:t>
      </w:r>
      <w:proofErr w:type="spellEnd"/>
      <w:r w:rsidRPr="00094437">
        <w:rPr>
          <w:rFonts w:ascii="Verdana" w:hAnsi="Verdana"/>
          <w:sz w:val="17"/>
          <w:szCs w:val="17"/>
        </w:rPr>
        <w:t xml:space="preserve">, an important part of the study. Some of the errors and points for clarification are pointed out below as a way of information: </w:t>
      </w:r>
      <w:r w:rsidRPr="00094437">
        <w:rPr>
          <w:rFonts w:ascii="Verdana" w:hAnsi="Verdana"/>
          <w:sz w:val="17"/>
          <w:szCs w:val="17"/>
        </w:rPr>
        <w:br/>
        <w:t xml:space="preserve">In Figure 1 projections from </w:t>
      </w:r>
      <w:proofErr w:type="spellStart"/>
      <w:r w:rsidRPr="00094437">
        <w:rPr>
          <w:rFonts w:ascii="Verdana" w:hAnsi="Verdana"/>
          <w:sz w:val="17"/>
          <w:szCs w:val="17"/>
        </w:rPr>
        <w:t>MDpc</w:t>
      </w:r>
      <w:proofErr w:type="spellEnd"/>
      <w:r w:rsidRPr="00094437">
        <w:rPr>
          <w:rFonts w:ascii="Verdana" w:hAnsi="Verdana"/>
          <w:sz w:val="17"/>
          <w:szCs w:val="17"/>
        </w:rPr>
        <w:t xml:space="preserve"> to RTN are depicted as GABAergic, but they are glutamatergic. </w:t>
      </w:r>
      <w:r w:rsidRPr="00094437">
        <w:rPr>
          <w:rFonts w:ascii="Verdana" w:hAnsi="Verdana"/>
          <w:sz w:val="17"/>
          <w:szCs w:val="17"/>
        </w:rPr>
        <w:br/>
        <w:t xml:space="preserve">Projections from modulatory neurotransmitter systems from the brainstem are depicted in black, while dopaminergic projections from VTA are depicted by a blue arrow. Do the authors want to differentiate VTA </w:t>
      </w:r>
      <w:proofErr w:type="spellStart"/>
      <w:r w:rsidRPr="00094437">
        <w:rPr>
          <w:rFonts w:ascii="Verdana" w:hAnsi="Verdana"/>
          <w:sz w:val="17"/>
          <w:szCs w:val="17"/>
        </w:rPr>
        <w:t>dopaminenergic</w:t>
      </w:r>
      <w:proofErr w:type="spellEnd"/>
      <w:r w:rsidRPr="00094437">
        <w:rPr>
          <w:rFonts w:ascii="Verdana" w:hAnsi="Verdana"/>
          <w:sz w:val="17"/>
          <w:szCs w:val="17"/>
        </w:rPr>
        <w:t xml:space="preserve"> projections to </w:t>
      </w:r>
      <w:proofErr w:type="spellStart"/>
      <w:r w:rsidRPr="00094437">
        <w:rPr>
          <w:rFonts w:ascii="Verdana" w:hAnsi="Verdana"/>
          <w:sz w:val="17"/>
          <w:szCs w:val="17"/>
        </w:rPr>
        <w:t>MDpc</w:t>
      </w:r>
      <w:proofErr w:type="spellEnd"/>
      <w:r w:rsidRPr="00094437">
        <w:rPr>
          <w:rFonts w:ascii="Verdana" w:hAnsi="Verdana"/>
          <w:sz w:val="17"/>
          <w:szCs w:val="17"/>
        </w:rPr>
        <w:t xml:space="preserve"> from other modulatory afferents from the brainstem? </w:t>
      </w:r>
      <w:r w:rsidRPr="00094437">
        <w:rPr>
          <w:rFonts w:ascii="Verdana" w:hAnsi="Verdana"/>
          <w:sz w:val="17"/>
          <w:szCs w:val="17"/>
        </w:rPr>
        <w:br/>
        <w:t xml:space="preserve">A blue arrow (dopaminergic) connects the dorsal striatum (DS) with the OFC. Such a projection does not exist. The striatum does not contain dopaminergic neurons and does not project </w:t>
      </w:r>
      <w:proofErr w:type="spellStart"/>
      <w:r w:rsidRPr="00094437">
        <w:rPr>
          <w:rFonts w:ascii="Verdana" w:hAnsi="Verdana"/>
          <w:sz w:val="17"/>
          <w:szCs w:val="17"/>
        </w:rPr>
        <w:t>monosynaptically</w:t>
      </w:r>
      <w:proofErr w:type="spellEnd"/>
      <w:r w:rsidRPr="00094437">
        <w:rPr>
          <w:rFonts w:ascii="Verdana" w:hAnsi="Verdana"/>
          <w:sz w:val="17"/>
          <w:szCs w:val="17"/>
        </w:rPr>
        <w:t xml:space="preserve"> to the cortex. </w:t>
      </w:r>
      <w:r w:rsidRPr="00094437">
        <w:rPr>
          <w:rFonts w:ascii="Verdana" w:hAnsi="Verdana"/>
          <w:sz w:val="17"/>
          <w:szCs w:val="17"/>
        </w:rPr>
        <w:br/>
        <w:t xml:space="preserve">Glutamatergic connections to DS from OFC are depicted with a blue arrow. All the other cortical areas shown in the figure also project to DS. </w:t>
      </w:r>
      <w:r w:rsidRPr="00094437">
        <w:rPr>
          <w:rFonts w:ascii="Verdana" w:hAnsi="Verdana"/>
          <w:sz w:val="17"/>
          <w:szCs w:val="17"/>
        </w:rPr>
        <w:br/>
        <w:t xml:space="preserve">The FEF </w:t>
      </w:r>
      <w:proofErr w:type="gramStart"/>
      <w:r w:rsidRPr="00094437">
        <w:rPr>
          <w:rFonts w:ascii="Verdana" w:hAnsi="Verdana"/>
          <w:sz w:val="17"/>
          <w:szCs w:val="17"/>
        </w:rPr>
        <w:t>is connected with</w:t>
      </w:r>
      <w:proofErr w:type="gramEnd"/>
      <w:r w:rsidRPr="00094437">
        <w:rPr>
          <w:rFonts w:ascii="Verdana" w:hAnsi="Verdana"/>
          <w:sz w:val="17"/>
          <w:szCs w:val="17"/>
        </w:rPr>
        <w:t xml:space="preserve"> other prefrontal areas, like DLPFC, but in Figure 1 it is not connected at all. </w:t>
      </w:r>
      <w:r w:rsidRPr="00094437">
        <w:rPr>
          <w:rFonts w:ascii="Verdana" w:hAnsi="Verdana"/>
          <w:sz w:val="17"/>
          <w:szCs w:val="17"/>
        </w:rPr>
        <w:br/>
      </w:r>
      <w:r w:rsidRPr="00094437">
        <w:rPr>
          <w:rFonts w:ascii="Verdana" w:hAnsi="Verdana"/>
          <w:sz w:val="17"/>
          <w:szCs w:val="17"/>
        </w:rPr>
        <w:lastRenderedPageBreak/>
        <w:t xml:space="preserve">The olfactory tubercle is shown to project to OFC in Figure 1, but the piriform cortex is the major source of olfactory projections to OFC. </w:t>
      </w:r>
      <w:r w:rsidRPr="00094437">
        <w:rPr>
          <w:rFonts w:ascii="Verdana" w:hAnsi="Verdana"/>
          <w:sz w:val="17"/>
          <w:szCs w:val="17"/>
        </w:rPr>
        <w:br/>
      </w:r>
      <w:r w:rsidRPr="00094437">
        <w:rPr>
          <w:rFonts w:ascii="Verdana" w:hAnsi="Verdana"/>
          <w:sz w:val="17"/>
          <w:szCs w:val="17"/>
        </w:rPr>
        <w:br/>
        <w:t xml:space="preserve">Minor corrections: </w:t>
      </w:r>
      <w:r w:rsidRPr="00094437">
        <w:rPr>
          <w:rFonts w:ascii="Verdana" w:hAnsi="Verdana"/>
          <w:sz w:val="17"/>
          <w:szCs w:val="17"/>
        </w:rPr>
        <w:br/>
        <w:t xml:space="preserve">Line 50, remove the word ‘Although’ (for the sentence to make sense). </w:t>
      </w:r>
      <w:r w:rsidRPr="00094437">
        <w:rPr>
          <w:rFonts w:ascii="Verdana" w:hAnsi="Verdana"/>
          <w:sz w:val="17"/>
          <w:szCs w:val="17"/>
        </w:rPr>
        <w:br/>
        <w:t xml:space="preserve">Lines 176-177: clarify sentence to show first what happens with a correct response, and then after an incorrect response. </w:t>
      </w:r>
      <w:r w:rsidRPr="00094437">
        <w:rPr>
          <w:rFonts w:ascii="Verdana" w:hAnsi="Verdana"/>
          <w:sz w:val="17"/>
          <w:szCs w:val="17"/>
        </w:rPr>
        <w:br/>
        <w:t xml:space="preserve">Lines 254-257: Explain clearly the devaluation issue; it is confusing as briefly stated. </w:t>
      </w:r>
      <w:r w:rsidRPr="00094437">
        <w:rPr>
          <w:rFonts w:ascii="Verdana" w:hAnsi="Verdana"/>
          <w:sz w:val="17"/>
          <w:szCs w:val="17"/>
        </w:rPr>
        <w:br/>
        <w:t xml:space="preserve">Line 584: please change ‘laminar’ to: laminae (or layers) </w:t>
      </w:r>
      <w:r w:rsidRPr="00094437">
        <w:rPr>
          <w:rFonts w:ascii="Verdana" w:hAnsi="Verdana"/>
          <w:sz w:val="17"/>
          <w:szCs w:val="17"/>
        </w:rPr>
        <w:br/>
        <w:t xml:space="preserve">Line 574: “…to disrupt widespread disrupted </w:t>
      </w:r>
      <w:proofErr w:type="gramStart"/>
      <w:r w:rsidRPr="00094437">
        <w:rPr>
          <w:rFonts w:ascii="Verdana" w:hAnsi="Verdana"/>
          <w:sz w:val="17"/>
          <w:szCs w:val="17"/>
        </w:rPr>
        <w:t>neural..</w:t>
      </w:r>
      <w:proofErr w:type="gramEnd"/>
      <w:r w:rsidRPr="00094437">
        <w:rPr>
          <w:rFonts w:ascii="Verdana" w:hAnsi="Verdana"/>
          <w:sz w:val="17"/>
          <w:szCs w:val="17"/>
        </w:rPr>
        <w:t xml:space="preserve">” please remove the word ‘disrupted’ </w:t>
      </w:r>
      <w:r w:rsidRPr="00094437">
        <w:rPr>
          <w:rFonts w:ascii="Verdana" w:hAnsi="Verdana"/>
          <w:sz w:val="17"/>
          <w:szCs w:val="17"/>
        </w:rPr>
        <w:br/>
        <w:t xml:space="preserve">Lines 596-601; break up the long sentence for clarity. </w:t>
      </w:r>
      <w:r w:rsidRPr="00094437">
        <w:rPr>
          <w:rFonts w:ascii="Verdana" w:hAnsi="Verdana"/>
          <w:sz w:val="17"/>
          <w:szCs w:val="17"/>
        </w:rPr>
        <w:br/>
        <w:t xml:space="preserve">Line 318: Spell out NMDA. </w:t>
      </w:r>
      <w:r w:rsidRPr="00094437">
        <w:rPr>
          <w:rFonts w:ascii="Verdana" w:hAnsi="Verdana"/>
          <w:sz w:val="17"/>
          <w:szCs w:val="17"/>
        </w:rPr>
        <w:br/>
        <w:t xml:space="preserve">Line 325: Check square typo (symbol?). </w:t>
      </w:r>
      <w:r w:rsidRPr="00094437">
        <w:rPr>
          <w:rFonts w:ascii="Verdana" w:hAnsi="Verdana"/>
          <w:sz w:val="17"/>
          <w:szCs w:val="17"/>
        </w:rPr>
        <w:br/>
        <w:t xml:space="preserve">Line 391: verses should be versus (this is also misspelled elsewhere). </w:t>
      </w:r>
      <w:r w:rsidRPr="00094437">
        <w:rPr>
          <w:rFonts w:ascii="Verdana" w:hAnsi="Verdana"/>
          <w:sz w:val="17"/>
          <w:szCs w:val="17"/>
        </w:rPr>
        <w:br/>
        <w:t xml:space="preserve">Please, mention in the methods the side (left/right) of the lesioned hemi thalami. </w:t>
      </w:r>
      <w:r w:rsidRPr="00094437">
        <w:rPr>
          <w:rFonts w:ascii="Verdana" w:hAnsi="Verdana"/>
          <w:sz w:val="17"/>
          <w:szCs w:val="17"/>
        </w:rPr>
        <w:br/>
      </w:r>
    </w:p>
    <w:p w:rsidR="00094437" w:rsidRPr="00094437" w:rsidRDefault="00094437" w:rsidP="00094437">
      <w:pPr>
        <w:widowControl w:val="0"/>
        <w:spacing w:before="8" w:line="180" w:lineRule="exact"/>
        <w:rPr>
          <w:rFonts w:eastAsia="Calibri" w:cstheme="minorHAnsi"/>
          <w:sz w:val="16"/>
          <w:szCs w:val="16"/>
        </w:rPr>
      </w:pPr>
    </w:p>
    <w:p w:rsidR="00094437" w:rsidRPr="00094437" w:rsidRDefault="00094437" w:rsidP="00094437">
      <w:pPr>
        <w:widowControl w:val="0"/>
        <w:spacing w:before="8" w:line="180" w:lineRule="exact"/>
        <w:rPr>
          <w:rFonts w:eastAsia="Calibri" w:cstheme="minorHAnsi"/>
          <w:sz w:val="16"/>
          <w:szCs w:val="16"/>
        </w:rPr>
      </w:pPr>
    </w:p>
    <w:bookmarkEnd w:id="3"/>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p w:rsidR="00094437" w:rsidRPr="00094437" w:rsidRDefault="00094437" w:rsidP="00094437">
      <w:pPr>
        <w:widowControl w:val="0"/>
        <w:spacing w:before="8" w:line="180" w:lineRule="exact"/>
        <w:rPr>
          <w:rFonts w:eastAsia="Calibri" w:cstheme="minorHAnsi"/>
          <w:sz w:val="16"/>
          <w:szCs w:val="16"/>
        </w:rPr>
      </w:pPr>
    </w:p>
    <w:p w:rsidR="00094437" w:rsidRPr="00094437" w:rsidRDefault="00094437" w:rsidP="00094437">
      <w:pPr>
        <w:widowControl w:val="0"/>
        <w:spacing w:line="240" w:lineRule="auto"/>
        <w:ind w:right="113"/>
        <w:rPr>
          <w:rFonts w:eastAsia="Arial" w:cstheme="minorHAnsi"/>
          <w:sz w:val="16"/>
          <w:szCs w:val="16"/>
        </w:rPr>
      </w:pPr>
      <w:r w:rsidRPr="00094437">
        <w:rPr>
          <w:rFonts w:eastAsia="Arial" w:cstheme="minorHAnsi"/>
          <w:sz w:val="16"/>
          <w:szCs w:val="16"/>
        </w:rPr>
        <w:t xml:space="preserve">Authors’ Response                                                                                                                                                                                          </w:t>
      </w:r>
      <w:r w:rsidRPr="00094437">
        <w:rPr>
          <w:rFonts w:eastAsia="Arial" w:cstheme="minorHAnsi"/>
          <w:sz w:val="16"/>
          <w:szCs w:val="16"/>
        </w:rPr>
        <w:t>05.05.</w:t>
      </w:r>
      <w:r w:rsidRPr="00094437">
        <w:rPr>
          <w:rFonts w:eastAsia="Arial" w:cstheme="minorHAnsi"/>
          <w:sz w:val="16"/>
          <w:szCs w:val="16"/>
        </w:rPr>
        <w:t>2018</w:t>
      </w:r>
    </w:p>
    <w:p w:rsidR="00094437" w:rsidRPr="00094437" w:rsidRDefault="00094437" w:rsidP="00094437">
      <w:pPr>
        <w:widowControl w:val="0"/>
        <w:spacing w:before="18" w:line="260" w:lineRule="exact"/>
        <w:rPr>
          <w:rFonts w:cstheme="minorHAnsi"/>
        </w:rPr>
      </w:pPr>
      <w:bookmarkStart w:id="5" w:name="_Hlk512980345"/>
      <w:r w:rsidRPr="00094437">
        <w:rPr>
          <w:rFonts w:cstheme="minorHAnsi"/>
        </w:rPr>
        <w:t>_____________________________________________________________________________________</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Thank you very much to both Reviewers for their comments – they are both very thorough and have provided thoughtful and helpful suggestions. The changes we have made are all highlighted in the manuscript with red text.</w:t>
      </w:r>
    </w:p>
    <w:p w:rsidR="00094437" w:rsidRPr="00094437" w:rsidRDefault="00094437" w:rsidP="00094437">
      <w:pPr>
        <w:spacing w:line="240" w:lineRule="auto"/>
        <w:rPr>
          <w:rFonts w:ascii="Helvetica" w:eastAsia="Times New Roman" w:hAnsi="Helvetica" w:cs="Times New Roman"/>
          <w:sz w:val="20"/>
          <w:szCs w:val="20"/>
          <w:lang w:val="en-GB"/>
        </w:rPr>
      </w:pP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Reviewer: 1</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Comments to the Author</w:t>
      </w:r>
      <w:r w:rsidRPr="00094437">
        <w:rPr>
          <w:rFonts w:ascii="Helvetica" w:eastAsia="Times New Roman" w:hAnsi="Helvetica" w:cs="Times New Roman"/>
          <w:sz w:val="20"/>
          <w:szCs w:val="20"/>
          <w:lang w:val="en-GB"/>
        </w:rPr>
        <w:br/>
        <w:t>General comments:</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(1) This submission investigates the roles of two divisions of the mediodorsal thalamus (MD), the magnocellular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and parvocellular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divisions, in learning and reward devaluation. This is a valuable area of research because the MD is extensively anatomically connected with the prefrontal cortex (PFC) and there is growing evidence that MD can have a significant influence on PFC neural activity and PFC-dependent functions. Using neurotoxic lesions in macaque monkeys, the authors report that there is a dissociation of function for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Specifically,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supports new learning in the object-in-place task (confirming results in previous publications: Mitchell, Browning, et al., 2007; Browning et al., 2015), whereas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does not;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contributes to reward devaluation, as can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(in line with published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results). However, this report is based on one monkey with a lesion of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only (subject MDP1), in this case bilateral (as well as one monkey with a bilateral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lesion (MDP4), one monkey with a unilateral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lesion (MDP2), and one monkey with a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midline thalamic lesion (MDP3)). Because the consensus in the field appears to be the use of two or more animals for each lesion group to show that an effect generalizes, the single case for each lesion type complicates interpretation of the data.</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 xml:space="preserve">(2) A couple of suggestions on how to move forward with this submission. One, although the high level of difficulty in primate studies is appreciated, the study would be significantly strengthened with the addition of a second animal with a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lesion only, even though this would take considerable additional time. A second option is to revise the manuscript with a more cautious tone when interpreting data. This might involve reframing the paper as more of a review, with the single-case data prefaced with a phrase such as “the preliminary data show…”.  Specific comments below.</w:t>
      </w:r>
    </w:p>
    <w:p w:rsidR="00094437" w:rsidRPr="00094437" w:rsidRDefault="00094437" w:rsidP="00094437">
      <w:pPr>
        <w:spacing w:line="240" w:lineRule="auto"/>
        <w:rPr>
          <w:rFonts w:ascii="Helvetica" w:eastAsia="Times New Roman" w:hAnsi="Helvetica" w:cs="Times New Roman"/>
          <w:sz w:val="20"/>
          <w:szCs w:val="20"/>
          <w:lang w:val="en-GB"/>
        </w:rPr>
      </w:pP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 xml:space="preserve">We have worked with this reviewer’s second option and have revised the manuscript, </w:t>
      </w:r>
      <w:proofErr w:type="gramStart"/>
      <w:r w:rsidRPr="00094437">
        <w:rPr>
          <w:rFonts w:ascii="Helvetica" w:eastAsia="Times New Roman" w:hAnsi="Helvetica" w:cs="Times New Roman"/>
          <w:sz w:val="20"/>
          <w:szCs w:val="20"/>
          <w:lang w:val="en-GB"/>
        </w:rPr>
        <w:t>in particular we</w:t>
      </w:r>
      <w:proofErr w:type="gramEnd"/>
      <w:r w:rsidRPr="00094437">
        <w:rPr>
          <w:rFonts w:ascii="Helvetica" w:eastAsia="Times New Roman" w:hAnsi="Helvetica" w:cs="Times New Roman"/>
          <w:sz w:val="20"/>
          <w:szCs w:val="20"/>
          <w:lang w:val="en-GB"/>
        </w:rPr>
        <w:t xml:space="preserve"> have re-written the discussion to highlight that these are preliminary data because we have single case monkeys each with a different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and/or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lesion. </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Specific comments:</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Major:</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 xml:space="preserve">(3) RE: Object discrimination and reward devaluation, e.g., Table 3. Monkey MDP1 at baseline nearly </w:t>
      </w:r>
      <w:r w:rsidRPr="00094437">
        <w:rPr>
          <w:rFonts w:ascii="Helvetica" w:eastAsia="Times New Roman" w:hAnsi="Helvetica" w:cs="Times New Roman"/>
          <w:sz w:val="20"/>
          <w:szCs w:val="20"/>
          <w:lang w:val="en-GB"/>
        </w:rPr>
        <w:lastRenderedPageBreak/>
        <w:t xml:space="preserve">always chose the M&amp;M option (baseline </w:t>
      </w:r>
      <w:proofErr w:type="gramStart"/>
      <w:r w:rsidRPr="00094437">
        <w:rPr>
          <w:rFonts w:ascii="Helvetica" w:eastAsia="Times New Roman" w:hAnsi="Helvetica" w:cs="Times New Roman"/>
          <w:sz w:val="20"/>
          <w:szCs w:val="20"/>
          <w:lang w:val="en-GB"/>
        </w:rPr>
        <w:t>M:P</w:t>
      </w:r>
      <w:proofErr w:type="gramEnd"/>
      <w:r w:rsidRPr="00094437">
        <w:rPr>
          <w:rFonts w:ascii="Helvetica" w:eastAsia="Times New Roman" w:hAnsi="Helvetica" w:cs="Times New Roman"/>
          <w:sz w:val="20"/>
          <w:szCs w:val="20"/>
          <w:lang w:val="en-GB"/>
        </w:rPr>
        <w:t xml:space="preserve"> ratio of 29.5:0.5; as did MDP2). This would seem to bias the “difference score” used to assess devaluation? For example, peanut satiation trials are difficult to interpret because the monkey is already at ceiling, i.e., the monkey cannot choose M&amp;Ms any more often than it had at baseline.</w:t>
      </w:r>
      <w:r w:rsidRPr="00094437">
        <w:rPr>
          <w:rFonts w:ascii="Helvetica" w:eastAsia="Times New Roman" w:hAnsi="Helvetica" w:cs="Times New Roman"/>
          <w:sz w:val="20"/>
          <w:szCs w:val="20"/>
          <w:lang w:val="en-GB"/>
        </w:rPr>
        <w:br/>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 xml:space="preserve">To address </w:t>
      </w:r>
      <w:proofErr w:type="gramStart"/>
      <w:r w:rsidRPr="00094437">
        <w:rPr>
          <w:rFonts w:ascii="Helvetica" w:eastAsia="Times New Roman" w:hAnsi="Helvetica" w:cs="Times New Roman"/>
          <w:sz w:val="20"/>
          <w:szCs w:val="20"/>
          <w:lang w:val="en-GB"/>
        </w:rPr>
        <w:t>this</w:t>
      </w:r>
      <w:proofErr w:type="gramEnd"/>
      <w:r w:rsidRPr="00094437">
        <w:rPr>
          <w:rFonts w:ascii="Helvetica" w:eastAsia="Times New Roman" w:hAnsi="Helvetica" w:cs="Times New Roman"/>
          <w:sz w:val="20"/>
          <w:szCs w:val="20"/>
          <w:lang w:val="en-GB"/>
        </w:rPr>
        <w:t xml:space="preserve"> we have included a further analysis of the proportion of adaptive responses made by each monkey during just the devaluation tests. This analysis, unlike the difference score, is independent of the baseline data. This is included on page 18 and we have included a related Figure 5A and 5B.</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(4) The normative sample for the single case analysis are the control animals in Mitchell, Browning, et al. (2007), three of which (out of four) do not nearly always choose M&amp;Ms over peanuts. Without the ceiling effect (discussed in point 3 above), this would seem to allow larger difference scores for the normative sample? How was this </w:t>
      </w:r>
      <w:proofErr w:type="gramStart"/>
      <w:r w:rsidRPr="00094437">
        <w:rPr>
          <w:rFonts w:ascii="Helvetica" w:eastAsia="Times New Roman" w:hAnsi="Helvetica" w:cs="Times New Roman"/>
          <w:sz w:val="20"/>
          <w:szCs w:val="20"/>
          <w:lang w:val="en-GB"/>
        </w:rPr>
        <w:t>taken into account</w:t>
      </w:r>
      <w:proofErr w:type="gramEnd"/>
      <w:r w:rsidRPr="00094437">
        <w:rPr>
          <w:rFonts w:ascii="Helvetica" w:eastAsia="Times New Roman" w:hAnsi="Helvetica" w:cs="Times New Roman"/>
          <w:sz w:val="20"/>
          <w:szCs w:val="20"/>
          <w:lang w:val="en-GB"/>
        </w:rPr>
        <w:t xml:space="preserve"> in the single trial analysis for reward devaluation?  </w:t>
      </w:r>
    </w:p>
    <w:p w:rsidR="00094437" w:rsidRPr="00094437" w:rsidRDefault="00094437" w:rsidP="00094437">
      <w:pPr>
        <w:spacing w:line="240" w:lineRule="auto"/>
        <w:rPr>
          <w:rFonts w:ascii="Helvetica" w:eastAsia="Times New Roman" w:hAnsi="Helvetica" w:cs="Times New Roman"/>
          <w:sz w:val="20"/>
          <w:szCs w:val="20"/>
          <w:lang w:val="en-GB"/>
        </w:rPr>
      </w:pP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 xml:space="preserve">As per point 3 above, we have included a further analysis of the proportion of adaptive responses for each monkey and this is based on the devaluation test and does not include baseline data. </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 xml:space="preserve">(5) As MDP1 and MDP2 clearly valued M&amp;Ms over peanuts, it might be preferable to separately </w:t>
      </w:r>
      <w:proofErr w:type="spellStart"/>
      <w:r w:rsidRPr="00094437">
        <w:rPr>
          <w:rFonts w:ascii="Helvetica" w:eastAsia="Times New Roman" w:hAnsi="Helvetica" w:cs="Times New Roman"/>
          <w:sz w:val="20"/>
          <w:szCs w:val="20"/>
          <w:lang w:val="en-GB"/>
        </w:rPr>
        <w:t>analyze</w:t>
      </w:r>
      <w:proofErr w:type="spellEnd"/>
      <w:r w:rsidRPr="00094437">
        <w:rPr>
          <w:rFonts w:ascii="Helvetica" w:eastAsia="Times New Roman" w:hAnsi="Helvetica" w:cs="Times New Roman"/>
          <w:sz w:val="20"/>
          <w:szCs w:val="20"/>
          <w:lang w:val="en-GB"/>
        </w:rPr>
        <w:t xml:space="preserve"> the M&amp;M satiation trials and peanut satiation trials, rather than combine them as done here for the difference score. That is, what are the statistics on the difference score when using only the M&amp;M satiation trials?</w:t>
      </w:r>
      <w:r w:rsidRPr="00094437">
        <w:rPr>
          <w:rFonts w:ascii="Helvetica" w:eastAsia="Times New Roman" w:hAnsi="Helvetica" w:cs="Times New Roman"/>
          <w:sz w:val="20"/>
          <w:szCs w:val="20"/>
          <w:lang w:val="en-GB"/>
        </w:rPr>
        <w:br/>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We have computed these difference scores from Table 3 of the manuscript and include them here below for the M&amp;M satiation trials. We have not included them in the text as it is not the standard way to conduct these analyses given that in total four devaluation tests with satiation of food rewards were conducted in the following order (1: 1 with peanuts, 2: 1 with M&amp;Ms, 3: 1 with peanuts and then 4: 1 with M&amp;Ms).</w:t>
      </w:r>
    </w:p>
    <w:p w:rsidR="00094437" w:rsidRPr="00094437" w:rsidRDefault="00094437" w:rsidP="00094437">
      <w:pPr>
        <w:spacing w:line="240" w:lineRule="auto"/>
        <w:rPr>
          <w:rFonts w:ascii="Helvetica" w:eastAsia="Times New Roman" w:hAnsi="Helvetica" w:cs="Times New Roman"/>
          <w:sz w:val="20"/>
          <w:szCs w:val="20"/>
          <w:lang w:val="en-GB"/>
        </w:rPr>
      </w:pPr>
    </w:p>
    <w:tbl>
      <w:tblPr>
        <w:tblW w:w="9014" w:type="dxa"/>
        <w:tblInd w:w="53" w:type="dxa"/>
        <w:tblCellMar>
          <w:left w:w="70" w:type="dxa"/>
          <w:right w:w="70" w:type="dxa"/>
        </w:tblCellMar>
        <w:tblLook w:val="04A0" w:firstRow="1" w:lastRow="0" w:firstColumn="1" w:lastColumn="0" w:noHBand="0" w:noVBand="1"/>
      </w:tblPr>
      <w:tblGrid>
        <w:gridCol w:w="2494"/>
        <w:gridCol w:w="992"/>
        <w:gridCol w:w="1134"/>
        <w:gridCol w:w="992"/>
        <w:gridCol w:w="1276"/>
        <w:gridCol w:w="992"/>
        <w:gridCol w:w="1134"/>
      </w:tblGrid>
      <w:tr w:rsidR="00094437" w:rsidRPr="00094437" w:rsidTr="00164CD1">
        <w:trPr>
          <w:trHeight w:val="300"/>
        </w:trPr>
        <w:tc>
          <w:tcPr>
            <w:tcW w:w="249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94437" w:rsidRPr="00094437" w:rsidRDefault="00094437" w:rsidP="00164CD1">
            <w:pPr>
              <w:spacing w:line="240" w:lineRule="auto"/>
              <w:jc w:val="center"/>
              <w:rPr>
                <w:rFonts w:asciiTheme="majorBidi" w:eastAsia="Times New Roman" w:hAnsiTheme="majorBidi" w:cstheme="majorBidi"/>
                <w:b/>
                <w:bCs/>
                <w:sz w:val="18"/>
                <w:szCs w:val="18"/>
                <w:lang w:val="fr-FR" w:eastAsia="fr-FR"/>
              </w:rPr>
            </w:pPr>
            <w:proofErr w:type="spellStart"/>
            <w:r w:rsidRPr="00094437">
              <w:rPr>
                <w:rFonts w:asciiTheme="majorBidi" w:eastAsia="Times New Roman" w:hAnsiTheme="majorBidi" w:cstheme="majorBidi"/>
                <w:b/>
                <w:bCs/>
                <w:sz w:val="18"/>
                <w:szCs w:val="18"/>
                <w:lang w:val="fr-FR" w:eastAsia="fr-FR"/>
              </w:rPr>
              <w:t>Monkeys</w:t>
            </w:r>
            <w:proofErr w:type="spellEnd"/>
          </w:p>
        </w:tc>
        <w:tc>
          <w:tcPr>
            <w:tcW w:w="212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4437" w:rsidRPr="00094437" w:rsidRDefault="00094437" w:rsidP="00164CD1">
            <w:pPr>
              <w:spacing w:line="240" w:lineRule="auto"/>
              <w:jc w:val="center"/>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 xml:space="preserve">Food </w:t>
            </w:r>
            <w:proofErr w:type="spellStart"/>
            <w:r w:rsidRPr="00094437">
              <w:rPr>
                <w:rFonts w:asciiTheme="majorBidi" w:eastAsia="Times New Roman" w:hAnsiTheme="majorBidi" w:cstheme="majorBidi"/>
                <w:b/>
                <w:bCs/>
                <w:sz w:val="18"/>
                <w:szCs w:val="18"/>
                <w:lang w:val="fr-FR" w:eastAsia="fr-FR"/>
              </w:rPr>
              <w:t>devaluation</w:t>
            </w:r>
            <w:proofErr w:type="spellEnd"/>
            <w:r w:rsidRPr="00094437">
              <w:rPr>
                <w:rFonts w:asciiTheme="majorBidi" w:eastAsia="Times New Roman" w:hAnsiTheme="majorBidi" w:cstheme="majorBidi"/>
                <w:b/>
                <w:bCs/>
                <w:sz w:val="18"/>
                <w:szCs w:val="18"/>
                <w:lang w:val="fr-FR" w:eastAsia="fr-FR"/>
              </w:rPr>
              <w:t xml:space="preserve"> Test 1</w:t>
            </w:r>
          </w:p>
        </w:tc>
        <w:tc>
          <w:tcPr>
            <w:tcW w:w="226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4437" w:rsidRPr="00094437" w:rsidRDefault="00094437" w:rsidP="00164CD1">
            <w:pPr>
              <w:spacing w:line="240" w:lineRule="auto"/>
              <w:jc w:val="center"/>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 xml:space="preserve">Food </w:t>
            </w:r>
            <w:proofErr w:type="spellStart"/>
            <w:r w:rsidRPr="00094437">
              <w:rPr>
                <w:rFonts w:asciiTheme="majorBidi" w:eastAsia="Times New Roman" w:hAnsiTheme="majorBidi" w:cstheme="majorBidi"/>
                <w:b/>
                <w:bCs/>
                <w:sz w:val="18"/>
                <w:szCs w:val="18"/>
                <w:lang w:val="fr-FR" w:eastAsia="fr-FR"/>
              </w:rPr>
              <w:t>devaluation</w:t>
            </w:r>
            <w:proofErr w:type="spellEnd"/>
            <w:r w:rsidRPr="00094437">
              <w:rPr>
                <w:rFonts w:asciiTheme="majorBidi" w:eastAsia="Times New Roman" w:hAnsiTheme="majorBidi" w:cstheme="majorBidi"/>
                <w:b/>
                <w:bCs/>
                <w:sz w:val="18"/>
                <w:szCs w:val="18"/>
                <w:lang w:val="fr-FR" w:eastAsia="fr-FR"/>
              </w:rPr>
              <w:t xml:space="preserve"> Test 2</w:t>
            </w:r>
          </w:p>
        </w:tc>
        <w:tc>
          <w:tcPr>
            <w:tcW w:w="212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4437" w:rsidRPr="00094437" w:rsidRDefault="00094437" w:rsidP="00164CD1">
            <w:pPr>
              <w:spacing w:line="240" w:lineRule="auto"/>
              <w:jc w:val="center"/>
              <w:rPr>
                <w:rFonts w:asciiTheme="majorBidi" w:eastAsia="Times New Roman" w:hAnsiTheme="majorBidi" w:cstheme="majorBidi"/>
                <w:b/>
                <w:bCs/>
                <w:sz w:val="18"/>
                <w:szCs w:val="18"/>
                <w:lang w:val="fr-FR" w:eastAsia="fr-FR"/>
              </w:rPr>
            </w:pPr>
            <w:proofErr w:type="spellStart"/>
            <w:r w:rsidRPr="00094437">
              <w:rPr>
                <w:rFonts w:asciiTheme="majorBidi" w:eastAsia="Times New Roman" w:hAnsiTheme="majorBidi" w:cstheme="majorBidi"/>
                <w:b/>
                <w:bCs/>
                <w:sz w:val="18"/>
                <w:szCs w:val="18"/>
                <w:lang w:val="fr-FR" w:eastAsia="fr-FR"/>
              </w:rPr>
              <w:t>Overall</w:t>
            </w:r>
            <w:proofErr w:type="spellEnd"/>
            <w:r w:rsidRPr="00094437">
              <w:rPr>
                <w:rFonts w:asciiTheme="majorBidi" w:eastAsia="Times New Roman" w:hAnsiTheme="majorBidi" w:cstheme="majorBidi"/>
                <w:b/>
                <w:bCs/>
                <w:sz w:val="18"/>
                <w:szCs w:val="18"/>
                <w:lang w:val="fr-FR" w:eastAsia="fr-FR"/>
              </w:rPr>
              <w:t xml:space="preserve"> </w:t>
            </w:r>
            <w:proofErr w:type="spellStart"/>
            <w:r w:rsidRPr="00094437">
              <w:rPr>
                <w:rFonts w:asciiTheme="majorBidi" w:eastAsia="Times New Roman" w:hAnsiTheme="majorBidi" w:cstheme="majorBidi"/>
                <w:b/>
                <w:bCs/>
                <w:sz w:val="18"/>
                <w:szCs w:val="18"/>
                <w:lang w:val="fr-FR" w:eastAsia="fr-FR"/>
              </w:rPr>
              <w:t>Mean</w:t>
            </w:r>
            <w:proofErr w:type="spellEnd"/>
          </w:p>
        </w:tc>
      </w:tr>
      <w:tr w:rsidR="00094437" w:rsidRPr="00094437" w:rsidTr="00164CD1">
        <w:trPr>
          <w:trHeight w:val="300"/>
        </w:trPr>
        <w:tc>
          <w:tcPr>
            <w:tcW w:w="2494" w:type="dxa"/>
            <w:vMerge/>
            <w:tcBorders>
              <w:top w:val="single" w:sz="4" w:space="0" w:color="auto"/>
              <w:left w:val="single" w:sz="4" w:space="0" w:color="auto"/>
              <w:bottom w:val="single" w:sz="4" w:space="0" w:color="000000"/>
              <w:right w:val="single" w:sz="4" w:space="0" w:color="auto"/>
            </w:tcBorders>
            <w:vAlign w:val="center"/>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Diff score</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 xml:space="preserve">Single case </w:t>
            </w:r>
            <w:proofErr w:type="spellStart"/>
            <w:r w:rsidRPr="00094437">
              <w:rPr>
                <w:rFonts w:asciiTheme="majorBidi" w:eastAsia="Times New Roman" w:hAnsiTheme="majorBidi" w:cstheme="majorBidi"/>
                <w:b/>
                <w:bCs/>
                <w:sz w:val="18"/>
                <w:szCs w:val="18"/>
                <w:lang w:val="fr-FR" w:eastAsia="fr-FR"/>
              </w:rPr>
              <w:t>analysis</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Diff score</w:t>
            </w:r>
          </w:p>
        </w:tc>
        <w:tc>
          <w:tcPr>
            <w:tcW w:w="1276"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 xml:space="preserve">Single case </w:t>
            </w:r>
            <w:proofErr w:type="spellStart"/>
            <w:r w:rsidRPr="00094437">
              <w:rPr>
                <w:rFonts w:asciiTheme="majorBidi" w:eastAsia="Times New Roman" w:hAnsiTheme="majorBidi" w:cstheme="majorBidi"/>
                <w:b/>
                <w:bCs/>
                <w:sz w:val="18"/>
                <w:szCs w:val="18"/>
                <w:lang w:val="fr-FR" w:eastAsia="fr-FR"/>
              </w:rPr>
              <w:t>analysis</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Diff Score</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b/>
                <w:bCs/>
                <w:sz w:val="18"/>
                <w:szCs w:val="18"/>
                <w:lang w:val="fr-FR" w:eastAsia="fr-FR"/>
              </w:rPr>
            </w:pPr>
            <w:r w:rsidRPr="00094437">
              <w:rPr>
                <w:rFonts w:asciiTheme="majorBidi" w:eastAsia="Times New Roman" w:hAnsiTheme="majorBidi" w:cstheme="majorBidi"/>
                <w:b/>
                <w:bCs/>
                <w:sz w:val="18"/>
                <w:szCs w:val="18"/>
                <w:lang w:val="fr-FR" w:eastAsia="fr-FR"/>
              </w:rPr>
              <w:t xml:space="preserve">Single case </w:t>
            </w:r>
            <w:proofErr w:type="spellStart"/>
            <w:r w:rsidRPr="00094437">
              <w:rPr>
                <w:rFonts w:asciiTheme="majorBidi" w:eastAsia="Times New Roman" w:hAnsiTheme="majorBidi" w:cstheme="majorBidi"/>
                <w:b/>
                <w:bCs/>
                <w:sz w:val="18"/>
                <w:szCs w:val="18"/>
                <w:lang w:val="fr-FR" w:eastAsia="fr-FR"/>
              </w:rPr>
              <w:t>analysis</w:t>
            </w:r>
            <w:proofErr w:type="spellEnd"/>
          </w:p>
        </w:tc>
      </w:tr>
      <w:tr w:rsidR="00094437" w:rsidRPr="00094437" w:rsidTr="00164CD1">
        <w:trPr>
          <w:trHeight w:val="300"/>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 xml:space="preserve">MDP1-Bi </w:t>
            </w:r>
            <w:proofErr w:type="spellStart"/>
            <w:r w:rsidRPr="00094437">
              <w:rPr>
                <w:rFonts w:asciiTheme="majorBidi" w:eastAsia="Times New Roman" w:hAnsiTheme="majorBidi" w:cstheme="majorBidi"/>
                <w:sz w:val="18"/>
                <w:szCs w:val="18"/>
                <w:lang w:val="fr-FR" w:eastAsia="fr-FR"/>
              </w:rPr>
              <w:t>MDpc</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-0.5</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0.088</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14.5</w:t>
            </w:r>
          </w:p>
        </w:tc>
        <w:tc>
          <w:tcPr>
            <w:tcW w:w="1276"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0.854</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14.0</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0.824</w:t>
            </w:r>
          </w:p>
        </w:tc>
      </w:tr>
      <w:tr w:rsidR="00094437" w:rsidRPr="00094437" w:rsidTr="00164CD1">
        <w:trPr>
          <w:trHeight w:val="300"/>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 xml:space="preserve">MDP2-Uni </w:t>
            </w:r>
            <w:proofErr w:type="spellStart"/>
            <w:r w:rsidRPr="00094437">
              <w:rPr>
                <w:rFonts w:asciiTheme="majorBidi" w:eastAsia="Times New Roman" w:hAnsiTheme="majorBidi" w:cstheme="majorBidi"/>
                <w:sz w:val="18"/>
                <w:szCs w:val="18"/>
                <w:lang w:val="fr-FR" w:eastAsia="fr-FR"/>
              </w:rPr>
              <w:t>MDpc</w:t>
            </w:r>
            <w:proofErr w:type="spellEnd"/>
            <w:r w:rsidRPr="00094437">
              <w:rPr>
                <w:rFonts w:asciiTheme="majorBidi" w:eastAsia="Times New Roman" w:hAnsiTheme="majorBidi" w:cstheme="majorBidi"/>
                <w:sz w:val="18"/>
                <w:szCs w:val="18"/>
                <w:lang w:val="fr-FR" w:eastAsia="fr-FR"/>
              </w:rPr>
              <w:t xml:space="preserve"> x Uni </w:t>
            </w:r>
            <w:proofErr w:type="spellStart"/>
            <w:r w:rsidRPr="00094437">
              <w:rPr>
                <w:rFonts w:asciiTheme="majorBidi" w:eastAsia="Times New Roman" w:hAnsiTheme="majorBidi" w:cstheme="majorBidi"/>
                <w:sz w:val="18"/>
                <w:szCs w:val="18"/>
                <w:lang w:val="fr-FR" w:eastAsia="fr-FR"/>
              </w:rPr>
              <w:t>MDmc</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10.5</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0.726</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13.5</w:t>
            </w:r>
          </w:p>
        </w:tc>
        <w:tc>
          <w:tcPr>
            <w:tcW w:w="1276"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0.943</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12.0</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0.893</w:t>
            </w:r>
          </w:p>
        </w:tc>
      </w:tr>
      <w:tr w:rsidR="00094437" w:rsidRPr="00094437" w:rsidTr="00164CD1">
        <w:trPr>
          <w:trHeight w:val="300"/>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 xml:space="preserve">MDP3-Uni </w:t>
            </w:r>
            <w:proofErr w:type="spellStart"/>
            <w:r w:rsidRPr="00094437">
              <w:rPr>
                <w:rFonts w:asciiTheme="majorBidi" w:eastAsia="Times New Roman" w:hAnsiTheme="majorBidi" w:cstheme="majorBidi"/>
                <w:sz w:val="18"/>
                <w:szCs w:val="18"/>
                <w:lang w:val="fr-FR" w:eastAsia="fr-FR"/>
              </w:rPr>
              <w:t>MDmc</w:t>
            </w:r>
            <w:proofErr w:type="spellEnd"/>
            <w:r w:rsidRPr="00094437">
              <w:rPr>
                <w:rFonts w:asciiTheme="majorBidi" w:eastAsia="Times New Roman" w:hAnsiTheme="majorBidi" w:cstheme="majorBidi"/>
                <w:sz w:val="18"/>
                <w:szCs w:val="18"/>
                <w:lang w:val="fr-FR" w:eastAsia="fr-FR"/>
              </w:rPr>
              <w:t xml:space="preserve"> + </w:t>
            </w:r>
            <w:proofErr w:type="spellStart"/>
            <w:r w:rsidRPr="00094437">
              <w:rPr>
                <w:rFonts w:asciiTheme="majorBidi" w:eastAsia="Times New Roman" w:hAnsiTheme="majorBidi" w:cstheme="majorBidi"/>
                <w:sz w:val="18"/>
                <w:szCs w:val="18"/>
                <w:lang w:val="fr-FR" w:eastAsia="fr-FR"/>
              </w:rPr>
              <w:t>midline</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9.0</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0.549</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13.5</w:t>
            </w:r>
          </w:p>
        </w:tc>
        <w:tc>
          <w:tcPr>
            <w:tcW w:w="1276"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0.943</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12.25</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0.929</w:t>
            </w:r>
          </w:p>
        </w:tc>
      </w:tr>
      <w:tr w:rsidR="00094437" w:rsidRPr="00094437" w:rsidTr="00164CD1">
        <w:trPr>
          <w:trHeight w:val="300"/>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 xml:space="preserve">MDP4-Bi </w:t>
            </w:r>
            <w:proofErr w:type="spellStart"/>
            <w:r w:rsidRPr="00094437">
              <w:rPr>
                <w:rFonts w:asciiTheme="majorBidi" w:eastAsia="Times New Roman" w:hAnsiTheme="majorBidi" w:cstheme="majorBidi"/>
                <w:sz w:val="18"/>
                <w:szCs w:val="18"/>
                <w:lang w:val="fr-FR" w:eastAsia="fr-FR"/>
              </w:rPr>
              <w:t>MDpc+Bi</w:t>
            </w:r>
            <w:proofErr w:type="spellEnd"/>
            <w:r w:rsidRPr="00094437">
              <w:rPr>
                <w:rFonts w:asciiTheme="majorBidi" w:eastAsia="Times New Roman" w:hAnsiTheme="majorBidi" w:cstheme="majorBidi"/>
                <w:sz w:val="18"/>
                <w:szCs w:val="18"/>
                <w:lang w:val="fr-FR" w:eastAsia="fr-FR"/>
              </w:rPr>
              <w:t xml:space="preserve"> </w:t>
            </w:r>
            <w:proofErr w:type="spellStart"/>
            <w:r w:rsidRPr="00094437">
              <w:rPr>
                <w:rFonts w:asciiTheme="majorBidi" w:eastAsia="Times New Roman" w:hAnsiTheme="majorBidi" w:cstheme="majorBidi"/>
                <w:sz w:val="18"/>
                <w:szCs w:val="18"/>
                <w:lang w:val="fr-FR" w:eastAsia="fr-FR"/>
              </w:rPr>
              <w:t>MDmc</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1.0</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0.114</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0.5</w:t>
            </w:r>
          </w:p>
        </w:tc>
        <w:tc>
          <w:tcPr>
            <w:tcW w:w="1276"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0.227</w:t>
            </w:r>
          </w:p>
        </w:tc>
        <w:tc>
          <w:tcPr>
            <w:tcW w:w="992"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1.5</w:t>
            </w:r>
          </w:p>
        </w:tc>
        <w:tc>
          <w:tcPr>
            <w:tcW w:w="1134" w:type="dxa"/>
            <w:tcBorders>
              <w:top w:val="nil"/>
              <w:left w:val="nil"/>
              <w:bottom w:val="single" w:sz="4" w:space="0" w:color="auto"/>
              <w:right w:val="single" w:sz="4" w:space="0" w:color="auto"/>
            </w:tcBorders>
            <w:shd w:val="clear" w:color="auto" w:fill="auto"/>
            <w:noWrap/>
            <w:vAlign w:val="bottom"/>
            <w:hideMark/>
          </w:tcPr>
          <w:p w:rsidR="00094437" w:rsidRPr="00094437" w:rsidRDefault="00094437" w:rsidP="00164CD1">
            <w:pPr>
              <w:spacing w:line="240" w:lineRule="auto"/>
              <w:jc w:val="right"/>
              <w:rPr>
                <w:rFonts w:asciiTheme="majorBidi" w:eastAsia="Times New Roman" w:hAnsiTheme="majorBidi" w:cstheme="majorBidi"/>
                <w:sz w:val="18"/>
                <w:szCs w:val="18"/>
                <w:lang w:val="fr-FR" w:eastAsia="fr-FR"/>
              </w:rPr>
            </w:pPr>
            <w:r w:rsidRPr="00094437">
              <w:rPr>
                <w:rFonts w:asciiTheme="majorBidi" w:eastAsia="Times New Roman" w:hAnsiTheme="majorBidi" w:cstheme="majorBidi"/>
                <w:sz w:val="18"/>
                <w:szCs w:val="18"/>
                <w:lang w:val="fr-FR" w:eastAsia="fr-FR"/>
              </w:rPr>
              <w:t>0.117</w:t>
            </w:r>
          </w:p>
        </w:tc>
      </w:tr>
    </w:tbl>
    <w:p w:rsidR="00094437" w:rsidRPr="00094437" w:rsidRDefault="00094437" w:rsidP="00094437">
      <w:pPr>
        <w:spacing w:line="240" w:lineRule="auto"/>
        <w:rPr>
          <w:rFonts w:ascii="Helvetica" w:eastAsia="Times New Roman" w:hAnsi="Helvetica" w:cs="Times New Roman"/>
          <w:lang w:val="en-GB"/>
        </w:rPr>
      </w:pPr>
    </w:p>
    <w:p w:rsidR="00094437" w:rsidRPr="00094437" w:rsidRDefault="00094437" w:rsidP="00094437">
      <w:pPr>
        <w:spacing w:line="240" w:lineRule="auto"/>
        <w:rPr>
          <w:rFonts w:ascii="Helvetica" w:hAnsi="Helvetica"/>
          <w:lang w:eastAsia="en-GB"/>
        </w:rPr>
      </w:pPr>
      <w:r w:rsidRPr="00094437">
        <w:rPr>
          <w:rFonts w:ascii="Helvetica" w:hAnsi="Helvetica"/>
          <w:lang w:eastAsia="en-GB"/>
        </w:rPr>
        <w:t>The difference scores related to the number of M&amp;M rewarded objects chosen by each monkey during the two devaluation tests. Individual difference scores for Test 1 and Test 2 are compared to the normative sample of unoperated controls from Mitchell et al., (2007): Mean Test 1 = 12.5, S.D = 4.56 and N = 4; Mean Test 2 = 12.87, S.D = 7.30 and N = 4; Overall Mean = 12.5, S.D = 4.66 and N = 4).</w:t>
      </w:r>
    </w:p>
    <w:p w:rsidR="00094437" w:rsidRPr="00094437" w:rsidRDefault="00094437" w:rsidP="00094437">
      <w:pPr>
        <w:spacing w:line="240" w:lineRule="auto"/>
        <w:rPr>
          <w:rFonts w:ascii="Helvetica" w:eastAsia="Times New Roman" w:hAnsi="Helvetica" w:cs="Times New Roman"/>
          <w:sz w:val="20"/>
          <w:szCs w:val="20"/>
          <w:lang w:val="en-GB"/>
        </w:rPr>
      </w:pP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(6) RE: Object-in-place learning, e.g., Table 2 and Figure 4. The animal with a unilateral MD and midline lesion (MDP3) showed recovery of function. For the other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-lesioned animals (MDP2 and MDP4), is performance on posttest1 and </w:t>
      </w:r>
      <w:proofErr w:type="spellStart"/>
      <w:r w:rsidRPr="00094437">
        <w:rPr>
          <w:rFonts w:ascii="Helvetica" w:eastAsia="Times New Roman" w:hAnsi="Helvetica" w:cs="Times New Roman"/>
          <w:sz w:val="20"/>
          <w:szCs w:val="20"/>
          <w:lang w:val="en-GB"/>
        </w:rPr>
        <w:t>posttest</w:t>
      </w:r>
      <w:proofErr w:type="spellEnd"/>
      <w:r w:rsidRPr="00094437">
        <w:rPr>
          <w:rFonts w:ascii="Helvetica" w:eastAsia="Times New Roman" w:hAnsi="Helvetica" w:cs="Times New Roman"/>
          <w:sz w:val="20"/>
          <w:szCs w:val="20"/>
          <w:lang w:val="en-GB"/>
        </w:rPr>
        <w:t xml:space="preserve"> 2 significantly different?</w:t>
      </w:r>
    </w:p>
    <w:p w:rsidR="00094437" w:rsidRPr="00094437" w:rsidRDefault="00094437" w:rsidP="00094437">
      <w:pPr>
        <w:spacing w:line="240" w:lineRule="auto"/>
        <w:rPr>
          <w:rFonts w:ascii="Helvetica" w:eastAsia="Times New Roman" w:hAnsi="Helvetica" w:cs="Times New Roman"/>
          <w:sz w:val="20"/>
          <w:szCs w:val="20"/>
          <w:lang w:val="en-GB"/>
        </w:rPr>
      </w:pPr>
    </w:p>
    <w:p w:rsidR="00094437" w:rsidRPr="00094437" w:rsidRDefault="00094437" w:rsidP="00094437">
      <w:pPr>
        <w:spacing w:line="240" w:lineRule="auto"/>
        <w:rPr>
          <w:rFonts w:ascii="Helvetica" w:hAnsi="Helvetica"/>
        </w:rPr>
      </w:pPr>
      <w:r w:rsidRPr="00094437">
        <w:rPr>
          <w:rFonts w:ascii="Helvetica" w:hAnsi="Helvetica"/>
        </w:rPr>
        <w:t>The statistical analysis revealed that the performance on Posttest1 versus Posttest2 is not statistically significant for MDP2, p = 0.009; for MDP4 the difference was significant, p = 0.133. This information has been included in the results section on pages 14 and 15.</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 xml:space="preserve">(7) One of the authors’ prior studies (Browning et al., 2015) investigated effects of unilateral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lesions on rapid scene learning (prior to additional ablation of orbital and ventral prefrontal cortical regions) and reported that unilateral lesions impair this ability. In the current submission, the possible recovery of function seems like an important observation (one that was briefly noted in the discussion </w:t>
      </w:r>
      <w:r w:rsidRPr="00094437">
        <w:rPr>
          <w:rFonts w:ascii="Helvetica" w:eastAsia="Times New Roman" w:hAnsi="Helvetica" w:cs="Times New Roman"/>
          <w:sz w:val="20"/>
          <w:szCs w:val="20"/>
          <w:lang w:val="en-GB"/>
        </w:rPr>
        <w:lastRenderedPageBreak/>
        <w:t xml:space="preserve">of Browning et al., 2015), and the authors might consider highlighting this in the main text, and possibly “updating” their conclusions on the effect of unilateral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lesions on learning, drawing from available cases with unilateral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lesions.</w:t>
      </w:r>
      <w:r w:rsidRPr="00094437">
        <w:rPr>
          <w:rFonts w:ascii="Helvetica" w:eastAsia="Times New Roman" w:hAnsi="Helvetica" w:cs="Times New Roman"/>
          <w:sz w:val="20"/>
          <w:szCs w:val="20"/>
          <w:lang w:val="en-GB"/>
        </w:rPr>
        <w:br/>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We have done this now and these changes have been included on page 22.</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(8) To date, the authors have performed </w:t>
      </w:r>
      <w:proofErr w:type="gramStart"/>
      <w:r w:rsidRPr="00094437">
        <w:rPr>
          <w:rFonts w:ascii="Helvetica" w:eastAsia="Times New Roman" w:hAnsi="Helvetica" w:cs="Times New Roman"/>
          <w:sz w:val="20"/>
          <w:szCs w:val="20"/>
          <w:lang w:val="en-GB"/>
        </w:rPr>
        <w:t>a number of</w:t>
      </w:r>
      <w:proofErr w:type="gramEnd"/>
      <w:r w:rsidRPr="00094437">
        <w:rPr>
          <w:rFonts w:ascii="Helvetica" w:eastAsia="Times New Roman" w:hAnsi="Helvetica" w:cs="Times New Roman"/>
          <w:sz w:val="20"/>
          <w:szCs w:val="20"/>
          <w:lang w:val="en-GB"/>
        </w:rPr>
        <w:t xml:space="preserve"> important studies elucidating the function of MD in learning and reward devaluation. It would be very helpful if these prior results were briefly summarized in the introduction, so that the reader can gain a sense of what is known (and what is not).</w:t>
      </w:r>
      <w:r w:rsidRPr="00094437">
        <w:rPr>
          <w:rFonts w:ascii="Helvetica" w:eastAsia="Times New Roman" w:hAnsi="Helvetica" w:cs="Times New Roman"/>
          <w:sz w:val="20"/>
          <w:szCs w:val="20"/>
          <w:lang w:val="en-GB"/>
        </w:rPr>
        <w:br/>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These have been summarised in the introduction on page 3.</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Minor:</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 xml:space="preserve"> (9) Is MDP3’s difficulty in learning the associations related to the lesion? </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We don’t believe that it is and have indicated this in the text on page 19.</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(10) In the discussion, it might be useful to more deeply explore what it means to have attenuated devaluation. It is not clear that the monkeys are doing “less decision making” (line 459); they are making just as many decisions.</w:t>
      </w:r>
      <w:r w:rsidRPr="00094437">
        <w:rPr>
          <w:rFonts w:ascii="Helvetica" w:eastAsia="Times New Roman" w:hAnsi="Helvetica" w:cs="Times New Roman"/>
          <w:sz w:val="20"/>
          <w:szCs w:val="20"/>
          <w:lang w:val="en-GB"/>
        </w:rPr>
        <w:br/>
      </w:r>
    </w:p>
    <w:p w:rsidR="00094437" w:rsidRPr="00094437" w:rsidRDefault="00094437" w:rsidP="00094437">
      <w:r w:rsidRPr="00094437">
        <w:t>Additional points have been made in the discussion on page 19-20.</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(11) RE: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lesion impacting reward devaluation. It is mentioned in the discussion that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receives non-reciprocal input from the orbitofrontal cortex” (line 522-523). It might be useful to briefly elaborate on this, i.e., how information about reward values might be transmitted from orbitofrontal cortex to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 then to other brain regions. For example, </w:t>
      </w:r>
      <w:proofErr w:type="spellStart"/>
      <w:r w:rsidRPr="00094437">
        <w:rPr>
          <w:rFonts w:ascii="Helvetica" w:eastAsia="Times New Roman" w:hAnsi="Helvetica" w:cs="Times New Roman"/>
          <w:sz w:val="20"/>
          <w:szCs w:val="20"/>
          <w:lang w:val="en-GB"/>
        </w:rPr>
        <w:t>Xaio</w:t>
      </w:r>
      <w:proofErr w:type="spellEnd"/>
      <w:r w:rsidRPr="00094437">
        <w:rPr>
          <w:rFonts w:ascii="Helvetica" w:eastAsia="Times New Roman" w:hAnsi="Helvetica" w:cs="Times New Roman"/>
          <w:sz w:val="20"/>
          <w:szCs w:val="20"/>
          <w:lang w:val="en-GB"/>
        </w:rPr>
        <w:t xml:space="preserve"> et al. (2009) have shown that predominantly layer VI (not layer V) of orbitofrontal cortex sends projections to MD. What role could these modulatory (rather than driver) inputs play?</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We have provided a further, brief explanation on page 20.</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Reviewer: 2</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Comments to the Author</w:t>
      </w:r>
      <w:r w:rsidRPr="00094437">
        <w:rPr>
          <w:rFonts w:ascii="Helvetica" w:eastAsia="Times New Roman" w:hAnsi="Helvetica" w:cs="Times New Roman"/>
          <w:sz w:val="20"/>
          <w:szCs w:val="20"/>
          <w:lang w:val="en-GB"/>
        </w:rPr>
        <w:br/>
        <w:t xml:space="preserve">The authors reported </w:t>
      </w:r>
      <w:proofErr w:type="spellStart"/>
      <w:r w:rsidRPr="00094437">
        <w:rPr>
          <w:rFonts w:ascii="Helvetica" w:eastAsia="Times New Roman" w:hAnsi="Helvetica" w:cs="Times New Roman"/>
          <w:sz w:val="20"/>
          <w:szCs w:val="20"/>
          <w:lang w:val="en-GB"/>
        </w:rPr>
        <w:t>behavioral</w:t>
      </w:r>
      <w:proofErr w:type="spellEnd"/>
      <w:r w:rsidRPr="00094437">
        <w:rPr>
          <w:rFonts w:ascii="Helvetica" w:eastAsia="Times New Roman" w:hAnsi="Helvetica" w:cs="Times New Roman"/>
          <w:sz w:val="20"/>
          <w:szCs w:val="20"/>
          <w:lang w:val="en-GB"/>
        </w:rPr>
        <w:t xml:space="preserve"> data related to learning and reward on four rhesus macaques with different neurotoxic lesions in the MD thalamus. The animals were tested on object-in-place scene discrimination learning task; and object discrimination learning and reinforcement devaluation tasks. The lesions in four animals include respectively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(both sides); unilateral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&amp; contralateral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damage; unilateral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&amp; midline nuclei; and bilateral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&amp;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The major findings include: bilateral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damage left new learning intact, but damage to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impaired new learning; midline damage disrupted reward association learning;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damage attenuated devaluation effects after satiety. One of the strengths of the study was that each animal served as its own control.</w:t>
      </w:r>
      <w:r w:rsidRPr="00094437">
        <w:rPr>
          <w:rFonts w:ascii="Helvetica" w:eastAsia="Times New Roman" w:hAnsi="Helvetica" w:cs="Times New Roman"/>
          <w:sz w:val="20"/>
          <w:szCs w:val="20"/>
          <w:lang w:val="en-GB"/>
        </w:rPr>
        <w:br/>
        <w:t xml:space="preserve">The experiments were well </w:t>
      </w:r>
      <w:proofErr w:type="gramStart"/>
      <w:r w:rsidRPr="00094437">
        <w:rPr>
          <w:rFonts w:ascii="Helvetica" w:eastAsia="Times New Roman" w:hAnsi="Helvetica" w:cs="Times New Roman"/>
          <w:sz w:val="20"/>
          <w:szCs w:val="20"/>
          <w:lang w:val="en-GB"/>
        </w:rPr>
        <w:t>designed</w:t>
      </w:r>
      <w:proofErr w:type="gramEnd"/>
      <w:r w:rsidRPr="00094437">
        <w:rPr>
          <w:rFonts w:ascii="Helvetica" w:eastAsia="Times New Roman" w:hAnsi="Helvetica" w:cs="Times New Roman"/>
          <w:sz w:val="20"/>
          <w:szCs w:val="20"/>
          <w:lang w:val="en-GB"/>
        </w:rPr>
        <w:t xml:space="preserve"> and the findings are interesting for a broad audience of neuroscientists. However, some statements in Introduction and Discussion, especially those about connections between the cortex and MD, need clarification and some references are needed to support other statements. Figure 1 does not seem to be necessary, especially since it focuses on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the sector affected the least in the tasks employed. In addition, some pathways depicted in Figure 1 are not consistent with the evidence in the literature, and the figure would require major over hall if retained.</w:t>
      </w:r>
      <w:r w:rsidRPr="00094437">
        <w:rPr>
          <w:rFonts w:ascii="Helvetica" w:eastAsia="Times New Roman" w:hAnsi="Helvetica" w:cs="Times New Roman"/>
          <w:sz w:val="20"/>
          <w:szCs w:val="20"/>
          <w:lang w:val="en-GB"/>
        </w:rPr>
        <w:br/>
        <w:t>We have deleted Figure 1.</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Major comments:</w:t>
      </w:r>
      <w:r w:rsidRPr="00094437">
        <w:rPr>
          <w:rFonts w:ascii="Helvetica" w:eastAsia="Times New Roman" w:hAnsi="Helvetica" w:cs="Times New Roman"/>
          <w:sz w:val="20"/>
          <w:szCs w:val="20"/>
          <w:lang w:val="en-GB"/>
        </w:rPr>
        <w:br/>
        <w:t xml:space="preserve">1.- Connections of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 prefrontal cortex areas are reciprocal. The authors stated in the introduction and discussion that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receives non-reciprocal inputs from the orbitofrontal cortex, but the evidence in the literature shows that MD sectors and the orbital cortex are reciprocally connected. Some of the references cited by the authors, including Xiao et al 2009, report injections of retrograde tracers in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findings of cortico-thalamic projections from the orbital cortex to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Studies in the literature may report on only </w:t>
      </w:r>
      <w:proofErr w:type="gramStart"/>
      <w:r w:rsidRPr="00094437">
        <w:rPr>
          <w:rFonts w:ascii="Helvetica" w:eastAsia="Times New Roman" w:hAnsi="Helvetica" w:cs="Times New Roman"/>
          <w:sz w:val="20"/>
          <w:szCs w:val="20"/>
          <w:lang w:val="en-GB"/>
        </w:rPr>
        <w:t>one way</w:t>
      </w:r>
      <w:proofErr w:type="gramEnd"/>
      <w:r w:rsidRPr="00094437">
        <w:rPr>
          <w:rFonts w:ascii="Helvetica" w:eastAsia="Times New Roman" w:hAnsi="Helvetica" w:cs="Times New Roman"/>
          <w:sz w:val="20"/>
          <w:szCs w:val="20"/>
          <w:lang w:val="en-GB"/>
        </w:rPr>
        <w:t xml:space="preserve"> pathways when retrograde </w:t>
      </w:r>
      <w:r w:rsidRPr="00094437">
        <w:rPr>
          <w:rFonts w:ascii="Helvetica" w:eastAsia="Times New Roman" w:hAnsi="Helvetica" w:cs="Times New Roman"/>
          <w:sz w:val="20"/>
          <w:szCs w:val="20"/>
          <w:lang w:val="en-GB"/>
        </w:rPr>
        <w:lastRenderedPageBreak/>
        <w:t xml:space="preserve">tracers are used, but the pathways are reciprocal. Other studies with retrograde tracer injections in orbital cortex, including areas 12 and 13 also found thalamocortical projections from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to the orbital cortex (e. g. </w:t>
      </w:r>
      <w:proofErr w:type="spellStart"/>
      <w:r w:rsidRPr="00094437">
        <w:rPr>
          <w:rFonts w:ascii="Helvetica" w:eastAsia="Times New Roman" w:hAnsi="Helvetica" w:cs="Times New Roman"/>
          <w:sz w:val="20"/>
          <w:szCs w:val="20"/>
          <w:lang w:val="en-GB"/>
        </w:rPr>
        <w:t>Dermon</w:t>
      </w:r>
      <w:proofErr w:type="spellEnd"/>
      <w:r w:rsidRPr="00094437">
        <w:rPr>
          <w:rFonts w:ascii="Helvetica" w:eastAsia="Times New Roman" w:hAnsi="Helvetica" w:cs="Times New Roman"/>
          <w:sz w:val="20"/>
          <w:szCs w:val="20"/>
          <w:lang w:val="en-GB"/>
        </w:rPr>
        <w:t xml:space="preserve"> &amp; </w:t>
      </w:r>
      <w:proofErr w:type="spellStart"/>
      <w:r w:rsidRPr="00094437">
        <w:rPr>
          <w:rFonts w:ascii="Helvetica" w:eastAsia="Times New Roman" w:hAnsi="Helvetica" w:cs="Times New Roman"/>
          <w:sz w:val="20"/>
          <w:szCs w:val="20"/>
          <w:lang w:val="en-GB"/>
        </w:rPr>
        <w:t>Barbas</w:t>
      </w:r>
      <w:proofErr w:type="spellEnd"/>
      <w:r w:rsidRPr="00094437">
        <w:rPr>
          <w:rFonts w:ascii="Helvetica" w:eastAsia="Times New Roman" w:hAnsi="Helvetica" w:cs="Times New Roman"/>
          <w:sz w:val="20"/>
          <w:szCs w:val="20"/>
          <w:lang w:val="en-GB"/>
        </w:rPr>
        <w:t xml:space="preserve"> 1994, Journal of Comparative Neurology). Injection of bidirectional tracers in the orbital cortex of the monkey has shown anterograde and retrograde </w:t>
      </w:r>
      <w:proofErr w:type="spellStart"/>
      <w:r w:rsidRPr="00094437">
        <w:rPr>
          <w:rFonts w:ascii="Helvetica" w:eastAsia="Times New Roman" w:hAnsi="Helvetica" w:cs="Times New Roman"/>
          <w:sz w:val="20"/>
          <w:szCs w:val="20"/>
          <w:lang w:val="en-GB"/>
        </w:rPr>
        <w:t>labeling</w:t>
      </w:r>
      <w:proofErr w:type="spellEnd"/>
      <w:r w:rsidRPr="00094437">
        <w:rPr>
          <w:rFonts w:ascii="Helvetica" w:eastAsia="Times New Roman" w:hAnsi="Helvetica" w:cs="Times New Roman"/>
          <w:sz w:val="20"/>
          <w:szCs w:val="20"/>
          <w:lang w:val="en-GB"/>
        </w:rPr>
        <w:t xml:space="preserve"> in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w:t>
      </w:r>
      <w:proofErr w:type="spellStart"/>
      <w:r w:rsidRPr="00094437">
        <w:rPr>
          <w:rFonts w:ascii="Helvetica" w:eastAsia="Times New Roman" w:hAnsi="Helvetica" w:cs="Times New Roman"/>
          <w:sz w:val="20"/>
          <w:szCs w:val="20"/>
          <w:lang w:val="en-GB"/>
        </w:rPr>
        <w:t>Cavada</w:t>
      </w:r>
      <w:proofErr w:type="spellEnd"/>
      <w:r w:rsidRPr="00094437">
        <w:rPr>
          <w:rFonts w:ascii="Helvetica" w:eastAsia="Times New Roman" w:hAnsi="Helvetica" w:cs="Times New Roman"/>
          <w:sz w:val="20"/>
          <w:szCs w:val="20"/>
          <w:lang w:val="en-GB"/>
        </w:rPr>
        <w:t xml:space="preserve"> et al 2000, Cerebral Cortex; Garcia-</w:t>
      </w:r>
      <w:proofErr w:type="spellStart"/>
      <w:r w:rsidRPr="00094437">
        <w:rPr>
          <w:rFonts w:ascii="Helvetica" w:eastAsia="Times New Roman" w:hAnsi="Helvetica" w:cs="Times New Roman"/>
          <w:sz w:val="20"/>
          <w:szCs w:val="20"/>
          <w:lang w:val="en-GB"/>
        </w:rPr>
        <w:t>Cabezas</w:t>
      </w:r>
      <w:proofErr w:type="spellEnd"/>
      <w:r w:rsidRPr="00094437">
        <w:rPr>
          <w:rFonts w:ascii="Helvetica" w:eastAsia="Times New Roman" w:hAnsi="Helvetica" w:cs="Times New Roman"/>
          <w:sz w:val="20"/>
          <w:szCs w:val="20"/>
          <w:lang w:val="en-GB"/>
        </w:rPr>
        <w:t xml:space="preserve"> &amp; </w:t>
      </w:r>
      <w:proofErr w:type="spellStart"/>
      <w:r w:rsidRPr="00094437">
        <w:rPr>
          <w:rFonts w:ascii="Helvetica" w:eastAsia="Times New Roman" w:hAnsi="Helvetica" w:cs="Times New Roman"/>
          <w:sz w:val="20"/>
          <w:szCs w:val="20"/>
          <w:lang w:val="en-GB"/>
        </w:rPr>
        <w:t>Barbas</w:t>
      </w:r>
      <w:proofErr w:type="spellEnd"/>
      <w:r w:rsidRPr="00094437">
        <w:rPr>
          <w:rFonts w:ascii="Helvetica" w:eastAsia="Times New Roman" w:hAnsi="Helvetica" w:cs="Times New Roman"/>
          <w:sz w:val="20"/>
          <w:szCs w:val="20"/>
          <w:lang w:val="en-GB"/>
        </w:rPr>
        <w:t xml:space="preserve"> 2017, Cerebral Cortex). </w:t>
      </w:r>
      <w:r w:rsidRPr="00094437">
        <w:rPr>
          <w:rFonts w:ascii="Helvetica" w:eastAsia="Times New Roman" w:hAnsi="Helvetica" w:cs="Times New Roman"/>
          <w:sz w:val="20"/>
          <w:szCs w:val="20"/>
          <w:lang w:val="en-GB"/>
        </w:rPr>
        <w:br/>
        <w:t xml:space="preserve">The same can be said about connections between the anterior cingulate cortex (ACC)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Xiao et al found corticothalamic projections from ACC areas to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Dermon</w:t>
      </w:r>
      <w:proofErr w:type="spellEnd"/>
      <w:r w:rsidRPr="00094437">
        <w:rPr>
          <w:rFonts w:ascii="Helvetica" w:eastAsia="Times New Roman" w:hAnsi="Helvetica" w:cs="Times New Roman"/>
          <w:sz w:val="20"/>
          <w:szCs w:val="20"/>
          <w:lang w:val="en-GB"/>
        </w:rPr>
        <w:t xml:space="preserve"> &amp; </w:t>
      </w:r>
      <w:proofErr w:type="spellStart"/>
      <w:r w:rsidRPr="00094437">
        <w:rPr>
          <w:rFonts w:ascii="Helvetica" w:eastAsia="Times New Roman" w:hAnsi="Helvetica" w:cs="Times New Roman"/>
          <w:sz w:val="20"/>
          <w:szCs w:val="20"/>
          <w:lang w:val="en-GB"/>
        </w:rPr>
        <w:t>Barbas</w:t>
      </w:r>
      <w:proofErr w:type="spellEnd"/>
      <w:r w:rsidRPr="00094437">
        <w:rPr>
          <w:rFonts w:ascii="Helvetica" w:eastAsia="Times New Roman" w:hAnsi="Helvetica" w:cs="Times New Roman"/>
          <w:sz w:val="20"/>
          <w:szCs w:val="20"/>
          <w:lang w:val="en-GB"/>
        </w:rPr>
        <w:t xml:space="preserve"> (1994) found thalamocortical projections from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xml:space="preserve"> and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to ACC areas. This evidence is pertinent to the interpretation of the authors’ data.</w:t>
      </w:r>
      <w:r w:rsidRPr="00094437">
        <w:rPr>
          <w:rFonts w:ascii="Helvetica" w:eastAsia="Times New Roman" w:hAnsi="Helvetica" w:cs="Times New Roman"/>
          <w:sz w:val="20"/>
          <w:szCs w:val="20"/>
          <w:lang w:val="en-GB"/>
        </w:rPr>
        <w:br/>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The neuroanatomy section of the introduction has been updated on pages 3-4 and implications of the specific neuroanatomy have been discussed in relation to both tasks on pages 20-24 of the discussion.</w:t>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2.- Orbital areas issue projections to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from layers 5 &amp; 6. The authors stated in Introduction that the driver signal to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“is proposed to originate from the layer 5 cortico-thalamic pathways”. While this may be true, it is important to indicate that cortical projections to MD sectors from prefrontal areas, including the orbital cortex, originate in both layers 5 &amp; 6 (Xiao et al 2009; Garcia-</w:t>
      </w:r>
      <w:proofErr w:type="spellStart"/>
      <w:r w:rsidRPr="00094437">
        <w:rPr>
          <w:rFonts w:ascii="Helvetica" w:eastAsia="Times New Roman" w:hAnsi="Helvetica" w:cs="Times New Roman"/>
          <w:sz w:val="20"/>
          <w:szCs w:val="20"/>
          <w:lang w:val="en-GB"/>
        </w:rPr>
        <w:t>Cabezas</w:t>
      </w:r>
      <w:proofErr w:type="spellEnd"/>
      <w:r w:rsidRPr="00094437">
        <w:rPr>
          <w:rFonts w:ascii="Helvetica" w:eastAsia="Times New Roman" w:hAnsi="Helvetica" w:cs="Times New Roman"/>
          <w:sz w:val="20"/>
          <w:szCs w:val="20"/>
          <w:lang w:val="en-GB"/>
        </w:rPr>
        <w:t xml:space="preserve"> &amp; </w:t>
      </w:r>
      <w:proofErr w:type="spellStart"/>
      <w:r w:rsidRPr="00094437">
        <w:rPr>
          <w:rFonts w:ascii="Helvetica" w:eastAsia="Times New Roman" w:hAnsi="Helvetica" w:cs="Times New Roman"/>
          <w:sz w:val="20"/>
          <w:szCs w:val="20"/>
          <w:lang w:val="en-GB"/>
        </w:rPr>
        <w:t>Barbas</w:t>
      </w:r>
      <w:proofErr w:type="spellEnd"/>
      <w:r w:rsidRPr="00094437">
        <w:rPr>
          <w:rFonts w:ascii="Helvetica" w:eastAsia="Times New Roman" w:hAnsi="Helvetica" w:cs="Times New Roman"/>
          <w:sz w:val="20"/>
          <w:szCs w:val="20"/>
          <w:lang w:val="en-GB"/>
        </w:rPr>
        <w:t xml:space="preserve"> 2017). In fact, projection neurons from layer 6 predominate, as do projections from many other prefrontal areas to MD. There is no evidence that projections originate exclusively from layer 5 in this system. This also applies for projections from premotor areas directed to the ventral anterior nucleus. </w:t>
      </w:r>
      <w:r w:rsidRPr="00094437">
        <w:rPr>
          <w:rFonts w:ascii="Helvetica" w:eastAsia="Times New Roman" w:hAnsi="Helvetica" w:cs="Times New Roman"/>
          <w:sz w:val="20"/>
          <w:szCs w:val="20"/>
          <w:lang w:val="en-GB"/>
        </w:rPr>
        <w:br/>
      </w:r>
    </w:p>
    <w:p w:rsidR="00094437" w:rsidRPr="00094437" w:rsidRDefault="00094437" w:rsidP="00094437">
      <w:pPr>
        <w:spacing w:line="240" w:lineRule="auto"/>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We have reworded this in our introduction and discussion to make it clearer that both layers 5 and 6 innervate the thalamus and never layer 5 alone.</w:t>
      </w:r>
    </w:p>
    <w:p w:rsidR="00094437" w:rsidRPr="00094437" w:rsidRDefault="00094437" w:rsidP="00094437">
      <w:pPr>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3.- Some references are needed: In the Introduction the authors stated that “The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receives </w:t>
      </w:r>
      <w:proofErr w:type="spellStart"/>
      <w:r w:rsidRPr="00094437">
        <w:rPr>
          <w:rFonts w:ascii="Helvetica" w:eastAsia="Times New Roman" w:hAnsi="Helvetica" w:cs="Times New Roman"/>
          <w:sz w:val="20"/>
          <w:szCs w:val="20"/>
          <w:lang w:val="en-GB"/>
        </w:rPr>
        <w:t>neuromodulatory</w:t>
      </w:r>
      <w:proofErr w:type="spellEnd"/>
      <w:r w:rsidRPr="00094437">
        <w:rPr>
          <w:rFonts w:ascii="Helvetica" w:eastAsia="Times New Roman" w:hAnsi="Helvetica" w:cs="Times New Roman"/>
          <w:sz w:val="20"/>
          <w:szCs w:val="20"/>
          <w:lang w:val="en-GB"/>
        </w:rPr>
        <w:t xml:space="preserve"> input from other parts of the midbrain, brainstem and reticular thalamus”. In the Discussion the authors also stated that “Corticothalamic projection neurons to the dorsal thalamus are tenfold more abundant than the thalamocortical inputs to the cortex” (</w:t>
      </w:r>
      <w:r w:rsidRPr="00094437">
        <w:rPr>
          <w:rFonts w:ascii="Helvetica" w:eastAsia="Times New Roman" w:hAnsi="Helvetica" w:cs="Times New Roman"/>
          <w:spacing w:val="3"/>
          <w:sz w:val="21"/>
          <w:szCs w:val="21"/>
          <w:lang w:val="en-GB"/>
        </w:rPr>
        <w:t>Jones, E.G.</w:t>
      </w:r>
      <w:r w:rsidRPr="00094437">
        <w:rPr>
          <w:rFonts w:ascii="Helvetica" w:eastAsia="Times New Roman" w:hAnsi="Helvetica" w:cs="Times New Roman"/>
          <w:spacing w:val="3"/>
          <w:sz w:val="21"/>
          <w:szCs w:val="21"/>
          <w:shd w:val="clear" w:color="auto" w:fill="FFFFFF"/>
          <w:lang w:val="en-GB"/>
        </w:rPr>
        <w:t xml:space="preserve"> </w:t>
      </w:r>
      <w:r w:rsidRPr="00094437">
        <w:rPr>
          <w:rFonts w:ascii="Helvetica" w:eastAsia="Times New Roman" w:hAnsi="Helvetica" w:cs="Times New Roman"/>
          <w:i/>
          <w:iCs/>
          <w:spacing w:val="3"/>
          <w:sz w:val="21"/>
          <w:szCs w:val="21"/>
          <w:lang w:val="en-GB"/>
        </w:rPr>
        <w:t>The Thalamus</w:t>
      </w:r>
      <w:r w:rsidRPr="00094437">
        <w:rPr>
          <w:rFonts w:ascii="Helvetica" w:eastAsia="Times New Roman" w:hAnsi="Helvetica" w:cs="Times New Roman"/>
          <w:spacing w:val="3"/>
          <w:sz w:val="21"/>
          <w:szCs w:val="21"/>
          <w:shd w:val="clear" w:color="auto" w:fill="FFFFFF"/>
          <w:lang w:val="en-GB"/>
        </w:rPr>
        <w:t xml:space="preserve"> (Cambridge University Press, Cambridge, </w:t>
      </w:r>
      <w:r w:rsidRPr="00094437">
        <w:rPr>
          <w:rFonts w:ascii="Helvetica" w:eastAsia="Times New Roman" w:hAnsi="Helvetica" w:cs="Times New Roman"/>
          <w:spacing w:val="3"/>
          <w:sz w:val="21"/>
          <w:szCs w:val="21"/>
          <w:lang w:val="en-GB"/>
        </w:rPr>
        <w:t>2007</w:t>
      </w:r>
      <w:proofErr w:type="gramStart"/>
      <w:r w:rsidRPr="00094437">
        <w:rPr>
          <w:rFonts w:ascii="Helvetica" w:eastAsia="Times New Roman" w:hAnsi="Helvetica" w:cs="Times New Roman"/>
          <w:spacing w:val="3"/>
          <w:sz w:val="21"/>
          <w:szCs w:val="21"/>
          <w:shd w:val="clear" w:color="auto" w:fill="FFFFFF"/>
          <w:lang w:val="en-GB"/>
        </w:rPr>
        <w:t>).</w:t>
      </w:r>
      <w:r w:rsidRPr="00094437">
        <w:rPr>
          <w:rFonts w:ascii="Helvetica" w:eastAsia="Times New Roman" w:hAnsi="Helvetica" w:cs="Times New Roman"/>
          <w:sz w:val="20"/>
          <w:szCs w:val="20"/>
          <w:lang w:val="en-GB"/>
        </w:rPr>
        <w:t>These</w:t>
      </w:r>
      <w:proofErr w:type="gramEnd"/>
      <w:r w:rsidRPr="00094437">
        <w:rPr>
          <w:rFonts w:ascii="Helvetica" w:eastAsia="Times New Roman" w:hAnsi="Helvetica" w:cs="Times New Roman"/>
          <w:sz w:val="20"/>
          <w:szCs w:val="20"/>
          <w:lang w:val="en-GB"/>
        </w:rPr>
        <w:t xml:space="preserve"> statements should be backed up with some references from the literature.  </w:t>
      </w:r>
      <w:r w:rsidRPr="00094437">
        <w:rPr>
          <w:rFonts w:ascii="Helvetica" w:eastAsia="Times New Roman" w:hAnsi="Helvetica" w:cs="Times New Roman"/>
          <w:sz w:val="20"/>
          <w:szCs w:val="20"/>
          <w:lang w:val="en-GB"/>
        </w:rPr>
        <w:br/>
      </w:r>
    </w:p>
    <w:p w:rsidR="00094437" w:rsidRPr="00094437" w:rsidRDefault="00094437" w:rsidP="00094437">
      <w:pPr>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t xml:space="preserve">We have included the reference of Jones (2007) for the second </w:t>
      </w:r>
      <w:proofErr w:type="gramStart"/>
      <w:r w:rsidRPr="00094437">
        <w:rPr>
          <w:rFonts w:ascii="Helvetica" w:eastAsia="Times New Roman" w:hAnsi="Helvetica" w:cs="Times New Roman"/>
          <w:sz w:val="20"/>
          <w:szCs w:val="20"/>
          <w:lang w:val="en-GB"/>
        </w:rPr>
        <w:t>reference, and</w:t>
      </w:r>
      <w:proofErr w:type="gramEnd"/>
      <w:r w:rsidRPr="00094437">
        <w:rPr>
          <w:rFonts w:ascii="Helvetica" w:eastAsia="Times New Roman" w:hAnsi="Helvetica" w:cs="Times New Roman"/>
          <w:sz w:val="20"/>
          <w:szCs w:val="20"/>
          <w:lang w:val="en-GB"/>
        </w:rPr>
        <w:t xml:space="preserve"> indicate the review of Mitchell (2015) provides additional details about the inputs from midbrain, brainstem and reticular thalamus.</w:t>
      </w:r>
    </w:p>
    <w:p w:rsidR="00094437" w:rsidRPr="00094437" w:rsidRDefault="00094437" w:rsidP="00094437">
      <w:pPr>
        <w:rPr>
          <w:rFonts w:ascii="Helvetica" w:eastAsia="Times New Roman" w:hAnsi="Helvetica" w:cs="Times New Roman"/>
          <w:sz w:val="20"/>
          <w:szCs w:val="20"/>
          <w:lang w:val="en-GB"/>
        </w:rPr>
      </w:pPr>
      <w:r w:rsidRPr="00094437">
        <w:rPr>
          <w:rFonts w:ascii="Helvetica" w:eastAsia="Times New Roman" w:hAnsi="Helvetica" w:cs="Times New Roman"/>
          <w:sz w:val="20"/>
          <w:szCs w:val="20"/>
          <w:lang w:val="en-GB"/>
        </w:rPr>
        <w:br/>
        <w:t xml:space="preserve">4.- Some pathways depicted in Figure 1 are incorrect. The reviewer suggests that this figure be left out, as it focuses on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but not </w:t>
      </w:r>
      <w:proofErr w:type="spellStart"/>
      <w:r w:rsidRPr="00094437">
        <w:rPr>
          <w:rFonts w:ascii="Helvetica" w:eastAsia="Times New Roman" w:hAnsi="Helvetica" w:cs="Times New Roman"/>
          <w:sz w:val="20"/>
          <w:szCs w:val="20"/>
          <w:lang w:val="en-GB"/>
        </w:rPr>
        <w:t>MDmc</w:t>
      </w:r>
      <w:proofErr w:type="spellEnd"/>
      <w:r w:rsidRPr="00094437">
        <w:rPr>
          <w:rFonts w:ascii="Helvetica" w:eastAsia="Times New Roman" w:hAnsi="Helvetica" w:cs="Times New Roman"/>
          <w:sz w:val="20"/>
          <w:szCs w:val="20"/>
          <w:lang w:val="en-GB"/>
        </w:rPr>
        <w:t>, an important part of the study. Some of the errors and points for clarification are pointed out below as a way of information: </w:t>
      </w:r>
      <w:r w:rsidRPr="00094437">
        <w:rPr>
          <w:rFonts w:ascii="Helvetica" w:eastAsia="Times New Roman" w:hAnsi="Helvetica" w:cs="Times New Roman"/>
          <w:sz w:val="20"/>
          <w:szCs w:val="20"/>
          <w:lang w:val="en-GB"/>
        </w:rPr>
        <w:br/>
        <w:t xml:space="preserve">In Figure 1 projections from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to RTN are depicted as GABAergic, but they are glutamatergic.</w:t>
      </w:r>
      <w:r w:rsidRPr="00094437">
        <w:rPr>
          <w:rFonts w:ascii="Helvetica" w:eastAsia="Times New Roman" w:hAnsi="Helvetica" w:cs="Times New Roman"/>
          <w:sz w:val="20"/>
          <w:szCs w:val="20"/>
          <w:lang w:val="en-GB"/>
        </w:rPr>
        <w:br/>
        <w:t xml:space="preserve">Projections from modulatory neurotransmitter systems from the brainstem are depicted in black, while dopaminergic projections from VTA are depicted by a blue arrow. Do the authors want to differentiate VTA </w:t>
      </w:r>
      <w:proofErr w:type="spellStart"/>
      <w:r w:rsidRPr="00094437">
        <w:rPr>
          <w:rFonts w:ascii="Helvetica" w:eastAsia="Times New Roman" w:hAnsi="Helvetica" w:cs="Times New Roman"/>
          <w:sz w:val="20"/>
          <w:szCs w:val="20"/>
          <w:lang w:val="en-GB"/>
        </w:rPr>
        <w:t>dopaminenergic</w:t>
      </w:r>
      <w:proofErr w:type="spellEnd"/>
      <w:r w:rsidRPr="00094437">
        <w:rPr>
          <w:rFonts w:ascii="Helvetica" w:eastAsia="Times New Roman" w:hAnsi="Helvetica" w:cs="Times New Roman"/>
          <w:sz w:val="20"/>
          <w:szCs w:val="20"/>
          <w:lang w:val="en-GB"/>
        </w:rPr>
        <w:t xml:space="preserve"> projections to </w:t>
      </w:r>
      <w:proofErr w:type="spellStart"/>
      <w:r w:rsidRPr="00094437">
        <w:rPr>
          <w:rFonts w:ascii="Helvetica" w:eastAsia="Times New Roman" w:hAnsi="Helvetica" w:cs="Times New Roman"/>
          <w:sz w:val="20"/>
          <w:szCs w:val="20"/>
          <w:lang w:val="en-GB"/>
        </w:rPr>
        <w:t>MDpc</w:t>
      </w:r>
      <w:proofErr w:type="spellEnd"/>
      <w:r w:rsidRPr="00094437">
        <w:rPr>
          <w:rFonts w:ascii="Helvetica" w:eastAsia="Times New Roman" w:hAnsi="Helvetica" w:cs="Times New Roman"/>
          <w:sz w:val="20"/>
          <w:szCs w:val="20"/>
          <w:lang w:val="en-GB"/>
        </w:rPr>
        <w:t xml:space="preserve"> from other modulatory afferents from the brainstem?</w:t>
      </w:r>
      <w:r w:rsidRPr="00094437">
        <w:rPr>
          <w:rFonts w:ascii="Helvetica" w:eastAsia="Times New Roman" w:hAnsi="Helvetica" w:cs="Times New Roman"/>
          <w:sz w:val="20"/>
          <w:szCs w:val="20"/>
          <w:lang w:val="en-GB"/>
        </w:rPr>
        <w:br/>
        <w:t xml:space="preserve">A blue arrow (dopaminergic) connects the dorsal striatum (DS) with the OFC. Such a projection does not exist. The striatum does not contain dopaminergic neurons and does not project </w:t>
      </w:r>
      <w:proofErr w:type="spellStart"/>
      <w:r w:rsidRPr="00094437">
        <w:rPr>
          <w:rFonts w:ascii="Helvetica" w:eastAsia="Times New Roman" w:hAnsi="Helvetica" w:cs="Times New Roman"/>
          <w:sz w:val="20"/>
          <w:szCs w:val="20"/>
          <w:lang w:val="en-GB"/>
        </w:rPr>
        <w:t>monosynaptically</w:t>
      </w:r>
      <w:proofErr w:type="spellEnd"/>
      <w:r w:rsidRPr="00094437">
        <w:rPr>
          <w:rFonts w:ascii="Helvetica" w:eastAsia="Times New Roman" w:hAnsi="Helvetica" w:cs="Times New Roman"/>
          <w:sz w:val="20"/>
          <w:szCs w:val="20"/>
          <w:lang w:val="en-GB"/>
        </w:rPr>
        <w:t xml:space="preserve"> to the cortex.</w:t>
      </w:r>
      <w:r w:rsidRPr="00094437">
        <w:rPr>
          <w:rFonts w:ascii="Helvetica" w:eastAsia="Times New Roman" w:hAnsi="Helvetica" w:cs="Times New Roman"/>
          <w:sz w:val="20"/>
          <w:szCs w:val="20"/>
          <w:lang w:val="en-GB"/>
        </w:rPr>
        <w:br/>
        <w:t>Glutamatergic connections to DS from OFC are depicted with a blue arrow. All the other cortical areas shown in the figure also project to DS.</w:t>
      </w:r>
      <w:r w:rsidRPr="00094437">
        <w:rPr>
          <w:rFonts w:ascii="Helvetica" w:eastAsia="Times New Roman" w:hAnsi="Helvetica" w:cs="Times New Roman"/>
          <w:sz w:val="20"/>
          <w:szCs w:val="20"/>
          <w:lang w:val="en-GB"/>
        </w:rPr>
        <w:br/>
        <w:t>The FEF is connected with other prefrontal areas, like DLPFC, but in Figure 1 it is not connected at all.</w:t>
      </w:r>
      <w:r w:rsidRPr="00094437">
        <w:rPr>
          <w:rFonts w:ascii="Helvetica" w:eastAsia="Times New Roman" w:hAnsi="Helvetica" w:cs="Times New Roman"/>
          <w:sz w:val="20"/>
          <w:szCs w:val="20"/>
          <w:lang w:val="en-GB"/>
        </w:rPr>
        <w:br/>
        <w:t>The olfactory tubercle is shown to project to OFC in Figure 1, but the piriform cortex is the major source of olfactory projections to OFC.</w:t>
      </w:r>
      <w:r w:rsidRPr="00094437">
        <w:rPr>
          <w:rFonts w:ascii="Helvetica" w:eastAsia="Times New Roman" w:hAnsi="Helvetica" w:cs="Times New Roman"/>
          <w:sz w:val="20"/>
          <w:szCs w:val="20"/>
          <w:lang w:val="en-GB"/>
        </w:rPr>
        <w:br/>
      </w:r>
      <w:r w:rsidRPr="00094437">
        <w:rPr>
          <w:rFonts w:ascii="Helvetica" w:eastAsia="Times New Roman" w:hAnsi="Helvetica" w:cs="Times New Roman"/>
          <w:sz w:val="20"/>
          <w:szCs w:val="20"/>
          <w:lang w:val="en-GB"/>
        </w:rPr>
        <w:br/>
        <w:t>We have deleted this Figure.</w:t>
      </w:r>
    </w:p>
    <w:p w:rsidR="00094437" w:rsidRPr="00094437" w:rsidRDefault="00094437" w:rsidP="00094437">
      <w:pPr>
        <w:spacing w:line="240" w:lineRule="auto"/>
        <w:rPr>
          <w:rFonts w:ascii="Times New Roman" w:eastAsia="Times New Roman" w:hAnsi="Times New Roman" w:cs="Times New Roman"/>
          <w:sz w:val="24"/>
          <w:szCs w:val="24"/>
          <w:lang w:val="en-GB"/>
        </w:rPr>
      </w:pPr>
      <w:r w:rsidRPr="00094437">
        <w:rPr>
          <w:rFonts w:ascii="Helvetica" w:eastAsia="Times New Roman" w:hAnsi="Helvetica" w:cs="Times New Roman"/>
          <w:sz w:val="20"/>
          <w:szCs w:val="20"/>
          <w:lang w:val="en-GB"/>
        </w:rPr>
        <w:lastRenderedPageBreak/>
        <w:t>Minor corrections:</w:t>
      </w:r>
      <w:r w:rsidRPr="00094437">
        <w:rPr>
          <w:rFonts w:ascii="Helvetica" w:eastAsia="Times New Roman" w:hAnsi="Helvetica" w:cs="Times New Roman"/>
          <w:sz w:val="20"/>
          <w:szCs w:val="20"/>
          <w:lang w:val="en-GB"/>
        </w:rPr>
        <w:br/>
        <w:t>Line 50, remove the word ‘Although’ (for the sentence to make sense). Deleted</w:t>
      </w:r>
      <w:r w:rsidRPr="00094437">
        <w:rPr>
          <w:rFonts w:ascii="Helvetica" w:eastAsia="Times New Roman" w:hAnsi="Helvetica" w:cs="Times New Roman"/>
          <w:sz w:val="20"/>
          <w:szCs w:val="20"/>
          <w:lang w:val="en-GB"/>
        </w:rPr>
        <w:br/>
        <w:t>Lines 176-177: clarify sentence to show first what happens with a correct response, and then after an incorrect response. Done.</w:t>
      </w:r>
      <w:r w:rsidRPr="00094437">
        <w:rPr>
          <w:rFonts w:ascii="Helvetica" w:eastAsia="Times New Roman" w:hAnsi="Helvetica" w:cs="Times New Roman"/>
          <w:sz w:val="20"/>
          <w:szCs w:val="20"/>
          <w:lang w:val="en-GB"/>
        </w:rPr>
        <w:br/>
        <w:t>Lines 254-257: Explain clearly the devaluation issue; it is confusing as briefly stated. Done on page 10.</w:t>
      </w:r>
      <w:r w:rsidRPr="00094437">
        <w:rPr>
          <w:rFonts w:ascii="Helvetica" w:eastAsia="Times New Roman" w:hAnsi="Helvetica" w:cs="Times New Roman"/>
          <w:sz w:val="20"/>
          <w:szCs w:val="20"/>
          <w:lang w:val="en-GB"/>
        </w:rPr>
        <w:br/>
        <w:t>Line 584: please change ‘laminar’ to: laminae (or layers) Done</w:t>
      </w:r>
      <w:r w:rsidRPr="00094437">
        <w:rPr>
          <w:rFonts w:ascii="Helvetica" w:eastAsia="Times New Roman" w:hAnsi="Helvetica" w:cs="Times New Roman"/>
          <w:sz w:val="20"/>
          <w:szCs w:val="20"/>
          <w:lang w:val="en-GB"/>
        </w:rPr>
        <w:br/>
        <w:t xml:space="preserve">Line 574: “…to disrupt widespread disrupted </w:t>
      </w:r>
      <w:proofErr w:type="gramStart"/>
      <w:r w:rsidRPr="00094437">
        <w:rPr>
          <w:rFonts w:ascii="Helvetica" w:eastAsia="Times New Roman" w:hAnsi="Helvetica" w:cs="Times New Roman"/>
          <w:sz w:val="20"/>
          <w:szCs w:val="20"/>
          <w:lang w:val="en-GB"/>
        </w:rPr>
        <w:t>neural..</w:t>
      </w:r>
      <w:proofErr w:type="gramEnd"/>
      <w:r w:rsidRPr="00094437">
        <w:rPr>
          <w:rFonts w:ascii="Helvetica" w:eastAsia="Times New Roman" w:hAnsi="Helvetica" w:cs="Times New Roman"/>
          <w:sz w:val="20"/>
          <w:szCs w:val="20"/>
          <w:lang w:val="en-GB"/>
        </w:rPr>
        <w:t>” please remove the word ‘disrupted’ Done</w:t>
      </w:r>
      <w:r w:rsidRPr="00094437">
        <w:rPr>
          <w:rFonts w:ascii="Helvetica" w:eastAsia="Times New Roman" w:hAnsi="Helvetica" w:cs="Times New Roman"/>
          <w:sz w:val="20"/>
          <w:szCs w:val="20"/>
          <w:lang w:val="en-GB"/>
        </w:rPr>
        <w:br/>
        <w:t>Lines 596-601; break up the long sentence for clarity.  Done, now on page 21 – lines 609-615.        </w:t>
      </w:r>
      <w:r w:rsidRPr="00094437">
        <w:rPr>
          <w:rFonts w:ascii="Helvetica" w:eastAsia="Times New Roman" w:hAnsi="Helvetica" w:cs="Times New Roman"/>
          <w:sz w:val="20"/>
          <w:szCs w:val="20"/>
          <w:lang w:val="en-GB"/>
        </w:rPr>
        <w:br/>
        <w:t>Line 318: Spell out NMDA. Done</w:t>
      </w:r>
      <w:r w:rsidRPr="00094437">
        <w:rPr>
          <w:rFonts w:ascii="Helvetica" w:eastAsia="Times New Roman" w:hAnsi="Helvetica" w:cs="Times New Roman"/>
          <w:sz w:val="20"/>
          <w:szCs w:val="20"/>
          <w:lang w:val="en-GB"/>
        </w:rPr>
        <w:br/>
        <w:t>Line 325: Check square typo (symbol?).</w:t>
      </w:r>
      <w:r w:rsidRPr="00094437">
        <w:rPr>
          <w:rFonts w:ascii="Helvetica" w:eastAsia="Times New Roman" w:hAnsi="Helvetica" w:cs="Times New Roman"/>
          <w:sz w:val="20"/>
          <w:szCs w:val="20"/>
          <w:lang w:val="en-GB"/>
        </w:rPr>
        <w:br/>
        <w:t>Line 391: verses should be versus (this is also misspelled elsewhere). Done</w:t>
      </w:r>
      <w:r w:rsidRPr="00094437">
        <w:rPr>
          <w:rFonts w:ascii="Helvetica" w:eastAsia="Times New Roman" w:hAnsi="Helvetica" w:cs="Times New Roman"/>
          <w:sz w:val="20"/>
          <w:szCs w:val="20"/>
          <w:lang w:val="en-GB"/>
        </w:rPr>
        <w:br/>
        <w:t>Please, mention in the methods the side (left/right) of the lesioned hemi thalami. Done</w:t>
      </w:r>
    </w:p>
    <w:p w:rsidR="00094437" w:rsidRPr="00094437" w:rsidRDefault="00094437" w:rsidP="00094437"/>
    <w:p w:rsidR="00094437" w:rsidRPr="00094437" w:rsidRDefault="00094437" w:rsidP="00094437">
      <w:pPr>
        <w:widowControl w:val="0"/>
        <w:spacing w:before="8" w:line="180" w:lineRule="exact"/>
        <w:rPr>
          <w:rFonts w:eastAsia="Calibri" w:cstheme="minorHAnsi"/>
          <w:sz w:val="16"/>
          <w:szCs w:val="16"/>
        </w:rPr>
      </w:pPr>
    </w:p>
    <w:bookmarkEnd w:id="5"/>
    <w:p w:rsidR="00094437" w:rsidRPr="00094437" w:rsidRDefault="00094437" w:rsidP="00094437">
      <w:pPr>
        <w:widowControl w:val="0"/>
        <w:spacing w:line="240" w:lineRule="auto"/>
        <w:ind w:right="533"/>
        <w:jc w:val="both"/>
        <w:rPr>
          <w:rFonts w:eastAsia="Calibri" w:cstheme="minorHAnsi"/>
          <w:sz w:val="16"/>
          <w:szCs w:val="16"/>
        </w:rPr>
      </w:pPr>
    </w:p>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p w:rsidR="00094437" w:rsidRPr="00094437" w:rsidRDefault="00094437" w:rsidP="00094437">
      <w:pPr>
        <w:widowControl w:val="0"/>
        <w:spacing w:before="8" w:line="180" w:lineRule="exact"/>
        <w:rPr>
          <w:rFonts w:eastAsia="Calibri" w:cstheme="minorHAnsi"/>
          <w:sz w:val="16"/>
          <w:szCs w:val="16"/>
        </w:rPr>
      </w:pPr>
    </w:p>
    <w:p w:rsidR="00094437" w:rsidRPr="00094437" w:rsidRDefault="00094437" w:rsidP="00094437">
      <w:pPr>
        <w:widowControl w:val="0"/>
        <w:spacing w:line="240" w:lineRule="auto"/>
        <w:ind w:right="533"/>
        <w:jc w:val="both"/>
        <w:rPr>
          <w:rFonts w:eastAsia="Calibri" w:cstheme="minorHAnsi"/>
          <w:sz w:val="16"/>
          <w:szCs w:val="16"/>
        </w:rPr>
      </w:pPr>
    </w:p>
    <w:p w:rsidR="00094437" w:rsidRPr="00094437" w:rsidRDefault="00094437" w:rsidP="00094437">
      <w:pPr>
        <w:widowControl w:val="0"/>
        <w:spacing w:line="240" w:lineRule="auto"/>
        <w:ind w:right="113"/>
        <w:rPr>
          <w:rFonts w:eastAsia="Arial" w:cstheme="minorHAnsi"/>
          <w:sz w:val="16"/>
          <w:szCs w:val="16"/>
        </w:rPr>
      </w:pPr>
      <w:r w:rsidRPr="00094437">
        <w:rPr>
          <w:rFonts w:eastAsia="Arial" w:cstheme="minorHAnsi"/>
          <w:sz w:val="16"/>
          <w:szCs w:val="16"/>
        </w:rPr>
        <w:t>2nd</w:t>
      </w:r>
      <w:r w:rsidRPr="00094437">
        <w:rPr>
          <w:rFonts w:eastAsia="Arial" w:cstheme="minorHAnsi"/>
          <w:spacing w:val="-1"/>
          <w:sz w:val="16"/>
          <w:szCs w:val="16"/>
        </w:rPr>
        <w:t xml:space="preserve"> </w:t>
      </w:r>
      <w:r w:rsidRPr="00094437">
        <w:rPr>
          <w:rFonts w:eastAsia="Arial" w:cstheme="minorHAnsi"/>
          <w:spacing w:val="1"/>
          <w:sz w:val="16"/>
          <w:szCs w:val="16"/>
        </w:rPr>
        <w:t>E</w:t>
      </w:r>
      <w:r w:rsidRPr="00094437">
        <w:rPr>
          <w:rFonts w:eastAsia="Arial" w:cstheme="minorHAnsi"/>
          <w:sz w:val="16"/>
          <w:szCs w:val="16"/>
        </w:rPr>
        <w:t xml:space="preserve">ditorial </w:t>
      </w:r>
      <w:r w:rsidRPr="00094437">
        <w:rPr>
          <w:rFonts w:eastAsia="Arial" w:cstheme="minorHAnsi"/>
          <w:spacing w:val="1"/>
          <w:sz w:val="16"/>
          <w:szCs w:val="16"/>
        </w:rPr>
        <w:t>D</w:t>
      </w:r>
      <w:r w:rsidRPr="00094437">
        <w:rPr>
          <w:rFonts w:eastAsia="Arial" w:cstheme="minorHAnsi"/>
          <w:sz w:val="16"/>
          <w:szCs w:val="16"/>
        </w:rPr>
        <w:t xml:space="preserve">ecision                                                                                                                                                                                        </w:t>
      </w:r>
      <w:r w:rsidRPr="00094437">
        <w:rPr>
          <w:rFonts w:eastAsia="Arial" w:cstheme="minorHAnsi"/>
          <w:sz w:val="16"/>
          <w:szCs w:val="16"/>
        </w:rPr>
        <w:t>06.06.</w:t>
      </w:r>
      <w:r w:rsidRPr="00094437">
        <w:rPr>
          <w:rFonts w:eastAsia="Arial" w:cstheme="minorHAnsi"/>
          <w:sz w:val="16"/>
          <w:szCs w:val="16"/>
        </w:rPr>
        <w:t>2018</w:t>
      </w:r>
    </w:p>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p w:rsidR="00094437" w:rsidRPr="00094437" w:rsidRDefault="00094437" w:rsidP="00094437">
      <w:pPr>
        <w:widowControl w:val="0"/>
        <w:spacing w:before="8" w:line="180" w:lineRule="exact"/>
        <w:rPr>
          <w:rFonts w:eastAsia="Calibri" w:cstheme="minorHAnsi"/>
          <w:sz w:val="16"/>
          <w:szCs w:val="16"/>
        </w:rPr>
      </w:pPr>
      <w:r>
        <w:rPr>
          <w:rFonts w:ascii="Verdana" w:hAnsi="Verdana"/>
          <w:color w:val="000000"/>
          <w:sz w:val="17"/>
          <w:szCs w:val="17"/>
        </w:rPr>
        <w:t xml:space="preserve">Macaque parvocellular mediodorsal thalamus: dissociable contributions to learning and adaptive decision-making </w:t>
      </w:r>
      <w:r>
        <w:rPr>
          <w:rFonts w:ascii="Verdana" w:hAnsi="Verdana"/>
          <w:color w:val="000000"/>
          <w:sz w:val="17"/>
          <w:szCs w:val="17"/>
        </w:rPr>
        <w:br/>
      </w:r>
      <w:r>
        <w:rPr>
          <w:rFonts w:ascii="Verdana" w:hAnsi="Verdana"/>
          <w:color w:val="000000"/>
          <w:sz w:val="17"/>
          <w:szCs w:val="17"/>
        </w:rPr>
        <w:br/>
        <w:t xml:space="preserve">Dear Anna, </w:t>
      </w:r>
      <w:r>
        <w:rPr>
          <w:rFonts w:ascii="Verdana" w:hAnsi="Verdana"/>
          <w:color w:val="000000"/>
          <w:sz w:val="17"/>
          <w:szCs w:val="17"/>
        </w:rPr>
        <w:br/>
      </w:r>
      <w:r>
        <w:rPr>
          <w:rFonts w:ascii="Verdana" w:hAnsi="Verdana"/>
          <w:color w:val="000000"/>
          <w:sz w:val="17"/>
          <w:szCs w:val="17"/>
        </w:rPr>
        <w:br/>
        <w:t xml:space="preserve">Your revised manuscript has been re-evaluated by the Editorial team and we are pleased to inform you that it will be accepted for publication in Special Issue of EJN following a few tiny revisions.  Please supply: </w:t>
      </w:r>
      <w:r>
        <w:rPr>
          <w:rFonts w:ascii="Verdana" w:hAnsi="Verdana"/>
          <w:color w:val="000000"/>
          <w:sz w:val="17"/>
          <w:szCs w:val="17"/>
        </w:rPr>
        <w:br/>
        <w:t xml:space="preserve">1) Data statement </w:t>
      </w:r>
      <w:r>
        <w:rPr>
          <w:rFonts w:ascii="Verdana" w:hAnsi="Verdana"/>
          <w:color w:val="000000"/>
          <w:sz w:val="17"/>
          <w:szCs w:val="17"/>
        </w:rPr>
        <w:br/>
        <w:t xml:space="preserve">2) Competing interests statement </w:t>
      </w:r>
      <w:r>
        <w:rPr>
          <w:rFonts w:ascii="Verdana" w:hAnsi="Verdana"/>
          <w:color w:val="000000"/>
          <w:sz w:val="17"/>
          <w:szCs w:val="17"/>
        </w:rPr>
        <w:br/>
        <w:t xml:space="preserve">3) Graphical abstract </w:t>
      </w:r>
      <w:r>
        <w:rPr>
          <w:rFonts w:ascii="Verdana" w:hAnsi="Verdana"/>
          <w:color w:val="000000"/>
          <w:sz w:val="17"/>
          <w:szCs w:val="17"/>
        </w:rPr>
        <w:br/>
      </w:r>
      <w:r>
        <w:rPr>
          <w:rFonts w:ascii="Verdana" w:hAnsi="Verdana"/>
          <w:color w:val="000000"/>
          <w:sz w:val="17"/>
          <w:szCs w:val="17"/>
        </w:rPr>
        <w:br/>
        <w:t xml:space="preserve">Once done, we will send it off to the publishers.   </w:t>
      </w:r>
      <w:r>
        <w:rPr>
          <w:rFonts w:ascii="Verdana" w:hAnsi="Verdana"/>
          <w:color w:val="000000"/>
          <w:sz w:val="17"/>
          <w:szCs w:val="17"/>
        </w:rPr>
        <w:br/>
      </w:r>
      <w:r>
        <w:rPr>
          <w:rFonts w:ascii="Verdana" w:hAnsi="Verdana"/>
          <w:color w:val="000000"/>
          <w:sz w:val="17"/>
          <w:szCs w:val="17"/>
        </w:rPr>
        <w:br/>
        <w:t xml:space="preserve">When </w:t>
      </w:r>
      <w:proofErr w:type="spellStart"/>
      <w:r>
        <w:rPr>
          <w:rFonts w:ascii="Verdana" w:hAnsi="Verdana"/>
          <w:color w:val="000000"/>
          <w:sz w:val="17"/>
          <w:szCs w:val="17"/>
        </w:rPr>
        <w:t>finalised</w:t>
      </w:r>
      <w:proofErr w:type="spellEnd"/>
      <w:r>
        <w:rPr>
          <w:rFonts w:ascii="Verdana" w:hAnsi="Verdana"/>
          <w:color w:val="000000"/>
          <w:sz w:val="17"/>
          <w:szCs w:val="17"/>
        </w:rPr>
        <w:t>, please upload your complete revised manuscript onto the website as a Word (.doc or .</w:t>
      </w:r>
      <w:proofErr w:type="spellStart"/>
      <w:r>
        <w:rPr>
          <w:rFonts w:ascii="Verdana" w:hAnsi="Verdana"/>
          <w:color w:val="000000"/>
          <w:sz w:val="17"/>
          <w:szCs w:val="17"/>
        </w:rPr>
        <w:t>docx</w:t>
      </w:r>
      <w:proofErr w:type="spellEnd"/>
      <w:r>
        <w:rPr>
          <w:rFonts w:ascii="Verdana" w:hAnsi="Verdana"/>
          <w:color w:val="000000"/>
          <w:sz w:val="17"/>
          <w:szCs w:val="17"/>
        </w:rPr>
        <w:t xml:space="preserve">), or .rtf file.  Please also ensure that a complete set of tables and figures is included as separate files, even if these have not changed from the originals.  At this stage it is necessary to provide high resolution figures.  Please see important instructions below. </w:t>
      </w:r>
      <w:r>
        <w:rPr>
          <w:rFonts w:ascii="Verdana" w:hAnsi="Verdana"/>
          <w:color w:val="000000"/>
          <w:sz w:val="17"/>
          <w:szCs w:val="17"/>
        </w:rPr>
        <w:br/>
      </w:r>
      <w:r>
        <w:rPr>
          <w:rFonts w:ascii="Verdana" w:hAnsi="Verdana"/>
          <w:color w:val="000000"/>
          <w:sz w:val="17"/>
          <w:szCs w:val="17"/>
        </w:rPr>
        <w:br/>
        <w:t xml:space="preserve">Please go into https://mc.manuscriptcentral.com/ejn - Author Centre - manuscripts with decisions where you will find a 'create a revision' link under 'actions'. We ask that you please indicate the way in which you have responded to the points raised by the Editors and Reviewers in a letter. Please upload this response letter as a separate Word (.doc) file using the file designation "Authors' Response to Reviewers" when uploading your manuscript files. Please DO NOT submit your revised manuscript as a new one.  Also, please note that only </w:t>
      </w:r>
      <w:proofErr w:type="gramStart"/>
      <w:r>
        <w:rPr>
          <w:rFonts w:ascii="Verdana" w:hAnsi="Verdana"/>
          <w:color w:val="000000"/>
          <w:sz w:val="17"/>
          <w:szCs w:val="17"/>
        </w:rPr>
        <w:t>the  Author</w:t>
      </w:r>
      <w:proofErr w:type="gramEnd"/>
      <w:r>
        <w:rPr>
          <w:rFonts w:ascii="Verdana" w:hAnsi="Verdana"/>
          <w:color w:val="000000"/>
          <w:sz w:val="17"/>
          <w:szCs w:val="17"/>
        </w:rPr>
        <w:t xml:space="preserve"> who submitted the original version of the manuscript should submit a revised version. </w:t>
      </w:r>
      <w:r>
        <w:rPr>
          <w:rFonts w:ascii="Verdana" w:hAnsi="Verdana"/>
          <w:color w:val="000000"/>
          <w:sz w:val="17"/>
          <w:szCs w:val="17"/>
        </w:rPr>
        <w:br/>
      </w:r>
      <w:r>
        <w:rPr>
          <w:rFonts w:ascii="Verdana" w:hAnsi="Verdana"/>
          <w:color w:val="000000"/>
          <w:sz w:val="17"/>
          <w:szCs w:val="17"/>
        </w:rPr>
        <w:br/>
        <w:t xml:space="preserve">If you </w:t>
      </w:r>
      <w:proofErr w:type="gramStart"/>
      <w:r>
        <w:rPr>
          <w:rFonts w:ascii="Verdana" w:hAnsi="Verdana"/>
          <w:color w:val="000000"/>
          <w:sz w:val="17"/>
          <w:szCs w:val="17"/>
        </w:rPr>
        <w:t>are able to</w:t>
      </w:r>
      <w:proofErr w:type="gramEnd"/>
      <w:r>
        <w:rPr>
          <w:rFonts w:ascii="Verdana" w:hAnsi="Verdana"/>
          <w:color w:val="000000"/>
          <w:sz w:val="17"/>
          <w:szCs w:val="17"/>
        </w:rPr>
        <w:t xml:space="preserve"> respond fully to the points raised, we shall be pleased to receive a revision of your paper within 30 days. </w:t>
      </w:r>
      <w:r>
        <w:rPr>
          <w:rFonts w:ascii="Verdana" w:hAnsi="Verdana"/>
          <w:color w:val="000000"/>
          <w:sz w:val="17"/>
          <w:szCs w:val="17"/>
        </w:rPr>
        <w:br/>
      </w:r>
      <w:r>
        <w:rPr>
          <w:rFonts w:ascii="Verdana" w:hAnsi="Verdana"/>
          <w:color w:val="000000"/>
          <w:sz w:val="17"/>
          <w:szCs w:val="17"/>
        </w:rPr>
        <w:br/>
        <w:t xml:space="preserve">Thank you for your support of this Special Issue of EJN in </w:t>
      </w:r>
      <w:proofErr w:type="spellStart"/>
      <w:r>
        <w:rPr>
          <w:rFonts w:ascii="Verdana" w:hAnsi="Verdana"/>
          <w:color w:val="000000"/>
          <w:sz w:val="17"/>
          <w:szCs w:val="17"/>
        </w:rPr>
        <w:t>honour</w:t>
      </w:r>
      <w:proofErr w:type="spellEnd"/>
      <w:r>
        <w:rPr>
          <w:rFonts w:ascii="Verdana" w:hAnsi="Verdana"/>
          <w:color w:val="000000"/>
          <w:sz w:val="17"/>
          <w:szCs w:val="17"/>
        </w:rPr>
        <w:t xml:space="preserve"> of our old friend. </w:t>
      </w:r>
      <w:r>
        <w:rPr>
          <w:rFonts w:ascii="Verdana" w:hAnsi="Verdana"/>
          <w:color w:val="000000"/>
          <w:sz w:val="17"/>
          <w:szCs w:val="17"/>
        </w:rPr>
        <w:br/>
      </w:r>
      <w:r>
        <w:rPr>
          <w:rFonts w:ascii="Verdana" w:hAnsi="Verdana"/>
          <w:color w:val="000000"/>
          <w:sz w:val="17"/>
          <w:szCs w:val="17"/>
        </w:rPr>
        <w:br/>
        <w:t xml:space="preserve">Best wishes, </w:t>
      </w:r>
      <w:r>
        <w:rPr>
          <w:rFonts w:ascii="Verdana" w:hAnsi="Verdana"/>
          <w:color w:val="000000"/>
          <w:sz w:val="17"/>
          <w:szCs w:val="17"/>
        </w:rPr>
        <w:br/>
      </w:r>
      <w:r>
        <w:rPr>
          <w:rFonts w:ascii="Verdana" w:hAnsi="Verdana"/>
          <w:color w:val="000000"/>
          <w:sz w:val="17"/>
          <w:szCs w:val="17"/>
        </w:rPr>
        <w:br/>
        <w:t xml:space="preserve">Paul &amp; John </w:t>
      </w:r>
      <w:r>
        <w:rPr>
          <w:rFonts w:ascii="Verdana" w:hAnsi="Verdana"/>
          <w:color w:val="000000"/>
          <w:sz w:val="17"/>
          <w:szCs w:val="17"/>
        </w:rPr>
        <w:br/>
        <w:t xml:space="preserve">co-Editors in Chief, EJN </w:t>
      </w:r>
      <w:r>
        <w:rPr>
          <w:rFonts w:ascii="Verdana" w:hAnsi="Verdana"/>
          <w:color w:val="000000"/>
          <w:sz w:val="17"/>
          <w:szCs w:val="17"/>
        </w:rPr>
        <w:br/>
      </w:r>
    </w:p>
    <w:p w:rsidR="00094437" w:rsidRPr="00094437" w:rsidRDefault="00094437" w:rsidP="00094437">
      <w:pPr>
        <w:widowControl w:val="0"/>
        <w:spacing w:before="8" w:line="180" w:lineRule="exact"/>
        <w:rPr>
          <w:rFonts w:eastAsia="Calibri" w:cstheme="minorHAnsi"/>
          <w:sz w:val="16"/>
          <w:szCs w:val="16"/>
        </w:rPr>
      </w:pPr>
    </w:p>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p w:rsidR="00094437" w:rsidRPr="00094437" w:rsidRDefault="00094437" w:rsidP="00094437">
      <w:pPr>
        <w:widowControl w:val="0"/>
        <w:spacing w:before="8" w:line="180" w:lineRule="exact"/>
        <w:rPr>
          <w:rFonts w:eastAsia="Calibri" w:cstheme="minorHAnsi"/>
          <w:sz w:val="16"/>
          <w:szCs w:val="16"/>
        </w:rPr>
      </w:pPr>
    </w:p>
    <w:p w:rsidR="00094437" w:rsidRPr="00094437" w:rsidRDefault="00094437" w:rsidP="00094437">
      <w:pPr>
        <w:widowControl w:val="0"/>
        <w:spacing w:line="240" w:lineRule="auto"/>
        <w:ind w:right="113"/>
        <w:rPr>
          <w:rFonts w:eastAsia="Arial" w:cstheme="minorHAnsi"/>
          <w:sz w:val="16"/>
          <w:szCs w:val="16"/>
        </w:rPr>
      </w:pPr>
      <w:r w:rsidRPr="00094437">
        <w:rPr>
          <w:rFonts w:eastAsia="Arial" w:cstheme="minorHAnsi"/>
          <w:sz w:val="16"/>
          <w:szCs w:val="16"/>
        </w:rPr>
        <w:t xml:space="preserve">Authors’ Response                                                                                                                                                                                          </w:t>
      </w:r>
      <w:r w:rsidRPr="00094437">
        <w:rPr>
          <w:rFonts w:eastAsia="Arial" w:cstheme="minorHAnsi"/>
          <w:sz w:val="16"/>
          <w:szCs w:val="16"/>
        </w:rPr>
        <w:t>03.07.</w:t>
      </w:r>
      <w:r w:rsidRPr="00094437">
        <w:rPr>
          <w:rFonts w:eastAsia="Arial" w:cstheme="minorHAnsi"/>
          <w:sz w:val="16"/>
          <w:szCs w:val="16"/>
        </w:rPr>
        <w:t>2018</w:t>
      </w:r>
    </w:p>
    <w:p w:rsidR="00094437" w:rsidRPr="00094437" w:rsidRDefault="00094437" w:rsidP="00094437">
      <w:pPr>
        <w:widowControl w:val="0"/>
        <w:spacing w:before="18" w:line="260" w:lineRule="exact"/>
        <w:rPr>
          <w:rFonts w:cstheme="minorHAnsi"/>
        </w:rPr>
      </w:pPr>
      <w:r w:rsidRPr="00094437">
        <w:rPr>
          <w:rFonts w:cstheme="minorHAnsi"/>
        </w:rPr>
        <w:t>_____________________________________________________________________________________</w:t>
      </w:r>
    </w:p>
    <w:tbl>
      <w:tblPr>
        <w:tblW w:w="5000" w:type="pct"/>
        <w:tblCellSpacing w:w="6" w:type="dxa"/>
        <w:tblCellMar>
          <w:top w:w="60" w:type="dxa"/>
          <w:left w:w="60" w:type="dxa"/>
          <w:bottom w:w="60" w:type="dxa"/>
          <w:right w:w="60" w:type="dxa"/>
        </w:tblCellMar>
        <w:tblLook w:val="04A0" w:firstRow="1" w:lastRow="0" w:firstColumn="1" w:lastColumn="0" w:noHBand="0" w:noVBand="1"/>
      </w:tblPr>
      <w:tblGrid>
        <w:gridCol w:w="9026"/>
      </w:tblGrid>
      <w:tr w:rsidR="00094437" w:rsidRPr="00094437" w:rsidTr="00094437">
        <w:trPr>
          <w:tblCellSpacing w:w="6" w:type="dxa"/>
        </w:trPr>
        <w:tc>
          <w:tcPr>
            <w:tcW w:w="0" w:type="auto"/>
            <w:shd w:val="clear" w:color="auto" w:fill="FFFFFF"/>
            <w:vAlign w:val="center"/>
            <w:hideMark/>
          </w:tcPr>
          <w:p w:rsidR="00094437" w:rsidRPr="00094437" w:rsidRDefault="00094437" w:rsidP="00094437">
            <w:pPr>
              <w:spacing w:line="240" w:lineRule="auto"/>
              <w:rPr>
                <w:rFonts w:ascii="Verdana" w:eastAsia="Times New Roman" w:hAnsi="Verdana" w:cs="Times New Roman"/>
                <w:color w:val="000000"/>
                <w:sz w:val="17"/>
                <w:szCs w:val="17"/>
                <w:lang w:val="en-GB" w:eastAsia="en-GB"/>
              </w:rPr>
            </w:pPr>
            <w:r w:rsidRPr="00094437">
              <w:rPr>
                <w:rFonts w:ascii="Verdana" w:eastAsia="Times New Roman" w:hAnsi="Verdana" w:cs="Times New Roman"/>
                <w:color w:val="000000"/>
                <w:sz w:val="17"/>
                <w:szCs w:val="17"/>
                <w:lang w:val="en-GB" w:eastAsia="en-GB"/>
              </w:rPr>
              <w:lastRenderedPageBreak/>
              <w:t xml:space="preserve">Dear Paul and </w:t>
            </w:r>
            <w:proofErr w:type="gramStart"/>
            <w:r w:rsidRPr="00094437">
              <w:rPr>
                <w:rFonts w:ascii="Verdana" w:eastAsia="Times New Roman" w:hAnsi="Verdana" w:cs="Times New Roman"/>
                <w:color w:val="000000"/>
                <w:sz w:val="17"/>
                <w:szCs w:val="17"/>
                <w:lang w:val="en-GB" w:eastAsia="en-GB"/>
              </w:rPr>
              <w:t>John</w:t>
            </w:r>
            <w:proofErr w:type="gramEnd"/>
            <w:r w:rsidRPr="00094437">
              <w:rPr>
                <w:rFonts w:ascii="Verdana" w:eastAsia="Times New Roman" w:hAnsi="Verdana" w:cs="Times New Roman"/>
                <w:color w:val="000000"/>
                <w:sz w:val="17"/>
                <w:szCs w:val="17"/>
                <w:lang w:val="en-GB" w:eastAsia="en-GB"/>
              </w:rPr>
              <w:t xml:space="preserve"> </w:t>
            </w:r>
            <w:r w:rsidRPr="00094437">
              <w:rPr>
                <w:rFonts w:ascii="Verdana" w:eastAsia="Times New Roman" w:hAnsi="Verdana" w:cs="Times New Roman"/>
                <w:color w:val="000000"/>
                <w:sz w:val="17"/>
                <w:szCs w:val="17"/>
                <w:lang w:val="en-GB" w:eastAsia="en-GB"/>
              </w:rPr>
              <w:br/>
            </w:r>
            <w:r w:rsidRPr="00094437">
              <w:rPr>
                <w:rFonts w:ascii="Verdana" w:eastAsia="Times New Roman" w:hAnsi="Verdana" w:cs="Times New Roman"/>
                <w:color w:val="000000"/>
                <w:sz w:val="17"/>
                <w:szCs w:val="17"/>
                <w:lang w:val="en-GB" w:eastAsia="en-GB"/>
              </w:rPr>
              <w:br/>
              <w:t xml:space="preserve">This is wonderful news! We are very pleased and honoured to be able to be a part of this Special Issue in honour of Ray. </w:t>
            </w:r>
            <w:r w:rsidRPr="00094437">
              <w:rPr>
                <w:rFonts w:ascii="Verdana" w:eastAsia="Times New Roman" w:hAnsi="Verdana" w:cs="Times New Roman"/>
                <w:color w:val="000000"/>
                <w:sz w:val="17"/>
                <w:szCs w:val="17"/>
                <w:lang w:val="en-GB" w:eastAsia="en-GB"/>
              </w:rPr>
              <w:br/>
            </w:r>
            <w:r w:rsidRPr="00094437">
              <w:rPr>
                <w:rFonts w:ascii="Verdana" w:eastAsia="Times New Roman" w:hAnsi="Verdana" w:cs="Times New Roman"/>
                <w:color w:val="000000"/>
                <w:sz w:val="17"/>
                <w:szCs w:val="17"/>
                <w:lang w:val="en-GB" w:eastAsia="en-GB"/>
              </w:rPr>
              <w:br/>
              <w:t xml:space="preserve">We have included a graphical abstract, data statement and conflict of interest statement to the manuscript. </w:t>
            </w:r>
            <w:r w:rsidRPr="00094437">
              <w:rPr>
                <w:rFonts w:ascii="Verdana" w:eastAsia="Times New Roman" w:hAnsi="Verdana" w:cs="Times New Roman"/>
                <w:color w:val="000000"/>
                <w:sz w:val="17"/>
                <w:szCs w:val="17"/>
                <w:lang w:val="en-GB" w:eastAsia="en-GB"/>
              </w:rPr>
              <w:br/>
            </w:r>
            <w:r w:rsidRPr="00094437">
              <w:rPr>
                <w:rFonts w:ascii="Verdana" w:eastAsia="Times New Roman" w:hAnsi="Verdana" w:cs="Times New Roman"/>
                <w:color w:val="000000"/>
                <w:sz w:val="17"/>
                <w:szCs w:val="17"/>
                <w:lang w:val="en-GB" w:eastAsia="en-GB"/>
              </w:rPr>
              <w:br/>
              <w:t xml:space="preserve">I trust all is now in order. </w:t>
            </w:r>
            <w:r w:rsidRPr="00094437">
              <w:rPr>
                <w:rFonts w:ascii="Verdana" w:eastAsia="Times New Roman" w:hAnsi="Verdana" w:cs="Times New Roman"/>
                <w:color w:val="000000"/>
                <w:sz w:val="17"/>
                <w:szCs w:val="17"/>
                <w:lang w:val="en-GB" w:eastAsia="en-GB"/>
              </w:rPr>
              <w:br/>
            </w:r>
            <w:r w:rsidRPr="00094437">
              <w:rPr>
                <w:rFonts w:ascii="Verdana" w:eastAsia="Times New Roman" w:hAnsi="Verdana" w:cs="Times New Roman"/>
                <w:color w:val="000000"/>
                <w:sz w:val="17"/>
                <w:szCs w:val="17"/>
                <w:lang w:val="en-GB" w:eastAsia="en-GB"/>
              </w:rPr>
              <w:br/>
              <w:t xml:space="preserve">With best wishes </w:t>
            </w:r>
            <w:r w:rsidRPr="00094437">
              <w:rPr>
                <w:rFonts w:ascii="Verdana" w:eastAsia="Times New Roman" w:hAnsi="Verdana" w:cs="Times New Roman"/>
                <w:color w:val="000000"/>
                <w:sz w:val="17"/>
                <w:szCs w:val="17"/>
                <w:lang w:val="en-GB" w:eastAsia="en-GB"/>
              </w:rPr>
              <w:br/>
              <w:t>Anna</w:t>
            </w:r>
          </w:p>
        </w:tc>
      </w:tr>
      <w:tr w:rsidR="00094437" w:rsidRPr="00094437" w:rsidTr="00094437">
        <w:trPr>
          <w:tblCellSpacing w:w="6" w:type="dxa"/>
        </w:trPr>
        <w:tc>
          <w:tcPr>
            <w:tcW w:w="0" w:type="auto"/>
            <w:shd w:val="clear" w:color="auto" w:fill="auto"/>
            <w:vAlign w:val="center"/>
            <w:hideMark/>
          </w:tcPr>
          <w:p w:rsidR="00094437" w:rsidRPr="00094437" w:rsidRDefault="00094437" w:rsidP="00094437">
            <w:pPr>
              <w:spacing w:line="240" w:lineRule="auto"/>
              <w:rPr>
                <w:rFonts w:ascii="Verdana" w:eastAsia="Times New Roman" w:hAnsi="Verdana" w:cs="Times New Roman"/>
                <w:color w:val="000000"/>
                <w:sz w:val="17"/>
                <w:szCs w:val="17"/>
                <w:lang w:val="en-GB" w:eastAsia="en-GB"/>
              </w:rPr>
            </w:pPr>
          </w:p>
        </w:tc>
      </w:tr>
    </w:tbl>
    <w:p w:rsidR="00094437" w:rsidRPr="00094437" w:rsidRDefault="00094437" w:rsidP="00094437">
      <w:pPr>
        <w:widowControl w:val="0"/>
        <w:spacing w:before="8" w:line="180" w:lineRule="exact"/>
        <w:rPr>
          <w:rFonts w:eastAsia="Calibri" w:cstheme="minorHAnsi"/>
          <w:sz w:val="16"/>
          <w:szCs w:val="16"/>
        </w:rPr>
      </w:pPr>
    </w:p>
    <w:bookmarkEnd w:id="0"/>
    <w:p w:rsidR="0061246F" w:rsidRPr="00094437" w:rsidRDefault="003B3CA1"/>
    <w:sectPr w:rsidR="0061246F" w:rsidRPr="000944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437"/>
    <w:rsid w:val="00094437"/>
    <w:rsid w:val="003B3CA1"/>
    <w:rsid w:val="007A5D81"/>
    <w:rsid w:val="00FB3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B8B6"/>
  <w15:chartTrackingRefBased/>
  <w15:docId w15:val="{BEDA742E-2A1F-4830-B9BD-5CA81223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4437"/>
    <w:pPr>
      <w:spacing w:after="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94437"/>
    <w:pPr>
      <w:autoSpaceDE w:val="0"/>
      <w:autoSpaceDN w:val="0"/>
      <w:adjustRightInd w:val="0"/>
      <w:spacing w:after="0" w:line="240" w:lineRule="auto"/>
    </w:pPr>
    <w:rPr>
      <w:rFonts w:ascii="Arial" w:hAnsi="Arial" w:cs="Arial"/>
      <w:color w:val="000000"/>
      <w:sz w:val="24"/>
      <w:szCs w:val="24"/>
    </w:rPr>
  </w:style>
  <w:style w:type="paragraph" w:customStyle="1" w:styleId="pagecontents">
    <w:name w:val="pagecontents"/>
    <w:basedOn w:val="Normal"/>
    <w:rsid w:val="00094437"/>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23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5067</Words>
  <Characters>28885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 Niamh</dc:creator>
  <cp:keywords/>
  <dc:description/>
  <cp:lastModifiedBy>Bowe, Niamh</cp:lastModifiedBy>
  <cp:revision>2</cp:revision>
  <dcterms:created xsi:type="dcterms:W3CDTF">2018-07-16T13:51:00Z</dcterms:created>
  <dcterms:modified xsi:type="dcterms:W3CDTF">2018-07-16T14:01:00Z</dcterms:modified>
</cp:coreProperties>
</file>