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4537E" w14:textId="0EC58D65" w:rsidR="0028293C" w:rsidRPr="0098329B" w:rsidRDefault="009242B6" w:rsidP="006714FF">
      <w:pPr>
        <w:pStyle w:val="Heading1"/>
      </w:pPr>
      <w:bookmarkStart w:id="0" w:name="_GoBack"/>
      <w:bookmarkEnd w:id="0"/>
      <w:r w:rsidRPr="0098329B">
        <w:t>Title Page</w:t>
      </w:r>
    </w:p>
    <w:p w14:paraId="0CF224AA" w14:textId="60E1F5AE" w:rsidR="00FE6F49" w:rsidRPr="0098329B" w:rsidRDefault="0028293C" w:rsidP="00CD28DE">
      <w:pPr>
        <w:pStyle w:val="Heading2"/>
        <w:rPr>
          <w:rFonts w:ascii="Times New Roman" w:hAnsi="Times New Roman"/>
        </w:rPr>
      </w:pPr>
      <w:r w:rsidRPr="0098329B">
        <w:rPr>
          <w:rFonts w:ascii="Times New Roman" w:hAnsi="Times New Roman"/>
        </w:rPr>
        <w:t>Title</w:t>
      </w:r>
    </w:p>
    <w:p w14:paraId="777944B4" w14:textId="142C5377" w:rsidR="00397EFC" w:rsidRDefault="000277C7" w:rsidP="00397EFC">
      <w:pPr>
        <w:spacing w:line="480" w:lineRule="auto"/>
        <w:rPr>
          <w:rFonts w:ascii="Times New Roman" w:hAnsi="Times New Roman" w:cs="Times New Roman"/>
        </w:rPr>
      </w:pPr>
      <w:r w:rsidRPr="0098329B">
        <w:rPr>
          <w:rFonts w:ascii="Times New Roman" w:hAnsi="Times New Roman" w:cs="Times New Roman"/>
        </w:rPr>
        <w:t>B</w:t>
      </w:r>
      <w:r w:rsidR="004358ED">
        <w:rPr>
          <w:rFonts w:ascii="Times New Roman" w:hAnsi="Times New Roman" w:cs="Times New Roman"/>
        </w:rPr>
        <w:t>CR</w:t>
      </w:r>
      <w:r w:rsidRPr="0098329B">
        <w:rPr>
          <w:rFonts w:ascii="Times New Roman" w:hAnsi="Times New Roman" w:cs="Times New Roman"/>
        </w:rPr>
        <w:t xml:space="preserve"> </w:t>
      </w:r>
      <w:r w:rsidR="00397EFC" w:rsidRPr="0098329B">
        <w:rPr>
          <w:rFonts w:ascii="Times New Roman" w:hAnsi="Times New Roman" w:cs="Times New Roman"/>
        </w:rPr>
        <w:t xml:space="preserve">repertoire </w:t>
      </w:r>
      <w:r w:rsidRPr="0098329B">
        <w:rPr>
          <w:rFonts w:ascii="Times New Roman" w:hAnsi="Times New Roman" w:cs="Times New Roman"/>
        </w:rPr>
        <w:t>sequencing</w:t>
      </w:r>
      <w:r w:rsidR="007F0250" w:rsidRPr="0098329B">
        <w:rPr>
          <w:rFonts w:ascii="Times New Roman" w:hAnsi="Times New Roman" w:cs="Times New Roman"/>
        </w:rPr>
        <w:t>:</w:t>
      </w:r>
      <w:r w:rsidRPr="0098329B">
        <w:rPr>
          <w:rFonts w:ascii="Times New Roman" w:hAnsi="Times New Roman" w:cs="Times New Roman"/>
        </w:rPr>
        <w:t xml:space="preserve"> </w:t>
      </w:r>
      <w:r w:rsidR="003513BF" w:rsidRPr="0098329B">
        <w:rPr>
          <w:rFonts w:ascii="Times New Roman" w:hAnsi="Times New Roman" w:cs="Times New Roman"/>
        </w:rPr>
        <w:t>different patterns of B cell activation</w:t>
      </w:r>
      <w:r w:rsidR="007F0250" w:rsidRPr="0098329B">
        <w:rPr>
          <w:rFonts w:ascii="Times New Roman" w:hAnsi="Times New Roman" w:cs="Times New Roman"/>
        </w:rPr>
        <w:t xml:space="preserve"> </w:t>
      </w:r>
      <w:r w:rsidR="000663F5">
        <w:rPr>
          <w:rFonts w:ascii="Times New Roman" w:hAnsi="Times New Roman" w:cs="Times New Roman"/>
        </w:rPr>
        <w:t>after</w:t>
      </w:r>
      <w:r w:rsidR="000663F5" w:rsidRPr="0098329B">
        <w:rPr>
          <w:rFonts w:ascii="Times New Roman" w:hAnsi="Times New Roman" w:cs="Times New Roman"/>
        </w:rPr>
        <w:t xml:space="preserve"> </w:t>
      </w:r>
      <w:r w:rsidR="004358ED">
        <w:rPr>
          <w:rFonts w:ascii="Times New Roman" w:hAnsi="Times New Roman" w:cs="Times New Roman"/>
        </w:rPr>
        <w:t xml:space="preserve">two </w:t>
      </w:r>
      <w:r w:rsidR="007F0250" w:rsidRPr="0098329B">
        <w:rPr>
          <w:rFonts w:ascii="Times New Roman" w:hAnsi="Times New Roman" w:cs="Times New Roman"/>
        </w:rPr>
        <w:t>Meningococcal</w:t>
      </w:r>
      <w:r w:rsidR="004358ED">
        <w:rPr>
          <w:rFonts w:ascii="Times New Roman" w:hAnsi="Times New Roman" w:cs="Times New Roman"/>
        </w:rPr>
        <w:t xml:space="preserve"> </w:t>
      </w:r>
      <w:r w:rsidR="00397EFC" w:rsidRPr="0098329B">
        <w:rPr>
          <w:rFonts w:ascii="Times New Roman" w:hAnsi="Times New Roman" w:cs="Times New Roman"/>
        </w:rPr>
        <w:t>vaccines</w:t>
      </w:r>
    </w:p>
    <w:p w14:paraId="1855D792" w14:textId="7C0DD787" w:rsidR="00F3151E" w:rsidRPr="0098329B" w:rsidRDefault="00303655" w:rsidP="00CD28DE">
      <w:pPr>
        <w:pStyle w:val="Heading2"/>
        <w:rPr>
          <w:rFonts w:ascii="Times New Roman" w:hAnsi="Times New Roman"/>
        </w:rPr>
      </w:pPr>
      <w:r w:rsidRPr="0098329B">
        <w:rPr>
          <w:rFonts w:ascii="Times New Roman" w:hAnsi="Times New Roman"/>
        </w:rPr>
        <w:t>Running</w:t>
      </w:r>
      <w:r w:rsidR="0028293C" w:rsidRPr="0098329B">
        <w:rPr>
          <w:rFonts w:ascii="Times New Roman" w:hAnsi="Times New Roman"/>
        </w:rPr>
        <w:t xml:space="preserve"> title</w:t>
      </w:r>
    </w:p>
    <w:p w14:paraId="579B104B" w14:textId="2EC7FCFD" w:rsidR="0028293C" w:rsidRPr="0098329B" w:rsidRDefault="00F82F51" w:rsidP="00CD28DE">
      <w:pPr>
        <w:spacing w:line="480" w:lineRule="auto"/>
        <w:rPr>
          <w:rFonts w:ascii="Times New Roman" w:hAnsi="Times New Roman" w:cs="Times New Roman"/>
        </w:rPr>
      </w:pPr>
      <w:r w:rsidRPr="0098329B">
        <w:rPr>
          <w:rFonts w:ascii="Times New Roman" w:hAnsi="Times New Roman" w:cs="Times New Roman"/>
        </w:rPr>
        <w:t xml:space="preserve">BCR </w:t>
      </w:r>
      <w:r w:rsidR="0044223E" w:rsidRPr="0098329B">
        <w:rPr>
          <w:rFonts w:ascii="Times New Roman" w:hAnsi="Times New Roman" w:cs="Times New Roman"/>
        </w:rPr>
        <w:t xml:space="preserve">repertoire analysis after </w:t>
      </w:r>
      <w:r w:rsidR="007429C4" w:rsidRPr="0098329B">
        <w:rPr>
          <w:rFonts w:ascii="Times New Roman" w:hAnsi="Times New Roman" w:cs="Times New Roman"/>
        </w:rPr>
        <w:t>different vaccines</w:t>
      </w:r>
    </w:p>
    <w:p w14:paraId="389F161D" w14:textId="50DE19AF" w:rsidR="0028293C" w:rsidRPr="0098329B" w:rsidRDefault="0028293C" w:rsidP="00CD28DE">
      <w:pPr>
        <w:pStyle w:val="Heading2"/>
        <w:rPr>
          <w:rFonts w:ascii="Times New Roman" w:hAnsi="Times New Roman"/>
        </w:rPr>
      </w:pPr>
      <w:r w:rsidRPr="0098329B">
        <w:rPr>
          <w:rFonts w:ascii="Times New Roman" w:hAnsi="Times New Roman"/>
        </w:rPr>
        <w:t>Authors</w:t>
      </w:r>
    </w:p>
    <w:p w14:paraId="1D3B1269" w14:textId="52415BAA" w:rsidR="0028293C" w:rsidRPr="0098329B" w:rsidRDefault="00F3151E" w:rsidP="006714FF">
      <w:pPr>
        <w:pStyle w:val="Subtitle"/>
        <w:spacing w:line="480" w:lineRule="auto"/>
        <w:rPr>
          <w:rFonts w:ascii="Times New Roman" w:hAnsi="Times New Roman" w:cs="Times New Roman"/>
        </w:rPr>
      </w:pPr>
      <w:r w:rsidRPr="0098329B">
        <w:rPr>
          <w:rStyle w:val="Strong"/>
          <w:rFonts w:ascii="Times New Roman" w:hAnsi="Times New Roman" w:cs="Times New Roman"/>
          <w:b w:val="0"/>
          <w:i w:val="0"/>
        </w:rPr>
        <w:t>Jacob D. Galson</w:t>
      </w:r>
      <w:r w:rsidR="00CF5EC7">
        <w:rPr>
          <w:rStyle w:val="Strong"/>
          <w:rFonts w:ascii="Times New Roman" w:hAnsi="Times New Roman" w:cs="Times New Roman"/>
          <w:b w:val="0"/>
          <w:i w:val="0"/>
          <w:vertAlign w:val="superscript"/>
        </w:rPr>
        <w:t>1</w:t>
      </w:r>
      <w:r w:rsidRPr="0098329B">
        <w:rPr>
          <w:rStyle w:val="Strong"/>
          <w:rFonts w:ascii="Times New Roman" w:hAnsi="Times New Roman" w:cs="Times New Roman"/>
          <w:b w:val="0"/>
          <w:i w:val="0"/>
        </w:rPr>
        <w:t xml:space="preserve">, </w:t>
      </w:r>
      <w:r w:rsidR="009D6E95" w:rsidRPr="0098329B">
        <w:rPr>
          <w:rStyle w:val="Strong"/>
          <w:rFonts w:ascii="Times New Roman" w:hAnsi="Times New Roman" w:cs="Times New Roman"/>
          <w:b w:val="0"/>
          <w:i w:val="0"/>
        </w:rPr>
        <w:t>Elizabeth A. Clutterbuck</w:t>
      </w:r>
      <w:r w:rsidR="00CF5EC7">
        <w:rPr>
          <w:rStyle w:val="Strong"/>
          <w:rFonts w:ascii="Times New Roman" w:hAnsi="Times New Roman" w:cs="Times New Roman"/>
          <w:b w:val="0"/>
          <w:i w:val="0"/>
          <w:vertAlign w:val="superscript"/>
        </w:rPr>
        <w:t>1</w:t>
      </w:r>
      <w:r w:rsidR="009D6E95" w:rsidRPr="0098329B">
        <w:rPr>
          <w:rStyle w:val="Strong"/>
          <w:rFonts w:ascii="Times New Roman" w:hAnsi="Times New Roman" w:cs="Times New Roman"/>
          <w:b w:val="0"/>
          <w:i w:val="0"/>
        </w:rPr>
        <w:t xml:space="preserve">, </w:t>
      </w:r>
      <w:r w:rsidRPr="0098329B">
        <w:rPr>
          <w:rStyle w:val="Strong"/>
          <w:rFonts w:ascii="Times New Roman" w:hAnsi="Times New Roman" w:cs="Times New Roman"/>
          <w:b w:val="0"/>
          <w:i w:val="0"/>
        </w:rPr>
        <w:t>Johannes Trück</w:t>
      </w:r>
      <w:r w:rsidR="00CF5EC7">
        <w:rPr>
          <w:rStyle w:val="Strong"/>
          <w:rFonts w:ascii="Times New Roman" w:hAnsi="Times New Roman" w:cs="Times New Roman"/>
          <w:b w:val="0"/>
          <w:i w:val="0"/>
          <w:vertAlign w:val="superscript"/>
        </w:rPr>
        <w:t>1</w:t>
      </w:r>
      <w:r w:rsidR="009F4113" w:rsidRPr="0098329B">
        <w:rPr>
          <w:rStyle w:val="Strong"/>
          <w:rFonts w:ascii="Times New Roman" w:hAnsi="Times New Roman" w:cs="Times New Roman"/>
          <w:b w:val="0"/>
          <w:i w:val="0"/>
        </w:rPr>
        <w:t xml:space="preserve">, </w:t>
      </w:r>
      <w:r w:rsidR="00D0705B" w:rsidRPr="0098329B">
        <w:rPr>
          <w:rStyle w:val="Strong"/>
          <w:rFonts w:ascii="Times New Roman" w:hAnsi="Times New Roman" w:cs="Times New Roman"/>
          <w:b w:val="0"/>
          <w:i w:val="0"/>
        </w:rPr>
        <w:t>Maheshi N. Ramasamy</w:t>
      </w:r>
      <w:r w:rsidR="00CF5EC7">
        <w:rPr>
          <w:rStyle w:val="Strong"/>
          <w:rFonts w:ascii="Times New Roman" w:hAnsi="Times New Roman" w:cs="Times New Roman"/>
          <w:b w:val="0"/>
          <w:i w:val="0"/>
          <w:vertAlign w:val="superscript"/>
        </w:rPr>
        <w:t>1</w:t>
      </w:r>
      <w:r w:rsidR="00D0705B" w:rsidRPr="0098329B">
        <w:rPr>
          <w:rStyle w:val="Strong"/>
          <w:rFonts w:ascii="Times New Roman" w:hAnsi="Times New Roman" w:cs="Times New Roman"/>
          <w:b w:val="0"/>
          <w:i w:val="0"/>
        </w:rPr>
        <w:t xml:space="preserve">, </w:t>
      </w:r>
      <w:r w:rsidR="00905C62" w:rsidRPr="0098329B">
        <w:rPr>
          <w:rFonts w:ascii="Times New Roman" w:hAnsi="Times New Roman" w:cs="Times New Roman"/>
          <w:i w:val="0"/>
          <w:color w:val="000000" w:themeColor="text1"/>
        </w:rPr>
        <w:t>Márton Münz</w:t>
      </w:r>
      <w:r w:rsidR="00CF5EC7">
        <w:rPr>
          <w:rFonts w:ascii="Times New Roman" w:hAnsi="Times New Roman" w:cs="Times New Roman"/>
          <w:i w:val="0"/>
          <w:color w:val="312A2A"/>
          <w:vertAlign w:val="superscript"/>
        </w:rPr>
        <w:t>2</w:t>
      </w:r>
      <w:r w:rsidR="00A059FC" w:rsidRPr="0098329B">
        <w:rPr>
          <w:rStyle w:val="Strong"/>
          <w:rFonts w:ascii="Times New Roman" w:hAnsi="Times New Roman" w:cs="Times New Roman"/>
          <w:b w:val="0"/>
          <w:i w:val="0"/>
        </w:rPr>
        <w:t xml:space="preserve">, </w:t>
      </w:r>
      <w:r w:rsidR="00DB184B" w:rsidRPr="0098329B">
        <w:rPr>
          <w:rStyle w:val="Strong"/>
          <w:rFonts w:ascii="Times New Roman" w:hAnsi="Times New Roman" w:cs="Times New Roman"/>
          <w:b w:val="0"/>
          <w:i w:val="0"/>
        </w:rPr>
        <w:t>Anna Fowler</w:t>
      </w:r>
      <w:r w:rsidR="00CF5EC7">
        <w:rPr>
          <w:rFonts w:ascii="Times New Roman" w:hAnsi="Times New Roman" w:cs="Times New Roman"/>
          <w:i w:val="0"/>
          <w:color w:val="312A2A"/>
          <w:vertAlign w:val="superscript"/>
        </w:rPr>
        <w:t>2</w:t>
      </w:r>
      <w:r w:rsidR="00DB184B" w:rsidRPr="0098329B">
        <w:rPr>
          <w:rStyle w:val="Strong"/>
          <w:rFonts w:ascii="Times New Roman" w:hAnsi="Times New Roman" w:cs="Times New Roman"/>
          <w:b w:val="0"/>
          <w:i w:val="0"/>
        </w:rPr>
        <w:t>,</w:t>
      </w:r>
      <w:r w:rsidR="007429C4" w:rsidRPr="0098329B">
        <w:rPr>
          <w:rStyle w:val="Strong"/>
          <w:rFonts w:ascii="Times New Roman" w:hAnsi="Times New Roman" w:cs="Times New Roman"/>
          <w:b w:val="0"/>
          <w:i w:val="0"/>
        </w:rPr>
        <w:t xml:space="preserve"> </w:t>
      </w:r>
      <w:r w:rsidR="00B7403C" w:rsidRPr="0098329B">
        <w:rPr>
          <w:rStyle w:val="Strong"/>
          <w:rFonts w:ascii="Times New Roman" w:hAnsi="Times New Roman" w:cs="Times New Roman"/>
          <w:b w:val="0"/>
          <w:i w:val="0"/>
        </w:rPr>
        <w:t>Vincenzo Cerundolo</w:t>
      </w:r>
      <w:r w:rsidR="00CF5EC7">
        <w:rPr>
          <w:rFonts w:ascii="Times New Roman" w:hAnsi="Times New Roman" w:cs="Times New Roman"/>
          <w:i w:val="0"/>
          <w:color w:val="312A2A"/>
          <w:vertAlign w:val="superscript"/>
        </w:rPr>
        <w:t>3</w:t>
      </w:r>
      <w:r w:rsidR="00B7403C" w:rsidRPr="0098329B">
        <w:rPr>
          <w:rStyle w:val="Strong"/>
          <w:rFonts w:ascii="Times New Roman" w:hAnsi="Times New Roman" w:cs="Times New Roman"/>
          <w:b w:val="0"/>
          <w:i w:val="0"/>
        </w:rPr>
        <w:t xml:space="preserve">, </w:t>
      </w:r>
      <w:r w:rsidR="007429C4" w:rsidRPr="0098329B">
        <w:rPr>
          <w:rStyle w:val="Strong"/>
          <w:rFonts w:ascii="Times New Roman" w:hAnsi="Times New Roman" w:cs="Times New Roman"/>
          <w:b w:val="0"/>
          <w:i w:val="0"/>
        </w:rPr>
        <w:t>Andrew J. Pollard</w:t>
      </w:r>
      <w:r w:rsidR="00CF5EC7">
        <w:rPr>
          <w:rStyle w:val="Strong"/>
          <w:rFonts w:ascii="Times New Roman" w:hAnsi="Times New Roman" w:cs="Times New Roman"/>
          <w:b w:val="0"/>
          <w:i w:val="0"/>
          <w:vertAlign w:val="superscript"/>
        </w:rPr>
        <w:t>1</w:t>
      </w:r>
      <w:r w:rsidR="007429C4" w:rsidRPr="0098329B">
        <w:rPr>
          <w:rStyle w:val="Strong"/>
          <w:rFonts w:ascii="Times New Roman" w:hAnsi="Times New Roman" w:cs="Times New Roman"/>
          <w:b w:val="0"/>
          <w:i w:val="0"/>
        </w:rPr>
        <w:t xml:space="preserve">, </w:t>
      </w:r>
      <w:r w:rsidR="009F4113" w:rsidRPr="0098329B">
        <w:rPr>
          <w:rStyle w:val="Strong"/>
          <w:rFonts w:ascii="Times New Roman" w:hAnsi="Times New Roman" w:cs="Times New Roman"/>
          <w:b w:val="0"/>
          <w:i w:val="0"/>
        </w:rPr>
        <w:t>Gerton Lunter</w:t>
      </w:r>
      <w:r w:rsidR="00CF5EC7">
        <w:rPr>
          <w:rFonts w:ascii="Times New Roman" w:hAnsi="Times New Roman" w:cs="Times New Roman"/>
          <w:i w:val="0"/>
          <w:color w:val="312A2A"/>
          <w:vertAlign w:val="superscript"/>
        </w:rPr>
        <w:t>2</w:t>
      </w:r>
      <w:r w:rsidR="009F4113" w:rsidRPr="0098329B">
        <w:rPr>
          <w:rStyle w:val="Strong"/>
          <w:rFonts w:ascii="Times New Roman" w:hAnsi="Times New Roman" w:cs="Times New Roman"/>
          <w:b w:val="0"/>
          <w:i w:val="0"/>
        </w:rPr>
        <w:t xml:space="preserve"> </w:t>
      </w:r>
      <w:r w:rsidRPr="0098329B">
        <w:rPr>
          <w:rStyle w:val="Strong"/>
          <w:rFonts w:ascii="Times New Roman" w:hAnsi="Times New Roman" w:cs="Times New Roman"/>
          <w:b w:val="0"/>
          <w:i w:val="0"/>
        </w:rPr>
        <w:t>&amp; Dominic F. Kelly</w:t>
      </w:r>
      <w:r w:rsidR="00CF5EC7">
        <w:rPr>
          <w:rStyle w:val="Strong"/>
          <w:rFonts w:ascii="Times New Roman" w:hAnsi="Times New Roman" w:cs="Times New Roman"/>
          <w:b w:val="0"/>
          <w:i w:val="0"/>
          <w:vertAlign w:val="superscript"/>
        </w:rPr>
        <w:t>1</w:t>
      </w:r>
    </w:p>
    <w:p w14:paraId="7CCC0C7E" w14:textId="697C542E" w:rsidR="00F3151E" w:rsidRPr="0098329B" w:rsidRDefault="00CF5EC7" w:rsidP="006714FF">
      <w:pPr>
        <w:spacing w:line="480" w:lineRule="auto"/>
        <w:jc w:val="both"/>
        <w:rPr>
          <w:rFonts w:ascii="Times New Roman" w:hAnsi="Times New Roman" w:cs="Times New Roman"/>
        </w:rPr>
      </w:pPr>
      <w:r>
        <w:rPr>
          <w:rFonts w:ascii="Times New Roman" w:hAnsi="Times New Roman" w:cs="Times New Roman"/>
          <w:vertAlign w:val="superscript"/>
        </w:rPr>
        <w:t>1</w:t>
      </w:r>
      <w:r w:rsidR="00F3151E" w:rsidRPr="0098329B">
        <w:rPr>
          <w:rFonts w:ascii="Times New Roman" w:hAnsi="Times New Roman" w:cs="Times New Roman"/>
        </w:rPr>
        <w:t xml:space="preserve">Oxford Vaccine Group, Department of Paediatrics, </w:t>
      </w:r>
      <w:r w:rsidR="009A1841" w:rsidRPr="0098329B">
        <w:rPr>
          <w:rFonts w:ascii="Times New Roman" w:hAnsi="Times New Roman" w:cs="Times New Roman"/>
        </w:rPr>
        <w:t>University of Oxford</w:t>
      </w:r>
      <w:r w:rsidR="007F0250" w:rsidRPr="0098329B">
        <w:rPr>
          <w:rFonts w:ascii="Times New Roman" w:hAnsi="Times New Roman" w:cs="Times New Roman"/>
        </w:rPr>
        <w:t xml:space="preserve"> and the NIHR Oxford Biomedical Research Center</w:t>
      </w:r>
      <w:r w:rsidR="00F3151E" w:rsidRPr="0098329B">
        <w:rPr>
          <w:rFonts w:ascii="Times New Roman" w:hAnsi="Times New Roman" w:cs="Times New Roman"/>
        </w:rPr>
        <w:t xml:space="preserve">, Oxford, </w:t>
      </w:r>
      <w:r w:rsidR="009A1841" w:rsidRPr="0098329B">
        <w:rPr>
          <w:rFonts w:ascii="Times New Roman" w:hAnsi="Times New Roman" w:cs="Times New Roman"/>
        </w:rPr>
        <w:t xml:space="preserve">OX3 7LE, </w:t>
      </w:r>
      <w:r w:rsidR="00F3151E" w:rsidRPr="0098329B">
        <w:rPr>
          <w:rFonts w:ascii="Times New Roman" w:hAnsi="Times New Roman" w:cs="Times New Roman"/>
        </w:rPr>
        <w:t>U</w:t>
      </w:r>
      <w:r w:rsidR="009A1841" w:rsidRPr="0098329B">
        <w:rPr>
          <w:rFonts w:ascii="Times New Roman" w:hAnsi="Times New Roman" w:cs="Times New Roman"/>
        </w:rPr>
        <w:t xml:space="preserve">nited </w:t>
      </w:r>
      <w:r w:rsidR="00F3151E" w:rsidRPr="0098329B">
        <w:rPr>
          <w:rFonts w:ascii="Times New Roman" w:hAnsi="Times New Roman" w:cs="Times New Roman"/>
        </w:rPr>
        <w:t>K</w:t>
      </w:r>
      <w:r w:rsidR="009A1841" w:rsidRPr="0098329B">
        <w:rPr>
          <w:rFonts w:ascii="Times New Roman" w:hAnsi="Times New Roman" w:cs="Times New Roman"/>
        </w:rPr>
        <w:t>ingdom</w:t>
      </w:r>
      <w:r w:rsidR="0071561C" w:rsidRPr="0098329B">
        <w:rPr>
          <w:rFonts w:ascii="Times New Roman" w:hAnsi="Times New Roman" w:cs="Times New Roman"/>
        </w:rPr>
        <w:t xml:space="preserve">; </w:t>
      </w:r>
      <w:r>
        <w:rPr>
          <w:rFonts w:ascii="Times New Roman" w:hAnsi="Times New Roman" w:cs="Times New Roman"/>
          <w:color w:val="312A2A"/>
          <w:vertAlign w:val="superscript"/>
        </w:rPr>
        <w:t>2</w:t>
      </w:r>
      <w:r w:rsidR="009F4113" w:rsidRPr="0098329B">
        <w:rPr>
          <w:rFonts w:ascii="Times New Roman" w:hAnsi="Times New Roman" w:cs="Times New Roman"/>
        </w:rPr>
        <w:t>We</w:t>
      </w:r>
      <w:r w:rsidR="000A03E6">
        <w:rPr>
          <w:rFonts w:ascii="Times New Roman" w:hAnsi="Times New Roman" w:cs="Times New Roman"/>
        </w:rPr>
        <w:t>l</w:t>
      </w:r>
      <w:r w:rsidR="009F4113" w:rsidRPr="0098329B">
        <w:rPr>
          <w:rFonts w:ascii="Times New Roman" w:hAnsi="Times New Roman" w:cs="Times New Roman"/>
        </w:rPr>
        <w:t xml:space="preserve">lcome Trust Centre for Human Genetics, University of Oxford, Oxford, </w:t>
      </w:r>
      <w:r w:rsidR="009A1841" w:rsidRPr="0098329B">
        <w:rPr>
          <w:rFonts w:ascii="Times New Roman" w:hAnsi="Times New Roman" w:cs="Times New Roman"/>
        </w:rPr>
        <w:t xml:space="preserve">OX3 7BN, </w:t>
      </w:r>
      <w:r w:rsidR="009F4113" w:rsidRPr="0098329B">
        <w:rPr>
          <w:rFonts w:ascii="Times New Roman" w:hAnsi="Times New Roman" w:cs="Times New Roman"/>
        </w:rPr>
        <w:t>U</w:t>
      </w:r>
      <w:r w:rsidR="009A1841" w:rsidRPr="0098329B">
        <w:rPr>
          <w:rFonts w:ascii="Times New Roman" w:hAnsi="Times New Roman" w:cs="Times New Roman"/>
        </w:rPr>
        <w:t xml:space="preserve">nited </w:t>
      </w:r>
      <w:r w:rsidR="009F4113" w:rsidRPr="0098329B">
        <w:rPr>
          <w:rFonts w:ascii="Times New Roman" w:hAnsi="Times New Roman" w:cs="Times New Roman"/>
        </w:rPr>
        <w:t>K</w:t>
      </w:r>
      <w:r w:rsidR="009A1841" w:rsidRPr="0098329B">
        <w:rPr>
          <w:rFonts w:ascii="Times New Roman" w:hAnsi="Times New Roman" w:cs="Times New Roman"/>
        </w:rPr>
        <w:t>ingdom</w:t>
      </w:r>
      <w:r w:rsidR="0071561C" w:rsidRPr="0098329B">
        <w:rPr>
          <w:rFonts w:ascii="Times New Roman" w:hAnsi="Times New Roman" w:cs="Times New Roman"/>
        </w:rPr>
        <w:t xml:space="preserve">; and </w:t>
      </w:r>
      <w:r>
        <w:rPr>
          <w:rFonts w:ascii="Times New Roman" w:hAnsi="Times New Roman" w:cs="Times New Roman"/>
          <w:color w:val="312A2A"/>
          <w:vertAlign w:val="superscript"/>
        </w:rPr>
        <w:t>3</w:t>
      </w:r>
      <w:r w:rsidR="00B7403C" w:rsidRPr="0098329B">
        <w:rPr>
          <w:rFonts w:ascii="Times New Roman" w:hAnsi="Times New Roman" w:cs="Times New Roman"/>
        </w:rPr>
        <w:t>Medical Research Council Human Immunology Unit, Weatherall Institute of Molecular Medicine, Oxford, OX3 9DS, United Kingdom</w:t>
      </w:r>
    </w:p>
    <w:p w14:paraId="738C2710" w14:textId="00D91813" w:rsidR="0028293C" w:rsidRPr="0098329B" w:rsidRDefault="0028293C" w:rsidP="00CD28DE">
      <w:pPr>
        <w:pStyle w:val="Heading2"/>
        <w:rPr>
          <w:rFonts w:ascii="Times New Roman" w:hAnsi="Times New Roman"/>
        </w:rPr>
      </w:pPr>
      <w:r w:rsidRPr="0098329B">
        <w:rPr>
          <w:rFonts w:ascii="Times New Roman" w:hAnsi="Times New Roman"/>
        </w:rPr>
        <w:t>Corresponding author</w:t>
      </w:r>
    </w:p>
    <w:p w14:paraId="18E9AA83" w14:textId="24F4E1AB" w:rsidR="0028293C" w:rsidRPr="0098329B" w:rsidRDefault="0044223E" w:rsidP="004F4FA0">
      <w:pPr>
        <w:spacing w:line="480" w:lineRule="auto"/>
        <w:jc w:val="both"/>
        <w:rPr>
          <w:rFonts w:ascii="Times New Roman" w:hAnsi="Times New Roman" w:cs="Times New Roman"/>
        </w:rPr>
      </w:pPr>
      <w:r w:rsidRPr="0098329B">
        <w:rPr>
          <w:rFonts w:ascii="Times New Roman" w:hAnsi="Times New Roman" w:cs="Times New Roman"/>
        </w:rPr>
        <w:t>Jacob D. Galson</w:t>
      </w:r>
    </w:p>
    <w:p w14:paraId="61821BFC" w14:textId="351BF8C6" w:rsidR="0044223E" w:rsidRPr="0098329B" w:rsidRDefault="00AA7ED1">
      <w:pPr>
        <w:spacing w:line="480" w:lineRule="auto"/>
        <w:jc w:val="both"/>
        <w:rPr>
          <w:rFonts w:ascii="Times New Roman" w:hAnsi="Times New Roman" w:cs="Times New Roman"/>
        </w:rPr>
      </w:pPr>
      <w:r w:rsidRPr="0098329B">
        <w:rPr>
          <w:rFonts w:ascii="Times New Roman" w:hAnsi="Times New Roman" w:cs="Times New Roman"/>
        </w:rPr>
        <w:t xml:space="preserve">Email: </w:t>
      </w:r>
      <w:hyperlink r:id="rId9" w:history="1">
        <w:r w:rsidRPr="0098329B">
          <w:rPr>
            <w:rStyle w:val="Hyperlink"/>
            <w:rFonts w:ascii="Times New Roman" w:hAnsi="Times New Roman" w:cs="Times New Roman"/>
          </w:rPr>
          <w:t>jacob.galson@paediatrics.ox.ac.uk</w:t>
        </w:r>
      </w:hyperlink>
    </w:p>
    <w:p w14:paraId="7F979366" w14:textId="09FCF94A" w:rsidR="002573B2" w:rsidRPr="0098329B" w:rsidRDefault="00AA7ED1" w:rsidP="002573B2">
      <w:pPr>
        <w:spacing w:line="480" w:lineRule="auto"/>
        <w:jc w:val="both"/>
        <w:rPr>
          <w:rFonts w:ascii="Times New Roman" w:hAnsi="Times New Roman" w:cs="Times New Roman"/>
        </w:rPr>
      </w:pPr>
      <w:r w:rsidRPr="0098329B">
        <w:rPr>
          <w:rFonts w:ascii="Times New Roman" w:hAnsi="Times New Roman" w:cs="Times New Roman"/>
        </w:rPr>
        <w:t>Telephone:</w:t>
      </w:r>
      <w:r w:rsidR="00C300C9" w:rsidRPr="0098329B">
        <w:rPr>
          <w:rFonts w:ascii="Times New Roman" w:hAnsi="Times New Roman" w:cs="Times New Roman"/>
        </w:rPr>
        <w:t xml:space="preserve"> +44 1865 857445 or +</w:t>
      </w:r>
      <w:r w:rsidR="0058263C">
        <w:rPr>
          <w:rFonts w:ascii="Times New Roman" w:hAnsi="Times New Roman" w:cs="Times New Roman"/>
        </w:rPr>
        <w:t>44</w:t>
      </w:r>
      <w:r w:rsidR="0058263C" w:rsidRPr="0098329B">
        <w:rPr>
          <w:rFonts w:ascii="Times New Roman" w:hAnsi="Times New Roman" w:cs="Times New Roman"/>
        </w:rPr>
        <w:t xml:space="preserve"> </w:t>
      </w:r>
      <w:r w:rsidR="0058263C">
        <w:rPr>
          <w:rFonts w:ascii="Times New Roman" w:hAnsi="Times New Roman" w:cs="Times New Roman"/>
        </w:rPr>
        <w:t>7805 243837</w:t>
      </w:r>
      <w:r w:rsidR="002573B2" w:rsidRPr="0098329B">
        <w:rPr>
          <w:rFonts w:ascii="Times New Roman" w:hAnsi="Times New Roman" w:cs="Times New Roman"/>
        </w:rPr>
        <w:br w:type="page"/>
      </w:r>
    </w:p>
    <w:p w14:paraId="7342D12F" w14:textId="34BA2821" w:rsidR="00BE1543" w:rsidRPr="0098329B" w:rsidRDefault="00BE1543" w:rsidP="006714FF">
      <w:pPr>
        <w:pStyle w:val="Heading1"/>
        <w:rPr>
          <w:sz w:val="20"/>
          <w:szCs w:val="20"/>
        </w:rPr>
      </w:pPr>
      <w:r w:rsidRPr="0098329B">
        <w:lastRenderedPageBreak/>
        <w:t>Abstract</w:t>
      </w:r>
    </w:p>
    <w:p w14:paraId="5B1D097F" w14:textId="6DAE2247" w:rsidR="003E0EE2" w:rsidRDefault="000E6E02" w:rsidP="00842988">
      <w:pPr>
        <w:spacing w:line="480" w:lineRule="auto"/>
        <w:jc w:val="both"/>
        <w:rPr>
          <w:rFonts w:ascii="Times New Roman" w:hAnsi="Times New Roman" w:cs="Times New Roman"/>
        </w:rPr>
      </w:pPr>
      <w:r w:rsidRPr="0098329B">
        <w:rPr>
          <w:rFonts w:ascii="Times New Roman" w:hAnsi="Times New Roman" w:cs="Times New Roman"/>
        </w:rPr>
        <w:t>N</w:t>
      </w:r>
      <w:r w:rsidR="00FB6831" w:rsidRPr="0098329B">
        <w:rPr>
          <w:rFonts w:ascii="Times New Roman" w:hAnsi="Times New Roman" w:cs="Times New Roman"/>
        </w:rPr>
        <w:t xml:space="preserve">ext-generation sequencing </w:t>
      </w:r>
      <w:r w:rsidRPr="0098329B">
        <w:rPr>
          <w:rFonts w:ascii="Times New Roman" w:hAnsi="Times New Roman" w:cs="Times New Roman"/>
        </w:rPr>
        <w:t xml:space="preserve">was used </w:t>
      </w:r>
      <w:r w:rsidR="00455491" w:rsidRPr="0098329B">
        <w:rPr>
          <w:rFonts w:ascii="Times New Roman" w:hAnsi="Times New Roman" w:cs="Times New Roman"/>
        </w:rPr>
        <w:t>to investigate</w:t>
      </w:r>
      <w:r w:rsidR="00FB6831" w:rsidRPr="0098329B">
        <w:rPr>
          <w:rFonts w:ascii="Times New Roman" w:hAnsi="Times New Roman" w:cs="Times New Roman"/>
        </w:rPr>
        <w:t xml:space="preserve"> the </w:t>
      </w:r>
      <w:r w:rsidR="003D4383">
        <w:rPr>
          <w:rFonts w:ascii="Times New Roman" w:hAnsi="Times New Roman" w:cs="Times New Roman"/>
        </w:rPr>
        <w:t>B cell receptor</w:t>
      </w:r>
      <w:r w:rsidRPr="0098329B">
        <w:rPr>
          <w:rFonts w:ascii="Times New Roman" w:hAnsi="Times New Roman" w:cs="Times New Roman"/>
        </w:rPr>
        <w:t xml:space="preserve"> </w:t>
      </w:r>
      <w:r w:rsidR="00A1223F" w:rsidRPr="0098329B">
        <w:rPr>
          <w:rFonts w:ascii="Times New Roman" w:hAnsi="Times New Roman" w:cs="Times New Roman"/>
        </w:rPr>
        <w:t xml:space="preserve">heavy chain </w:t>
      </w:r>
      <w:r w:rsidR="00252F38" w:rsidRPr="0098329B">
        <w:rPr>
          <w:rFonts w:ascii="Times New Roman" w:hAnsi="Times New Roman" w:cs="Times New Roman"/>
        </w:rPr>
        <w:t xml:space="preserve">transcript </w:t>
      </w:r>
      <w:r w:rsidR="00D95C32" w:rsidRPr="0098329B">
        <w:rPr>
          <w:rFonts w:ascii="Times New Roman" w:hAnsi="Times New Roman" w:cs="Times New Roman"/>
        </w:rPr>
        <w:t>repertoire</w:t>
      </w:r>
      <w:r w:rsidR="003F2380">
        <w:rPr>
          <w:rFonts w:ascii="Times New Roman" w:hAnsi="Times New Roman" w:cs="Times New Roman"/>
        </w:rPr>
        <w:t xml:space="preserve"> of </w:t>
      </w:r>
      <w:r w:rsidR="00533BCD">
        <w:rPr>
          <w:rFonts w:ascii="Times New Roman" w:hAnsi="Times New Roman" w:cs="Times New Roman"/>
        </w:rPr>
        <w:t xml:space="preserve">different </w:t>
      </w:r>
      <w:r w:rsidR="003F2380">
        <w:rPr>
          <w:rFonts w:ascii="Times New Roman" w:hAnsi="Times New Roman" w:cs="Times New Roman"/>
        </w:rPr>
        <w:t>B</w:t>
      </w:r>
      <w:r w:rsidR="0058263C">
        <w:rPr>
          <w:rFonts w:ascii="Times New Roman" w:hAnsi="Times New Roman" w:cs="Times New Roman"/>
        </w:rPr>
        <w:t xml:space="preserve"> </w:t>
      </w:r>
      <w:r w:rsidR="003F2380">
        <w:rPr>
          <w:rFonts w:ascii="Times New Roman" w:hAnsi="Times New Roman" w:cs="Times New Roman"/>
        </w:rPr>
        <w:t xml:space="preserve">cell subsets (naïve, marginal zone, IgM memory and IgG memory) at </w:t>
      </w:r>
      <w:r w:rsidR="0058263C">
        <w:rPr>
          <w:rFonts w:ascii="Times New Roman" w:hAnsi="Times New Roman" w:cs="Times New Roman"/>
        </w:rPr>
        <w:t>baseline</w:t>
      </w:r>
      <w:r w:rsidR="00533BCD">
        <w:rPr>
          <w:rFonts w:ascii="Times New Roman" w:hAnsi="Times New Roman" w:cs="Times New Roman"/>
        </w:rPr>
        <w:t>,</w:t>
      </w:r>
      <w:r w:rsidR="003F2380">
        <w:rPr>
          <w:rFonts w:ascii="Times New Roman" w:hAnsi="Times New Roman" w:cs="Times New Roman"/>
        </w:rPr>
        <w:t xml:space="preserve"> and </w:t>
      </w:r>
      <w:r w:rsidR="00533BCD">
        <w:rPr>
          <w:rFonts w:ascii="Times New Roman" w:hAnsi="Times New Roman" w:cs="Times New Roman"/>
        </w:rPr>
        <w:t xml:space="preserve">of </w:t>
      </w:r>
      <w:r w:rsidR="003F2380">
        <w:rPr>
          <w:rFonts w:ascii="Times New Roman" w:hAnsi="Times New Roman" w:cs="Times New Roman"/>
        </w:rPr>
        <w:t xml:space="preserve">plasma cells </w:t>
      </w:r>
      <w:r w:rsidRPr="0098329B">
        <w:rPr>
          <w:rFonts w:ascii="Times New Roman" w:hAnsi="Times New Roman" w:cs="Times New Roman"/>
        </w:rPr>
        <w:t xml:space="preserve">7 </w:t>
      </w:r>
      <w:r w:rsidR="0058263C">
        <w:rPr>
          <w:rFonts w:ascii="Times New Roman" w:hAnsi="Times New Roman" w:cs="Times New Roman"/>
        </w:rPr>
        <w:t xml:space="preserve">days </w:t>
      </w:r>
      <w:r w:rsidR="00455491" w:rsidRPr="0098329B">
        <w:rPr>
          <w:rFonts w:ascii="Times New Roman" w:hAnsi="Times New Roman" w:cs="Times New Roman"/>
        </w:rPr>
        <w:t xml:space="preserve">following administration of </w:t>
      </w:r>
      <w:r w:rsidRPr="0098329B">
        <w:rPr>
          <w:rFonts w:ascii="Times New Roman" w:hAnsi="Times New Roman" w:cs="Times New Roman"/>
        </w:rPr>
        <w:t>serogroup ACWY</w:t>
      </w:r>
      <w:r w:rsidR="00455491" w:rsidRPr="0098329B">
        <w:rPr>
          <w:rFonts w:ascii="Times New Roman" w:hAnsi="Times New Roman" w:cs="Times New Roman"/>
        </w:rPr>
        <w:t xml:space="preserve"> m</w:t>
      </w:r>
      <w:r w:rsidR="00A13960" w:rsidRPr="0098329B">
        <w:rPr>
          <w:rFonts w:ascii="Times New Roman" w:hAnsi="Times New Roman" w:cs="Times New Roman"/>
        </w:rPr>
        <w:t>eningococcal polysaccharide and protein-polysaccharide conjugate vaccine</w:t>
      </w:r>
      <w:r w:rsidRPr="0098329B">
        <w:rPr>
          <w:rFonts w:ascii="Times New Roman" w:hAnsi="Times New Roman" w:cs="Times New Roman"/>
        </w:rPr>
        <w:t>s</w:t>
      </w:r>
      <w:r w:rsidR="00D95C32" w:rsidRPr="0098329B">
        <w:rPr>
          <w:rFonts w:ascii="Times New Roman" w:hAnsi="Times New Roman" w:cs="Times New Roman"/>
        </w:rPr>
        <w:t>.</w:t>
      </w:r>
      <w:r w:rsidR="00986213">
        <w:rPr>
          <w:rFonts w:ascii="Times New Roman" w:hAnsi="Times New Roman" w:cs="Times New Roman"/>
        </w:rPr>
        <w:t xml:space="preserve"> </w:t>
      </w:r>
      <w:r w:rsidR="00533BCD">
        <w:rPr>
          <w:rFonts w:ascii="Times New Roman" w:hAnsi="Times New Roman" w:cs="Times New Roman"/>
        </w:rPr>
        <w:t xml:space="preserve">Baseline B cell subsets could be distinguished </w:t>
      </w:r>
      <w:r w:rsidR="00CF65EE">
        <w:rPr>
          <w:rFonts w:ascii="Times New Roman" w:hAnsi="Times New Roman" w:cs="Times New Roman"/>
        </w:rPr>
        <w:t xml:space="preserve">from each other </w:t>
      </w:r>
      <w:r w:rsidR="00533BCD">
        <w:rPr>
          <w:rFonts w:ascii="Times New Roman" w:hAnsi="Times New Roman" w:cs="Times New Roman"/>
        </w:rPr>
        <w:t>using a small number of repertoire properties (clonality, mutation from germ-line and complementarity-determining region 3 length) that were conserved between individuals.</w:t>
      </w:r>
      <w:r w:rsidR="00F93D52">
        <w:rPr>
          <w:rFonts w:ascii="Times New Roman" w:hAnsi="Times New Roman" w:cs="Times New Roman"/>
        </w:rPr>
        <w:t xml:space="preserve"> </w:t>
      </w:r>
      <w:r w:rsidR="00C15B3B">
        <w:rPr>
          <w:rFonts w:ascii="Times New Roman" w:hAnsi="Times New Roman" w:cs="Times New Roman"/>
        </w:rPr>
        <w:t xml:space="preserve">However, analyzing the complementarity-determining region 3 amino acid sequence (which is particularly important for antigen binding) of the baseline subsets showed </w:t>
      </w:r>
      <w:r w:rsidR="000B7ABC">
        <w:rPr>
          <w:rFonts w:ascii="Times New Roman" w:hAnsi="Times New Roman" w:cs="Times New Roman"/>
        </w:rPr>
        <w:t xml:space="preserve">few </w:t>
      </w:r>
      <w:r w:rsidR="00C26A59">
        <w:rPr>
          <w:rFonts w:ascii="Times New Roman" w:hAnsi="Times New Roman" w:cs="Times New Roman"/>
        </w:rPr>
        <w:t>sequences</w:t>
      </w:r>
      <w:r w:rsidR="000B7ABC">
        <w:rPr>
          <w:rFonts w:ascii="Times New Roman" w:hAnsi="Times New Roman" w:cs="Times New Roman"/>
        </w:rPr>
        <w:t xml:space="preserve"> shared</w:t>
      </w:r>
      <w:r w:rsidR="00C15B3B">
        <w:rPr>
          <w:rFonts w:ascii="Times New Roman" w:hAnsi="Times New Roman" w:cs="Times New Roman"/>
        </w:rPr>
        <w:t xml:space="preserve"> between individuals. </w:t>
      </w:r>
      <w:r w:rsidR="00C45709">
        <w:rPr>
          <w:rFonts w:ascii="Times New Roman" w:hAnsi="Times New Roman" w:cs="Times New Roman"/>
        </w:rPr>
        <w:t>In contrast</w:t>
      </w:r>
      <w:r w:rsidR="005A7714">
        <w:rPr>
          <w:rFonts w:ascii="Times New Roman" w:hAnsi="Times New Roman" w:cs="Times New Roman"/>
        </w:rPr>
        <w:t>,</w:t>
      </w:r>
      <w:r w:rsidR="00C45709">
        <w:rPr>
          <w:rFonts w:ascii="Times New Roman" w:hAnsi="Times New Roman" w:cs="Times New Roman"/>
        </w:rPr>
        <w:t xml:space="preserve"> day 7 plasma cells </w:t>
      </w:r>
      <w:r w:rsidR="00A13960" w:rsidRPr="0098329B">
        <w:rPr>
          <w:rFonts w:ascii="Times New Roman" w:hAnsi="Times New Roman" w:cs="Times New Roman"/>
        </w:rPr>
        <w:t xml:space="preserve">demonstrated </w:t>
      </w:r>
      <w:r w:rsidR="009D7CE7" w:rsidRPr="0098329B">
        <w:rPr>
          <w:rFonts w:ascii="Times New Roman" w:hAnsi="Times New Roman" w:cs="Times New Roman"/>
        </w:rPr>
        <w:t xml:space="preserve">nearly tenfold </w:t>
      </w:r>
      <w:r w:rsidR="00A13960" w:rsidRPr="0098329B">
        <w:rPr>
          <w:rFonts w:ascii="Times New Roman" w:hAnsi="Times New Roman" w:cs="Times New Roman"/>
        </w:rPr>
        <w:t xml:space="preserve">greater sequence </w:t>
      </w:r>
      <w:r w:rsidR="004651EE">
        <w:rPr>
          <w:rFonts w:ascii="Times New Roman" w:hAnsi="Times New Roman" w:cs="Times New Roman"/>
        </w:rPr>
        <w:t>sharing</w:t>
      </w:r>
      <w:r w:rsidRPr="0098329B">
        <w:rPr>
          <w:rFonts w:ascii="Times New Roman" w:hAnsi="Times New Roman" w:cs="Times New Roman"/>
        </w:rPr>
        <w:t xml:space="preserve"> between </w:t>
      </w:r>
      <w:r w:rsidR="003E0EE2">
        <w:rPr>
          <w:rFonts w:ascii="Times New Roman" w:hAnsi="Times New Roman" w:cs="Times New Roman"/>
        </w:rPr>
        <w:t>individuals</w:t>
      </w:r>
      <w:r w:rsidR="003E0EE2" w:rsidRPr="0098329B">
        <w:rPr>
          <w:rFonts w:ascii="Times New Roman" w:hAnsi="Times New Roman" w:cs="Times New Roman"/>
        </w:rPr>
        <w:t xml:space="preserve"> </w:t>
      </w:r>
      <w:r w:rsidR="00A13960" w:rsidRPr="0098329B">
        <w:rPr>
          <w:rFonts w:ascii="Times New Roman" w:hAnsi="Times New Roman" w:cs="Times New Roman"/>
        </w:rPr>
        <w:t>than the baseline subsets</w:t>
      </w:r>
      <w:r w:rsidR="00946B9A">
        <w:rPr>
          <w:rFonts w:ascii="Times New Roman" w:hAnsi="Times New Roman" w:cs="Times New Roman"/>
        </w:rPr>
        <w:t>,</w:t>
      </w:r>
      <w:r w:rsidR="00A13960" w:rsidRPr="0098329B">
        <w:rPr>
          <w:rFonts w:ascii="Times New Roman" w:hAnsi="Times New Roman" w:cs="Times New Roman"/>
        </w:rPr>
        <w:t xml:space="preserve"> consistent with the plasma cells being </w:t>
      </w:r>
      <w:r w:rsidRPr="0098329B">
        <w:rPr>
          <w:rFonts w:ascii="Times New Roman" w:hAnsi="Times New Roman" w:cs="Times New Roman"/>
        </w:rPr>
        <w:t xml:space="preserve">induced by the vaccine antigen, and </w:t>
      </w:r>
      <w:r w:rsidR="004651EE">
        <w:rPr>
          <w:rFonts w:ascii="Times New Roman" w:hAnsi="Times New Roman" w:cs="Times New Roman"/>
        </w:rPr>
        <w:t>sharing</w:t>
      </w:r>
      <w:r w:rsidR="000F0516" w:rsidRPr="0098329B">
        <w:rPr>
          <w:rFonts w:ascii="Times New Roman" w:hAnsi="Times New Roman" w:cs="Times New Roman"/>
        </w:rPr>
        <w:t xml:space="preserve"> </w:t>
      </w:r>
      <w:r w:rsidR="00A13960" w:rsidRPr="0098329B">
        <w:rPr>
          <w:rFonts w:ascii="Times New Roman" w:hAnsi="Times New Roman" w:cs="Times New Roman"/>
        </w:rPr>
        <w:t>specific</w:t>
      </w:r>
      <w:r w:rsidR="000F0516" w:rsidRPr="0098329B">
        <w:rPr>
          <w:rFonts w:ascii="Times New Roman" w:hAnsi="Times New Roman" w:cs="Times New Roman"/>
        </w:rPr>
        <w:t>ity</w:t>
      </w:r>
      <w:r w:rsidR="00A13960" w:rsidRPr="0098329B">
        <w:rPr>
          <w:rFonts w:ascii="Times New Roman" w:hAnsi="Times New Roman" w:cs="Times New Roman"/>
        </w:rPr>
        <w:t xml:space="preserve"> </w:t>
      </w:r>
      <w:r w:rsidR="000F0516" w:rsidRPr="0098329B">
        <w:rPr>
          <w:rFonts w:ascii="Times New Roman" w:hAnsi="Times New Roman" w:cs="Times New Roman"/>
        </w:rPr>
        <w:t>for</w:t>
      </w:r>
      <w:r w:rsidRPr="0098329B">
        <w:rPr>
          <w:rFonts w:ascii="Times New Roman" w:hAnsi="Times New Roman" w:cs="Times New Roman"/>
        </w:rPr>
        <w:t xml:space="preserve"> </w:t>
      </w:r>
      <w:r w:rsidR="00A13960" w:rsidRPr="0098329B">
        <w:rPr>
          <w:rFonts w:ascii="Times New Roman" w:hAnsi="Times New Roman" w:cs="Times New Roman"/>
        </w:rPr>
        <w:t xml:space="preserve">a </w:t>
      </w:r>
      <w:r w:rsidR="00C45709">
        <w:rPr>
          <w:rFonts w:ascii="Times New Roman" w:hAnsi="Times New Roman" w:cs="Times New Roman"/>
        </w:rPr>
        <w:t xml:space="preserve">more </w:t>
      </w:r>
      <w:r w:rsidR="00A13960" w:rsidRPr="0098329B">
        <w:rPr>
          <w:rFonts w:ascii="Times New Roman" w:hAnsi="Times New Roman" w:cs="Times New Roman"/>
        </w:rPr>
        <w:t>limited range of epitopes.</w:t>
      </w:r>
      <w:r w:rsidR="005E7E9B" w:rsidRPr="0098329B">
        <w:rPr>
          <w:rFonts w:ascii="Times New Roman" w:hAnsi="Times New Roman" w:cs="Times New Roman"/>
        </w:rPr>
        <w:t xml:space="preserve"> </w:t>
      </w:r>
      <w:r w:rsidR="00432AEB" w:rsidRPr="0098329B">
        <w:rPr>
          <w:rFonts w:ascii="Times New Roman" w:hAnsi="Times New Roman" w:cs="Times New Roman"/>
        </w:rPr>
        <w:t xml:space="preserve">By </w:t>
      </w:r>
      <w:r w:rsidR="00D05DF6" w:rsidRPr="0098329B">
        <w:rPr>
          <w:rFonts w:ascii="Times New Roman" w:hAnsi="Times New Roman" w:cs="Times New Roman"/>
        </w:rPr>
        <w:t>annotating plasma cell sequences based on IgG subclass usage</w:t>
      </w:r>
      <w:r w:rsidR="00346F79">
        <w:rPr>
          <w:rFonts w:ascii="Times New Roman" w:hAnsi="Times New Roman" w:cs="Times New Roman"/>
        </w:rPr>
        <w:t xml:space="preserve"> and mutation</w:t>
      </w:r>
      <w:r w:rsidR="00D05DF6" w:rsidRPr="0098329B">
        <w:rPr>
          <w:rFonts w:ascii="Times New Roman" w:hAnsi="Times New Roman" w:cs="Times New Roman"/>
        </w:rPr>
        <w:t xml:space="preserve">, and </w:t>
      </w:r>
      <w:r w:rsidR="00C45709">
        <w:rPr>
          <w:rFonts w:ascii="Times New Roman" w:hAnsi="Times New Roman" w:cs="Times New Roman"/>
        </w:rPr>
        <w:t xml:space="preserve">also </w:t>
      </w:r>
      <w:r w:rsidR="00D05DF6" w:rsidRPr="0098329B">
        <w:rPr>
          <w:rFonts w:ascii="Times New Roman" w:hAnsi="Times New Roman" w:cs="Times New Roman"/>
        </w:rPr>
        <w:t>comparing them to the sequences of the baseline cell subsets</w:t>
      </w:r>
      <w:r w:rsidR="00432AEB" w:rsidRPr="0098329B">
        <w:rPr>
          <w:rFonts w:ascii="Times New Roman" w:hAnsi="Times New Roman" w:cs="Times New Roman"/>
        </w:rPr>
        <w:t xml:space="preserve">, we </w:t>
      </w:r>
      <w:r w:rsidR="00D05DF6" w:rsidRPr="0098329B">
        <w:rPr>
          <w:rFonts w:ascii="Times New Roman" w:hAnsi="Times New Roman" w:cs="Times New Roman"/>
        </w:rPr>
        <w:t xml:space="preserve">were able to identify different signatures after the polysaccharide and conjugate vaccines. </w:t>
      </w:r>
      <w:r w:rsidR="005E7E9B" w:rsidRPr="0098329B">
        <w:rPr>
          <w:rFonts w:ascii="Times New Roman" w:hAnsi="Times New Roman" w:cs="Times New Roman"/>
        </w:rPr>
        <w:t>P</w:t>
      </w:r>
      <w:r w:rsidR="00D05DF6" w:rsidRPr="0098329B">
        <w:rPr>
          <w:rFonts w:ascii="Times New Roman" w:hAnsi="Times New Roman" w:cs="Times New Roman"/>
        </w:rPr>
        <w:t xml:space="preserve">lasma </w:t>
      </w:r>
      <w:r w:rsidR="00432AEB" w:rsidRPr="0098329B">
        <w:rPr>
          <w:rFonts w:ascii="Times New Roman" w:hAnsi="Times New Roman" w:cs="Times New Roman"/>
        </w:rPr>
        <w:t xml:space="preserve">cells produced after </w:t>
      </w:r>
      <w:r w:rsidR="00D05DF6" w:rsidRPr="0098329B">
        <w:rPr>
          <w:rFonts w:ascii="Times New Roman" w:hAnsi="Times New Roman" w:cs="Times New Roman"/>
        </w:rPr>
        <w:t>conjugate</w:t>
      </w:r>
      <w:r w:rsidR="00432AEB" w:rsidRPr="0098329B">
        <w:rPr>
          <w:rFonts w:ascii="Times New Roman" w:hAnsi="Times New Roman" w:cs="Times New Roman"/>
        </w:rPr>
        <w:t xml:space="preserve"> vaccination </w:t>
      </w:r>
      <w:r w:rsidR="009E792D" w:rsidRPr="0098329B">
        <w:rPr>
          <w:rFonts w:ascii="Times New Roman" w:hAnsi="Times New Roman" w:cs="Times New Roman"/>
        </w:rPr>
        <w:t>were</w:t>
      </w:r>
      <w:r w:rsidR="00D05DF6" w:rsidRPr="0098329B">
        <w:rPr>
          <w:rFonts w:ascii="Times New Roman" w:hAnsi="Times New Roman" w:cs="Times New Roman"/>
        </w:rPr>
        <w:t xml:space="preserve"> predominantly IgG1</w:t>
      </w:r>
      <w:r w:rsidR="009E792D" w:rsidRPr="0098329B">
        <w:rPr>
          <w:rFonts w:ascii="Times New Roman" w:hAnsi="Times New Roman" w:cs="Times New Roman"/>
        </w:rPr>
        <w:t xml:space="preserve">, and </w:t>
      </w:r>
      <w:r w:rsidR="003D4383">
        <w:rPr>
          <w:rFonts w:ascii="Times New Roman" w:hAnsi="Times New Roman" w:cs="Times New Roman"/>
        </w:rPr>
        <w:t>most</w:t>
      </w:r>
      <w:r w:rsidR="00C45709">
        <w:rPr>
          <w:rFonts w:ascii="Times New Roman" w:hAnsi="Times New Roman" w:cs="Times New Roman"/>
        </w:rPr>
        <w:t xml:space="preserve"> related</w:t>
      </w:r>
      <w:r w:rsidR="001754F8" w:rsidRPr="0098329B">
        <w:rPr>
          <w:rFonts w:ascii="Times New Roman" w:hAnsi="Times New Roman" w:cs="Times New Roman"/>
        </w:rPr>
        <w:t xml:space="preserve"> to</w:t>
      </w:r>
      <w:r w:rsidR="00423D84" w:rsidRPr="0098329B">
        <w:rPr>
          <w:rFonts w:ascii="Times New Roman" w:hAnsi="Times New Roman" w:cs="Times New Roman"/>
        </w:rPr>
        <w:t xml:space="preserve"> IgG memory cells</w:t>
      </w:r>
      <w:r w:rsidR="00D05DF6" w:rsidRPr="0098329B">
        <w:rPr>
          <w:rFonts w:ascii="Times New Roman" w:hAnsi="Times New Roman" w:cs="Times New Roman"/>
        </w:rPr>
        <w:t xml:space="preserve">. </w:t>
      </w:r>
      <w:r w:rsidR="001754F8" w:rsidRPr="0098329B">
        <w:rPr>
          <w:rFonts w:ascii="Times New Roman" w:hAnsi="Times New Roman" w:cs="Times New Roman"/>
        </w:rPr>
        <w:t>In contrast, a</w:t>
      </w:r>
      <w:r w:rsidR="00D05DF6" w:rsidRPr="0098329B">
        <w:rPr>
          <w:rFonts w:ascii="Times New Roman" w:hAnsi="Times New Roman" w:cs="Times New Roman"/>
        </w:rPr>
        <w:t>fter polysaccharide vaccination, the plasma cells were predominantly IgG2,</w:t>
      </w:r>
      <w:r w:rsidR="00414303">
        <w:rPr>
          <w:rFonts w:ascii="Times New Roman" w:hAnsi="Times New Roman" w:cs="Times New Roman"/>
        </w:rPr>
        <w:t xml:space="preserve"> </w:t>
      </w:r>
      <w:r w:rsidR="00BD3D57">
        <w:rPr>
          <w:rFonts w:ascii="Times New Roman" w:hAnsi="Times New Roman" w:cs="Times New Roman"/>
        </w:rPr>
        <w:t>less mutated</w:t>
      </w:r>
      <w:r w:rsidR="00414303">
        <w:rPr>
          <w:rFonts w:ascii="Times New Roman" w:hAnsi="Times New Roman" w:cs="Times New Roman"/>
        </w:rPr>
        <w:t>,</w:t>
      </w:r>
      <w:r w:rsidR="00D05DF6" w:rsidRPr="0098329B">
        <w:rPr>
          <w:rFonts w:ascii="Times New Roman" w:hAnsi="Times New Roman" w:cs="Times New Roman"/>
        </w:rPr>
        <w:t xml:space="preserve"> and </w:t>
      </w:r>
      <w:r w:rsidR="00423D84" w:rsidRPr="0098329B">
        <w:rPr>
          <w:rFonts w:ascii="Times New Roman" w:hAnsi="Times New Roman" w:cs="Times New Roman"/>
        </w:rPr>
        <w:t xml:space="preserve">were equally </w:t>
      </w:r>
      <w:r w:rsidR="00C45709">
        <w:rPr>
          <w:rFonts w:ascii="Times New Roman" w:hAnsi="Times New Roman" w:cs="Times New Roman"/>
        </w:rPr>
        <w:t>likely to be related</w:t>
      </w:r>
      <w:r w:rsidR="00C45709" w:rsidRPr="0098329B">
        <w:rPr>
          <w:rFonts w:ascii="Times New Roman" w:hAnsi="Times New Roman" w:cs="Times New Roman"/>
        </w:rPr>
        <w:t xml:space="preserve"> </w:t>
      </w:r>
      <w:r w:rsidR="00423D84" w:rsidRPr="0098329B">
        <w:rPr>
          <w:rFonts w:ascii="Times New Roman" w:hAnsi="Times New Roman" w:cs="Times New Roman"/>
        </w:rPr>
        <w:t xml:space="preserve">to marginal zone, IgM memory </w:t>
      </w:r>
      <w:r w:rsidR="00C45709">
        <w:rPr>
          <w:rFonts w:ascii="Times New Roman" w:hAnsi="Times New Roman" w:cs="Times New Roman"/>
        </w:rPr>
        <w:t>or</w:t>
      </w:r>
      <w:r w:rsidR="00423D84" w:rsidRPr="0098329B">
        <w:rPr>
          <w:rFonts w:ascii="Times New Roman" w:hAnsi="Times New Roman" w:cs="Times New Roman"/>
        </w:rPr>
        <w:t xml:space="preserve"> IgG memory cells</w:t>
      </w:r>
      <w:r w:rsidR="00D05DF6" w:rsidRPr="0098329B">
        <w:rPr>
          <w:rFonts w:ascii="Times New Roman" w:hAnsi="Times New Roman" w:cs="Times New Roman"/>
        </w:rPr>
        <w:t>.</w:t>
      </w:r>
      <w:r w:rsidR="00E94D94" w:rsidRPr="0098329B">
        <w:rPr>
          <w:rFonts w:ascii="Times New Roman" w:hAnsi="Times New Roman" w:cs="Times New Roman"/>
        </w:rPr>
        <w:t xml:space="preserve"> </w:t>
      </w:r>
      <w:r w:rsidR="00401757" w:rsidRPr="0098329B">
        <w:rPr>
          <w:rFonts w:ascii="Times New Roman" w:hAnsi="Times New Roman" w:cs="Times New Roman"/>
        </w:rPr>
        <w:t xml:space="preserve">High-throughput </w:t>
      </w:r>
      <w:r w:rsidR="003111B1" w:rsidRPr="0098329B">
        <w:rPr>
          <w:rFonts w:ascii="Times New Roman" w:hAnsi="Times New Roman" w:cs="Times New Roman"/>
        </w:rPr>
        <w:t xml:space="preserve">B cell </w:t>
      </w:r>
      <w:r w:rsidR="00946B9A">
        <w:rPr>
          <w:rFonts w:ascii="Times New Roman" w:hAnsi="Times New Roman" w:cs="Times New Roman"/>
        </w:rPr>
        <w:t>repertoire</w:t>
      </w:r>
      <w:r w:rsidR="003111B1" w:rsidRPr="0098329B">
        <w:rPr>
          <w:rFonts w:ascii="Times New Roman" w:hAnsi="Times New Roman" w:cs="Times New Roman"/>
        </w:rPr>
        <w:t xml:space="preserve"> sequencing </w:t>
      </w:r>
      <w:r w:rsidR="00346F79">
        <w:rPr>
          <w:rFonts w:ascii="Times New Roman" w:hAnsi="Times New Roman" w:cs="Times New Roman"/>
        </w:rPr>
        <w:t xml:space="preserve">thus </w:t>
      </w:r>
      <w:r w:rsidR="00401757" w:rsidRPr="0098329B">
        <w:rPr>
          <w:rFonts w:ascii="Times New Roman" w:hAnsi="Times New Roman" w:cs="Times New Roman"/>
        </w:rPr>
        <w:t>provides a unique insight into</w:t>
      </w:r>
      <w:r w:rsidR="003111B1" w:rsidRPr="0098329B">
        <w:rPr>
          <w:rFonts w:ascii="Times New Roman" w:hAnsi="Times New Roman" w:cs="Times New Roman"/>
        </w:rPr>
        <w:t xml:space="preserve"> patterns of B cell activation not possible </w:t>
      </w:r>
      <w:r w:rsidR="005E7E9B" w:rsidRPr="0098329B">
        <w:rPr>
          <w:rFonts w:ascii="Times New Roman" w:hAnsi="Times New Roman" w:cs="Times New Roman"/>
        </w:rPr>
        <w:t>from more conventional measures of immunogenicity</w:t>
      </w:r>
      <w:r w:rsidR="00FB6831" w:rsidRPr="0098329B">
        <w:rPr>
          <w:rFonts w:ascii="Times New Roman" w:hAnsi="Times New Roman" w:cs="Times New Roman"/>
        </w:rPr>
        <w:t>.</w:t>
      </w:r>
    </w:p>
    <w:p w14:paraId="218BF24B" w14:textId="040232F8" w:rsidR="0071561C" w:rsidRPr="0098329B" w:rsidRDefault="0071561C" w:rsidP="00842988">
      <w:pPr>
        <w:spacing w:line="480" w:lineRule="auto"/>
        <w:jc w:val="both"/>
        <w:rPr>
          <w:rFonts w:ascii="Times New Roman" w:hAnsi="Times New Roman" w:cs="Times New Roman"/>
        </w:rPr>
      </w:pPr>
      <w:r w:rsidRPr="0098329B">
        <w:rPr>
          <w:rFonts w:ascii="Times New Roman" w:hAnsi="Times New Roman" w:cs="Times New Roman"/>
          <w:sz w:val="22"/>
          <w:szCs w:val="22"/>
        </w:rPr>
        <w:br w:type="page"/>
      </w:r>
    </w:p>
    <w:p w14:paraId="500BCAF1" w14:textId="62C27B77" w:rsidR="008C2526" w:rsidRPr="0098329B" w:rsidRDefault="00F3151E" w:rsidP="006714FF">
      <w:pPr>
        <w:pStyle w:val="Heading1"/>
      </w:pPr>
      <w:r w:rsidRPr="0098329B">
        <w:lastRenderedPageBreak/>
        <w:t>Introduction</w:t>
      </w:r>
    </w:p>
    <w:p w14:paraId="0E56CA31" w14:textId="47AB81DE" w:rsidR="000277C7" w:rsidRPr="0098329B" w:rsidRDefault="00992504" w:rsidP="001A70A7">
      <w:pPr>
        <w:spacing w:line="480" w:lineRule="auto"/>
        <w:jc w:val="both"/>
        <w:rPr>
          <w:rFonts w:ascii="Times New Roman" w:hAnsi="Times New Roman" w:cs="Times New Roman"/>
          <w:bCs/>
          <w:color w:val="000000" w:themeColor="text1"/>
        </w:rPr>
      </w:pPr>
      <w:r w:rsidRPr="0098329B">
        <w:rPr>
          <w:rStyle w:val="Strong"/>
          <w:rFonts w:ascii="Times New Roman" w:hAnsi="Times New Roman" w:cs="Times New Roman"/>
          <w:b w:val="0"/>
        </w:rPr>
        <w:t>For most vaccines, protection is</w:t>
      </w:r>
      <w:r w:rsidR="00BA2D90" w:rsidRPr="0098329B">
        <w:rPr>
          <w:rStyle w:val="Strong"/>
          <w:rFonts w:ascii="Times New Roman" w:hAnsi="Times New Roman" w:cs="Times New Roman"/>
          <w:b w:val="0"/>
        </w:rPr>
        <w:t xml:space="preserve"> achieved via </w:t>
      </w:r>
      <w:r w:rsidR="00C20570" w:rsidRPr="0098329B">
        <w:rPr>
          <w:rStyle w:val="Strong"/>
          <w:rFonts w:ascii="Times New Roman" w:hAnsi="Times New Roman" w:cs="Times New Roman"/>
          <w:b w:val="0"/>
        </w:rPr>
        <w:t xml:space="preserve">activation of B cells </w:t>
      </w:r>
      <w:r w:rsidRPr="0098329B">
        <w:rPr>
          <w:rStyle w:val="Strong"/>
          <w:rFonts w:ascii="Times New Roman" w:hAnsi="Times New Roman" w:cs="Times New Roman"/>
          <w:b w:val="0"/>
        </w:rPr>
        <w:t xml:space="preserve">with </w:t>
      </w:r>
      <w:r w:rsidR="008A7B58" w:rsidRPr="0098329B">
        <w:rPr>
          <w:rStyle w:val="Strong"/>
          <w:rFonts w:ascii="Times New Roman" w:hAnsi="Times New Roman" w:cs="Times New Roman"/>
          <w:b w:val="0"/>
        </w:rPr>
        <w:t>vaccine antigen-</w:t>
      </w:r>
      <w:r w:rsidRPr="0098329B">
        <w:rPr>
          <w:rStyle w:val="Strong"/>
          <w:rFonts w:ascii="Times New Roman" w:hAnsi="Times New Roman" w:cs="Times New Roman"/>
          <w:b w:val="0"/>
        </w:rPr>
        <w:t xml:space="preserve">specific </w:t>
      </w:r>
      <w:r w:rsidR="008A7B58" w:rsidRPr="0098329B">
        <w:rPr>
          <w:rStyle w:val="Strong"/>
          <w:rFonts w:ascii="Times New Roman" w:hAnsi="Times New Roman" w:cs="Times New Roman"/>
          <w:b w:val="0"/>
        </w:rPr>
        <w:t xml:space="preserve">receptors, which </w:t>
      </w:r>
      <w:r w:rsidR="00401757" w:rsidRPr="0098329B">
        <w:rPr>
          <w:rStyle w:val="Strong"/>
          <w:rFonts w:ascii="Times New Roman" w:hAnsi="Times New Roman" w:cs="Times New Roman"/>
          <w:b w:val="0"/>
        </w:rPr>
        <w:t xml:space="preserve">subsequently </w:t>
      </w:r>
      <w:r w:rsidR="008A7B58" w:rsidRPr="0098329B">
        <w:rPr>
          <w:rStyle w:val="Strong"/>
          <w:rFonts w:ascii="Times New Roman" w:hAnsi="Times New Roman" w:cs="Times New Roman"/>
          <w:b w:val="0"/>
        </w:rPr>
        <w:t>differentiate into plasma cells</w:t>
      </w:r>
      <w:r w:rsidR="0033414C" w:rsidRPr="0098329B">
        <w:rPr>
          <w:rStyle w:val="Strong"/>
          <w:rFonts w:ascii="Times New Roman" w:hAnsi="Times New Roman" w:cs="Times New Roman"/>
          <w:b w:val="0"/>
        </w:rPr>
        <w:t xml:space="preserve"> (PCs)</w:t>
      </w:r>
      <w:r w:rsidR="008A7B58" w:rsidRPr="0098329B">
        <w:rPr>
          <w:rStyle w:val="Strong"/>
          <w:rFonts w:ascii="Times New Roman" w:hAnsi="Times New Roman" w:cs="Times New Roman"/>
          <w:b w:val="0"/>
        </w:rPr>
        <w:t xml:space="preserve"> and produce functional </w:t>
      </w:r>
      <w:r w:rsidR="00401757" w:rsidRPr="0098329B">
        <w:rPr>
          <w:rStyle w:val="Strong"/>
          <w:rFonts w:ascii="Times New Roman" w:hAnsi="Times New Roman" w:cs="Times New Roman"/>
          <w:b w:val="0"/>
        </w:rPr>
        <w:t xml:space="preserve">antigen-specific </w:t>
      </w:r>
      <w:r w:rsidR="008A7B58" w:rsidRPr="0098329B">
        <w:rPr>
          <w:rStyle w:val="Strong"/>
          <w:rFonts w:ascii="Times New Roman" w:hAnsi="Times New Roman" w:cs="Times New Roman"/>
          <w:b w:val="0"/>
        </w:rPr>
        <w:t>antibody</w:t>
      </w:r>
      <w:r w:rsidR="00C20570" w:rsidRPr="0098329B">
        <w:rPr>
          <w:rStyle w:val="Strong"/>
          <w:rFonts w:ascii="Times New Roman" w:hAnsi="Times New Roman" w:cs="Times New Roman"/>
          <w:b w:val="0"/>
        </w:rPr>
        <w:t xml:space="preserve">. </w:t>
      </w:r>
      <w:r w:rsidRPr="0098329B">
        <w:rPr>
          <w:rStyle w:val="Strong"/>
          <w:rFonts w:ascii="Times New Roman" w:hAnsi="Times New Roman" w:cs="Times New Roman"/>
          <w:b w:val="0"/>
        </w:rPr>
        <w:t xml:space="preserve">Immunogenicity is conventionally assessed by measures of </w:t>
      </w:r>
      <w:r w:rsidR="008A7B58" w:rsidRPr="0098329B">
        <w:rPr>
          <w:rStyle w:val="Strong"/>
          <w:rFonts w:ascii="Times New Roman" w:hAnsi="Times New Roman" w:cs="Times New Roman"/>
          <w:b w:val="0"/>
        </w:rPr>
        <w:t>vaccine</w:t>
      </w:r>
      <w:r w:rsidRPr="0098329B">
        <w:rPr>
          <w:rStyle w:val="Strong"/>
          <w:rFonts w:ascii="Times New Roman" w:hAnsi="Times New Roman" w:cs="Times New Roman"/>
          <w:b w:val="0"/>
        </w:rPr>
        <w:t xml:space="preserve">-specific antibody quantity and function, but this gives </w:t>
      </w:r>
      <w:r w:rsidR="004711AA">
        <w:rPr>
          <w:rStyle w:val="Strong"/>
          <w:rFonts w:ascii="Times New Roman" w:hAnsi="Times New Roman" w:cs="Times New Roman"/>
          <w:b w:val="0"/>
        </w:rPr>
        <w:t>little</w:t>
      </w:r>
      <w:r w:rsidR="004711AA" w:rsidRPr="0098329B">
        <w:rPr>
          <w:rStyle w:val="Strong"/>
          <w:rFonts w:ascii="Times New Roman" w:hAnsi="Times New Roman" w:cs="Times New Roman"/>
          <w:b w:val="0"/>
        </w:rPr>
        <w:t xml:space="preserve"> </w:t>
      </w:r>
      <w:r w:rsidRPr="0098329B">
        <w:rPr>
          <w:rStyle w:val="Strong"/>
          <w:rFonts w:ascii="Times New Roman" w:hAnsi="Times New Roman" w:cs="Times New Roman"/>
          <w:b w:val="0"/>
        </w:rPr>
        <w:t xml:space="preserve">insight into </w:t>
      </w:r>
      <w:r w:rsidR="008A7B58" w:rsidRPr="0098329B">
        <w:rPr>
          <w:rStyle w:val="Strong"/>
          <w:rFonts w:ascii="Times New Roman" w:hAnsi="Times New Roman" w:cs="Times New Roman"/>
          <w:b w:val="0"/>
        </w:rPr>
        <w:t xml:space="preserve">which </w:t>
      </w:r>
      <w:r w:rsidR="003C63BA" w:rsidRPr="0098329B">
        <w:rPr>
          <w:rStyle w:val="Strong"/>
          <w:rFonts w:ascii="Times New Roman" w:hAnsi="Times New Roman" w:cs="Times New Roman"/>
          <w:b w:val="0"/>
        </w:rPr>
        <w:t>B cell</w:t>
      </w:r>
      <w:r w:rsidR="00FB4B26" w:rsidRPr="0098329B">
        <w:rPr>
          <w:rStyle w:val="Strong"/>
          <w:rFonts w:ascii="Times New Roman" w:hAnsi="Times New Roman" w:cs="Times New Roman"/>
          <w:b w:val="0"/>
        </w:rPr>
        <w:t xml:space="preserve"> subsets</w:t>
      </w:r>
      <w:r w:rsidR="003C63BA" w:rsidRPr="0098329B">
        <w:rPr>
          <w:rStyle w:val="Strong"/>
          <w:rFonts w:ascii="Times New Roman" w:hAnsi="Times New Roman" w:cs="Times New Roman"/>
          <w:b w:val="0"/>
        </w:rPr>
        <w:t xml:space="preserve"> were activated to generate the functional</w:t>
      </w:r>
      <w:r w:rsidR="004711AA">
        <w:rPr>
          <w:rStyle w:val="Strong"/>
          <w:rFonts w:ascii="Times New Roman" w:hAnsi="Times New Roman" w:cs="Times New Roman"/>
          <w:b w:val="0"/>
        </w:rPr>
        <w:t xml:space="preserve"> antibody</w:t>
      </w:r>
      <w:r w:rsidR="003C63BA" w:rsidRPr="0098329B">
        <w:rPr>
          <w:rStyle w:val="Strong"/>
          <w:rFonts w:ascii="Times New Roman" w:hAnsi="Times New Roman" w:cs="Times New Roman"/>
          <w:b w:val="0"/>
        </w:rPr>
        <w:t xml:space="preserve"> response</w:t>
      </w:r>
      <w:r w:rsidRPr="0098329B">
        <w:rPr>
          <w:rStyle w:val="Strong"/>
          <w:rFonts w:ascii="Times New Roman" w:hAnsi="Times New Roman" w:cs="Times New Roman"/>
          <w:b w:val="0"/>
        </w:rPr>
        <w:t>.</w:t>
      </w:r>
      <w:r w:rsidR="00F93765" w:rsidRPr="0098329B">
        <w:rPr>
          <w:rStyle w:val="Strong"/>
          <w:rFonts w:ascii="Times New Roman" w:hAnsi="Times New Roman" w:cs="Times New Roman"/>
          <w:b w:val="0"/>
        </w:rPr>
        <w:t xml:space="preserve"> Next-generation sequencing approaches to study </w:t>
      </w:r>
      <w:r w:rsidR="008B17EA">
        <w:rPr>
          <w:rStyle w:val="Strong"/>
          <w:rFonts w:ascii="Times New Roman" w:hAnsi="Times New Roman" w:cs="Times New Roman"/>
          <w:b w:val="0"/>
        </w:rPr>
        <w:t>B cell receptor</w:t>
      </w:r>
      <w:r w:rsidR="00A80D5F">
        <w:rPr>
          <w:rStyle w:val="Strong"/>
          <w:rFonts w:ascii="Times New Roman" w:hAnsi="Times New Roman" w:cs="Times New Roman"/>
          <w:b w:val="0"/>
        </w:rPr>
        <w:t xml:space="preserve"> </w:t>
      </w:r>
      <w:r w:rsidR="008A62A0">
        <w:rPr>
          <w:rStyle w:val="Strong"/>
          <w:rFonts w:ascii="Times New Roman" w:hAnsi="Times New Roman" w:cs="Times New Roman"/>
          <w:b w:val="0"/>
        </w:rPr>
        <w:t xml:space="preserve">(BCR) </w:t>
      </w:r>
      <w:r w:rsidR="00A80D5F">
        <w:rPr>
          <w:rStyle w:val="Strong"/>
          <w:rFonts w:ascii="Times New Roman" w:hAnsi="Times New Roman" w:cs="Times New Roman"/>
          <w:b w:val="0"/>
        </w:rPr>
        <w:t>heavy chain</w:t>
      </w:r>
      <w:r w:rsidR="00A80D5F" w:rsidRPr="0098329B">
        <w:rPr>
          <w:rStyle w:val="Strong"/>
          <w:rFonts w:ascii="Times New Roman" w:hAnsi="Times New Roman" w:cs="Times New Roman"/>
          <w:b w:val="0"/>
        </w:rPr>
        <w:t xml:space="preserve"> </w:t>
      </w:r>
      <w:r w:rsidR="00F93765" w:rsidRPr="0098329B">
        <w:rPr>
          <w:rStyle w:val="Strong"/>
          <w:rFonts w:ascii="Times New Roman" w:hAnsi="Times New Roman" w:cs="Times New Roman"/>
          <w:b w:val="0"/>
        </w:rPr>
        <w:t xml:space="preserve">repertoires </w:t>
      </w:r>
      <w:r w:rsidR="003C63BA" w:rsidRPr="0098329B">
        <w:rPr>
          <w:rStyle w:val="Strong"/>
          <w:rFonts w:ascii="Times New Roman" w:hAnsi="Times New Roman" w:cs="Times New Roman"/>
          <w:b w:val="0"/>
        </w:rPr>
        <w:t>can be used</w:t>
      </w:r>
      <w:r w:rsidR="00F93765" w:rsidRPr="0098329B">
        <w:rPr>
          <w:rStyle w:val="Strong"/>
          <w:rFonts w:ascii="Times New Roman" w:hAnsi="Times New Roman" w:cs="Times New Roman"/>
          <w:b w:val="0"/>
        </w:rPr>
        <w:t xml:space="preserve"> to measure the diversity of B cell </w:t>
      </w:r>
      <w:r w:rsidR="000277C7" w:rsidRPr="0098329B">
        <w:rPr>
          <w:rStyle w:val="Strong"/>
          <w:rFonts w:ascii="Times New Roman" w:hAnsi="Times New Roman" w:cs="Times New Roman"/>
          <w:b w:val="0"/>
        </w:rPr>
        <w:t>populations</w:t>
      </w:r>
      <w:r w:rsidR="00F93765" w:rsidRPr="0098329B">
        <w:rPr>
          <w:rStyle w:val="Strong"/>
          <w:rFonts w:ascii="Times New Roman" w:hAnsi="Times New Roman" w:cs="Times New Roman"/>
          <w:b w:val="0"/>
        </w:rPr>
        <w:t>, and allow resolution of vaccine response at the level of individual B cell clones</w:t>
      </w:r>
      <w:r w:rsidR="00FC28BA">
        <w:rPr>
          <w:rStyle w:val="Strong"/>
          <w:rFonts w:ascii="Times New Roman" w:hAnsi="Times New Roman" w:cs="Times New Roman"/>
          <w:b w:val="0"/>
        </w:rPr>
        <w:t>.</w:t>
      </w:r>
      <w:r w:rsidR="00C20570" w:rsidRPr="0098329B">
        <w:rPr>
          <w:rFonts w:ascii="Times New Roman" w:hAnsi="Times New Roman" w:cs="Times New Roman"/>
        </w:rPr>
        <w:fldChar w:fldCharType="begin" w:fldLock="1"/>
      </w:r>
      <w:r w:rsidR="00005CC0">
        <w:rPr>
          <w:rFonts w:ascii="Times New Roman" w:hAnsi="Times New Roman" w:cs="Times New Roman"/>
        </w:rPr>
        <w:instrText>ADDIN CSL_CITATION { "citationItems" : [ { "id" : "ITEM-1", "itemData" : { "DOI" : "10.1016/j.it.2014.04.005", "ISSN" : "14714906", "author" : [ { "dropping-particle" : "", "family" : "Galson", "given" : "Jacob D.", "non-dropping-particle" : "", "parse-names" : false, "suffix" : "" }, { "dropping-particle" : "", "family" : "Pollard", "given" : "Andrew J.", "non-dropping-particle" : "", "parse-names" : false, "suffix" : "" }, { "dropping-particle" : "", "family" : "Tr\u00fcck", "given" : "Johannes", "non-dropping-particle" : "", "parse-names" : false, "suffix" : "" }, { "dropping-particle" : "", "family" : "Kelly", "given" : "Dominic F.", "non-dropping-particle" : "", "parse-names" : false, "suffix" : "" } ], "container-title" : "Trends in Immunology", "id" : "ITEM-1", "issue" : "7", "issued" : { "date-parts" : [ [ "2014", "5" ] ] }, "language" : "English", "page" : "319-331", "publisher" : "Elsevier", "title" : "Studying the antibody repertoire after vaccination: practical applications", "type" : "article-journal", "volume" : "35" }, "uris" : [ "http://www.mendeley.com/documents/?uuid=a26056cb-aaa2-4fa8-8817-991aeda8fe52" ] } ], "mendeley" : { "formattedCitation" : "&lt;sup&gt;1&lt;/sup&gt;", "plainTextFormattedCitation" : "1", "previouslyFormattedCitation" : "&lt;sup&gt;1&lt;/sup&gt;" }, "properties" : { "noteIndex" : 0 }, "schema" : "https://github.com/citation-style-language/schema/raw/master/csl-citation.json" }</w:instrText>
      </w:r>
      <w:r w:rsidR="00C20570"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w:t>
      </w:r>
      <w:r w:rsidR="00C20570" w:rsidRPr="0098329B">
        <w:rPr>
          <w:rFonts w:ascii="Times New Roman" w:hAnsi="Times New Roman" w:cs="Times New Roman"/>
        </w:rPr>
        <w:fldChar w:fldCharType="end"/>
      </w:r>
      <w:r w:rsidR="00C20570" w:rsidRPr="0098329B">
        <w:rPr>
          <w:rFonts w:ascii="Times New Roman" w:hAnsi="Times New Roman" w:cs="Times New Roman"/>
        </w:rPr>
        <w:t xml:space="preserve"> Such methods </w:t>
      </w:r>
      <w:r w:rsidR="00F93765" w:rsidRPr="0098329B">
        <w:rPr>
          <w:rFonts w:ascii="Times New Roman" w:hAnsi="Times New Roman" w:cs="Times New Roman"/>
        </w:rPr>
        <w:t>have</w:t>
      </w:r>
      <w:r w:rsidR="00C20570" w:rsidRPr="0098329B">
        <w:rPr>
          <w:rFonts w:ascii="Times New Roman" w:hAnsi="Times New Roman" w:cs="Times New Roman"/>
        </w:rPr>
        <w:t xml:space="preserve"> </w:t>
      </w:r>
      <w:r w:rsidR="003C63BA" w:rsidRPr="0098329B">
        <w:rPr>
          <w:rFonts w:ascii="Times New Roman" w:hAnsi="Times New Roman" w:cs="Times New Roman"/>
        </w:rPr>
        <w:t xml:space="preserve">been used to </w:t>
      </w:r>
      <w:r w:rsidR="00C20570" w:rsidRPr="0098329B">
        <w:rPr>
          <w:rFonts w:ascii="Times New Roman" w:hAnsi="Times New Roman" w:cs="Times New Roman"/>
        </w:rPr>
        <w:t xml:space="preserve">demonstrate global changes in the </w:t>
      </w:r>
      <w:r w:rsidR="008A62A0">
        <w:rPr>
          <w:rFonts w:ascii="Times New Roman" w:hAnsi="Times New Roman" w:cs="Times New Roman"/>
        </w:rPr>
        <w:t xml:space="preserve">BCR </w:t>
      </w:r>
      <w:r w:rsidR="00C20570" w:rsidRPr="0098329B">
        <w:rPr>
          <w:rFonts w:ascii="Times New Roman" w:hAnsi="Times New Roman" w:cs="Times New Roman"/>
        </w:rPr>
        <w:t>repertoire following vaccination with different antigens</w:t>
      </w:r>
      <w:r w:rsidR="00FC28BA">
        <w:rPr>
          <w:rFonts w:ascii="Times New Roman" w:hAnsi="Times New Roman" w:cs="Times New Roman"/>
        </w:rPr>
        <w:t>,</w:t>
      </w:r>
      <w:r w:rsidR="00B57B4E" w:rsidRPr="0098329B">
        <w:rPr>
          <w:rFonts w:ascii="Times New Roman" w:hAnsi="Times New Roman" w:cs="Times New Roman"/>
        </w:rPr>
        <w:fldChar w:fldCharType="begin" w:fldLock="1"/>
      </w:r>
      <w:r w:rsidR="00AF182E">
        <w:rPr>
          <w:rFonts w:ascii="Times New Roman" w:hAnsi="Times New Roman" w:cs="Times New Roman"/>
        </w:rPr>
        <w:instrText>ADDIN CSL_CITATION { "citationItems" : [ { "id" : "ITEM-1", "itemData" : { "DOI" : "10.1126/scitranslmed.3004794", "ISBN" : "1946-6242 (Electronic)\\r1946-6234 (Linking)", "ISSN" : "1946-6242", "PMID" : "23390249", "abstract" : "The human antibody repertoire is one of the most important defenses against infectious disease, and the development of vaccines has enabled the conferral of targeted protection to specific pathogens. However, there are many challenges to measuring and analyzing the immunoglobulin sequence repertoire, including that each B cell's genome encodes a distinct antibody sequence, that the antibody repertoire changes over time, and the high similarity between antibody sequences. We have addressed these challenges by using high-throughput long read sequencing to perform immunogenomic characterization of expressed human antibody repertoires in the context of influenza vaccination. Informatic analysis of 5 million antibody heavy chain sequences from healthy individuals allowed us to perform global characterizations of isotype distributions, determine the lineage structure of the repertoire, and measure age- and antigen-related mutational activity. Our analysis of the clonal structure and mutational distribution of individuals' repertoires shows that elderly subjects have a decreased number of lineages but an increased prevaccination mutation load in their repertoire and that some of these subjects have an oligoclonal character to their repertoire in which the diversity of the lineages is greatly reduced relative to younger subjects. We have thus shown that global analysis of the immune system's clonal structure provides direct insight into the effects of vaccination and provides a detailed molecular portrait of age-related effects.", "author" : [ { "dropping-particle" : "", "family" : "Jiang", "given" : "Ning", "non-dropping-particle" : "", "parse-names" : false, "suffix" : "" }, { "dropping-particle" : "", "family" : "He", "given" : "Jiankui", "non-dropping-particle" : "", "parse-names" : false, "suffix" : "" }, { "dropping-particle" : "", "family" : "Weinstein", "given" : "Joshua A", "non-dropping-particle" : "", "parse-names" : false, "suffix" : "" }, { "dropping-particle" : "", "family" : "Penland", "given" : "Lolita", "non-dropping-particle" : "", "parse-names" : false, "suffix" : "" }, { "dropping-particle" : "", "family" : "Sasaki", "given" : "Sanae", "non-dropping-particle" : "", "parse-names" : false, "suffix" : "" }, { "dropping-particle" : "", "family" : "He", "given" : "Xiao-Song", "non-dropping-particle" : "", "parse-names" : false, "suffix" : "" }, { "dropping-particle" : "", "family" : "Dekker", "given" : "Cornelia L", "non-dropping-particle" : "", "parse-names" : false, "suffix" : "" }, { "dropping-particle" : "", "family" : "Zheng", "given" : "Nai-Ying", "non-dropping-particle" : "", "parse-names" : false, "suffix" : "" }, { "dropping-particle" : "", "family" : "Huang", "given" : "Min", "non-dropping-particle" : "", "parse-names" : false, "suffix" : "" }, { "dropping-particle" : "", "family" : "Sullivan", "given" : "Meghan", "non-dropping-particle" : "", "parse-names" : false, "suffix" : "" }, { "dropping-particle" : "", "family" : "Wilson", "given" : "Patrick C", "non-dropping-particle" : "", "parse-names" : false, "suffix" : "" }, { "dropping-particle" : "", "family" : "Greenberg", "given" : "Harry B", "non-dropping-particle" : "", "parse-names" : false, "suffix" : "" }, { "dropping-particle" : "", "family" : "Davis", "given" : "Mark M", "non-dropping-particle" : "", "parse-names" : false, "suffix" : "" }, { "dropping-particle" : "", "family" : "Fisher", "given" : "Daniel S", "non-dropping-particle" : "", "parse-names" : false, "suffix" : "" }, { "dropping-particle" : "", "family" : "Quake", "given" : "Stephen R", "non-dropping-particle" : "", "parse-names" : false, "suffix" : "" } ], "container-title" : "Science translational medicine", "id" : "ITEM-1", "issue" : "171", "issued" : { "date-parts" : [ [ "2013" ] ] }, "page" : "171ra19", "title" : "Lineage structure of the human antibody repertoire in response to influenza vaccination.", "type" : "article-journal", "volume" : "5" }, "uris" : [ "http://www.mendeley.com/documents/?uuid=c05eb334-328c-4428-91f0-7ce1bb5af0cd" ] }, { "id" : "ITEM-2", "itemData" : { "ISSN" : "1091-6490", "PMID" : "23898164", "abstract" : "Annual influenza vaccinations aim to protect against seasonal infections, and vaccine strain compositions are updated every year. This protection is based on antibodies that are produced by either newly activated or memory B cells recalled from previous encounters with influenza vaccination or infection. The extent to which the B-cell repertoire responds to vaccination and recalls antibodies has so far not been analyzed at a genetic level-which is to say, at the level of antibody sequences. Here, we developed a consensus read sequencing approach that incorporates unique barcode labels on each starting RNA molecule. These labels allow one to combine multiple sequencing reads covering the same RNA molecule to reduce the error rate to a desired level, and they also enable accurate quantification of RNA and isotype levels. We validated this approach and analyzed the differential response of the antibody repertoire to live-attenuated or trivalent-inactivated influenza vaccination. Additionally, we analyzed the antibody repertoire in response to repeated yearly vaccinations with trivalent-inactivated influenza vaccination. We found antibody sequences that were present in both years, providing a direct genetic measurement of B-cell recall.", "author" : [ { "dropping-particle" : "", "family" : "Vollmers", "given" : "Christopher", "non-dropping-particle" : "", "parse-names" : false, "suffix" : "" }, { "dropping-particle" : "", "family" : "Sit", "given" : "RV", "non-dropping-particle" : "", "parse-names" : false, "suffix" : "" }, { "dropping-particle" : "", "family" : "Weinstein", "given" : "Joshua A", "non-dropping-particle" : "", "parse-names" : false, "suffix" : "" }, { "dropping-particle" : "", "family" : "Dekker", "given" : "Cornelia L", "non-dropping-particle" : "", "parse-names" : false, "suffix" : "" }, { "dropping-particle" : "", "family" : "Quake", "given" : "Stephen R", "non-dropping-particle" : "", "parse-names" : false, "suffix" : "" } ], "container-title" : "Proc. Natl. Acad. Sci. U.S.A.", "id" : "ITEM-2", "issue" : "33", "issued" : { "date-parts" : [ [ "2013", "7", "29" ] ] }, "page" : "13463-8", "title" : "Genetic measurement of memory B-cell recall using antibody repertoire sequencing", "type" : "article-journal", "volume" : "110" }, "uris" : [ "http://www.mendeley.com/documents/?uuid=959fe7d4-4272-4797-be90-a82ae706027c" ] }, { "id" : "ITEM-3", "itemData" : { "DOI" : "10.1111/j.1474-9726.2011.00732.x", "ISSN" : "1474-9726", "PMID" : "21726404", "abstract" : "It is well known that older people are more susceptible to morbidity and mortality from infectious diseases, particularly from pulmonary diseases such as pneumococcal pneumonia where vaccines do not provide efficient protection as in younger populations. We have previously shown that the B-cell repertoire in the old is reduced and hypothesise that this may contribute to the impaired humoral responses of the elderly. Here, we investigated the repertoire and antibody responses to winter vaccination in two age groups, aged 18-49 and 65-89. We found that the serum IgM and IgA pneumococcal responses were significantly impaired in the older group, with no difference in IgG levels. IGHM spectratype analysis seems to be the most promising in terms of its predictive ability for vaccine responses. Spectratypes showed a clear change in the repertoire at day 7 after vaccination, with a return to the baseline levels at day 28. The changes at day 7 reflected expansion of IGH sequences that have smaller, more hydrophilic, CDR3 regions, and these changes were attenuated in the older group. The older group was more likely to have spectratypes indicative of a reduced diversity at day 0 and day 28. On average, the baseline repertoire in the older group was comprised of larger CDR3 regions than in the younger group. In conclusion, IgA and IgM responses are significantly impaired in the elderly pneumococcal response and are likely key mediators of protection. Hydrophilicity and/or small size of the IGH CDR3 appear to be important in these responses.", "author" : [ { "dropping-particle" : "", "family" : "Ademokun", "given" : "Alexander", "non-dropping-particle" : "", "parse-names" : false, "suffix" : "" }, { "dropping-particle" : "", "family" : "Wu", "given" : "Yu-Chang", "non-dropping-particle" : "", "parse-names" : false, "suffix" : "" }, { "dropping-particle" : "", "family" : "Martin", "given" : "Victoria", "non-dropping-particle" : "", "parse-names" : false, "suffix" : "" }, { "dropping-particle" : "", "family" : "Mitra", "given" : "Rajive", "non-dropping-particle" : "", "parse-names" : false, "suffix" : "" }, { "dropping-particle" : "", "family" : "Sack", "given" : "Ulrich", "non-dropping-particle" : "", "parse-names" : false, "suffix" : "" }, { "dropping-particle" : "", "family" : "Baxendale", "given" : "Helen", "non-dropping-particle" : "", "parse-names" : false, "suffix" : "" }, { "dropping-particle" : "", "family" : "Kipling", "given" : "David", "non-dropping-particle" : "", "parse-names" : false, "suffix" : "" }, { "dropping-particle" : "", "family" : "Dunn-Walters", "given" : "Deborah K", "non-dropping-particle" : "", "parse-names" : false, "suffix" : "" } ], "container-title" : "Aging cell", "id" : "ITEM-3", "issue" : "6", "issued" : { "date-parts" : [ [ "2011", "12" ] ] }, "page" : "922-30", "title" : "Vaccination-induced changes in human B-cell repertoire and pneumococcal IgM and IgA antibody at different ages", "type" : "article-journal", "volume" : "10" }, "uris" : [ "http://www.mendeley.com/documents/?uuid=56c727b6-df3a-4ff9-b025-16568ef80087" ] }, { "id" : "ITEM-4", "itemData" : { "DOI" : "10.1073/pnas.1323862111", "ISSN" : "1091-6490", "PMID" : "24639495", "abstract" : "The adaptive immune system confers protection by generating a diverse repertoire of antibody receptors that are rapidly expanded and contracted in response to specific targets. Next-generation DNA sequencing now provides the opportunity to survey this complex and vast repertoire. In the present work, we describe a set of tools for the analysis of antibody repertoires and their application to elucidating the dynamics of the response to viral vaccination in human volunteers. By analyzing data from 38 separate blood samples across 2 y, we found that the use of the germ-line library of V and J segments is conserved between individuals over time. Surprisingly, there appeared to be no correlation between the use level of a particular VJ combination and degree of expansion. We found the antibody RNA repertoire in each volunteer to be highly dynamic, with each individual displaying qualitatively different response dynamics. By using combinatorial phage display, we screened selected VH genes paired with their corresponding VL library for affinity against the vaccine antigens. Altogether, this work presents an additional set of tools for profiling the human antibody repertoire and demonstrates characterization of the fast repertoire dynamics through time in multiple individuals responding to an immune challenge.", "author" : [ { "dropping-particle" : "", "family" : "Laserson", "given" : "Uri", "non-dropping-particle" : "", "parse-names" : false, "suffix" : "" }, { "dropping-particle" : "", "family" : "Vigneault", "given" : "Francois", "non-dropping-particle" : "", "parse-names" : false, "suffix" : "" }, { "dropping-particle" : "", "family" : "Gadala-Maria", "given" : "Daniel", "non-dropping-particle" : "", "parse-names" : false, "suffix" : "" }, { "dropping-particle" : "", "family" : "Yaari", "given" : "Gur", "non-dropping-particle" : "", "parse-names" : false, "suffix" : "" }, { "dropping-particle" : "", "family" : "Uduman", "given" : "Mohamed", "non-dropping-particle" : "", "parse-names" : false, "suffix" : "" }, { "dropping-particle" : "", "family" : "Heiden", "given" : "Jason A", "non-dropping-particle" : "Vander", "parse-names" : false, "suffix" : "" }, { "dropping-particle" : "", "family" : "Kelton", "given" : "William", "non-dropping-particle" : "", "parse-names" : false, "suffix" : "" }, { "dropping-particle" : "", "family" : "Taek Jung", "given" : "Sang", "non-dropping-particle" : "", "parse-names" : false, "suffix" : "" }, { "dropping-particle" : "", "family" : "Liu", "given" : "Yi", "non-dropping-particle" : "", "parse-names" : false, "suffix" : "" }, { "dropping-particle" : "", "family" : "Laserson", "given" : "Jonathan", "non-dropping-particle" : "", "parse-names" : false, "suffix" : "" }, { "dropping-particle" : "", "family" : "Chari", "given" : "Raj", "non-dropping-particle" : "", "parse-names" : false, "suffix" : "" }, { "dropping-particle" : "", "family" : "Lee", "given" : "Je-Hyuk", "non-dropping-particle" : "", "parse-names" : false, "suffix" : "" }, { "dropping-particle" : "", "family" : "Bachelet", "given" : "Ido", "non-dropping-particle" : "", "parse-names" : false, "suffix" : "" }, { "dropping-particle" : "", "family" : "Hickey", "given" : "Brendan", "non-dropping-particle" : "", "parse-names" : false, "suffix" : "" }, { "dropping-particle" : "", "family" : "Lieberman-Aiden", "given" : "Erez", "non-dropping-particle" : "", "parse-names" : false, "suffix" : "" }, { "dropping-particle" : "", "family" : "Hanczaruk", "given" : "Bozena", "non-dropping-particle" : "", "parse-names" : false, "suffix" : "" }, { "dropping-particle" : "", "family" : "Simen", "given" : "Birgitte B", "non-dropping-particle" : "", "parse-names" : false, "suffix" : "" }, { "dropping-particle" : "", "family" : "Egholm", "given" : "Michael", "non-dropping-particle" : "", "parse-names" : false, "suffix" : "" }, { "dropping-particle" : "", "family" : "Koller", "given" : "Daphne", "non-dropping-particle" : "", "parse-names" : false, "suffix" : "" }, { "dropping-particle" : "", "family" : "Georgiou", "given" : "George", "non-dropping-particle" : "", "parse-names" : false, "suffix" : "" }, { "dropping-particle" : "", "family" : "Kleinstein", "given" : "Steven H", "non-dropping-particle" : "", "parse-names" : false, "suffix" : "" }, { "dropping-particle" : "", "family" : "Church", "given" : "George M", "non-dropping-particle" : "", "parse-names" : false, "suffix" : "" } ], "container-title" : "Proceedings of the National Academy of Sciences of the United States of America", "id" : "ITEM-4", "issue" : "13", "issued" : { "date-parts" : [ [ "2014", "3", "17" ] ] }, "page" : "4928-33", "title" : "High-resolution antibody dynamics of vaccine-induced immune responses.", "type" : "article-journal", "volume" : "111" }, "uris" : [ "http://www.mendeley.com/documents/?uuid=72d135b4-6cce-4747-9f54-85b20a7b1489" ] } ], "mendeley" : { "formattedCitation" : "&lt;sup&gt;2\u20135&lt;/sup&gt;", "plainTextFormattedCitation" : "2\u20135", "previouslyFormattedCitation" : "&lt;sup&gt;2\u20135&lt;/sup&gt;" }, "properties" : { "noteIndex" : 0 }, "schema" : "https://github.com/citation-style-language/schema/raw/master/csl-citation.json" }</w:instrText>
      </w:r>
      <w:r w:rsidR="00B57B4E"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2–5</w:t>
      </w:r>
      <w:r w:rsidR="00B57B4E" w:rsidRPr="0098329B">
        <w:rPr>
          <w:rFonts w:ascii="Times New Roman" w:hAnsi="Times New Roman" w:cs="Times New Roman"/>
        </w:rPr>
        <w:fldChar w:fldCharType="end"/>
      </w:r>
      <w:r w:rsidR="00C20570" w:rsidRPr="0098329B">
        <w:rPr>
          <w:rFonts w:ascii="Times New Roman" w:hAnsi="Times New Roman" w:cs="Times New Roman"/>
        </w:rPr>
        <w:t xml:space="preserve"> and that these changes are dependent on the type of vaccine given</w:t>
      </w:r>
      <w:r w:rsidR="00FC28BA">
        <w:rPr>
          <w:rFonts w:ascii="Times New Roman" w:hAnsi="Times New Roman" w:cs="Times New Roman"/>
        </w:rPr>
        <w:t>,</w:t>
      </w:r>
      <w:r w:rsidR="00C20570" w:rsidRPr="0098329B">
        <w:rPr>
          <w:rFonts w:ascii="Times New Roman" w:hAnsi="Times New Roman" w:cs="Times New Roman"/>
        </w:rPr>
        <w:fldChar w:fldCharType="begin" w:fldLock="1"/>
      </w:r>
      <w:r w:rsidR="00005CC0">
        <w:rPr>
          <w:rFonts w:ascii="Times New Roman" w:hAnsi="Times New Roman" w:cs="Times New Roman"/>
        </w:rPr>
        <w:instrText>ADDIN CSL_CITATION { "citationItems" : [ { "id" : "ITEM-1", "itemData" : { "DOI" : "10.1126/scitranslmed.3004794", "ISBN" : "1946-6242 (Electronic)\\r1946-6234 (Linking)", "ISSN" : "1946-6242", "PMID" : "23390249", "abstract" : "The human antibody repertoire is one of the most important defenses against infectious disease, and the development of vaccines has enabled the conferral of targeted protection to specific pathogens. However, there are many challenges to measuring and analyzing the immunoglobulin sequence repertoire, including that each B cell's genome encodes a distinct antibody sequence, that the antibody repertoire changes over time, and the high similarity between antibody sequences. We have addressed these challenges by using high-throughput long read sequencing to perform immunogenomic characterization of expressed human antibody repertoires in the context of influenza vaccination. Informatic analysis of 5 million antibody heavy chain sequences from healthy individuals allowed us to perform global characterizations of isotype distributions, determine the lineage structure of the repertoire, and measure age- and antigen-related mutational activity. Our analysis of the clonal structure and mutational distribution of individuals' repertoires shows that elderly subjects have a decreased number of lineages but an increased prevaccination mutation load in their repertoire and that some of these subjects have an oligoclonal character to their repertoire in which the diversity of the lineages is greatly reduced relative to younger subjects. We have thus shown that global analysis of the immune system's clonal structure provides direct insight into the effects of vaccination and provides a detailed molecular portrait of age-related effects.", "author" : [ { "dropping-particle" : "", "family" : "Jiang", "given" : "Ning", "non-dropping-particle" : "", "parse-names" : false, "suffix" : "" }, { "dropping-particle" : "", "family" : "He", "given" : "Jiankui", "non-dropping-particle" : "", "parse-names" : false, "suffix" : "" }, { "dropping-particle" : "", "family" : "Weinstein", "given" : "Joshua A", "non-dropping-particle" : "", "parse-names" : false, "suffix" : "" }, { "dropping-particle" : "", "family" : "Penland", "given" : "Lolita", "non-dropping-particle" : "", "parse-names" : false, "suffix" : "" }, { "dropping-particle" : "", "family" : "Sasaki", "given" : "Sanae", "non-dropping-particle" : "", "parse-names" : false, "suffix" : "" }, { "dropping-particle" : "", "family" : "He", "given" : "Xiao-Song", "non-dropping-particle" : "", "parse-names" : false, "suffix" : "" }, { "dropping-particle" : "", "family" : "Dekker", "given" : "Cornelia L", "non-dropping-particle" : "", "parse-names" : false, "suffix" : "" }, { "dropping-particle" : "", "family" : "Zheng", "given" : "Nai-Ying", "non-dropping-particle" : "", "parse-names" : false, "suffix" : "" }, { "dropping-particle" : "", "family" : "Huang", "given" : "Min", "non-dropping-particle" : "", "parse-names" : false, "suffix" : "" }, { "dropping-particle" : "", "family" : "Sullivan", "given" : "Meghan", "non-dropping-particle" : "", "parse-names" : false, "suffix" : "" }, { "dropping-particle" : "", "family" : "Wilson", "given" : "Patrick C", "non-dropping-particle" : "", "parse-names" : false, "suffix" : "" }, { "dropping-particle" : "", "family" : "Greenberg", "given" : "Harry B", "non-dropping-particle" : "", "parse-names" : false, "suffix" : "" }, { "dropping-particle" : "", "family" : "Davis", "given" : "Mark M", "non-dropping-particle" : "", "parse-names" : false, "suffix" : "" }, { "dropping-particle" : "", "family" : "Fisher", "given" : "Daniel S", "non-dropping-particle" : "", "parse-names" : false, "suffix" : "" }, { "dropping-particle" : "", "family" : "Quake", "given" : "Stephen R", "non-dropping-particle" : "", "parse-names" : false, "suffix" : "" } ], "container-title" : "Science translational medicine", "id" : "ITEM-1", "issue" : "171", "issued" : { "date-parts" : [ [ "2013" ] ] }, "page" : "171ra19", "title" : "Lineage structure of the human antibody repertoire in response to influenza vaccination.", "type" : "article-journal", "volume" : "5" }, "uris" : [ "http://www.mendeley.com/documents/?uuid=c05eb334-328c-4428-91f0-7ce1bb5af0cd" ] }, { "id" : "ITEM-2", "itemData" : { "ISSN" : "1091-6490", "PMID" : "23898164", "abstract" : "Annual influenza vaccinations aim to protect against seasonal infections, and vaccine strain compositions are updated every year. This protection is based on antibodies that are produced by either newly activated or memory B cells recalled from previous encounters with influenza vaccination or infection. The extent to which the B-cell repertoire responds to vaccination and recalls antibodies has so far not been analyzed at a genetic level-which is to say, at the level of antibody sequences. Here, we developed a consensus read sequencing approach that incorporates unique barcode labels on each starting RNA molecule. These labels allow one to combine multiple sequencing reads covering the same RNA molecule to reduce the error rate to a desired level, and they also enable accurate quantification of RNA and isotype levels. We validated this approach and analyzed the differential response of the antibody repertoire to live-attenuated or trivalent-inactivated influenza vaccination. Additionally, we analyzed the antibody repertoire in response to repeated yearly vaccinations with trivalent-inactivated influenza vaccination. We found antibody sequences that were present in both years, providing a direct genetic measurement of B-cell recall.", "author" : [ { "dropping-particle" : "", "family" : "Vollmers", "given" : "Christopher", "non-dropping-particle" : "", "parse-names" : false, "suffix" : "" }, { "dropping-particle" : "", "family" : "Sit", "given" : "RV", "non-dropping-particle" : "", "parse-names" : false, "suffix" : "" }, { "dropping-particle" : "", "family" : "Weinstein", "given" : "Joshua A", "non-dropping-particle" : "", "parse-names" : false, "suffix" : "" }, { "dropping-particle" : "", "family" : "Dekker", "given" : "Cornelia L", "non-dropping-particle" : "", "parse-names" : false, "suffix" : "" }, { "dropping-particle" : "", "family" : "Quake", "given" : "Stephen R", "non-dropping-particle" : "", "parse-names" : false, "suffix" : "" } ], "container-title" : "Proc. Natl. Acad. Sci. U.S.A.", "id" : "ITEM-2", "issue" : "33", "issued" : { "date-parts" : [ [ "2013", "7", "29" ] ] }, "page" : "13463-8", "title" : "Genetic measurement of memory B-cell recall using antibody repertoire sequencing", "type" : "article-journal", "volume" : "110" }, "uris" : [ "http://www.mendeley.com/documents/?uuid=959fe7d4-4272-4797-be90-a82ae706027c" ] } ], "mendeley" : { "formattedCitation" : "&lt;sup&gt;2,3&lt;/sup&gt;", "plainTextFormattedCitation" : "2,3", "previouslyFormattedCitation" : "&lt;sup&gt;2,3&lt;/sup&gt;" }, "properties" : { "noteIndex" : 0 }, "schema" : "https://github.com/citation-style-language/schema/raw/master/csl-citation.json" }</w:instrText>
      </w:r>
      <w:r w:rsidR="00C20570"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2,3</w:t>
      </w:r>
      <w:r w:rsidR="00C20570" w:rsidRPr="0098329B">
        <w:rPr>
          <w:rFonts w:ascii="Times New Roman" w:hAnsi="Times New Roman" w:cs="Times New Roman"/>
        </w:rPr>
        <w:fldChar w:fldCharType="end"/>
      </w:r>
      <w:r w:rsidR="00C20570" w:rsidRPr="0098329B">
        <w:rPr>
          <w:rFonts w:ascii="Times New Roman" w:hAnsi="Times New Roman" w:cs="Times New Roman"/>
        </w:rPr>
        <w:t xml:space="preserve"> and the age of the individuals vaccinated</w:t>
      </w:r>
      <w:r w:rsidR="00FC28BA">
        <w:rPr>
          <w:rFonts w:ascii="Times New Roman" w:hAnsi="Times New Roman" w:cs="Times New Roman"/>
        </w:rPr>
        <w:t>.</w:t>
      </w:r>
      <w:r w:rsidR="00C20570" w:rsidRPr="0098329B">
        <w:rPr>
          <w:rFonts w:ascii="Times New Roman" w:hAnsi="Times New Roman" w:cs="Times New Roman"/>
        </w:rPr>
        <w:fldChar w:fldCharType="begin" w:fldLock="1"/>
      </w:r>
      <w:r w:rsidR="00005CC0">
        <w:rPr>
          <w:rFonts w:ascii="Times New Roman" w:hAnsi="Times New Roman" w:cs="Times New Roman"/>
        </w:rPr>
        <w:instrText>ADDIN CSL_CITATION { "citationItems" : [ { "id" : "ITEM-1", "itemData" : { "DOI" : "10.1126/scitranslmed.3004794", "ISBN" : "1946-6242 (Electronic)\\r1946-6234 (Linking)", "ISSN" : "1946-6242", "PMID" : "23390249", "abstract" : "The human antibody repertoire is one of the most important defenses against infectious disease, and the development of vaccines has enabled the conferral of targeted protection to specific pathogens. However, there are many challenges to measuring and analyzing the immunoglobulin sequence repertoire, including that each B cell's genome encodes a distinct antibody sequence, that the antibody repertoire changes over time, and the high similarity between antibody sequences. We have addressed these challenges by using high-throughput long read sequencing to perform immunogenomic characterization of expressed human antibody repertoires in the context of influenza vaccination. Informatic analysis of 5 million antibody heavy chain sequences from healthy individuals allowed us to perform global characterizations of isotype distributions, determine the lineage structure of the repertoire, and measure age- and antigen-related mutational activity. Our analysis of the clonal structure and mutational distribution of individuals' repertoires shows that elderly subjects have a decreased number of lineages but an increased prevaccination mutation load in their repertoire and that some of these subjects have an oligoclonal character to their repertoire in which the diversity of the lineages is greatly reduced relative to younger subjects. We have thus shown that global analysis of the immune system's clonal structure provides direct insight into the effects of vaccination and provides a detailed molecular portrait of age-related effects.", "author" : [ { "dropping-particle" : "", "family" : "Jiang", "given" : "Ning", "non-dropping-particle" : "", "parse-names" : false, "suffix" : "" }, { "dropping-particle" : "", "family" : "He", "given" : "Jiankui", "non-dropping-particle" : "", "parse-names" : false, "suffix" : "" }, { "dropping-particle" : "", "family" : "Weinstein", "given" : "Joshua A", "non-dropping-particle" : "", "parse-names" : false, "suffix" : "" }, { "dropping-particle" : "", "family" : "Penland", "given" : "Lolita", "non-dropping-particle" : "", "parse-names" : false, "suffix" : "" }, { "dropping-particle" : "", "family" : "Sasaki", "given" : "Sanae", "non-dropping-particle" : "", "parse-names" : false, "suffix" : "" }, { "dropping-particle" : "", "family" : "He", "given" : "Xiao-Song", "non-dropping-particle" : "", "parse-names" : false, "suffix" : "" }, { "dropping-particle" : "", "family" : "Dekker", "given" : "Cornelia L", "non-dropping-particle" : "", "parse-names" : false, "suffix" : "" }, { "dropping-particle" : "", "family" : "Zheng", "given" : "Nai-Ying", "non-dropping-particle" : "", "parse-names" : false, "suffix" : "" }, { "dropping-particle" : "", "family" : "Huang", "given" : "Min", "non-dropping-particle" : "", "parse-names" : false, "suffix" : "" }, { "dropping-particle" : "", "family" : "Sullivan", "given" : "Meghan", "non-dropping-particle" : "", "parse-names" : false, "suffix" : "" }, { "dropping-particle" : "", "family" : "Wilson", "given" : "Patrick C", "non-dropping-particle" : "", "parse-names" : false, "suffix" : "" }, { "dropping-particle" : "", "family" : "Greenberg", "given" : "Harry B", "non-dropping-particle" : "", "parse-names" : false, "suffix" : "" }, { "dropping-particle" : "", "family" : "Davis", "given" : "Mark M", "non-dropping-particle" : "", "parse-names" : false, "suffix" : "" }, { "dropping-particle" : "", "family" : "Fisher", "given" : "Daniel S", "non-dropping-particle" : "", "parse-names" : false, "suffix" : "" }, { "dropping-particle" : "", "family" : "Quake", "given" : "Stephen R", "non-dropping-particle" : "", "parse-names" : false, "suffix" : "" } ], "container-title" : "Science translational medicine", "id" : "ITEM-1", "issue" : "171", "issued" : { "date-parts" : [ [ "2013" ] ] }, "page" : "171ra19", "title" : "Lineage structure of the human antibody repertoire in response to influenza vaccination.", "type" : "article-journal", "volume" : "5" }, "uris" : [ "http://www.mendeley.com/documents/?uuid=c05eb334-328c-4428-91f0-7ce1bb5af0cd" ] }, { "id" : "ITEM-2", "itemData" : { "DOI" : "10.1111/j.1474-9726.2011.00732.x", "ISSN" : "1474-9726", "PMID" : "21726404", "abstract" : "It is well known that older people are more susceptible to morbidity and mortality from infectious diseases, particularly from pulmonary diseases such as pneumococcal pneumonia where vaccines do not provide efficient protection as in younger populations. We have previously shown that the B-cell repertoire in the old is reduced and hypothesise that this may contribute to the impaired humoral responses of the elderly. Here, we investigated the repertoire and antibody responses to winter vaccination in two age groups, aged 18-49 and 65-89. We found that the serum IgM and IgA pneumococcal responses were significantly impaired in the older group, with no difference in IgG levels. IGHM spectratype analysis seems to be the most promising in terms of its predictive ability for vaccine responses. Spectratypes showed a clear change in the repertoire at day 7 after vaccination, with a return to the baseline levels at day 28. The changes at day 7 reflected expansion of IGH sequences that have smaller, more hydrophilic, CDR3 regions, and these changes were attenuated in the older group. The older group was more likely to have spectratypes indicative of a reduced diversity at day 0 and day 28. On average, the baseline repertoire in the older group was comprised of larger CDR3 regions than in the younger group. In conclusion, IgA and IgM responses are significantly impaired in the elderly pneumococcal response and are likely key mediators of protection. Hydrophilicity and/or small size of the IGH CDR3 appear to be important in these responses.", "author" : [ { "dropping-particle" : "", "family" : "Ademokun", "given" : "Alexander", "non-dropping-particle" : "", "parse-names" : false, "suffix" : "" }, { "dropping-particle" : "", "family" : "Wu", "given" : "Yu-Chang", "non-dropping-particle" : "", "parse-names" : false, "suffix" : "" }, { "dropping-particle" : "", "family" : "Martin", "given" : "Victoria", "non-dropping-particle" : "", "parse-names" : false, "suffix" : "" }, { "dropping-particle" : "", "family" : "Mitra", "given" : "Rajive", "non-dropping-particle" : "", "parse-names" : false, "suffix" : "" }, { "dropping-particle" : "", "family" : "Sack", "given" : "Ulrich", "non-dropping-particle" : "", "parse-names" : false, "suffix" : "" }, { "dropping-particle" : "", "family" : "Baxendale", "given" : "Helen", "non-dropping-particle" : "", "parse-names" : false, "suffix" : "" }, { "dropping-particle" : "", "family" : "Kipling", "given" : "David", "non-dropping-particle" : "", "parse-names" : false, "suffix" : "" }, { "dropping-particle" : "", "family" : "Dunn-Walters", "given" : "Deborah K", "non-dropping-particle" : "", "parse-names" : false, "suffix" : "" } ], "container-title" : "Aging cell", "id" : "ITEM-2", "issue" : "6", "issued" : { "date-parts" : [ [ "2011", "12" ] ] }, "page" : "922-30", "title" : "Vaccination-induced changes in human B-cell repertoire and pneumococcal IgM and IgA antibody at different ages", "type" : "article-journal", "volume" : "10" }, "uris" : [ "http://www.mendeley.com/documents/?uuid=56c727b6-df3a-4ff9-b025-16568ef80087" ] } ], "mendeley" : { "formattedCitation" : "&lt;sup&gt;2,4&lt;/sup&gt;", "plainTextFormattedCitation" : "2,4", "previouslyFormattedCitation" : "&lt;sup&gt;2,4&lt;/sup&gt;" }, "properties" : { "noteIndex" : 0 }, "schema" : "https://github.com/citation-style-language/schema/raw/master/csl-citation.json" }</w:instrText>
      </w:r>
      <w:r w:rsidR="00C20570"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2,4</w:t>
      </w:r>
      <w:r w:rsidR="00C20570" w:rsidRPr="0098329B">
        <w:rPr>
          <w:rFonts w:ascii="Times New Roman" w:hAnsi="Times New Roman" w:cs="Times New Roman"/>
        </w:rPr>
        <w:fldChar w:fldCharType="end"/>
      </w:r>
      <w:r w:rsidR="00C20570" w:rsidRPr="0098329B">
        <w:rPr>
          <w:rFonts w:ascii="Times New Roman" w:hAnsi="Times New Roman" w:cs="Times New Roman"/>
        </w:rPr>
        <w:t xml:space="preserve"> One study investigated the repertoire after two successive annual influenza vaccinations, and showed that some identical sequences could be identified after both the first and second vaccines, indicating that </w:t>
      </w:r>
      <w:r w:rsidR="008A62A0">
        <w:rPr>
          <w:rFonts w:ascii="Times New Roman" w:hAnsi="Times New Roman" w:cs="Times New Roman"/>
        </w:rPr>
        <w:t>BCR</w:t>
      </w:r>
      <w:r w:rsidR="00C16762" w:rsidRPr="0098329B">
        <w:rPr>
          <w:rFonts w:ascii="Times New Roman" w:hAnsi="Times New Roman" w:cs="Times New Roman"/>
        </w:rPr>
        <w:t xml:space="preserve"> </w:t>
      </w:r>
      <w:r w:rsidR="00C20570" w:rsidRPr="0098329B">
        <w:rPr>
          <w:rFonts w:ascii="Times New Roman" w:hAnsi="Times New Roman" w:cs="Times New Roman"/>
        </w:rPr>
        <w:t>repertoire sequence data can be used to determine memory recall</w:t>
      </w:r>
      <w:r w:rsidR="00FC28BA">
        <w:rPr>
          <w:rFonts w:ascii="Times New Roman" w:hAnsi="Times New Roman" w:cs="Times New Roman"/>
        </w:rPr>
        <w:t>.</w:t>
      </w:r>
      <w:r w:rsidR="00C20570"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"ISSN" : "1091-6490", "PMID" : "23898164", "abstract" : "Annual influenza vaccinations aim to protect against seasonal infections, and vaccine strain compositions are updated every year. This protection is based on antibodies that are produced by either newly activated or memory B cells recalled from previous encounters with influenza vaccination or infection. The extent to which the B-cell repertoire responds to vaccination and recalls antibodies has so far not been analyzed at a genetic level-which is to say, at the level of antibody sequences. Here, we developed a consensus read sequencing approach that incorporates unique barcode labels on each starting RNA molecule. These labels allow one to combine multiple sequencing reads covering the same RNA molecule to reduce the error rate to a desired level, and they also enable accurate quantification of RNA and isotype levels. We validated this approach and analyzed the differential response of the antibody repertoire to live-attenuated or trivalent-inactivated influenza vaccination. Additionally, we analyzed the antibody repertoire in response to repeated yearly vaccinations with trivalent-inactivated influenza vaccination. We found antibody sequences that were present in both years, providing a direct genetic measurement of B-cell recall.", "author" : [ { "dropping-particle" : "", "family" : "Vollmers", "given" : "Christopher", "non-dropping-particle" : "", "parse-names" : false, "suffix" : "" }, { "dropping-particle" : "", "family" : "Sit", "given" : "RV", "non-dropping-particle" : "", "parse-names" : false, "suffix" : "" }, { "dropping-particle" : "", "family" : "Weinstein", "given" : "Joshua A", "non-dropping-particle" : "", "parse-names" : false, "suffix" : "" }, { "dropping-particle" : "", "family" : "Dekker", "given" : "Cornelia L", "non-dropping-particle" : "", "parse-names" : false, "suffix" : "" }, { "dropping-particle" : "", "family" : "Quake", "given" : "Stephen R", "non-dropping-particle" : "", "parse-names" : false, "suffix" : "" } ], "container-title" : "Proc. Natl. Acad. Sci. U.S.A.", "id" : "ITEM-1", "issue" : "33", "issued" : { "date-parts" : [ [ "2013", "7", "29" ] ] }, "page" : "13463-8", "title" : "Genetic measurement of memory B-cell recall using antibody repertoire sequencing", "type" : "article-journal", "volume" : "110" }, "uris" : [ "http://www.mendeley.com/documents/?uuid=959fe7d4-4272-4797-be90-a82ae706027c" ] } ], "mendeley" : { "formattedCitation" : "&lt;sup&gt;3&lt;/sup&gt;", "plainTextFormattedCitation" : "3", "previouslyFormattedCitation" : "&lt;sup&gt;3&lt;/sup&gt;" }, "properties" : { "noteIndex" : 0 }, "schema" : "https://github.com/citation-style-language/schema/raw/master/csl-citation.json" }</w:instrText>
      </w:r>
      <w:r w:rsidR="00C20570"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3</w:t>
      </w:r>
      <w:r w:rsidR="00C20570" w:rsidRPr="0098329B">
        <w:rPr>
          <w:rFonts w:ascii="Times New Roman" w:hAnsi="Times New Roman" w:cs="Times New Roman"/>
        </w:rPr>
        <w:fldChar w:fldCharType="end"/>
      </w:r>
      <w:r w:rsidR="000B3DF0" w:rsidRPr="0098329B">
        <w:rPr>
          <w:rFonts w:ascii="Times New Roman" w:hAnsi="Times New Roman" w:cs="Times New Roman"/>
          <w:bCs/>
          <w:color w:val="000000" w:themeColor="text1"/>
        </w:rPr>
        <w:t xml:space="preserve"> </w:t>
      </w:r>
      <w:r w:rsidR="000277C7" w:rsidRPr="0098329B">
        <w:rPr>
          <w:rFonts w:ascii="Times New Roman" w:hAnsi="Times New Roman" w:cs="Times New Roman"/>
        </w:rPr>
        <w:t>To date</w:t>
      </w:r>
      <w:r w:rsidR="00C20570" w:rsidRPr="0098329B">
        <w:rPr>
          <w:rFonts w:ascii="Times New Roman" w:hAnsi="Times New Roman" w:cs="Times New Roman"/>
        </w:rPr>
        <w:t xml:space="preserve">, </w:t>
      </w:r>
      <w:r w:rsidR="008A62A0">
        <w:rPr>
          <w:rFonts w:ascii="Times New Roman" w:hAnsi="Times New Roman" w:cs="Times New Roman"/>
        </w:rPr>
        <w:t xml:space="preserve">BCR </w:t>
      </w:r>
      <w:r w:rsidR="00C20570" w:rsidRPr="0098329B">
        <w:rPr>
          <w:rFonts w:ascii="Times New Roman" w:hAnsi="Times New Roman" w:cs="Times New Roman"/>
        </w:rPr>
        <w:t xml:space="preserve">repertoire studies </w:t>
      </w:r>
      <w:r w:rsidR="000277C7" w:rsidRPr="0098329B">
        <w:rPr>
          <w:rFonts w:ascii="Times New Roman" w:hAnsi="Times New Roman" w:cs="Times New Roman"/>
        </w:rPr>
        <w:t>of vaccine response</w:t>
      </w:r>
      <w:r w:rsidR="00C20570" w:rsidRPr="0098329B">
        <w:rPr>
          <w:rFonts w:ascii="Times New Roman" w:hAnsi="Times New Roman" w:cs="Times New Roman"/>
        </w:rPr>
        <w:t xml:space="preserve"> have </w:t>
      </w:r>
      <w:r w:rsidR="000277C7" w:rsidRPr="0098329B">
        <w:rPr>
          <w:rFonts w:ascii="Times New Roman" w:hAnsi="Times New Roman" w:cs="Times New Roman"/>
        </w:rPr>
        <w:t>focused on</w:t>
      </w:r>
      <w:r w:rsidR="00C20570" w:rsidRPr="0098329B">
        <w:rPr>
          <w:rFonts w:ascii="Times New Roman" w:hAnsi="Times New Roman" w:cs="Times New Roman"/>
        </w:rPr>
        <w:t xml:space="preserve"> </w:t>
      </w:r>
      <w:r w:rsidR="000277C7" w:rsidRPr="0098329B">
        <w:rPr>
          <w:rFonts w:ascii="Times New Roman" w:hAnsi="Times New Roman" w:cs="Times New Roman"/>
        </w:rPr>
        <w:t xml:space="preserve">total </w:t>
      </w:r>
      <w:r w:rsidR="00C20570" w:rsidRPr="0098329B">
        <w:rPr>
          <w:rFonts w:ascii="Times New Roman" w:hAnsi="Times New Roman" w:cs="Times New Roman"/>
        </w:rPr>
        <w:t xml:space="preserve">B cells, or </w:t>
      </w:r>
      <w:r w:rsidR="0033414C" w:rsidRPr="0098329B">
        <w:rPr>
          <w:rFonts w:ascii="Times New Roman" w:hAnsi="Times New Roman" w:cs="Times New Roman"/>
        </w:rPr>
        <w:t>PC</w:t>
      </w:r>
      <w:r w:rsidR="00C20570" w:rsidRPr="0098329B">
        <w:rPr>
          <w:rFonts w:ascii="Times New Roman" w:hAnsi="Times New Roman" w:cs="Times New Roman"/>
        </w:rPr>
        <w:t>s. However,</w:t>
      </w:r>
      <w:r w:rsidR="000277C7" w:rsidRPr="0098329B">
        <w:rPr>
          <w:rFonts w:ascii="Times New Roman" w:hAnsi="Times New Roman" w:cs="Times New Roman"/>
        </w:rPr>
        <w:t xml:space="preserve"> divers</w:t>
      </w:r>
      <w:r w:rsidR="003C63BA" w:rsidRPr="0098329B">
        <w:rPr>
          <w:rFonts w:ascii="Times New Roman" w:hAnsi="Times New Roman" w:cs="Times New Roman"/>
        </w:rPr>
        <w:t>e</w:t>
      </w:r>
      <w:r w:rsidR="000277C7" w:rsidRPr="0098329B">
        <w:rPr>
          <w:rFonts w:ascii="Times New Roman" w:hAnsi="Times New Roman" w:cs="Times New Roman"/>
        </w:rPr>
        <w:t xml:space="preserve"> B cell subsets may be involved in a response, including naïve, marginal zone </w:t>
      </w:r>
      <w:r w:rsidR="00791C14">
        <w:rPr>
          <w:rFonts w:ascii="Times New Roman" w:hAnsi="Times New Roman" w:cs="Times New Roman"/>
        </w:rPr>
        <w:t xml:space="preserve">(MZ) </w:t>
      </w:r>
      <w:r w:rsidR="000277C7" w:rsidRPr="0098329B">
        <w:rPr>
          <w:rFonts w:ascii="Times New Roman" w:hAnsi="Times New Roman" w:cs="Times New Roman"/>
        </w:rPr>
        <w:t>and memory (IgM and IgG) B cells, depending on the type of antigen, previou</w:t>
      </w:r>
      <w:r w:rsidR="00C74D34" w:rsidRPr="0098329B">
        <w:rPr>
          <w:rFonts w:ascii="Times New Roman" w:hAnsi="Times New Roman" w:cs="Times New Roman"/>
        </w:rPr>
        <w:t>s exposure, and route of immuniz</w:t>
      </w:r>
      <w:r w:rsidR="000277C7" w:rsidRPr="0098329B">
        <w:rPr>
          <w:rFonts w:ascii="Times New Roman" w:hAnsi="Times New Roman" w:cs="Times New Roman"/>
        </w:rPr>
        <w:t>ation.</w:t>
      </w:r>
      <w:r w:rsidR="00C74D34" w:rsidRPr="0098329B">
        <w:rPr>
          <w:rFonts w:ascii="Times New Roman" w:hAnsi="Times New Roman" w:cs="Times New Roman"/>
          <w:bCs/>
          <w:color w:val="000000" w:themeColor="text1"/>
        </w:rPr>
        <w:t xml:space="preserve"> </w:t>
      </w:r>
      <w:r w:rsidR="00167663">
        <w:rPr>
          <w:rFonts w:ascii="Times New Roman" w:hAnsi="Times New Roman" w:cs="Times New Roman"/>
        </w:rPr>
        <w:t>Analysis of different</w:t>
      </w:r>
      <w:r w:rsidR="00C20570" w:rsidRPr="0098329B">
        <w:rPr>
          <w:rFonts w:ascii="Times New Roman" w:hAnsi="Times New Roman" w:cs="Times New Roman"/>
        </w:rPr>
        <w:t xml:space="preserve"> B cell subsets</w:t>
      </w:r>
      <w:r w:rsidR="000B3DF0" w:rsidRPr="0098329B">
        <w:rPr>
          <w:rFonts w:ascii="Times New Roman" w:hAnsi="Times New Roman" w:cs="Times New Roman"/>
        </w:rPr>
        <w:t xml:space="preserve"> </w:t>
      </w:r>
      <w:r w:rsidR="00C20570" w:rsidRPr="0098329B">
        <w:rPr>
          <w:rFonts w:ascii="Times New Roman" w:hAnsi="Times New Roman" w:cs="Times New Roman"/>
        </w:rPr>
        <w:t xml:space="preserve">revealed differences in </w:t>
      </w:r>
      <w:r w:rsidR="000B3DF0" w:rsidRPr="0098329B">
        <w:rPr>
          <w:rFonts w:ascii="Times New Roman" w:hAnsi="Times New Roman" w:cs="Times New Roman"/>
        </w:rPr>
        <w:t xml:space="preserve">their </w:t>
      </w:r>
      <w:r w:rsidR="00C20570" w:rsidRPr="0098329B">
        <w:rPr>
          <w:rFonts w:ascii="Times New Roman" w:hAnsi="Times New Roman" w:cs="Times New Roman"/>
        </w:rPr>
        <w:t>sequence</w:t>
      </w:r>
      <w:r w:rsidR="000B3DF0" w:rsidRPr="0098329B">
        <w:rPr>
          <w:rFonts w:ascii="Times New Roman" w:hAnsi="Times New Roman" w:cs="Times New Roman"/>
        </w:rPr>
        <w:t>,</w:t>
      </w:r>
      <w:r w:rsidR="00C20570" w:rsidRPr="0098329B">
        <w:rPr>
          <w:rFonts w:ascii="Times New Roman" w:hAnsi="Times New Roman" w:cs="Times New Roman"/>
        </w:rPr>
        <w:t xml:space="preserve"> and VDJ gene segment composition</w:t>
      </w:r>
      <w:r w:rsidR="00FC28BA">
        <w:rPr>
          <w:rFonts w:ascii="Times New Roman" w:hAnsi="Times New Roman" w:cs="Times New Roman"/>
        </w:rPr>
        <w:t>,</w:t>
      </w:r>
      <w:r w:rsidR="006F65E5">
        <w:rPr>
          <w:rFonts w:ascii="Times New Roman" w:hAnsi="Times New Roman" w:cs="Times New Roman"/>
        </w:rPr>
        <w:fldChar w:fldCharType="begin" w:fldLock="1"/>
      </w:r>
      <w:r w:rsidR="00AF182E">
        <w:rPr>
          <w:rFonts w:ascii="Times New Roman" w:hAnsi="Times New Roman" w:cs="Times New Roman"/>
        </w:rPr>
        <w:instrText>ADDIN CSL_CITATION { "citationItems" : [ { "id" : "ITEM-1", "itemData" : { "DOI" : "10.3389/fimmu.2014.00096", "ISSN" : "1664-3224", "author" : [ { "dropping-particle" : "", "family" : "Mroczek", "given" : "Eva Szymanska", "non-dropping-particle" : "", "parse-names" : false, "suffix" : "" }, { "dropping-particle" : "", "family" : "Ippolito", "given" : "Gregory C.", "non-dropping-particle" : "", "parse-names" : false, "suffix" : "" }, { "dropping-particle" : "", "family" : "Rogosch", "given" : "Tobias", "non-dropping-particle" : "", "parse-names" : false, "suffix" : "" }, { "dropping-particle" : "", "family" : "Hoi", "given" : "Kam Hon", "non-dropping-particle" : "", "parse-names" : false, "suffix" : "" }, { "dropping-particle" : "", "family" : "Hwangpo", "given" : "Tracy A.", "non-dropping-particle" : "", "parse-names" : false, "suffix" : "" }, { "dropping-particle" : "", "family" : "Brand", "given" : "Marsha G.", "non-dropping-particle" : "", "parse-names" : false, "suffix" : "" }, { "dropping-particle" : "", "family" : "Zhuang", "given" : "Yingxin", "non-dropping-particle" : "", "parse-names" : false, "suffix" : "" }, { "dropping-particle" : "", "family" : "Liu", "given" : "Cun Ren", "non-dropping-particle" : "", "parse-names" : false, "suffix" : "" }, { "dropping-particle" : "", "family" : "Schneider", "given" : "David a.", "non-dropping-particle" : "", "parse-names" : false, "suffix" : "" }, { "dropping-particle" : "", "family" : "Zemlin", "given" : "Michael", "non-dropping-particle" : "", "parse-names" : false, "suffix" : "" }, { "dropping-particle" : "", "family" : "Brown", "given" : "Elizabeth E.", "non-dropping-particle" : "", "parse-names" : false, "suffix" : "" }, { "dropping-particle" : "", "family" : "Georgiou", "given" : "George", "non-dropping-particle" : "", "parse-names" : false, "suffix" : "" }, { "dropping-particle" : "", "family" : "Schroeder", "given" : "Harry W.", "non-dropping-particle" : "", "parse-names" : false, "suffix" : "" } ], "container-title" : "Frontiers in Immunology", "id" : "ITEM-1", "issue" : "March", "issued" : { "date-parts" : [ [ "2014", "3", "19" ] ] }, "page" : "1-14", "title" : "Differences in the Composition of the Human Antibody Repertoire by B Cell Subsets in the Blood", "type" : "article-journal", "volume" : "5" }, "uris" : [ "http://www.mendeley.com/documents/?uuid=15a96d41-3fcc-491e-8a7b-ec91fa6d0e45" ] }, { "id" : "ITEM-2", "itemData" : { "DOI" : "10.1073/pnas.1403278111", "ISSN" : "0027-8424", "author" : [ { "dropping-particle" : "", "family" : "Kaplinsky", "given" : "J", "non-dropping-particle" : "", "parse-names" : false, "suffix" : "" }, { "dropping-particle" : "", "family" : "Li", "given" : "A", "non-dropping-particle" : "", "parse-names" : false, "suffix" : "" }, { "dropping-particle" : "", "family" : "Sun", "given" : "A", "non-dropping-particle" : "", "parse-names" : false, "suffix" : "" }, { "dropping-particle" : "", "family" : "Coffre", "given" : "M", "non-dropping-particle" : "", "parse-names" : false, "suffix" : "" }, { "dropping-particle" : "", "family" : "Koralov", "given" : "S. B", "non-dropping-particle" : "", "parse-names" : false, "suffix" : "" }, { "dropping-particle" : "", "family" : "Arnaout", "given" : "R", "non-dropping-particle" : "", "parse-names" : false, "suffix" : "" } ], "container-title" : "Proceedings of the National Academy of Sciences", "id" : "ITEM-2", "issue" : "25", "issued" : { "date-parts" : [ [ "2014", "6", "9" ] ] }, "page" : "2622-9", "title" : "Antibody repertoire deep sequencing reveals antigen-independent selection in maturing B cells", "type" : "article-journal", "volume" : "111" }, "uris" : [ "http://www.mendeley.com/documents/?uuid=687afd9b-a2a9-4fbc-a901-acc297ebed30" ] } ], "mendeley" : { "formattedCitation" : "&lt;sup&gt;6,7&lt;/sup&gt;", "plainTextFormattedCitation" : "6,7", "previouslyFormattedCitation" : "&lt;sup&gt;6,7&lt;/sup&gt;" }, "properties" : { "noteIndex" : 0 }, "schema" : "https://github.com/citation-style-language/schema/raw/master/csl-citation.json" }</w:instrText>
      </w:r>
      <w:r w:rsidR="006F65E5">
        <w:rPr>
          <w:rFonts w:ascii="Times New Roman" w:hAnsi="Times New Roman" w:cs="Times New Roman"/>
        </w:rPr>
        <w:fldChar w:fldCharType="separate"/>
      </w:r>
      <w:r w:rsidR="00545CC1" w:rsidRPr="00545CC1">
        <w:rPr>
          <w:rFonts w:ascii="Times New Roman" w:hAnsi="Times New Roman" w:cs="Times New Roman"/>
          <w:noProof/>
          <w:vertAlign w:val="superscript"/>
        </w:rPr>
        <w:t>6,7</w:t>
      </w:r>
      <w:r w:rsidR="006F65E5">
        <w:rPr>
          <w:rFonts w:ascii="Times New Roman" w:hAnsi="Times New Roman" w:cs="Times New Roman"/>
        </w:rPr>
        <w:fldChar w:fldCharType="end"/>
      </w:r>
      <w:r w:rsidR="00C20570" w:rsidRPr="0098329B">
        <w:rPr>
          <w:rFonts w:ascii="Times New Roman" w:hAnsi="Times New Roman" w:cs="Times New Roman"/>
        </w:rPr>
        <w:t xml:space="preserve"> </w:t>
      </w:r>
      <w:r w:rsidR="000B3DF0" w:rsidRPr="0098329B">
        <w:rPr>
          <w:rFonts w:ascii="Times New Roman" w:hAnsi="Times New Roman" w:cs="Times New Roman"/>
        </w:rPr>
        <w:t xml:space="preserve">and </w:t>
      </w:r>
      <w:r w:rsidR="003C63BA" w:rsidRPr="0098329B">
        <w:rPr>
          <w:rFonts w:ascii="Times New Roman" w:hAnsi="Times New Roman" w:cs="Times New Roman"/>
        </w:rPr>
        <w:t xml:space="preserve">thus </w:t>
      </w:r>
      <w:r w:rsidR="00A4679F" w:rsidRPr="0098329B">
        <w:rPr>
          <w:rFonts w:ascii="Times New Roman" w:hAnsi="Times New Roman" w:cs="Times New Roman"/>
        </w:rPr>
        <w:t xml:space="preserve">interrogation of the </w:t>
      </w:r>
      <w:r w:rsidR="00C20570" w:rsidRPr="0098329B">
        <w:rPr>
          <w:rFonts w:ascii="Times New Roman" w:hAnsi="Times New Roman" w:cs="Times New Roman"/>
        </w:rPr>
        <w:t xml:space="preserve"> </w:t>
      </w:r>
      <w:r w:rsidR="008A62A0">
        <w:rPr>
          <w:rFonts w:ascii="Times New Roman" w:hAnsi="Times New Roman" w:cs="Times New Roman"/>
        </w:rPr>
        <w:t>BCR</w:t>
      </w:r>
      <w:r w:rsidR="00C16762" w:rsidRPr="0098329B">
        <w:rPr>
          <w:rFonts w:ascii="Times New Roman" w:hAnsi="Times New Roman" w:cs="Times New Roman"/>
        </w:rPr>
        <w:t xml:space="preserve"> </w:t>
      </w:r>
      <w:r w:rsidR="00C20570" w:rsidRPr="0098329B">
        <w:rPr>
          <w:rFonts w:ascii="Times New Roman" w:hAnsi="Times New Roman" w:cs="Times New Roman"/>
        </w:rPr>
        <w:t xml:space="preserve">repertoire on a subset-by-subset basis </w:t>
      </w:r>
      <w:r w:rsidR="00A4679F" w:rsidRPr="0098329B">
        <w:rPr>
          <w:rFonts w:ascii="Times New Roman" w:hAnsi="Times New Roman" w:cs="Times New Roman"/>
        </w:rPr>
        <w:t xml:space="preserve">could </w:t>
      </w:r>
      <w:r w:rsidR="000B3DF0" w:rsidRPr="0098329B">
        <w:rPr>
          <w:rFonts w:ascii="Times New Roman" w:hAnsi="Times New Roman" w:cs="Times New Roman"/>
        </w:rPr>
        <w:t xml:space="preserve">potentially </w:t>
      </w:r>
      <w:r w:rsidR="00A4679F" w:rsidRPr="0098329B">
        <w:rPr>
          <w:rFonts w:ascii="Times New Roman" w:hAnsi="Times New Roman" w:cs="Times New Roman"/>
        </w:rPr>
        <w:t>be used for</w:t>
      </w:r>
      <w:r w:rsidR="00C20570" w:rsidRPr="0098329B">
        <w:rPr>
          <w:rFonts w:ascii="Times New Roman" w:hAnsi="Times New Roman" w:cs="Times New Roman"/>
        </w:rPr>
        <w:t xml:space="preserve"> fine delineation of </w:t>
      </w:r>
      <w:r w:rsidR="003C63BA" w:rsidRPr="0098329B">
        <w:rPr>
          <w:rFonts w:ascii="Times New Roman" w:hAnsi="Times New Roman" w:cs="Times New Roman"/>
        </w:rPr>
        <w:t xml:space="preserve">which B cells are involved in </w:t>
      </w:r>
      <w:r w:rsidR="00C20570" w:rsidRPr="0098329B">
        <w:rPr>
          <w:rFonts w:ascii="Times New Roman" w:hAnsi="Times New Roman" w:cs="Times New Roman"/>
        </w:rPr>
        <w:t>vaccine response</w:t>
      </w:r>
      <w:r w:rsidR="000B3DF0" w:rsidRPr="0098329B">
        <w:rPr>
          <w:rFonts w:ascii="Times New Roman" w:hAnsi="Times New Roman" w:cs="Times New Roman"/>
        </w:rPr>
        <w:t>s</w:t>
      </w:r>
      <w:r w:rsidR="00C20570" w:rsidRPr="0098329B">
        <w:rPr>
          <w:rFonts w:ascii="Times New Roman" w:hAnsi="Times New Roman" w:cs="Times New Roman"/>
        </w:rPr>
        <w:t>.</w:t>
      </w:r>
      <w:r w:rsidR="00A4679F" w:rsidRPr="0098329B">
        <w:rPr>
          <w:rFonts w:ascii="Times New Roman" w:hAnsi="Times New Roman" w:cs="Times New Roman"/>
        </w:rPr>
        <w:t xml:space="preserve"> </w:t>
      </w:r>
    </w:p>
    <w:p w14:paraId="197FBA75" w14:textId="294614E0" w:rsidR="009312A2" w:rsidRPr="0098329B" w:rsidRDefault="00C36EB0" w:rsidP="00A4679F">
      <w:pPr>
        <w:spacing w:line="480" w:lineRule="auto"/>
        <w:jc w:val="both"/>
        <w:rPr>
          <w:rFonts w:ascii="Times New Roman" w:hAnsi="Times New Roman" w:cs="Times New Roman"/>
        </w:rPr>
      </w:pPr>
      <w:r w:rsidRPr="0098329B">
        <w:rPr>
          <w:rFonts w:ascii="Times New Roman" w:hAnsi="Times New Roman" w:cs="Times New Roman"/>
        </w:rPr>
        <w:tab/>
      </w:r>
      <w:r w:rsidR="00502A50" w:rsidRPr="0098329B">
        <w:rPr>
          <w:rFonts w:ascii="Times New Roman" w:hAnsi="Times New Roman" w:cs="Times New Roman"/>
        </w:rPr>
        <w:t>Vaccines against polysaccharide-encapsulated pathogens (e.g</w:t>
      </w:r>
      <w:r w:rsidR="003C63BA" w:rsidRPr="0098329B">
        <w:rPr>
          <w:rFonts w:ascii="Times New Roman" w:hAnsi="Times New Roman" w:cs="Times New Roman"/>
        </w:rPr>
        <w:t>.</w:t>
      </w:r>
      <w:r w:rsidR="00502A50" w:rsidRPr="0098329B">
        <w:rPr>
          <w:rFonts w:ascii="Times New Roman" w:hAnsi="Times New Roman" w:cs="Times New Roman"/>
        </w:rPr>
        <w:t xml:space="preserve"> </w:t>
      </w:r>
      <w:r w:rsidR="00502A50" w:rsidRPr="0098329B">
        <w:rPr>
          <w:rFonts w:ascii="Times New Roman" w:hAnsi="Times New Roman" w:cs="Times New Roman"/>
          <w:i/>
        </w:rPr>
        <w:t>N</w:t>
      </w:r>
      <w:r w:rsidR="00FB4B26" w:rsidRPr="0098329B">
        <w:rPr>
          <w:rFonts w:ascii="Times New Roman" w:hAnsi="Times New Roman" w:cs="Times New Roman"/>
          <w:i/>
        </w:rPr>
        <w:t>eisseria</w:t>
      </w:r>
      <w:r w:rsidR="00502A50" w:rsidRPr="0098329B">
        <w:rPr>
          <w:rFonts w:ascii="Times New Roman" w:hAnsi="Times New Roman" w:cs="Times New Roman"/>
          <w:i/>
        </w:rPr>
        <w:t xml:space="preserve"> meningitidis </w:t>
      </w:r>
      <w:r w:rsidR="00502A50" w:rsidRPr="0098329B">
        <w:rPr>
          <w:rFonts w:ascii="Times New Roman" w:hAnsi="Times New Roman" w:cs="Times New Roman"/>
        </w:rPr>
        <w:t xml:space="preserve">and </w:t>
      </w:r>
      <w:r w:rsidR="00502A50" w:rsidRPr="0098329B">
        <w:rPr>
          <w:rFonts w:ascii="Times New Roman" w:hAnsi="Times New Roman" w:cs="Times New Roman"/>
          <w:i/>
        </w:rPr>
        <w:t>S</w:t>
      </w:r>
      <w:r w:rsidR="00FB4B26" w:rsidRPr="0098329B">
        <w:rPr>
          <w:rFonts w:ascii="Times New Roman" w:hAnsi="Times New Roman" w:cs="Times New Roman"/>
          <w:i/>
        </w:rPr>
        <w:t>treptococcus</w:t>
      </w:r>
      <w:r w:rsidR="00502A50" w:rsidRPr="0098329B">
        <w:rPr>
          <w:rFonts w:ascii="Times New Roman" w:hAnsi="Times New Roman" w:cs="Times New Roman"/>
          <w:i/>
        </w:rPr>
        <w:t xml:space="preserve"> pneumoniae</w:t>
      </w:r>
      <w:r w:rsidR="00502A50" w:rsidRPr="0098329B">
        <w:rPr>
          <w:rFonts w:ascii="Times New Roman" w:hAnsi="Times New Roman" w:cs="Times New Roman"/>
        </w:rPr>
        <w:t>)</w:t>
      </w:r>
      <w:r w:rsidR="00502A50" w:rsidRPr="0098329B">
        <w:rPr>
          <w:rFonts w:ascii="Times New Roman" w:hAnsi="Times New Roman" w:cs="Times New Roman"/>
          <w:i/>
        </w:rPr>
        <w:t xml:space="preserve"> </w:t>
      </w:r>
      <w:r w:rsidR="00502A50" w:rsidRPr="0098329B">
        <w:rPr>
          <w:rFonts w:ascii="Times New Roman" w:hAnsi="Times New Roman" w:cs="Times New Roman"/>
        </w:rPr>
        <w:t xml:space="preserve">are of great importance in </w:t>
      </w:r>
      <w:r w:rsidR="00E97F01" w:rsidRPr="0098329B">
        <w:rPr>
          <w:rFonts w:ascii="Times New Roman" w:hAnsi="Times New Roman" w:cs="Times New Roman"/>
        </w:rPr>
        <w:t>controlling these predominantly childhood diseases</w:t>
      </w:r>
      <w:r w:rsidR="00502A50" w:rsidRPr="0098329B">
        <w:rPr>
          <w:rFonts w:ascii="Times New Roman" w:hAnsi="Times New Roman" w:cs="Times New Roman"/>
        </w:rPr>
        <w:t xml:space="preserve">. </w:t>
      </w:r>
      <w:r w:rsidR="00BE7C95" w:rsidRPr="0098329B">
        <w:rPr>
          <w:rFonts w:ascii="Times New Roman" w:hAnsi="Times New Roman" w:cs="Times New Roman"/>
        </w:rPr>
        <w:t xml:space="preserve">Polysaccharides </w:t>
      </w:r>
      <w:r w:rsidR="002B3117" w:rsidRPr="0098329B">
        <w:rPr>
          <w:rFonts w:ascii="Times New Roman" w:hAnsi="Times New Roman" w:cs="Times New Roman"/>
        </w:rPr>
        <w:t>themselves</w:t>
      </w:r>
      <w:r w:rsidR="00BE7C95" w:rsidRPr="0098329B">
        <w:rPr>
          <w:rFonts w:ascii="Times New Roman" w:hAnsi="Times New Roman" w:cs="Times New Roman"/>
        </w:rPr>
        <w:t xml:space="preserve"> are T-independent antigens, have poor immunogenicity in infants</w:t>
      </w:r>
      <w:r w:rsidR="00FC28BA">
        <w:rPr>
          <w:rFonts w:ascii="Times New Roman" w:hAnsi="Times New Roman" w:cs="Times New Roman"/>
        </w:rPr>
        <w:t>,</w:t>
      </w:r>
      <w:r w:rsidR="00B57B4E"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"DOI" : "10.1172/JCI108235", "ISSN" : "0021-9738", "PMID" : "1202084", "abstract" : "Group A and group C meningoccal polysaccharide vaccines were evaluated in infants. No significant local or systemic reactions were observed with 908 doses of vaccine given to 396 infants between 3 and 12 mo of age. The antibody response varied with the age of the infant, vaccine dose, molecular weight of vaccine, prior immunization with vaccine, and prior exposure to naturally occurring cross-reactive antigens. Only 7% of 3-mo-old infants had detectable antibody responses to primary immunization with 5-200 mug of A vaccine, presumably because of suppressive effects of high concentrations of maternal anti-A. More than 90% of 7- and 12-mo-old infants responded to A vaccine, achieving geometric mean anti-A concentrations of 0.38 and 0.98 mug/ml, respectively. The dose-response curve was flat between 10 and 200 mug of A vaccine. Geometric mean anti-A concentrations of 2.51 and 4.00 mug/ml were induced in 7- and 12-mo-old infants by booster injections of A vaccine. Approximately 90% of 3-mo-old infants had detectable antibody responses to primary immunization with C vaccine. The 100-mug dose appeared to be optimal, resulting in geometric mean anti-C concentrations of 0.49, 1.55, and 2.64 mug/ml in 3-, 7-, and 12-mo-old infants, respectively. Significant booster responses were not observed with C vaccine. Indeed, except for the 10-mug dose, booster injections of C vaccine in 7- and 12-mo-old infants resulted in lower anti-C concentrations than did primary immunizations.", "author" : [ { "dropping-particle" : "", "family" : "Gold", "given" : "R", "non-dropping-particle" : "", "parse-names" : false, "suffix" : "" }, { "dropping-particle" : "", "family" : "Lepow", "given" : "M L", "non-dropping-particle" : "", "parse-names" : false, "suffix" : "" }, { "dropping-particle" : "", "family" : "Goldschneider", "given" : "I", "non-dropping-particle" : "", "parse-names" : false, "suffix" : "" }, { "dropping-particle" : "", "family" : "Draper", "given" : "T L", "non-dropping-particle" : "", "parse-names" : false, "suffix" : "" }, { "dropping-particle" : "", "family" : "Gotschlich", "given" : "E C", "non-dropping-particle" : "", "parse-names" : false, "suffix" : "" } ], "container-title" : "The Journal of clinical investigation", "id" : "ITEM-1", "issue" : "6", "issued" : { "date-parts" : [ [ "1975", "12" ] ] }, "page" : "1536-47", "title" : "Clinical evaluation of group A and group C meningococcal polysaccharide vaccines in infants.", "type" : "article-journal", "volume" : "56" }, "uris" : [ "http://www.mendeley.com/documents/?uuid=1e3b4656-acbc-4e4a-9c70-bcc9c37fbe1d" ] } ], "mendeley" : { "formattedCitation" : "&lt;sup&gt;8&lt;/sup&gt;", "plainTextFormattedCitation" : "8", "previouslyFormattedCitation" : "&lt;sup&gt;8&lt;/sup&gt;" }, "properties" : { "noteIndex" : 0 }, "schema" : "https://github.com/citation-style-language/schema/raw/master/csl-citation.json" }</w:instrText>
      </w:r>
      <w:r w:rsidR="00B57B4E"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8</w:t>
      </w:r>
      <w:r w:rsidR="00B57B4E" w:rsidRPr="0098329B">
        <w:rPr>
          <w:rFonts w:ascii="Times New Roman" w:hAnsi="Times New Roman" w:cs="Times New Roman"/>
        </w:rPr>
        <w:fldChar w:fldCharType="end"/>
      </w:r>
      <w:r w:rsidR="00C41FED" w:rsidRPr="0098329B">
        <w:rPr>
          <w:rFonts w:ascii="Times New Roman" w:hAnsi="Times New Roman" w:cs="Times New Roman"/>
        </w:rPr>
        <w:t xml:space="preserve"> </w:t>
      </w:r>
      <w:r w:rsidR="00C41FED" w:rsidRPr="0098329B">
        <w:rPr>
          <w:rFonts w:ascii="Times New Roman" w:hAnsi="Times New Roman" w:cs="Times New Roman"/>
          <w:bCs/>
          <w:color w:val="000000" w:themeColor="text1"/>
        </w:rPr>
        <w:t>do not generate immunological memory</w:t>
      </w:r>
      <w:r w:rsidR="00FC28BA">
        <w:rPr>
          <w:rFonts w:ascii="Times New Roman" w:hAnsi="Times New Roman" w:cs="Times New Roman"/>
        </w:rPr>
        <w:t>,</w:t>
      </w:r>
      <w:r w:rsidR="009360BB"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"ISSN" : "0098-7484", "PMID" : "11176810", "abstract" : "CONTEXT: An outbreak of meningococcal disease in Quebec province prompted a mass immunization program. The impact of this campaign on the epidemiology of meningococcal disease has not been studied.\n\nOBJECTIVES: To study the impact of a mass immunization campaign using polysaccharide vaccine on the epidemiology of meningococcal disease (MCD) and to assess serogroup C vaccine effectiveness (VE).\n\nDESIGN, SETTING, AND SUBJECTS: Analysis of MCD cases reported in Quebec from 1990 to 1998, before and after the mass immunization campaign was conducted during the winter of 1992-1993, when 84% of residents aged 6 months to 20 years (the target population, approximately 1.9 million individuals) were vaccinated.\n\nMAIN OUTCOME MEASURES: Incidence of MCD in 1990-1998; incidence of culture-proven serogroup C MCD between April 1, 1993, and March 31, 1998, compared among vaccinated and unvaccinated persons in the target population.\n\nRESULTS: The incidence of serogroup C disease decreased after the mass immunization campaign, from 1.4 per 100 000 in 1990-1992 to 0.3 per 100 000 in 1993-1998, and the overall incidence of other serogroups remained stable at 0.7 per 100 000, with a small increase in the proportion of cases caused by serogroup Y (P =.009). Protection from serogroup C MCD was indicated in the first 2 years after vaccine administration (VE, 65%; 95% confidence interval [CI], 20%-84%), but not in the next 3 years (VE, 0%; 95% CI, -5% to 65%). Vaccine effectiveness was strongly related to age at vaccination: 83% (95% CI, 39%-96%) for ages 15 through 20 years, 75% (95% CI, - 17% to 93%) for ages 10 through 14 years, and 41% (95% CI, -106% to 79%) for ages 2 through 9 years. There was no evidence of protection in children younger than 2 years; all 8 MCD cases in this age group occurred in vaccinees.\n\nCONCLUSIONS: Serogroup C polysaccharide vaccine is effective for controlling outbreaks in teenaged individuals but should not be used in children younger than 2 years. The mass campaign did not induce significant serogroup switching.", "author" : [ { "dropping-particle" : "", "family" : "Wals", "given" : "P", "non-dropping-particle" : "De", "parse-names" : false, "suffix" : "" }, { "dropping-particle" : "", "family" : "Serres", "given" : "G", "non-dropping-particle" : "De", "parse-names" : false, "suffix" : "" }, { "dropping-particle" : "", "family" : "Niyonsenga", "given" : "T", "non-dropping-particle" : "", "parse-names" : false, "suffix" : "" } ], "container-title" : "JAMA : the journal of the American Medical Association", "id" : "ITEM-1", "issue" : "2", "issued" : { "date-parts" : [ [ "2001", "1", "10" ] ] }, "page" : "177-81", "title" : "Effectiveness of a mass immunization campaign against serogroup C meningococcal disease in Quebec.", "type" : "article-journal", "volume" : "285" }, "uris" : [ "http://www.mendeley.com/documents/?uuid=8b3411da-c0fc-41bc-b4c1-ee482b2b9a54" ] } ], "mendeley" : { "formattedCitation" : "&lt;sup&gt;9&lt;/sup&gt;", "plainTextFormattedCitation" : "9", "previouslyFormattedCitation" : "&lt;sup&gt;9&lt;/sup&gt;" }, "properties" : { "noteIndex" : 0 }, "schema" : "https://github.com/citation-style-language/schema/raw/master/csl-citation.json" }</w:instrText>
      </w:r>
      <w:r w:rsidR="009360BB"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9</w:t>
      </w:r>
      <w:r w:rsidR="009360BB" w:rsidRPr="0098329B">
        <w:rPr>
          <w:rFonts w:ascii="Times New Roman" w:hAnsi="Times New Roman" w:cs="Times New Roman"/>
        </w:rPr>
        <w:fldChar w:fldCharType="end"/>
      </w:r>
      <w:r w:rsidR="009360BB" w:rsidRPr="0098329B">
        <w:rPr>
          <w:rFonts w:ascii="Times New Roman" w:hAnsi="Times New Roman" w:cs="Times New Roman"/>
        </w:rPr>
        <w:t xml:space="preserve"> and </w:t>
      </w:r>
      <w:r w:rsidR="00C41FED" w:rsidRPr="0098329B">
        <w:rPr>
          <w:rFonts w:ascii="Times New Roman" w:hAnsi="Times New Roman" w:cs="Times New Roman"/>
        </w:rPr>
        <w:t>can lead to</w:t>
      </w:r>
      <w:r w:rsidR="009360BB" w:rsidRPr="0098329B">
        <w:rPr>
          <w:rFonts w:ascii="Times New Roman" w:hAnsi="Times New Roman" w:cs="Times New Roman"/>
        </w:rPr>
        <w:t xml:space="preserve"> hyporesponsiveness </w:t>
      </w:r>
      <w:r w:rsidR="00C41FED" w:rsidRPr="0098329B">
        <w:rPr>
          <w:rFonts w:ascii="Times New Roman" w:hAnsi="Times New Roman" w:cs="Times New Roman"/>
        </w:rPr>
        <w:t xml:space="preserve">with </w:t>
      </w:r>
      <w:r w:rsidR="00C41FED" w:rsidRPr="0098329B">
        <w:rPr>
          <w:rFonts w:ascii="Times New Roman" w:hAnsi="Times New Roman" w:cs="Times New Roman"/>
        </w:rPr>
        <w:lastRenderedPageBreak/>
        <w:t>repeat</w:t>
      </w:r>
      <w:r w:rsidR="002B3117" w:rsidRPr="0098329B">
        <w:rPr>
          <w:rFonts w:ascii="Times New Roman" w:hAnsi="Times New Roman" w:cs="Times New Roman"/>
        </w:rPr>
        <w:t>ed</w:t>
      </w:r>
      <w:r w:rsidR="00C41FED" w:rsidRPr="0098329B">
        <w:rPr>
          <w:rFonts w:ascii="Times New Roman" w:hAnsi="Times New Roman" w:cs="Times New Roman"/>
        </w:rPr>
        <w:t xml:space="preserve"> </w:t>
      </w:r>
      <w:r w:rsidR="002B3117" w:rsidRPr="0098329B">
        <w:rPr>
          <w:rFonts w:ascii="Times New Roman" w:hAnsi="Times New Roman" w:cs="Times New Roman"/>
        </w:rPr>
        <w:t>exposure</w:t>
      </w:r>
      <w:r w:rsidR="00FC28BA">
        <w:rPr>
          <w:rFonts w:ascii="Times New Roman" w:hAnsi="Times New Roman" w:cs="Times New Roman"/>
        </w:rPr>
        <w:t>.</w:t>
      </w:r>
      <w:r w:rsidR="009360BB"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"ISSN" : "1071-412X", "PMID" : "14715549", "abstract" : "In Saudi Arabia, vaccination with the meningococcal A/C polysaccharide (MACP) vaccine is advised every 3 years. A clinical outcome study was performed to test the effect of repeat vaccination with the MACP vaccine on the immune responses among Saudi nationals who live in the Makkah and Jeddah areas. Subjects (n = 230) aged 10 to 29 years were selected: 113 subjects with two or more prior vaccinations with the MACP vaccine, 79 subjects with one prior vaccination with the MACP vaccine, and 38 subjects na\u00efve to vaccination with the MACP vaccine. All subjects received the MACP vaccine in 2002, and serum bactericidal antibody (SBA) titers were measured before and 1 month after vaccination with the MACP vaccine. For serogroup C, geometric mean SBA titers 1 month following vaccination with the MACP vaccine were 708.6 (95% confidence interval [CI], 217.5 to 2,308.9) for those na\u00efve to prior vaccination with the MACP vaccine, and they were significantly higher (P &lt; 0.0001) than 25.0 (95% CI, 12.4 to 50.2) for those who had received one prior vaccination with the MACP vaccine and 32.4 (95% CI, 18.7 to 56.4) for those who had received two or more doses of the MACP vaccine. For serogroup A, the geometric mean SBA titer 1 month after receipt of the MACP vaccine was 1,649.3 (95% CI, 835.2 to 3,256.9) for those na\u00efve to prior vaccination, and the titers were lower (P = 0.67) than 2,185.7 (95% CI, 1,489.4 to 3,207.7) for those who had received one prior dose of the MACP vaccine and significantly lower (P = 0.042) than 3,540.8 (95% CI, 2,705.2 to 4,634.5) for those who had received two or more doses of the MACP vaccine. For serogroup C, the proportions of nonresponders (SBA titers, &lt;8) were 19% for the na\u00efve cohort, 52% for the cohort with one prior vaccination, and 49% for the cohort with two or more prior vaccinations. Following repeated doses of the MACP vaccine, hyporesponsiveness to serogroup C is evident, with high percentages of MACP vaccinees having SBA titers below the putative protective SBA titer. Serogroup A responses following vaccination with the MACP vaccine were boosted. Introduction of the serogroup C conjugate vaccine would provide long-term protection against serogroup C disease; however, quadrivalent conjugate vaccines are required to provide long-time protection against disease caused by serogroups A, W135, and Y.", "author" : [ { "dropping-particle" : "", "family" : "Jokhdar", "given" : "Hani", "non-dropping-particle" : "", "parse-names" : false, "suffix" : "" }, { "dropping-particle" : "", "family" : "Borrow", "given" : "Ray", "non-dropping-particle" : "", "parse-names" : false, "suffix" : "" }, { "dropping-particle" : "", "family" : "Sultan", "given" : "Abdulrazaq", "non-dropping-particle" : "", "parse-names" : false, "suffix" : "" }, { "dropping-particle" : "", "family" : "Adi", "given" : "Mousaed", "non-dropping-particle" : "", "parse-names" : false, "suffix" : "" }, { "dropping-particle" : "", "family" : "Riley", "given" : "Christine", "non-dropping-particle" : "", "parse-names" : false, "suffix" : "" }, { "dropping-particle" : "", "family" : "Fuller", "given" : "Emily", "non-dropping-particle" : "", "parse-names" : false, "suffix" : "" }, { "dropping-particle" : "", "family" : "Baxter", "given" : "David", "non-dropping-particle" : "", "parse-names" : false, "suffix" : "" } ], "container-title" : "Clinical and diagnostic laboratory immunology", "id" : "ITEM-1", "issue" : "1", "issued" : { "date-parts" : [ [ "2004", "1" ] ] }, "page" : "83-8", "title" : "Immunologic hyporesponsiveness to serogroup C but not serogroup A following repeated meningococcal A/C polysaccharide vaccination in Saudi Arabia.", "type" : "article-journal", "volume" : "11" }, "uris" : [ "http://www.mendeley.com/documents/?uuid=d822ec61-c5de-4b87-bb9c-b7148df26ffa" ] } ], "mendeley" : { "formattedCitation" : "&lt;sup&gt;10&lt;/sup&gt;", "plainTextFormattedCitation" : "10", "previouslyFormattedCitation" : "&lt;sup&gt;10&lt;/sup&gt;" }, "properties" : { "noteIndex" : 0 }, "schema" : "https://github.com/citation-style-language/schema/raw/master/csl-citation.json" }</w:instrText>
      </w:r>
      <w:r w:rsidR="009360BB"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10</w:t>
      </w:r>
      <w:r w:rsidR="009360BB" w:rsidRPr="0098329B">
        <w:rPr>
          <w:rFonts w:ascii="Times New Roman" w:hAnsi="Times New Roman" w:cs="Times New Roman"/>
        </w:rPr>
        <w:fldChar w:fldCharType="end"/>
      </w:r>
      <w:r w:rsidR="009360BB" w:rsidRPr="0098329B">
        <w:rPr>
          <w:rFonts w:ascii="Times New Roman" w:hAnsi="Times New Roman" w:cs="Times New Roman"/>
        </w:rPr>
        <w:t xml:space="preserve"> </w:t>
      </w:r>
      <w:r w:rsidR="00C41FED" w:rsidRPr="0098329B">
        <w:rPr>
          <w:rFonts w:ascii="Times New Roman" w:hAnsi="Times New Roman" w:cs="Times New Roman"/>
        </w:rPr>
        <w:t>The conjugation of a carrier protein to a polysaccharide results in a T-dependent antigen, which is immunogenic from early life, and primes for memory</w:t>
      </w:r>
      <w:r w:rsidR="00FC28BA">
        <w:rPr>
          <w:rFonts w:ascii="Times New Roman" w:hAnsi="Times New Roman" w:cs="Times New Roman"/>
        </w:rPr>
        <w:t>.</w:t>
      </w:r>
      <w:r w:rsidR="00406F23" w:rsidRPr="0098329B">
        <w:rPr>
          <w:rFonts w:ascii="Times New Roman" w:hAnsi="Times New Roman" w:cs="Times New Roman"/>
        </w:rPr>
        <w:fldChar w:fldCharType="begin" w:fldLock="1"/>
      </w:r>
      <w:r w:rsidR="009E482F">
        <w:rPr>
          <w:rFonts w:ascii="Times New Roman" w:hAnsi="Times New Roman" w:cs="Times New Roman"/>
        </w:rPr>
        <w:instrText>ADDIN CSL_CITATION { "citationItems" : [ { "id" : "ITEM-1", "itemData" : { "DOI" : "10.1182/blood-2006-01-009282", "ISSN" : "0006-4971", "PMID" : "16675705", "abstract" : "Neisseria meningitidis is one of the leading causes of bacterial meningitis and septicemia in children. Vaccines containing the purified polysaccharide capsule from the organism, a T cell-independent antigen, have been available for decades but do not appear to provide protection in infancy or immunologic memory as measured by antibody responses. By contrast, T cell-dependent serogroup C protein-polysaccharide conjugate vaccines protect against serogroup C meningococcal disease from infancy onward and prime for immunologic memory. We compared the magnitude and kinetics of plasma cell and memory B-cell responses to a meningococcal plain polysaccharide vaccine and a serogroup C glycoconjugate vaccine in adolescents previously primed with the conjugate vaccine. Plasma cell kinetics were similar for both vaccines, though the magnitude of the response was greater for the glycoconjugate. In contrast to the glycoconjugate vaccine, the plain polysaccharide vaccine did not induce a persistent immunoglobulin G (IgG) memory B-cell response. This is the first study to directly show that serogroup C meningococcal glycoconjugate vaccines induce persistent production of memory B cells and that plain polysaccharide vaccines do not, supporting the use of the conjugate vaccine for sustained population protection. Detection of peripheral blood memory B-cell responses after vaccination may be a useful signature of successful induction of immunologic memory during novel vaccine evaluation.", "author" : [ { "dropping-particle" : "", "family" : "Kelly", "given" : "Dominic F", "non-dropping-particle" : "", "parse-names" : false, "suffix" : "" }, { "dropping-particle" : "", "family" : "Snape", "given" : "Mathew D", "non-dropping-particle" : "", "parse-names" : false, "suffix" : "" }, { "dropping-particle" : "", "family" : "Cutterbuck", "given" : "Elizabeth A", "non-dropping-particle" : "", "parse-names" : false, "suffix" : "" }, { "dropping-particle" : "", "family" : "Green", "given" : "Sarah", "non-dropping-particle" : "", "parse-names" : false, "suffix" : "" }, { "dropping-particle" : "", "family" : "Snowden", "given" : "Claire", "non-dropping-particle" : "", "parse-names" : false, "suffix" : "" }, { "dropping-particle" : "", "family" : "Diggle", "given" : "Linda", "non-dropping-particle" : "", "parse-names" : false, "suffix" : "" }, { "dropping-particle" : "", "family" : "Yu", "given" : "Ly-mee", "non-dropping-particle" : "", "parse-names" : false, "suffix" : "" }, { "dropping-particle" : "", "family" : "Borkowski", "given" : "Astrid", "non-dropping-particle" : "", "parse-names" : false, "suffix" : "" }, { "dropping-particle" : "", "family" : "Moxon", "given" : "E Richard", "non-dropping-particle" : "", "parse-names" : false, "suffix" : "" }, { "dropping-particle" : "", "family" : "Pollard", "given" : "Andrew J", "non-dropping-particle" : "", "parse-names" : false, "suffix" : "" } ], "container-title" : "Blood", "id" : "ITEM-1", "issue" : "8", "issued" : { "date-parts" : [ [ "2006", "10", "15" ] ] }, "page" : "2642-7", "title" : "CRM197-conjugated serogroup C meningococcal capsular polysaccharide, but not the native polysaccharide, induces persistent antigen-specific memory B cells.", "type" : "article-journal", "volume" : "108" }, "uris" : [ "http://www.mendeley.com/documents/?uuid=f4b1fe11-c4d0-4973-b820-62477466599a" ] } ], "mendeley" : { "formattedCitation" : "&lt;sup&gt;11&lt;/sup&gt;", "plainTextFormattedCitation" : "11", "previouslyFormattedCitation" : "&lt;sup&gt;11&lt;/sup&gt;" }, "properties" : { "noteIndex" : 0 }, "schema" : "https://github.com/citation-style-language/schema/raw/master/csl-citation.json" }</w:instrText>
      </w:r>
      <w:r w:rsidR="00406F23"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11</w:t>
      </w:r>
      <w:r w:rsidR="00406F23" w:rsidRPr="0098329B">
        <w:rPr>
          <w:rFonts w:ascii="Times New Roman" w:hAnsi="Times New Roman" w:cs="Times New Roman"/>
        </w:rPr>
        <w:fldChar w:fldCharType="end"/>
      </w:r>
      <w:r w:rsidR="005970BE" w:rsidRPr="0098329B">
        <w:rPr>
          <w:rFonts w:ascii="Times New Roman" w:hAnsi="Times New Roman" w:cs="Times New Roman"/>
        </w:rPr>
        <w:t xml:space="preserve"> </w:t>
      </w:r>
      <w:r w:rsidR="002B3117" w:rsidRPr="0098329B">
        <w:rPr>
          <w:rFonts w:ascii="Times New Roman" w:hAnsi="Times New Roman" w:cs="Times New Roman"/>
        </w:rPr>
        <w:t xml:space="preserve">Licensed quadrivalent ACWY </w:t>
      </w:r>
      <w:r w:rsidR="002B3117" w:rsidRPr="0098329B">
        <w:rPr>
          <w:rFonts w:ascii="Times New Roman" w:hAnsi="Times New Roman" w:cs="Times New Roman"/>
          <w:i/>
        </w:rPr>
        <w:t>N</w:t>
      </w:r>
      <w:r w:rsidR="00FB4B26" w:rsidRPr="0098329B">
        <w:rPr>
          <w:rFonts w:ascii="Times New Roman" w:hAnsi="Times New Roman" w:cs="Times New Roman"/>
          <w:i/>
        </w:rPr>
        <w:t>.</w:t>
      </w:r>
      <w:r w:rsidR="002B3117" w:rsidRPr="0098329B">
        <w:rPr>
          <w:rFonts w:ascii="Times New Roman" w:hAnsi="Times New Roman" w:cs="Times New Roman"/>
          <w:i/>
        </w:rPr>
        <w:t xml:space="preserve"> meningitidis </w:t>
      </w:r>
      <w:r w:rsidR="002B3117" w:rsidRPr="0098329B">
        <w:rPr>
          <w:rFonts w:ascii="Times New Roman" w:hAnsi="Times New Roman" w:cs="Times New Roman"/>
        </w:rPr>
        <w:t xml:space="preserve">vaccines contain either plain purified capsular polysaccharides (polysaccharide vaccine), or </w:t>
      </w:r>
      <w:r w:rsidR="00E97F01" w:rsidRPr="0098329B">
        <w:rPr>
          <w:rFonts w:ascii="Times New Roman" w:hAnsi="Times New Roman" w:cs="Times New Roman"/>
        </w:rPr>
        <w:t xml:space="preserve">the same </w:t>
      </w:r>
      <w:r w:rsidR="002B3117" w:rsidRPr="0098329B">
        <w:rPr>
          <w:rFonts w:ascii="Times New Roman" w:hAnsi="Times New Roman" w:cs="Times New Roman"/>
        </w:rPr>
        <w:t>polysaccharide</w:t>
      </w:r>
      <w:r w:rsidR="00E97F01" w:rsidRPr="0098329B">
        <w:rPr>
          <w:rFonts w:ascii="Times New Roman" w:hAnsi="Times New Roman" w:cs="Times New Roman"/>
        </w:rPr>
        <w:t>s</w:t>
      </w:r>
      <w:r w:rsidR="002B3117" w:rsidRPr="0098329B">
        <w:rPr>
          <w:rFonts w:ascii="Times New Roman" w:hAnsi="Times New Roman" w:cs="Times New Roman"/>
        </w:rPr>
        <w:t xml:space="preserve"> conjugated to a carrier protein (conjugate vaccine). </w:t>
      </w:r>
      <w:r w:rsidR="00E97F01" w:rsidRPr="0098329B">
        <w:rPr>
          <w:rFonts w:ascii="Times New Roman" w:hAnsi="Times New Roman" w:cs="Times New Roman"/>
        </w:rPr>
        <w:t xml:space="preserve">The difference in immunogenicity, and the different B cell subsets involved in the response to these related vaccines are still being elucidated. </w:t>
      </w:r>
      <w:r w:rsidR="0084153C" w:rsidRPr="0098329B">
        <w:rPr>
          <w:rFonts w:ascii="Times New Roman" w:hAnsi="Times New Roman" w:cs="Times New Roman"/>
        </w:rPr>
        <w:t>T</w:t>
      </w:r>
      <w:r w:rsidR="009312A2" w:rsidRPr="0098329B">
        <w:rPr>
          <w:rFonts w:ascii="Times New Roman" w:hAnsi="Times New Roman" w:cs="Times New Roman"/>
        </w:rPr>
        <w:t xml:space="preserve">he different </w:t>
      </w:r>
      <w:r w:rsidR="00C41FED" w:rsidRPr="0098329B">
        <w:rPr>
          <w:rFonts w:ascii="Times New Roman" w:hAnsi="Times New Roman" w:cs="Times New Roman"/>
        </w:rPr>
        <w:t xml:space="preserve">B </w:t>
      </w:r>
      <w:r w:rsidR="009312A2" w:rsidRPr="0098329B">
        <w:rPr>
          <w:rFonts w:ascii="Times New Roman" w:hAnsi="Times New Roman" w:cs="Times New Roman"/>
        </w:rPr>
        <w:t>cell subsets</w:t>
      </w:r>
      <w:r w:rsidR="0084153C" w:rsidRPr="0098329B">
        <w:rPr>
          <w:rFonts w:ascii="Times New Roman" w:hAnsi="Times New Roman" w:cs="Times New Roman"/>
        </w:rPr>
        <w:t xml:space="preserve"> activated</w:t>
      </w:r>
      <w:r w:rsidR="009312A2" w:rsidRPr="0098329B">
        <w:rPr>
          <w:rFonts w:ascii="Times New Roman" w:hAnsi="Times New Roman" w:cs="Times New Roman"/>
        </w:rPr>
        <w:t xml:space="preserve"> </w:t>
      </w:r>
      <w:r w:rsidR="0084153C" w:rsidRPr="0098329B">
        <w:rPr>
          <w:rFonts w:ascii="Times New Roman" w:hAnsi="Times New Roman" w:cs="Times New Roman"/>
        </w:rPr>
        <w:t>by</w:t>
      </w:r>
      <w:r w:rsidR="009312A2" w:rsidRPr="0098329B">
        <w:rPr>
          <w:rFonts w:ascii="Times New Roman" w:hAnsi="Times New Roman" w:cs="Times New Roman"/>
        </w:rPr>
        <w:t xml:space="preserve"> conjugate and polysaccharide vaccines, </w:t>
      </w:r>
      <w:r w:rsidR="0084153C" w:rsidRPr="0098329B">
        <w:rPr>
          <w:rFonts w:ascii="Times New Roman" w:hAnsi="Times New Roman" w:cs="Times New Roman"/>
        </w:rPr>
        <w:t>have previously been investigated</w:t>
      </w:r>
      <w:r w:rsidR="009312A2" w:rsidRPr="0098329B">
        <w:rPr>
          <w:rFonts w:ascii="Times New Roman" w:hAnsi="Times New Roman" w:cs="Times New Roman"/>
        </w:rPr>
        <w:t xml:space="preserve"> </w:t>
      </w:r>
      <w:r w:rsidR="0084153C" w:rsidRPr="0098329B">
        <w:rPr>
          <w:rFonts w:ascii="Times New Roman" w:hAnsi="Times New Roman" w:cs="Times New Roman"/>
        </w:rPr>
        <w:t xml:space="preserve">during a </w:t>
      </w:r>
      <w:r w:rsidR="009312A2" w:rsidRPr="0098329B">
        <w:rPr>
          <w:rFonts w:ascii="Times New Roman" w:hAnsi="Times New Roman" w:cs="Times New Roman"/>
        </w:rPr>
        <w:t>comparative study of pneumococcal conjugate and polysaccharide vaccines</w:t>
      </w:r>
      <w:r w:rsidR="00FC28BA">
        <w:rPr>
          <w:rFonts w:ascii="Times New Roman" w:hAnsi="Times New Roman" w:cs="Times New Roman"/>
        </w:rPr>
        <w:t>.</w:t>
      </w:r>
      <w:r w:rsidR="009312A2"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"DOI" : "10.1093/infdis/jis212", "ISSN" : "1537-6613", "PMID" : "22457293", "abstract" : "BACKGROUND: A 23-valent unconjugated pneumococcal polysaccharide vaccine (23vP), routinely administered at the age of 65, has limited effectiveness, and revaccination induces attenuated antibody responses. It is not known whether pneumococcal polysaccharide-protein conjugated vaccines (PCV), although highly effective in infants, offer any immunological advantages over 23vP in adults.\n\nMETHODS: We immunized adults with schedules combining both PCV and 23vP and investigated B-cell responses to establish whether PCV7 (a 7-valent PCV) induced T-dependent responses in adults, to assess the role of memory B cells in 23vP-induced antibody hyporesponsiveness, and to identify the B-cell subtypes involved.\n\nRESULTS: A single dose of PCV7 induced significant increases in serotype-specific memory B-cell populations in peripheral blood indicating a T-dependent response. Conversely, immunization with 23vP resulted in a decrease in memory B-cell frequency. Furthermore, memory B-cell responses to subsequent immunization with PCV7, when given after 23vP, were attenuated. Notably, B1b cells, a subset important in protecting mice against pneumococci, were also depleted following immunization with 23vP in humans.\n\nCONCLUSIONS: This study indicates that PCV7 may have an immunological advantage over 23vP in adults and that 23vP-induced depletion of memory and B1b-cell subsets may provide a basis for antibody hyporesponsiveness and the limited effectiveness of 23vP. Clinical Trials Registration. ISRCTN: 78768849.", "author" : [ { "dropping-particle" : "", "family" : "Clutterbuck", "given" : "Elizabeth A", "non-dropping-particle" : "", "parse-names" : false, "suffix" : "" }, { "dropping-particle" : "", "family" : "Lazarus", "given" : "Rajeka", "non-dropping-particle" : "", "parse-names" : false, "suffix" : "" }, { "dropping-particle" : "", "family" : "Yu", "given" : "Ly-Mee", "non-dropping-particle" : "", "parse-names" : false, "suffix" : "" }, { "dropping-particle" : "", "family" : "Bowman", "given" : "Jaclyn", "non-dropping-particle" : "", "parse-names" : false, "suffix" : "" }, { "dropping-particle" : "", "family" : "Bateman", "given" : "Elizabeth A L", "non-dropping-particle" : "", "parse-names" : false, "suffix" : "" }, { "dropping-particle" : "", "family" : "Diggle", "given" : "Linda", "non-dropping-particle" : "", "parse-names" : false, "suffix" : "" }, { "dropping-particle" : "", "family" : "Angus", "given" : "Brian", "non-dropping-particle" : "", "parse-names" : false, "suffix" : "" }, { "dropping-particle" : "", "family" : "Peto", "given" : "Tim E", "non-dropping-particle" : "", "parse-names" : false, "suffix" : "" }, { "dropping-particle" : "", "family" : "Beverley", "given" : "Peter C", "non-dropping-particle" : "", "parse-names" : false, "suffix" : "" }, { "dropping-particle" : "", "family" : "Mant", "given" : "David", "non-dropping-particle" : "", "parse-names" : false, "suffix" : "" }, { "dropping-particle" : "", "family" : "Pollard", "given" : "Andrew J", "non-dropping-particle" : "", "parse-names" : false, "suffix" : "" } ], "container-title" : "The Journal of infectious diseases", "id" : "ITEM-1", "issue" : "9", "issued" : { "date-parts" : [ [ "2012", "5", "1" ] ] }, "page" : "1408-16", "title" : "Pneumococcal conjugate and plain polysaccharide vaccines have divergent effects on antigen-specific B cells.", "type" : "article-journal", "volume" : "205" }, "uris" : [ "http://www.mendeley.com/documents/?uuid=78d172bd-14dd-409d-ae98-f44541edbe39" ] } ], "mendeley" : { "formattedCitation" : "&lt;sup&gt;12&lt;/sup&gt;", "plainTextFormattedCitation" : "12", "previouslyFormattedCitation" : "&lt;sup&gt;12&lt;/sup&gt;" }, "properties" : { "noteIndex" : 0 }, "schema" : "https://github.com/citation-style-language/schema/raw/master/csl-citation.json" }</w:instrText>
      </w:r>
      <w:r w:rsidR="009312A2"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12</w:t>
      </w:r>
      <w:r w:rsidR="009312A2" w:rsidRPr="0098329B">
        <w:rPr>
          <w:rFonts w:ascii="Times New Roman" w:hAnsi="Times New Roman" w:cs="Times New Roman"/>
        </w:rPr>
        <w:fldChar w:fldCharType="end"/>
      </w:r>
      <w:r w:rsidR="009312A2" w:rsidRPr="0098329B">
        <w:rPr>
          <w:rFonts w:ascii="Times New Roman" w:hAnsi="Times New Roman" w:cs="Times New Roman"/>
        </w:rPr>
        <w:t xml:space="preserve"> The conjugate vaccine </w:t>
      </w:r>
      <w:r w:rsidR="009A35C8" w:rsidRPr="0098329B">
        <w:rPr>
          <w:rFonts w:ascii="Times New Roman" w:hAnsi="Times New Roman" w:cs="Times New Roman"/>
        </w:rPr>
        <w:t>induced more</w:t>
      </w:r>
      <w:r w:rsidR="009312A2" w:rsidRPr="0098329B">
        <w:rPr>
          <w:rFonts w:ascii="Times New Roman" w:hAnsi="Times New Roman" w:cs="Times New Roman"/>
        </w:rPr>
        <w:t xml:space="preserve"> circulating serotype-specific memory B cells </w:t>
      </w:r>
      <w:r w:rsidR="00B60819" w:rsidRPr="0098329B">
        <w:rPr>
          <w:rFonts w:ascii="Times New Roman" w:hAnsi="Times New Roman" w:cs="Times New Roman"/>
        </w:rPr>
        <w:t>than the polysaccharide vaccine</w:t>
      </w:r>
      <w:r w:rsidR="00FC28BA">
        <w:rPr>
          <w:rFonts w:ascii="Times New Roman" w:hAnsi="Times New Roman" w:cs="Times New Roman"/>
        </w:rPr>
        <w:t>.</w:t>
      </w:r>
      <w:r w:rsidR="009312A2"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"DOI" : "10.1093/infdis/jis212", "ISSN" : "1537-6613", "PMID" : "22457293", "abstract" : "BACKGROUND: A 23-valent unconjugated pneumococcal polysaccharide vaccine (23vP), routinely administered at the age of 65, has limited effectiveness, and revaccination induces attenuated antibody responses. It is not known whether pneumococcal polysaccharide-protein conjugated vaccines (PCV), although highly effective in infants, offer any immunological advantages over 23vP in adults.\n\nMETHODS: We immunized adults with schedules combining both PCV and 23vP and investigated B-cell responses to establish whether PCV7 (a 7-valent PCV) induced T-dependent responses in adults, to assess the role of memory B cells in 23vP-induced antibody hyporesponsiveness, and to identify the B-cell subtypes involved.\n\nRESULTS: A single dose of PCV7 induced significant increases in serotype-specific memory B-cell populations in peripheral blood indicating a T-dependent response. Conversely, immunization with 23vP resulted in a decrease in memory B-cell frequency. Furthermore, memory B-cell responses to subsequent immunization with PCV7, when given after 23vP, were attenuated. Notably, B1b cells, a subset important in protecting mice against pneumococci, were also depleted following immunization with 23vP in humans.\n\nCONCLUSIONS: This study indicates that PCV7 may have an immunological advantage over 23vP in adults and that 23vP-induced depletion of memory and B1b-cell subsets may provide a basis for antibody hyporesponsiveness and the limited effectiveness of 23vP. Clinical Trials Registration. ISRCTN: 78768849.", "author" : [ { "dropping-particle" : "", "family" : "Clutterbuck", "given" : "Elizabeth A", "non-dropping-particle" : "", "parse-names" : false, "suffix" : "" }, { "dropping-particle" : "", "family" : "Lazarus", "given" : "Rajeka", "non-dropping-particle" : "", "parse-names" : false, "suffix" : "" }, { "dropping-particle" : "", "family" : "Yu", "given" : "Ly-Mee", "non-dropping-particle" : "", "parse-names" : false, "suffix" : "" }, { "dropping-particle" : "", "family" : "Bowman", "given" : "Jaclyn", "non-dropping-particle" : "", "parse-names" : false, "suffix" : "" }, { "dropping-particle" : "", "family" : "Bateman", "given" : "Elizabeth A L", "non-dropping-particle" : "", "parse-names" : false, "suffix" : "" }, { "dropping-particle" : "", "family" : "Diggle", "given" : "Linda", "non-dropping-particle" : "", "parse-names" : false, "suffix" : "" }, { "dropping-particle" : "", "family" : "Angus", "given" : "Brian", "non-dropping-particle" : "", "parse-names" : false, "suffix" : "" }, { "dropping-particle" : "", "family" : "Peto", "given" : "Tim E", "non-dropping-particle" : "", "parse-names" : false, "suffix" : "" }, { "dropping-particle" : "", "family" : "Beverley", "given" : "Peter C", "non-dropping-particle" : "", "parse-names" : false, "suffix" : "" }, { "dropping-particle" : "", "family" : "Mant", "given" : "David", "non-dropping-particle" : "", "parse-names" : false, "suffix" : "" }, { "dropping-particle" : "", "family" : "Pollard", "given" : "Andrew J", "non-dropping-particle" : "", "parse-names" : false, "suffix" : "" } ], "container-title" : "The Journal of infectious diseases", "id" : "ITEM-1", "issue" : "9", "issued" : { "date-parts" : [ [ "2012", "5", "1" ] ] }, "page" : "1408-16", "title" : "Pneumococcal conjugate and plain polysaccharide vaccines have divergent effects on antigen-specific B cells.", "type" : "article-journal", "volume" : "205" }, "uris" : [ "http://www.mendeley.com/documents/?uuid=78d172bd-14dd-409d-ae98-f44541edbe39" ] } ], "mendeley" : { "formattedCitation" : "&lt;sup&gt;12&lt;/sup&gt;", "plainTextFormattedCitation" : "12", "previouslyFormattedCitation" : "&lt;sup&gt;12&lt;/sup&gt;" }, "properties" : { "noteIndex" : 0 }, "schema" : "https://github.com/citation-style-language/schema/raw/master/csl-citation.json" }</w:instrText>
      </w:r>
      <w:r w:rsidR="009312A2"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12</w:t>
      </w:r>
      <w:r w:rsidR="009312A2" w:rsidRPr="0098329B">
        <w:rPr>
          <w:rFonts w:ascii="Times New Roman" w:hAnsi="Times New Roman" w:cs="Times New Roman"/>
        </w:rPr>
        <w:fldChar w:fldCharType="end"/>
      </w:r>
      <w:r w:rsidR="009312A2" w:rsidRPr="0098329B">
        <w:rPr>
          <w:rFonts w:ascii="Times New Roman" w:hAnsi="Times New Roman" w:cs="Times New Roman"/>
        </w:rPr>
        <w:t xml:space="preserve"> </w:t>
      </w:r>
      <w:r w:rsidR="00A4679F" w:rsidRPr="0098329B">
        <w:rPr>
          <w:rFonts w:ascii="Times New Roman" w:hAnsi="Times New Roman" w:cs="Times New Roman"/>
        </w:rPr>
        <w:t>However</w:t>
      </w:r>
      <w:r w:rsidR="00B60819" w:rsidRPr="0098329B">
        <w:rPr>
          <w:rFonts w:ascii="Times New Roman" w:hAnsi="Times New Roman" w:cs="Times New Roman"/>
        </w:rPr>
        <w:t xml:space="preserve">, despite </w:t>
      </w:r>
      <w:r w:rsidR="004C3A78" w:rsidRPr="0098329B">
        <w:rPr>
          <w:rFonts w:ascii="Times New Roman" w:hAnsi="Times New Roman" w:cs="Times New Roman"/>
        </w:rPr>
        <w:t xml:space="preserve">previous suggestion that </w:t>
      </w:r>
      <w:r w:rsidR="00B60819" w:rsidRPr="0098329B">
        <w:rPr>
          <w:rFonts w:ascii="Times New Roman" w:hAnsi="Times New Roman" w:cs="Times New Roman"/>
        </w:rPr>
        <w:t>polysaccharide</w:t>
      </w:r>
      <w:r w:rsidR="009312A2" w:rsidRPr="0098329B">
        <w:rPr>
          <w:rFonts w:ascii="Times New Roman" w:hAnsi="Times New Roman" w:cs="Times New Roman"/>
        </w:rPr>
        <w:t xml:space="preserve"> antigens stimulate </w:t>
      </w:r>
      <w:r w:rsidR="00791C14">
        <w:rPr>
          <w:rFonts w:ascii="Times New Roman" w:hAnsi="Times New Roman" w:cs="Times New Roman"/>
        </w:rPr>
        <w:t>MZ</w:t>
      </w:r>
      <w:r w:rsidR="009312A2" w:rsidRPr="0098329B">
        <w:rPr>
          <w:rFonts w:ascii="Times New Roman" w:hAnsi="Times New Roman" w:cs="Times New Roman"/>
        </w:rPr>
        <w:t xml:space="preserve"> B cells</w:t>
      </w:r>
      <w:r w:rsidR="00FC28BA">
        <w:rPr>
          <w:rFonts w:ascii="Times New Roman" w:hAnsi="Times New Roman" w:cs="Times New Roman"/>
        </w:rPr>
        <w:t>.</w:t>
      </w:r>
      <w:r w:rsidR="004C3A78"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"DOI" : "10.1146/annurev.immunol.021908.132607", "ISSN" : "0732-0582", "PMID" : "19302041", "abstract" : "Human marginal zone (MZ) B cells are, in a sense, a new entity. Although they share many properties with their mouse counterpart, they also display striking differences, such as the capacity to recirculate and the presence of somatic mutations in their B cell receptor. These differences are the reason they are often not considered a separate, rodent-like B cell lineage, but rather are considered IgM memory B cells. We review here our present knowledge concerning this subset and the arguments in favor of the proposition that humans have evolved for their MZ B cell compartment a separate B cell population that develops and diversifies its Ig receptor during ontogeny outside T-dependent or T-independent immune responses.", "author" : [ { "dropping-particle" : "", "family" : "Weill", "given" : "Jean-Claude", "non-dropping-particle" : "", "parse-names" : false, "suffix" : "" }, { "dropping-particle" : "", "family" : "Weller", "given" : "Sandra", "non-dropping-particle" : "", "parse-names" : false, "suffix" : "" }, { "dropping-particle" : "", "family" : "Reynaud", "given" : "Claude-Agn\u00e8s", "non-dropping-particle" : "", "parse-names" : false, "suffix" : "" } ], "container-title" : "Annual review of immunology", "id" : "ITEM-1", "issued" : { "date-parts" : [ [ "2009", "1" ] ] }, "page" : "267-85", "title" : "Human marginal zone B cells.", "type" : "article-journal", "volume" : "27" }, "uris" : [ "http://www.mendeley.com/documents/?uuid=1bb8aa7e-875c-4e42-8180-9d29d523ed6d" ] } ], "mendeley" : { "formattedCitation" : "&lt;sup&gt;13&lt;/sup&gt;", "plainTextFormattedCitation" : "13", "previouslyFormattedCitation" : "&lt;sup&gt;13&lt;/sup&gt;" }, "properties" : { "noteIndex" : 0 }, "schema" : "https://github.com/citation-style-language/schema/raw/master/csl-citation.json" }</w:instrText>
      </w:r>
      <w:r w:rsidR="004C3A78"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13</w:t>
      </w:r>
      <w:r w:rsidR="004C3A78" w:rsidRPr="0098329B">
        <w:rPr>
          <w:rFonts w:ascii="Times New Roman" w:hAnsi="Times New Roman" w:cs="Times New Roman"/>
        </w:rPr>
        <w:fldChar w:fldCharType="end"/>
      </w:r>
      <w:r w:rsidR="009312A2" w:rsidRPr="0098329B">
        <w:rPr>
          <w:rFonts w:ascii="Times New Roman" w:hAnsi="Times New Roman" w:cs="Times New Roman"/>
        </w:rPr>
        <w:t xml:space="preserve"> there was no difference seen in the frequency of serotype-specific </w:t>
      </w:r>
      <w:r w:rsidR="00791C14">
        <w:rPr>
          <w:rFonts w:ascii="Times New Roman" w:hAnsi="Times New Roman" w:cs="Times New Roman"/>
        </w:rPr>
        <w:t>MZ</w:t>
      </w:r>
      <w:r w:rsidR="009312A2" w:rsidRPr="0098329B">
        <w:rPr>
          <w:rFonts w:ascii="Times New Roman" w:hAnsi="Times New Roman" w:cs="Times New Roman"/>
        </w:rPr>
        <w:t xml:space="preserve"> B cells </w:t>
      </w:r>
      <w:r w:rsidR="001E1D4B" w:rsidRPr="0098329B">
        <w:rPr>
          <w:rFonts w:ascii="Times New Roman" w:hAnsi="Times New Roman" w:cs="Times New Roman"/>
        </w:rPr>
        <w:t xml:space="preserve">measured in peripheral blood </w:t>
      </w:r>
      <w:r w:rsidR="009312A2" w:rsidRPr="0098329B">
        <w:rPr>
          <w:rFonts w:ascii="Times New Roman" w:hAnsi="Times New Roman" w:cs="Times New Roman"/>
        </w:rPr>
        <w:t>after the two vaccines in this study, perhaps due to limitations in the sensitivity of the flow cytometry assay</w:t>
      </w:r>
      <w:r w:rsidR="00FC28BA">
        <w:rPr>
          <w:rFonts w:ascii="Times New Roman" w:hAnsi="Times New Roman" w:cs="Times New Roman"/>
        </w:rPr>
        <w:t>.</w:t>
      </w:r>
      <w:r w:rsidR="009312A2" w:rsidRPr="0098329B">
        <w:rPr>
          <w:rFonts w:ascii="Times New Roman" w:hAnsi="Times New Roman" w:cs="Times New Roman"/>
        </w:rPr>
        <w:fldChar w:fldCharType="begin" w:fldLock="1"/>
      </w:r>
      <w:r w:rsidR="00545CC1">
        <w:rPr>
          <w:rFonts w:ascii="Times New Roman" w:hAnsi="Times New Roman" w:cs="Times New Roman"/>
        </w:rPr>
        <w:instrText>ADDIN CSL_CITATION { "citationItems" : [ { "id" : "ITEM-1", "itemData" : { "DOI" : "10.1093/infdis/jis212", "ISSN" : "1537-6613", "PMID" : "22457293", "abstract" : "BACKGROUND: A 23-valent unconjugated pneumococcal polysaccharide vaccine (23vP), routinely administered at the age of 65, has limited effectiveness, and revaccination induces attenuated antibody responses. It is not known whether pneumococcal polysaccharide-protein conjugated vaccines (PCV), although highly effective in infants, offer any immunological advantages over 23vP in adults.\n\nMETHODS: We immunized adults with schedules combining both PCV and 23vP and investigated B-cell responses to establish whether PCV7 (a 7-valent PCV) induced T-dependent responses in adults, to assess the role of memory B cells in 23vP-induced antibody hyporesponsiveness, and to identify the B-cell subtypes involved.\n\nRESULTS: A single dose of PCV7 induced significant increases in serotype-specific memory B-cell populations in peripheral blood indicating a T-dependent response. Conversely, immunization with 23vP resulted in a decrease in memory B-cell frequency. Furthermore, memory B-cell responses to subsequent immunization with PCV7, when given after 23vP, were attenuated. Notably, B1b cells, a subset important in protecting mice against pneumococci, were also depleted following immunization with 23vP in humans.\n\nCONCLUSIONS: This study indicates that PCV7 may have an immunological advantage over 23vP in adults and that 23vP-induced depletion of memory and B1b-cell subsets may provide a basis for antibody hyporesponsiveness and the limited effectiveness of 23vP. Clinical Trials Registration. ISRCTN: 78768849.", "author" : [ { "dropping-particle" : "", "family" : "Clutterbuck", "given" : "Elizabeth A", "non-dropping-particle" : "", "parse-names" : false, "suffix" : "" }, { "dropping-particle" : "", "family" : "Lazarus", "given" : "Rajeka", "non-dropping-particle" : "", "parse-names" : false, "suffix" : "" }, { "dropping-particle" : "", "family" : "Yu", "given" : "Ly-Mee", "non-dropping-particle" : "", "parse-names" : false, "suffix" : "" }, { "dropping-particle" : "", "family" : "Bowman", "given" : "Jaclyn", "non-dropping-particle" : "", "parse-names" : false, "suffix" : "" }, { "dropping-particle" : "", "family" : "Bateman", "given" : "Elizabeth A L", "non-dropping-particle" : "", "parse-names" : false, "suffix" : "" }, { "dropping-particle" : "", "family" : "Diggle", "given" : "Linda", "non-dropping-particle" : "", "parse-names" : false, "suffix" : "" }, { "dropping-particle" : "", "family" : "Angus", "given" : "Brian", "non-dropping-particle" : "", "parse-names" : false, "suffix" : "" }, { "dropping-particle" : "", "family" : "Peto", "given" : "Tim E", "non-dropping-particle" : "", "parse-names" : false, "suffix" : "" }, { "dropping-particle" : "", "family" : "Beverley", "given" : "Peter C", "non-dropping-particle" : "", "parse-names" : false, "suffix" : "" }, { "dropping-particle" : "", "family" : "Mant", "given" : "David", "non-dropping-particle" : "", "parse-names" : false, "suffix" : "" }, { "dropping-particle" : "", "family" : "Pollard", "given" : "Andrew J", "non-dropping-particle" : "", "parse-names" : false, "suffix" : "" } ], "container-title" : "The Journal of infectious diseases", "id" : "ITEM-1", "issue" : "9", "issued" : { "date-parts" : [ [ "2012", "5", "1" ] ] }, "page" : "1408-16", "title" : "Pneumococcal conjugate and plain polysaccharide vaccines have divergent effects on antigen-specific B cells.", "type" : "article-journal", "volume" : "205" }, "uris" : [ "http://www.mendeley.com/documents/?uuid=78d172bd-14dd-409d-ae98-f44541edbe39" ] } ], "mendeley" : { "formattedCitation" : "&lt;sup&gt;12&lt;/sup&gt;", "plainTextFormattedCitation" : "12", "previouslyFormattedCitation" : "&lt;sup&gt;12&lt;/sup&gt;" }, "properties" : { "noteIndex" : 0 }, "schema" : "https://github.com/citation-style-language/schema/raw/master/csl-citation.json" }</w:instrText>
      </w:r>
      <w:r w:rsidR="009312A2" w:rsidRPr="0098329B">
        <w:rPr>
          <w:rFonts w:ascii="Times New Roman" w:hAnsi="Times New Roman" w:cs="Times New Roman"/>
        </w:rPr>
        <w:fldChar w:fldCharType="separate"/>
      </w:r>
      <w:r w:rsidR="00545CC1" w:rsidRPr="00545CC1">
        <w:rPr>
          <w:rFonts w:ascii="Times New Roman" w:hAnsi="Times New Roman" w:cs="Times New Roman"/>
          <w:noProof/>
          <w:vertAlign w:val="superscript"/>
        </w:rPr>
        <w:t>12</w:t>
      </w:r>
      <w:r w:rsidR="009312A2" w:rsidRPr="0098329B">
        <w:rPr>
          <w:rFonts w:ascii="Times New Roman" w:hAnsi="Times New Roman" w:cs="Times New Roman"/>
        </w:rPr>
        <w:fldChar w:fldCharType="end"/>
      </w:r>
    </w:p>
    <w:p w14:paraId="402E6DC6" w14:textId="30AAE548" w:rsidR="00346A74" w:rsidRDefault="00B60819" w:rsidP="00842988">
      <w:pPr>
        <w:spacing w:line="480" w:lineRule="auto"/>
        <w:ind w:firstLine="720"/>
        <w:jc w:val="both"/>
        <w:rPr>
          <w:rFonts w:ascii="Times New Roman" w:hAnsi="Times New Roman" w:cs="Times New Roman"/>
        </w:rPr>
      </w:pPr>
      <w:r w:rsidRPr="0098329B">
        <w:rPr>
          <w:rFonts w:ascii="Times New Roman" w:hAnsi="Times New Roman" w:cs="Times New Roman"/>
        </w:rPr>
        <w:t xml:space="preserve">We sought to </w:t>
      </w:r>
      <w:r w:rsidR="001E1D4B" w:rsidRPr="0098329B">
        <w:rPr>
          <w:rFonts w:ascii="Times New Roman" w:hAnsi="Times New Roman" w:cs="Times New Roman"/>
        </w:rPr>
        <w:t xml:space="preserve">determine </w:t>
      </w:r>
      <w:r w:rsidRPr="0098329B">
        <w:rPr>
          <w:rFonts w:ascii="Times New Roman" w:hAnsi="Times New Roman" w:cs="Times New Roman"/>
        </w:rPr>
        <w:t xml:space="preserve">the utility of </w:t>
      </w:r>
      <w:r w:rsidR="008A62A0">
        <w:rPr>
          <w:rFonts w:ascii="Times New Roman" w:hAnsi="Times New Roman" w:cs="Times New Roman"/>
        </w:rPr>
        <w:t>BCR</w:t>
      </w:r>
      <w:r w:rsidR="00535FAE" w:rsidRPr="0098329B">
        <w:rPr>
          <w:rFonts w:ascii="Times New Roman" w:hAnsi="Times New Roman" w:cs="Times New Roman"/>
        </w:rPr>
        <w:t xml:space="preserve"> </w:t>
      </w:r>
      <w:r w:rsidR="00B15E54">
        <w:rPr>
          <w:rFonts w:ascii="Times New Roman" w:hAnsi="Times New Roman" w:cs="Times New Roman"/>
        </w:rPr>
        <w:t xml:space="preserve">heavy chain </w:t>
      </w:r>
      <w:r w:rsidRPr="0098329B">
        <w:rPr>
          <w:rFonts w:ascii="Times New Roman" w:hAnsi="Times New Roman" w:cs="Times New Roman"/>
        </w:rPr>
        <w:t xml:space="preserve">repertoire sequencing as </w:t>
      </w:r>
      <w:r w:rsidR="00FB4B26" w:rsidRPr="0098329B">
        <w:rPr>
          <w:rFonts w:ascii="Times New Roman" w:hAnsi="Times New Roman" w:cs="Times New Roman"/>
        </w:rPr>
        <w:t xml:space="preserve">a </w:t>
      </w:r>
      <w:r w:rsidRPr="0098329B">
        <w:rPr>
          <w:rFonts w:ascii="Times New Roman" w:hAnsi="Times New Roman" w:cs="Times New Roman"/>
        </w:rPr>
        <w:t xml:space="preserve">tool for </w:t>
      </w:r>
      <w:r w:rsidR="001E1D4B" w:rsidRPr="0098329B">
        <w:rPr>
          <w:rFonts w:ascii="Times New Roman" w:hAnsi="Times New Roman" w:cs="Times New Roman"/>
        </w:rPr>
        <w:t xml:space="preserve">investigating </w:t>
      </w:r>
      <w:r w:rsidRPr="0098329B">
        <w:rPr>
          <w:rFonts w:ascii="Times New Roman" w:hAnsi="Times New Roman" w:cs="Times New Roman"/>
        </w:rPr>
        <w:t>vaccine response</w:t>
      </w:r>
      <w:r w:rsidR="00A530DE" w:rsidRPr="0098329B">
        <w:rPr>
          <w:rFonts w:ascii="Times New Roman" w:hAnsi="Times New Roman" w:cs="Times New Roman"/>
        </w:rPr>
        <w:t>s</w:t>
      </w:r>
      <w:r w:rsidR="00593F71" w:rsidRPr="0098329B">
        <w:rPr>
          <w:rFonts w:ascii="Times New Roman" w:hAnsi="Times New Roman" w:cs="Times New Roman"/>
        </w:rPr>
        <w:t>,</w:t>
      </w:r>
      <w:r w:rsidRPr="0098329B">
        <w:rPr>
          <w:rFonts w:ascii="Times New Roman" w:hAnsi="Times New Roman" w:cs="Times New Roman"/>
        </w:rPr>
        <w:t xml:space="preserve"> using </w:t>
      </w:r>
      <w:r w:rsidR="00B04E54" w:rsidRPr="0098329B">
        <w:rPr>
          <w:rFonts w:ascii="Times New Roman" w:hAnsi="Times New Roman" w:cs="Times New Roman"/>
        </w:rPr>
        <w:t xml:space="preserve">meningococcal </w:t>
      </w:r>
      <w:r w:rsidRPr="0098329B">
        <w:rPr>
          <w:rFonts w:ascii="Times New Roman" w:hAnsi="Times New Roman" w:cs="Times New Roman"/>
        </w:rPr>
        <w:t xml:space="preserve">ACWY </w:t>
      </w:r>
      <w:r w:rsidR="00A530DE" w:rsidRPr="0098329B">
        <w:rPr>
          <w:rFonts w:ascii="Times New Roman" w:hAnsi="Times New Roman" w:cs="Times New Roman"/>
        </w:rPr>
        <w:t xml:space="preserve">polysaccharide and conjugate </w:t>
      </w:r>
      <w:r w:rsidRPr="0098329B">
        <w:rPr>
          <w:rFonts w:ascii="Times New Roman" w:hAnsi="Times New Roman" w:cs="Times New Roman"/>
        </w:rPr>
        <w:t>vaccination as a model system.</w:t>
      </w:r>
      <w:r w:rsidR="009863E4" w:rsidRPr="0098329B">
        <w:rPr>
          <w:rFonts w:ascii="Times New Roman" w:hAnsi="Times New Roman" w:cs="Times New Roman"/>
        </w:rPr>
        <w:t xml:space="preserve"> </w:t>
      </w:r>
      <w:r w:rsidR="001155FD" w:rsidRPr="0098329B">
        <w:rPr>
          <w:rFonts w:ascii="Times New Roman" w:hAnsi="Times New Roman" w:cs="Times New Roman"/>
        </w:rPr>
        <w:t xml:space="preserve">We immunized individuals with either a polysaccharide </w:t>
      </w:r>
      <w:r w:rsidR="00315E72" w:rsidRPr="0098329B">
        <w:rPr>
          <w:rFonts w:ascii="Times New Roman" w:hAnsi="Times New Roman" w:cs="Times New Roman"/>
        </w:rPr>
        <w:t xml:space="preserve">or conjugate </w:t>
      </w:r>
      <w:r w:rsidR="007F65CB" w:rsidRPr="0098329B">
        <w:rPr>
          <w:rFonts w:ascii="Times New Roman" w:hAnsi="Times New Roman" w:cs="Times New Roman"/>
        </w:rPr>
        <w:t>vaccine</w:t>
      </w:r>
      <w:r w:rsidR="00E338D9" w:rsidRPr="0098329B">
        <w:rPr>
          <w:rFonts w:ascii="Times New Roman" w:hAnsi="Times New Roman" w:cs="Times New Roman"/>
        </w:rPr>
        <w:t>, followed by a</w:t>
      </w:r>
      <w:r w:rsidR="001E1D4B" w:rsidRPr="0098329B">
        <w:rPr>
          <w:rFonts w:ascii="Times New Roman" w:hAnsi="Times New Roman" w:cs="Times New Roman"/>
        </w:rPr>
        <w:t xml:space="preserve"> further immunization with a</w:t>
      </w:r>
      <w:r w:rsidR="00E7539A" w:rsidRPr="0098329B">
        <w:rPr>
          <w:rFonts w:ascii="Times New Roman" w:hAnsi="Times New Roman" w:cs="Times New Roman"/>
        </w:rPr>
        <w:t xml:space="preserve"> conjugate vaccine 4 weeks later</w:t>
      </w:r>
      <w:r w:rsidR="000E53A6" w:rsidRPr="0098329B">
        <w:rPr>
          <w:rFonts w:ascii="Times New Roman" w:hAnsi="Times New Roman" w:cs="Times New Roman"/>
        </w:rPr>
        <w:t xml:space="preserve"> (Fig. 1)</w:t>
      </w:r>
      <w:r w:rsidR="00E7539A" w:rsidRPr="0098329B">
        <w:rPr>
          <w:rFonts w:ascii="Times New Roman" w:hAnsi="Times New Roman" w:cs="Times New Roman"/>
        </w:rPr>
        <w:t xml:space="preserve">. We </w:t>
      </w:r>
      <w:r w:rsidR="00315E72" w:rsidRPr="0098329B">
        <w:rPr>
          <w:rFonts w:ascii="Times New Roman" w:hAnsi="Times New Roman" w:cs="Times New Roman"/>
        </w:rPr>
        <w:t xml:space="preserve">isolated </w:t>
      </w:r>
      <w:r w:rsidR="00A606B2" w:rsidRPr="0098329B">
        <w:rPr>
          <w:rFonts w:ascii="Times New Roman" w:hAnsi="Times New Roman" w:cs="Times New Roman"/>
        </w:rPr>
        <w:t>n</w:t>
      </w:r>
      <w:r w:rsidR="00E7539A" w:rsidRPr="0098329B">
        <w:rPr>
          <w:rFonts w:ascii="Times New Roman" w:hAnsi="Times New Roman" w:cs="Times New Roman"/>
        </w:rPr>
        <w:t xml:space="preserve">aïve, </w:t>
      </w:r>
      <w:r w:rsidR="00791C14">
        <w:rPr>
          <w:rFonts w:ascii="Times New Roman" w:hAnsi="Times New Roman" w:cs="Times New Roman"/>
        </w:rPr>
        <w:t>MZ</w:t>
      </w:r>
      <w:r w:rsidR="00E7539A" w:rsidRPr="0098329B">
        <w:rPr>
          <w:rFonts w:ascii="Times New Roman" w:hAnsi="Times New Roman" w:cs="Times New Roman"/>
        </w:rPr>
        <w:t>, IgM memory and</w:t>
      </w:r>
      <w:r w:rsidR="00A606B2" w:rsidRPr="0098329B">
        <w:rPr>
          <w:rFonts w:ascii="Times New Roman" w:hAnsi="Times New Roman" w:cs="Times New Roman"/>
        </w:rPr>
        <w:t xml:space="preserve"> IgG memory</w:t>
      </w:r>
      <w:r w:rsidR="00E7539A" w:rsidRPr="0098329B">
        <w:rPr>
          <w:rFonts w:ascii="Times New Roman" w:hAnsi="Times New Roman" w:cs="Times New Roman"/>
        </w:rPr>
        <w:t xml:space="preserve"> baseline B cell subsets, in addition to</w:t>
      </w:r>
      <w:r w:rsidR="003E5D12" w:rsidRPr="0098329B">
        <w:rPr>
          <w:rFonts w:ascii="Times New Roman" w:hAnsi="Times New Roman" w:cs="Times New Roman"/>
        </w:rPr>
        <w:t xml:space="preserve"> </w:t>
      </w:r>
      <w:r w:rsidR="0033414C" w:rsidRPr="0098329B">
        <w:rPr>
          <w:rFonts w:ascii="Times New Roman" w:hAnsi="Times New Roman" w:cs="Times New Roman"/>
        </w:rPr>
        <w:t>PC</w:t>
      </w:r>
      <w:r w:rsidR="00E7539A" w:rsidRPr="0098329B">
        <w:rPr>
          <w:rFonts w:ascii="Times New Roman" w:hAnsi="Times New Roman" w:cs="Times New Roman"/>
        </w:rPr>
        <w:t>s 7 days after each vaccination</w:t>
      </w:r>
      <w:r w:rsidR="00202E0F" w:rsidRPr="0098329B">
        <w:rPr>
          <w:rFonts w:ascii="Times New Roman" w:hAnsi="Times New Roman" w:cs="Times New Roman"/>
        </w:rPr>
        <w:t xml:space="preserve"> (Fig. S1)</w:t>
      </w:r>
      <w:r w:rsidR="00E7539A" w:rsidRPr="00354432">
        <w:rPr>
          <w:rFonts w:ascii="Times New Roman" w:hAnsi="Times New Roman" w:cs="Times New Roman"/>
        </w:rPr>
        <w:t xml:space="preserve">. </w:t>
      </w:r>
      <w:r w:rsidR="00B97772" w:rsidRPr="00354432">
        <w:rPr>
          <w:rFonts w:ascii="Times New Roman" w:hAnsi="Times New Roman" w:cs="Times New Roman"/>
        </w:rPr>
        <w:t xml:space="preserve">This time point was chosen as </w:t>
      </w:r>
      <w:r w:rsidR="00C94644">
        <w:rPr>
          <w:rFonts w:ascii="Times New Roman" w:hAnsi="Times New Roman" w:cs="Times New Roman"/>
        </w:rPr>
        <w:t>previous work from our laboratory using the same vaccine regime has shown the presence of</w:t>
      </w:r>
      <w:r w:rsidR="002F02EC">
        <w:rPr>
          <w:rFonts w:ascii="Times New Roman" w:hAnsi="Times New Roman" w:cs="Times New Roman"/>
        </w:rPr>
        <w:t xml:space="preserve"> significant numbers of</w:t>
      </w:r>
      <w:r w:rsidR="00C94644">
        <w:rPr>
          <w:rFonts w:ascii="Times New Roman" w:hAnsi="Times New Roman" w:cs="Times New Roman"/>
        </w:rPr>
        <w:t xml:space="preserve"> antigen-specific </w:t>
      </w:r>
      <w:r w:rsidR="00E50F57">
        <w:rPr>
          <w:rFonts w:ascii="Times New Roman" w:hAnsi="Times New Roman" w:cs="Times New Roman"/>
        </w:rPr>
        <w:t>PC</w:t>
      </w:r>
      <w:r w:rsidR="00C94644">
        <w:rPr>
          <w:rFonts w:ascii="Times New Roman" w:hAnsi="Times New Roman" w:cs="Times New Roman"/>
        </w:rPr>
        <w:t>s 7 days after both vaccine doses</w:t>
      </w:r>
      <w:r w:rsidR="00C94644">
        <w:rPr>
          <w:rFonts w:ascii="Times New Roman" w:hAnsi="Times New Roman" w:cs="Times New Roman"/>
        </w:rPr>
        <w:fldChar w:fldCharType="begin" w:fldLock="1"/>
      </w:r>
      <w:r w:rsidR="00AA78CC">
        <w:rPr>
          <w:rFonts w:ascii="Times New Roman" w:hAnsi="Times New Roman" w:cs="Times New Roman"/>
        </w:rPr>
        <w:instrText>ADDIN CSL_CITATION { "citationItems" : [ { "id" : "ITEM-1", "itemData" : { "author" : [ { "dropping-particle" : "", "family" : "Ramasamy", "given" : "Maheshi", "non-dropping-particle" : "", "parse-names" : false, "suffix" : "" } ], "container-title" : "PhD Thesis. University of Oxford, UK", "id" : "ITEM-1", "issued" : { "date-parts" : [ [ "2012" ] ] }, "title" : "B cell responses to conjugate and polysaccharide meningococcal vaccines", "type" : "article-journal" }, "uris" : [ "http://www.mendeley.com/documents/?uuid=ae21a340-7b49-4413-b7db-027a61536a19" ] } ], "mendeley" : { "formattedCitation" : "&lt;sup&gt;14&lt;/sup&gt;", "plainTextFormattedCitation" : "14", "previouslyFormattedCitation" : "&lt;sup&gt;14&lt;/sup&gt;" }, "properties" : { "noteIndex" : 0 }, "schema" : "https://github.com/citation-style-language/schema/raw/master/csl-citation.json" }</w:instrText>
      </w:r>
      <w:r w:rsidR="00C94644">
        <w:rPr>
          <w:rFonts w:ascii="Times New Roman" w:hAnsi="Times New Roman" w:cs="Times New Roman"/>
        </w:rPr>
        <w:fldChar w:fldCharType="separate"/>
      </w:r>
      <w:r w:rsidR="00E50F57" w:rsidRPr="00E50F57">
        <w:rPr>
          <w:rFonts w:ascii="Times New Roman" w:hAnsi="Times New Roman" w:cs="Times New Roman"/>
          <w:noProof/>
          <w:vertAlign w:val="superscript"/>
        </w:rPr>
        <w:t>14</w:t>
      </w:r>
      <w:r w:rsidR="00C94644">
        <w:rPr>
          <w:rFonts w:ascii="Times New Roman" w:hAnsi="Times New Roman" w:cs="Times New Roman"/>
        </w:rPr>
        <w:fldChar w:fldCharType="end"/>
      </w:r>
      <w:r w:rsidR="00C94644">
        <w:rPr>
          <w:rFonts w:ascii="Times New Roman" w:hAnsi="Times New Roman" w:cs="Times New Roman"/>
        </w:rPr>
        <w:t>, and induction of effective antibody responses in both groups</w:t>
      </w:r>
      <w:r w:rsidR="00E50F57">
        <w:rPr>
          <w:rFonts w:ascii="Times New Roman" w:hAnsi="Times New Roman" w:cs="Times New Roman"/>
        </w:rPr>
        <w:t>.</w:t>
      </w:r>
      <w:r w:rsidR="00E50F57">
        <w:rPr>
          <w:rFonts w:ascii="Times New Roman" w:hAnsi="Times New Roman" w:cs="Times New Roman"/>
        </w:rPr>
        <w:fldChar w:fldCharType="begin" w:fldLock="1"/>
      </w:r>
      <w:r w:rsidR="009E482F">
        <w:rPr>
          <w:rFonts w:ascii="Times New Roman" w:hAnsi="Times New Roman" w:cs="Times New Roman"/>
        </w:rPr>
        <w:instrText>ADDIN CSL_CITATION { "citationItems" : [ { "id" : "ITEM-1", "itemData" : { "DOI" : "10.1128/CVI.00099-14", "author" : [ { "dropping-particle" : "", "family" : "Ramasamy", "given" : "Maheshi N", "non-dropping-particle" : "", "parse-names" : false, "suffix" : "" }, { "dropping-particle" : "", "family" : "Clutterbuck", "given" : "Elizabeth A", "non-dropping-particle" : "", "parse-names" : false, "suffix" : "" }, { "dropping-particle" : "", "family" : "Bowman", "given" : "Jaclyn", "non-dropping-particle" : "", "parse-names" : false, "suffix" : "" }, { "dropping-particle" : "", "family" : "Omar", "given" : "Omar", "non-dropping-particle" : "", "parse-names" : false, "suffix" : "" }, { "dropping-particle" : "", "family" : "Amber", "given" : "J", "non-dropping-particle" : "", "parse-names" : false, "suffix" : "" }, { "dropping-particle" : "", "family" : "Blanchard-rohner", "given" : "Geraldine", "non-dropping-particle" : "", "parse-names" : false, "suffix" : "" }, { "dropping-particle" : "", "family" : "Yu", "given" : "Ly-mee", "non-dropping-particle" : "", "parse-names" : false, "suffix" : "" }, { "dropping-particle" : "", "family" : "Snape", "given" : "Matthew D", "non-dropping-particle" : "", "parse-names" : false, "suffix" : "" }, { "dropping-particle" : "", "family" : "Pollard", "given" : "Andrew J", "non-dropping-particle" : "", "parse-names" : false, "suffix" : "" } ], "container-title" : "Clinical and vaccine immunology : CVI", "id" : "ITEM-1", "issue" : "8", "issued" : { "date-parts" : [ [ "2014" ] ] }, "page" : "1164-8", "title" : "United Kingdom Randomized Clinical Trial To Evaluate the Immunogenicity of Quadrivalent Meningococcal Conjugate and Polysaccharide Vaccines", "type" : "article-journal", "volume" : "21" }, "uris" : [ "http://www.mendeley.com/documents/?uuid=81371195-d5fd-4ce9-9184-4984cb6c33f1" ] } ], "mendeley" : { "formattedCitation" : "&lt;sup&gt;15&lt;/sup&gt;", "plainTextFormattedCitation" : "15", "previouslyFormattedCitation" : "&lt;sup&gt;15&lt;/sup&gt;" }, "properties" : { "noteIndex" : 0 }, "schema" : "https://github.com/citation-style-language/schema/raw/master/csl-citation.json" }</w:instrText>
      </w:r>
      <w:r w:rsidR="00E50F57">
        <w:rPr>
          <w:rFonts w:ascii="Times New Roman" w:hAnsi="Times New Roman" w:cs="Times New Roman"/>
        </w:rPr>
        <w:fldChar w:fldCharType="separate"/>
      </w:r>
      <w:r w:rsidR="00E50F57" w:rsidRPr="00E50F57">
        <w:rPr>
          <w:rFonts w:ascii="Times New Roman" w:hAnsi="Times New Roman" w:cs="Times New Roman"/>
          <w:noProof/>
          <w:vertAlign w:val="superscript"/>
        </w:rPr>
        <w:t>15</w:t>
      </w:r>
      <w:r w:rsidR="00E50F57">
        <w:rPr>
          <w:rFonts w:ascii="Times New Roman" w:hAnsi="Times New Roman" w:cs="Times New Roman"/>
        </w:rPr>
        <w:fldChar w:fldCharType="end"/>
      </w:r>
      <w:r w:rsidR="00C94644">
        <w:rPr>
          <w:rFonts w:ascii="Times New Roman" w:hAnsi="Times New Roman" w:cs="Times New Roman"/>
        </w:rPr>
        <w:t xml:space="preserve"> </w:t>
      </w:r>
      <w:r w:rsidR="002F02EC">
        <w:rPr>
          <w:rFonts w:ascii="Times New Roman" w:hAnsi="Times New Roman" w:cs="Times New Roman"/>
        </w:rPr>
        <w:t>Hence</w:t>
      </w:r>
      <w:r w:rsidR="002A5DBE">
        <w:rPr>
          <w:rFonts w:ascii="Times New Roman" w:hAnsi="Times New Roman" w:cs="Times New Roman"/>
        </w:rPr>
        <w:t>,</w:t>
      </w:r>
      <w:r w:rsidR="002F02EC">
        <w:rPr>
          <w:rFonts w:ascii="Times New Roman" w:hAnsi="Times New Roman" w:cs="Times New Roman"/>
        </w:rPr>
        <w:t xml:space="preserve"> sorting </w:t>
      </w:r>
      <w:r w:rsidR="00D766E7">
        <w:rPr>
          <w:rFonts w:ascii="Times New Roman" w:hAnsi="Times New Roman" w:cs="Times New Roman"/>
        </w:rPr>
        <w:t>PCs</w:t>
      </w:r>
      <w:r w:rsidR="002F02EC">
        <w:rPr>
          <w:rFonts w:ascii="Times New Roman" w:hAnsi="Times New Roman" w:cs="Times New Roman"/>
        </w:rPr>
        <w:t xml:space="preserve"> at this time point would capture a population </w:t>
      </w:r>
      <w:r w:rsidR="00D766E7">
        <w:rPr>
          <w:rFonts w:ascii="Times New Roman" w:hAnsi="Times New Roman" w:cs="Times New Roman"/>
        </w:rPr>
        <w:t>enriched for</w:t>
      </w:r>
      <w:r w:rsidR="002F02EC">
        <w:rPr>
          <w:rFonts w:ascii="Times New Roman" w:hAnsi="Times New Roman" w:cs="Times New Roman"/>
        </w:rPr>
        <w:t xml:space="preserve"> vaccine antigen-specific</w:t>
      </w:r>
      <w:r w:rsidR="00D766E7">
        <w:rPr>
          <w:rFonts w:ascii="Times New Roman" w:hAnsi="Times New Roman" w:cs="Times New Roman"/>
        </w:rPr>
        <w:t>ity</w:t>
      </w:r>
      <w:r w:rsidR="002F02EC">
        <w:rPr>
          <w:rFonts w:ascii="Times New Roman" w:hAnsi="Times New Roman" w:cs="Times New Roman"/>
        </w:rPr>
        <w:t xml:space="preserve">. </w:t>
      </w:r>
      <w:r w:rsidR="00E7539A" w:rsidRPr="00C04382">
        <w:rPr>
          <w:rFonts w:ascii="Times New Roman" w:hAnsi="Times New Roman" w:cs="Times New Roman"/>
        </w:rPr>
        <w:t>We</w:t>
      </w:r>
      <w:r w:rsidR="00935F88" w:rsidRPr="00F36532">
        <w:rPr>
          <w:rFonts w:ascii="Times New Roman" w:hAnsi="Times New Roman" w:cs="Times New Roman"/>
        </w:rPr>
        <w:t xml:space="preserve"> </w:t>
      </w:r>
      <w:r w:rsidR="00A463F3">
        <w:rPr>
          <w:rFonts w:ascii="Times New Roman" w:hAnsi="Times New Roman" w:cs="Times New Roman"/>
        </w:rPr>
        <w:t>further sorted</w:t>
      </w:r>
      <w:r w:rsidR="00D14A2D">
        <w:rPr>
          <w:rFonts w:ascii="Times New Roman" w:hAnsi="Times New Roman" w:cs="Times New Roman"/>
        </w:rPr>
        <w:t xml:space="preserve"> day 7 </w:t>
      </w:r>
      <w:r w:rsidR="0033414C" w:rsidRPr="00F36532">
        <w:rPr>
          <w:rFonts w:ascii="Times New Roman" w:hAnsi="Times New Roman" w:cs="Times New Roman"/>
        </w:rPr>
        <w:t>PC</w:t>
      </w:r>
      <w:r w:rsidR="00E7539A" w:rsidRPr="00F36532">
        <w:rPr>
          <w:rFonts w:ascii="Times New Roman" w:hAnsi="Times New Roman" w:cs="Times New Roman"/>
        </w:rPr>
        <w:t>s based on HLA-DR expression</w:t>
      </w:r>
      <w:r w:rsidR="00773ECA">
        <w:rPr>
          <w:rFonts w:ascii="Times New Roman" w:hAnsi="Times New Roman" w:cs="Times New Roman"/>
        </w:rPr>
        <w:t>,</w:t>
      </w:r>
      <w:r w:rsidR="00E338D9" w:rsidRPr="00F36532">
        <w:rPr>
          <w:rFonts w:ascii="Times New Roman" w:hAnsi="Times New Roman" w:cs="Times New Roman"/>
        </w:rPr>
        <w:t xml:space="preserve"> </w:t>
      </w:r>
      <w:r w:rsidR="00E7539A" w:rsidRPr="00F36532">
        <w:rPr>
          <w:rFonts w:ascii="Times New Roman" w:hAnsi="Times New Roman" w:cs="Times New Roman"/>
        </w:rPr>
        <w:t xml:space="preserve">to distinguish </w:t>
      </w:r>
      <w:r w:rsidR="003E5D12" w:rsidRPr="00F36532">
        <w:rPr>
          <w:rFonts w:ascii="Times New Roman" w:hAnsi="Times New Roman" w:cs="Times New Roman"/>
        </w:rPr>
        <w:t>recently activated</w:t>
      </w:r>
      <w:r w:rsidR="00D766E7">
        <w:rPr>
          <w:rFonts w:ascii="Times New Roman" w:hAnsi="Times New Roman" w:cs="Times New Roman"/>
        </w:rPr>
        <w:t xml:space="preserve"> </w:t>
      </w:r>
      <w:r w:rsidR="0033414C" w:rsidRPr="00F36532">
        <w:rPr>
          <w:rFonts w:ascii="Times New Roman" w:hAnsi="Times New Roman" w:cs="Times New Roman"/>
        </w:rPr>
        <w:t>PC</w:t>
      </w:r>
      <w:r w:rsidR="00E7539A" w:rsidRPr="00F36532">
        <w:rPr>
          <w:rFonts w:ascii="Times New Roman" w:hAnsi="Times New Roman" w:cs="Times New Roman"/>
        </w:rPr>
        <w:t>s</w:t>
      </w:r>
      <w:r w:rsidR="00773ECA">
        <w:rPr>
          <w:rFonts w:ascii="Times New Roman" w:hAnsi="Times New Roman" w:cs="Times New Roman"/>
        </w:rPr>
        <w:t xml:space="preserve"> </w:t>
      </w:r>
      <w:r w:rsidR="00773ECA" w:rsidRPr="00F36532">
        <w:rPr>
          <w:rFonts w:ascii="Times New Roman" w:hAnsi="Times New Roman" w:cs="Times New Roman"/>
        </w:rPr>
        <w:t>(HLA-DR+)</w:t>
      </w:r>
      <w:r w:rsidR="00773ECA">
        <w:rPr>
          <w:rFonts w:ascii="Times New Roman" w:hAnsi="Times New Roman" w:cs="Times New Roman"/>
        </w:rPr>
        <w:t xml:space="preserve"> likely to be enriched for vaccine </w:t>
      </w:r>
      <w:r w:rsidR="00773ECA">
        <w:rPr>
          <w:rFonts w:ascii="Times New Roman" w:hAnsi="Times New Roman" w:cs="Times New Roman"/>
        </w:rPr>
        <w:lastRenderedPageBreak/>
        <w:t xml:space="preserve">specificity, </w:t>
      </w:r>
      <w:r w:rsidR="00FB4B26" w:rsidRPr="00F36532">
        <w:rPr>
          <w:rFonts w:ascii="Times New Roman" w:hAnsi="Times New Roman" w:cs="Times New Roman"/>
        </w:rPr>
        <w:t xml:space="preserve">from </w:t>
      </w:r>
      <w:r w:rsidR="002E44A6">
        <w:rPr>
          <w:rFonts w:ascii="Times New Roman" w:hAnsi="Times New Roman" w:cs="Times New Roman"/>
        </w:rPr>
        <w:t xml:space="preserve">long-lived </w:t>
      </w:r>
      <w:r w:rsidR="0033414C" w:rsidRPr="00F36532">
        <w:rPr>
          <w:rFonts w:ascii="Times New Roman" w:hAnsi="Times New Roman" w:cs="Times New Roman"/>
        </w:rPr>
        <w:t>PC</w:t>
      </w:r>
      <w:r w:rsidR="00E7539A" w:rsidRPr="00F36532">
        <w:rPr>
          <w:rFonts w:ascii="Times New Roman" w:hAnsi="Times New Roman" w:cs="Times New Roman"/>
        </w:rPr>
        <w:t xml:space="preserve">s </w:t>
      </w:r>
      <w:r w:rsidR="00773ECA" w:rsidRPr="00F36532">
        <w:rPr>
          <w:rFonts w:ascii="Times New Roman" w:hAnsi="Times New Roman" w:cs="Times New Roman"/>
        </w:rPr>
        <w:t>(HLA-DR-)</w:t>
      </w:r>
      <w:r w:rsidR="00773ECA">
        <w:rPr>
          <w:rFonts w:ascii="Times New Roman" w:hAnsi="Times New Roman" w:cs="Times New Roman"/>
        </w:rPr>
        <w:t xml:space="preserve">, which are </w:t>
      </w:r>
      <w:r w:rsidR="00D766E7">
        <w:rPr>
          <w:rFonts w:ascii="Times New Roman" w:hAnsi="Times New Roman" w:cs="Times New Roman"/>
        </w:rPr>
        <w:t>considered to be displaced from the bone marrow by arrival of the newly generated PCs</w:t>
      </w:r>
      <w:r w:rsidR="003D1B9C">
        <w:rPr>
          <w:rFonts w:ascii="Times New Roman" w:hAnsi="Times New Roman" w:cs="Times New Roman"/>
        </w:rPr>
        <w:t xml:space="preserve"> and likely have a broader range of specificities</w:t>
      </w:r>
      <w:r w:rsidR="00773ECA">
        <w:rPr>
          <w:rFonts w:ascii="Times New Roman" w:hAnsi="Times New Roman" w:cs="Times New Roman"/>
        </w:rPr>
        <w:t>.</w:t>
      </w:r>
      <w:r w:rsidR="00B30045" w:rsidRPr="0098329B">
        <w:rPr>
          <w:rFonts w:ascii="Times New Roman" w:hAnsi="Times New Roman" w:cs="Times New Roman"/>
        </w:rPr>
        <w:fldChar w:fldCharType="begin" w:fldLock="1"/>
      </w:r>
      <w:r w:rsidR="00AA78CC">
        <w:rPr>
          <w:rFonts w:ascii="Times New Roman" w:hAnsi="Times New Roman" w:cs="Times New Roman"/>
        </w:rPr>
        <w:instrText>ADDIN CSL_CITATION { "citationItems" : [ { "id" : "ITEM-1", "itemData" : { "DOI" : "10.1182/blood-2004-07-2507", "ISSN" : "0006-4971", "PMID" : "15507523", "abstract" : "Maintenance of protective humoral immunity depends on the generation and survival of antibody-secreting cells. The bone marrow provides niches for long-term survival of plasma cells generated in the course of systemic immune responses in secondary lymphoid organs. Here, we have analyzed migratory human plasma blasts and plasma cells after secondary vaccination with tetanus toxin. On days 6 and 7 after immunization, CD19(+)/CD27(high)/intracellular immunoglobulin G(high) (IgG(high))/HLA-DR(high)/CD38(high)/CD20(-)/CD95(+) tetanus toxin-specific antibody-secreting plasma blasts were released in large numbers from the secondary lymphoid organs into the blood. These cells show chemotactic responsiveness toward ligands for CXCR3 and CXCR4, probably guiding them to the bone marrow or inflamed tissue. At the same time, a population of CD19(+)/CD27(high)/intracellular IgG(high)/HLA-DR(low)/CD38(+)/CD20(-)/CD95(+) cells appeared in the blood in large numbers. These cells, with the phenotype of long-lived plasma cells, secreted antibodies of unknown specificity, not tetanus toxoid. The appearance of these plasma cells in the blood indicates successful competition for survival niches in the bone marrow between newly generated plasma blasts and resident plasma cells as a fundamental mechanism for the establishment of humoral memory and its plasticity.", "author" : [ { "dropping-particle" : "", "family" : "Odendahl", "given" : "Marcus", "non-dropping-particle" : "", "parse-names" : false, "suffix" : "" }, { "dropping-particle" : "", "family" : "Mei", "given" : "Henrik", "non-dropping-particle" : "", "parse-names" : false, "suffix" : "" }, { "dropping-particle" : "", "family" : "Hoyer", "given" : "Bimba F", "non-dropping-particle" : "", "parse-names" : false, "suffix" : "" }, { "dropping-particle" : "", "family" : "Jacobi", "given" : "Annett M", "non-dropping-particle" : "", "parse-names" : false, "suffix" : "" }, { "dropping-particle" : "", "family" : "Hansen", "given" : "Arne", "non-dropping-particle" : "", "parse-names" : false, "suffix" : "" }, { "dropping-particle" : "", "family" : "Muehlinghaus", "given" : "Gwendolin", "non-dropping-particle" : "", "parse-names" : false, "suffix" : "" }, { "dropping-particle" : "", "family" : "Berek", "given" : "Claudia", "non-dropping-particle" : "", "parse-names" : false, "suffix" : "" }, { "dropping-particle" : "", "family" : "Hiepe", "given" : "Falk", "non-dropping-particle" : "", "parse-names" : false, "suffix" : "" }, { "dropping-particle" : "", "family" : "Manz", "given" : "Rudi", "non-dropping-particle" : "", "parse-names" : false, "suffix" : "" }, { "dropping-particle" : "", "family" : "Radbruch", "given" : "Andreas", "non-dropping-particle" : "", "parse-names" : false, "suffix" : "" }, { "dropping-particle" : "", "family" : "D\u00f6rner", "given" : "Thomas", "non-dropping-particle" : "", "parse-names" : false, "suffix" : "" } ], "container-title" : "Blood", "id" : "ITEM-1", "issue" : "4", "issued" : { "date-parts" : [ [ "2005", "2", "15" ] ] }, "page" : "1614-21", "title" : "Generation of migratory antigen-specific plasma blasts and mobilization of resident plasma cells in a secondary immune response", "type" : "article-journal", "volume" : "105" }, "uris" : [ "http://www.mendeley.com/documents/?uuid=8ebf7aca-23ff-4835-9cdc-99d02f488358" ] } ], "mendeley" : { "formattedCitation" : "&lt;sup&gt;16&lt;/sup&gt;", "plainTextFormattedCitation" : "16", "previouslyFormattedCitation" : "&lt;sup&gt;16&lt;/sup&gt;" }, "properties" : { "noteIndex" : 0 }, "schema" : "https://github.com/citation-style-language/schema/raw/master/csl-citation.json" }</w:instrText>
      </w:r>
      <w:r w:rsidR="00B30045" w:rsidRPr="0098329B">
        <w:rPr>
          <w:rFonts w:ascii="Times New Roman" w:hAnsi="Times New Roman" w:cs="Times New Roman"/>
        </w:rPr>
        <w:fldChar w:fldCharType="separate"/>
      </w:r>
      <w:r w:rsidR="00E50F57" w:rsidRPr="00E50F57">
        <w:rPr>
          <w:rFonts w:ascii="Times New Roman" w:hAnsi="Times New Roman" w:cs="Times New Roman"/>
          <w:noProof/>
          <w:vertAlign w:val="superscript"/>
        </w:rPr>
        <w:t>16</w:t>
      </w:r>
      <w:r w:rsidR="00B30045" w:rsidRPr="0098329B">
        <w:rPr>
          <w:rFonts w:ascii="Times New Roman" w:hAnsi="Times New Roman" w:cs="Times New Roman"/>
        </w:rPr>
        <w:fldChar w:fldCharType="end"/>
      </w:r>
      <w:r w:rsidR="00E7539A" w:rsidRPr="0098329B">
        <w:rPr>
          <w:rFonts w:ascii="Times New Roman" w:hAnsi="Times New Roman" w:cs="Times New Roman"/>
        </w:rPr>
        <w:t xml:space="preserve"> </w:t>
      </w:r>
      <w:r w:rsidR="00710406" w:rsidRPr="0098329B">
        <w:rPr>
          <w:rFonts w:ascii="Times New Roman" w:hAnsi="Times New Roman" w:cs="Times New Roman"/>
        </w:rPr>
        <w:t xml:space="preserve">Characterizing mutation levels, and IgG subclass usage of the </w:t>
      </w:r>
      <w:r w:rsidR="0033414C" w:rsidRPr="00354432">
        <w:rPr>
          <w:rFonts w:ascii="Times New Roman" w:hAnsi="Times New Roman" w:cs="Times New Roman"/>
        </w:rPr>
        <w:t>PC</w:t>
      </w:r>
      <w:r w:rsidR="00710406" w:rsidRPr="00354432">
        <w:rPr>
          <w:rFonts w:ascii="Times New Roman" w:hAnsi="Times New Roman" w:cs="Times New Roman"/>
        </w:rPr>
        <w:t xml:space="preserve"> sequences, </w:t>
      </w:r>
      <w:r w:rsidR="00036E24" w:rsidRPr="00354432">
        <w:rPr>
          <w:rFonts w:ascii="Times New Roman" w:hAnsi="Times New Roman" w:cs="Times New Roman"/>
        </w:rPr>
        <w:t>as well as relating them to the sequences of the ba</w:t>
      </w:r>
      <w:r w:rsidR="00A42994" w:rsidRPr="00354432">
        <w:rPr>
          <w:rFonts w:ascii="Times New Roman" w:hAnsi="Times New Roman" w:cs="Times New Roman"/>
        </w:rPr>
        <w:t>s</w:t>
      </w:r>
      <w:r w:rsidR="00036E24" w:rsidRPr="00354432">
        <w:rPr>
          <w:rFonts w:ascii="Times New Roman" w:hAnsi="Times New Roman" w:cs="Times New Roman"/>
        </w:rPr>
        <w:t>eline B cell</w:t>
      </w:r>
      <w:r w:rsidR="00A42994" w:rsidRPr="00354432">
        <w:rPr>
          <w:rFonts w:ascii="Times New Roman" w:hAnsi="Times New Roman" w:cs="Times New Roman"/>
        </w:rPr>
        <w:t xml:space="preserve"> subsets</w:t>
      </w:r>
      <w:r w:rsidR="00593F71" w:rsidRPr="00354432">
        <w:rPr>
          <w:rFonts w:ascii="Times New Roman" w:hAnsi="Times New Roman" w:cs="Times New Roman"/>
        </w:rPr>
        <w:t>,</w:t>
      </w:r>
      <w:r w:rsidR="00A42994" w:rsidRPr="00354432">
        <w:rPr>
          <w:rFonts w:ascii="Times New Roman" w:hAnsi="Times New Roman" w:cs="Times New Roman"/>
        </w:rPr>
        <w:t xml:space="preserve"> </w:t>
      </w:r>
      <w:r w:rsidR="001F5485" w:rsidRPr="00354432">
        <w:rPr>
          <w:rFonts w:ascii="Times New Roman" w:hAnsi="Times New Roman" w:cs="Times New Roman"/>
        </w:rPr>
        <w:t xml:space="preserve">allowed us to determine the B cell subsets involved in the response to the two vaccines, and </w:t>
      </w:r>
      <w:r w:rsidR="00FB4B26" w:rsidRPr="00354432">
        <w:rPr>
          <w:rFonts w:ascii="Times New Roman" w:hAnsi="Times New Roman" w:cs="Times New Roman"/>
        </w:rPr>
        <w:t xml:space="preserve">to </w:t>
      </w:r>
      <w:r w:rsidR="001F5485" w:rsidRPr="00C04382">
        <w:rPr>
          <w:rFonts w:ascii="Times New Roman" w:hAnsi="Times New Roman" w:cs="Times New Roman"/>
        </w:rPr>
        <w:t>distinguish T-independent from T-depend</w:t>
      </w:r>
      <w:r w:rsidR="001F5485" w:rsidRPr="00F36532">
        <w:rPr>
          <w:rFonts w:ascii="Times New Roman" w:hAnsi="Times New Roman" w:cs="Times New Roman"/>
        </w:rPr>
        <w:t>ent responses</w:t>
      </w:r>
      <w:r w:rsidR="00842988" w:rsidRPr="00F36532">
        <w:rPr>
          <w:rFonts w:ascii="Times New Roman" w:hAnsi="Times New Roman" w:cs="Times New Roman"/>
        </w:rPr>
        <w:t>.</w:t>
      </w:r>
    </w:p>
    <w:p w14:paraId="17F2348A" w14:textId="503629B5" w:rsidR="00842988" w:rsidRPr="00F36532" w:rsidRDefault="00842988" w:rsidP="00842988">
      <w:pPr>
        <w:spacing w:line="480" w:lineRule="auto"/>
        <w:ind w:firstLine="720"/>
        <w:jc w:val="both"/>
        <w:rPr>
          <w:rFonts w:ascii="Times New Roman" w:hAnsi="Times New Roman" w:cs="Times New Roman"/>
        </w:rPr>
      </w:pPr>
      <w:r w:rsidRPr="00F36532">
        <w:rPr>
          <w:rFonts w:ascii="Times New Roman" w:hAnsi="Times New Roman" w:cs="Times New Roman"/>
        </w:rPr>
        <w:br w:type="page"/>
      </w:r>
    </w:p>
    <w:p w14:paraId="34FECFC8" w14:textId="3412EC12" w:rsidR="00CA7BD4" w:rsidRPr="00354432" w:rsidRDefault="0066096E" w:rsidP="009B41EB">
      <w:pPr>
        <w:pStyle w:val="Heading1"/>
      </w:pPr>
      <w:r w:rsidRPr="00354432">
        <w:lastRenderedPageBreak/>
        <w:t>Results</w:t>
      </w:r>
    </w:p>
    <w:p w14:paraId="1AA28776" w14:textId="3713ED94" w:rsidR="00F3151E" w:rsidRPr="00F36532" w:rsidRDefault="00E61F13" w:rsidP="009B41EB">
      <w:pPr>
        <w:pStyle w:val="Heading2"/>
        <w:rPr>
          <w:rFonts w:ascii="Times New Roman" w:hAnsi="Times New Roman"/>
        </w:rPr>
      </w:pPr>
      <w:r w:rsidRPr="00354432">
        <w:rPr>
          <w:rFonts w:ascii="Times New Roman" w:hAnsi="Times New Roman"/>
        </w:rPr>
        <w:t xml:space="preserve">Cell sorting </w:t>
      </w:r>
    </w:p>
    <w:p w14:paraId="448075FE" w14:textId="071225AC" w:rsidR="00E513EC" w:rsidRPr="008A4B25" w:rsidRDefault="009B41EB" w:rsidP="009B41EB">
      <w:pPr>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Nine participants were enrolled into the study; four were assigned to the conjugate group, and five to the polysaccharide group (Fig. 1). </w:t>
      </w:r>
      <w:r w:rsidR="00761774" w:rsidRPr="008A4B25">
        <w:rPr>
          <w:rFonts w:ascii="Times New Roman" w:hAnsi="Times New Roman" w:cs="Times New Roman"/>
          <w:color w:val="000000" w:themeColor="text1"/>
        </w:rPr>
        <w:t>Fluorescence-activated cell sorting w</w:t>
      </w:r>
      <w:r w:rsidR="00D92A5D" w:rsidRPr="008A4B25">
        <w:rPr>
          <w:rFonts w:ascii="Times New Roman" w:hAnsi="Times New Roman" w:cs="Times New Roman"/>
          <w:color w:val="000000" w:themeColor="text1"/>
        </w:rPr>
        <w:t>as used to isolate baseline CD19+ B cell subsets</w:t>
      </w:r>
      <w:r w:rsidR="00761774" w:rsidRPr="008A4B25">
        <w:rPr>
          <w:rFonts w:ascii="Times New Roman" w:hAnsi="Times New Roman" w:cs="Times New Roman"/>
          <w:color w:val="000000" w:themeColor="text1"/>
        </w:rPr>
        <w:t xml:space="preserve"> bearing cell surface markers characteristic of naïve (CD27-, IgM+, IgD+), </w:t>
      </w:r>
      <w:r w:rsidR="008D7F00" w:rsidRPr="008A4B25">
        <w:rPr>
          <w:rFonts w:ascii="Times New Roman" w:hAnsi="Times New Roman" w:cs="Times New Roman"/>
          <w:color w:val="000000" w:themeColor="text1"/>
        </w:rPr>
        <w:t xml:space="preserve">circulating </w:t>
      </w:r>
      <w:r w:rsidR="00761774" w:rsidRPr="008A4B25">
        <w:rPr>
          <w:rFonts w:ascii="Times New Roman" w:hAnsi="Times New Roman" w:cs="Times New Roman"/>
          <w:color w:val="000000" w:themeColor="text1"/>
        </w:rPr>
        <w:t>MZ (CD27+, IgM+, IgD+)</w:t>
      </w:r>
      <w:r w:rsidR="00BC1372"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"10.1182/blood-2004-01-0346", "ISSN" : "0006-4971", "PMID" : "15191950", "abstract" : "The human peripheral B-cell compartment displays a large population of immunoglobulin M-positive, immunoglobulin D-positive CD27(+) (IgM(+)IgD(+)CD27(+)) \"memory\" B cells carrying a mutated immunoglobulin receptor. By means of phenotypic analysis, complementarity-determining region 3 (CDR3) spectratyping during a T-independent response, and gene-expression profiling of the different blood and splenic B-cell subsets, we show here that blood IgM(+)IgD(+)CD27(+) cells correspond to circulating splenic marginal zone B cells. Furthermore, analysis of this peripheral subset in healthy children younger than 2 years shows that these B cells develop and mutate their immunoglobulin receptor during ontogeny, prior to their differentiation into T-independent antigen-responsive cells. It is therefore proposed that these IgM(+)IgD(+)CD27(+) B cells provide the splenic marginal zone with a diversified and protective preimmune repertoire in charge of the responses against encapsulated bacteria.", "author" : [ { "dropping-particle" : "", "family" : "Weller", "given" : "Sandra", "non-dropping-particle" : "", "parse-names" : false, "suffix" : "" }, { "dropping-particle" : "", "family" : "Braun", "given" : "Moritz C", "non-dropping-particle" : "", "parse-names" : false, "suffix" : "" }, { "dropping-particle" : "", "family" : "Tan", "given" : "Bruce K", "non-dropping-particle" : "", "parse-names" : false, "suffix" : "" }, { "dropping-particle" : "", "family" : "Rosenwald", "given" : "Andreas", "non-dropping-particle" : "", "parse-names" : false, "suffix" : "" }, { "dropping-particle" : "", "family" : "Cordier", "given" : "Corinne", "non-dropping-particle" : "", "parse-names" : false, "suffix" : "" }, { "dropping-particle" : "", "family" : "Conley", "given" : "Mary Ellen", "non-dropping-particle" : "", "parse-names" : false, "suffix" : "" }, { "dropping-particle" : "", "family" : "Plebani", "given" : "Alessandro", "non-dropping-particle" : "", "parse-names" : false, "suffix" : "" }, { "dropping-particle" : "", "family" : "Kumararatne", "given" : "Dinakhanta S", "non-dropping-particle" : "", "parse-names" : false, "suffix" : "" }, { "dropping-particle" : "", "family" : "Bonnet", "given" : "Damien", "non-dropping-particle" : "", "parse-names" : false, "suffix" : "" }, { "dropping-particle" : "", "family" : "Tournilhac", "given" : "Olivier", "non-dropping-particle" : "", "parse-names" : false, "suffix" : "" }, { "dropping-particle" : "", "family" : "Tchernia", "given" : "Gil", "non-dropping-particle" : "", "parse-names" : false, "suffix" : "" }, { "dropping-particle" : "", "family" : "Steiniger", "given" : "Birte", "non-dropping-particle" : "", "parse-names" : false, "suffix" : "" }, { "dropping-particle" : "", "family" : "Staudt", "given" : "Louis M", "non-dropping-particle" : "", "parse-names" : false, "suffix" : "" }, { "dropping-particle" : "", "family" : "Casanova", "given" : "Jean-Laurent", "non-dropping-particle" : "", "parse-names" : false, "suffix" : "" }, { "dropping-particle" : "", "family" : "Reynaud", "given" : "Claude-Agn\u00e8s", "non-dropping-particle" : "", "parse-names" : false, "suffix" : "" }, { "dropping-particle" : "", "family" : "Weill", "given" : "Jean-Claude", "non-dropping-particle" : "", "parse-names" : false, "suffix" : "" } ], "container-title" : "Blood", "id" : "ITEM-1", "issue" : "12", "issued" : { "date-parts" : [ [ "2004", "12", "1" ] ] }, "page" : "3647-54", "title" : "Human blood IgM \"memory\" B cells are circulating splenic marginal zone B cells harboring a prediversified immunoglobulin repertoire.", "type" : "article-journal", "volume" : "104" }, "uris" : [ "http://www.mendeley.com/documents/?uuid=2edecdde-d67b-4eb8-a14f-51b298328bc3" ] } ], "mendeley" : { "formattedCitation" : "&lt;sup&gt;17&lt;/sup&gt;", "plainTextFormattedCitation" : "17" }, "properties" : { "noteIndex" : 0 }, "schema" : "https://github.com/citation-style-language/schema/raw/master/csl-citation.json" }</w:instrText>
      </w:r>
      <w:r w:rsidR="00BC1372"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17</w:t>
      </w:r>
      <w:r w:rsidR="00BC1372" w:rsidRPr="008A4B25">
        <w:rPr>
          <w:rFonts w:ascii="Times New Roman" w:hAnsi="Times New Roman" w:cs="Times New Roman"/>
          <w:color w:val="000000" w:themeColor="text1"/>
        </w:rPr>
        <w:fldChar w:fldCharType="end"/>
      </w:r>
      <w:r w:rsidR="00761774" w:rsidRPr="008A4B25">
        <w:rPr>
          <w:rFonts w:ascii="Times New Roman" w:hAnsi="Times New Roman" w:cs="Times New Roman"/>
          <w:color w:val="000000" w:themeColor="text1"/>
        </w:rPr>
        <w:t>, IgM</w:t>
      </w:r>
      <w:r w:rsidR="008D7F00" w:rsidRPr="008A4B25">
        <w:rPr>
          <w:rFonts w:ascii="Times New Roman" w:hAnsi="Times New Roman" w:cs="Times New Roman"/>
          <w:color w:val="000000" w:themeColor="text1"/>
        </w:rPr>
        <w:t xml:space="preserve"> (only)</w:t>
      </w:r>
      <w:r w:rsidR="00761774" w:rsidRPr="008A4B25">
        <w:rPr>
          <w:rFonts w:ascii="Times New Roman" w:hAnsi="Times New Roman" w:cs="Times New Roman"/>
          <w:color w:val="000000" w:themeColor="text1"/>
        </w:rPr>
        <w:t xml:space="preserve"> memory (</w:t>
      </w:r>
      <w:r w:rsidR="0091732F" w:rsidRPr="008A4B25">
        <w:rPr>
          <w:rFonts w:ascii="Times New Roman" w:hAnsi="Times New Roman" w:cs="Times New Roman"/>
          <w:color w:val="000000" w:themeColor="text1"/>
        </w:rPr>
        <w:t>CD27+, IgM+, IgD-)</w:t>
      </w:r>
      <w:r w:rsidR="00133288" w:rsidRPr="008A4B25">
        <w:rPr>
          <w:rFonts w:ascii="Times New Roman" w:hAnsi="Times New Roman" w:cs="Times New Roman"/>
          <w:color w:val="000000" w:themeColor="text1"/>
        </w:rPr>
        <w:t xml:space="preserve"> and</w:t>
      </w:r>
      <w:r w:rsidR="00761774" w:rsidRPr="008A4B25">
        <w:rPr>
          <w:rFonts w:ascii="Times New Roman" w:hAnsi="Times New Roman" w:cs="Times New Roman"/>
          <w:color w:val="000000" w:themeColor="text1"/>
        </w:rPr>
        <w:t xml:space="preserve"> </w:t>
      </w:r>
      <w:r w:rsidR="008D7F00" w:rsidRPr="008A4B25">
        <w:rPr>
          <w:rFonts w:ascii="Times New Roman" w:hAnsi="Times New Roman" w:cs="Times New Roman"/>
          <w:color w:val="000000" w:themeColor="text1"/>
        </w:rPr>
        <w:t xml:space="preserve">switched </w:t>
      </w:r>
      <w:r w:rsidR="00761774" w:rsidRPr="008A4B25">
        <w:rPr>
          <w:rFonts w:ascii="Times New Roman" w:hAnsi="Times New Roman" w:cs="Times New Roman"/>
          <w:color w:val="000000" w:themeColor="text1"/>
        </w:rPr>
        <w:t>IgG memory (</w:t>
      </w:r>
      <w:r w:rsidR="0091732F" w:rsidRPr="008A4B25">
        <w:rPr>
          <w:rFonts w:ascii="Times New Roman" w:hAnsi="Times New Roman" w:cs="Times New Roman"/>
          <w:color w:val="000000" w:themeColor="text1"/>
        </w:rPr>
        <w:t>CD27+, IgM-, IgD-</w:t>
      </w:r>
      <w:r w:rsidR="00761774" w:rsidRPr="008A4B25">
        <w:rPr>
          <w:rFonts w:ascii="Times New Roman" w:hAnsi="Times New Roman" w:cs="Times New Roman"/>
          <w:color w:val="000000" w:themeColor="text1"/>
        </w:rPr>
        <w:t>)</w:t>
      </w:r>
      <w:r w:rsidR="00133288" w:rsidRPr="008A4B25">
        <w:rPr>
          <w:rFonts w:ascii="Times New Roman" w:hAnsi="Times New Roman" w:cs="Times New Roman"/>
          <w:color w:val="000000" w:themeColor="text1"/>
        </w:rPr>
        <w:t xml:space="preserve"> </w:t>
      </w:r>
      <w:r w:rsidR="00D92A5D" w:rsidRPr="008A4B25">
        <w:rPr>
          <w:rFonts w:ascii="Times New Roman" w:hAnsi="Times New Roman" w:cs="Times New Roman"/>
          <w:color w:val="000000" w:themeColor="text1"/>
        </w:rPr>
        <w:t>for five participants</w:t>
      </w:r>
      <w:r w:rsidR="00C637D8" w:rsidRPr="008A4B25">
        <w:rPr>
          <w:rFonts w:ascii="Times New Roman" w:hAnsi="Times New Roman" w:cs="Times New Roman"/>
          <w:color w:val="000000" w:themeColor="text1"/>
        </w:rPr>
        <w:t xml:space="preserve"> at Visit 1 (Day 0)</w:t>
      </w:r>
      <w:r w:rsidR="00133288" w:rsidRPr="008A4B25">
        <w:rPr>
          <w:rFonts w:ascii="Times New Roman" w:hAnsi="Times New Roman" w:cs="Times New Roman"/>
          <w:color w:val="000000" w:themeColor="text1"/>
        </w:rPr>
        <w:t xml:space="preserve">. </w:t>
      </w:r>
      <w:r w:rsidR="00D92A5D" w:rsidRPr="008A4B25">
        <w:rPr>
          <w:rFonts w:ascii="Times New Roman" w:hAnsi="Times New Roman" w:cs="Times New Roman"/>
          <w:color w:val="000000" w:themeColor="text1"/>
        </w:rPr>
        <w:t xml:space="preserve">The sorting failed for the other four participants (2 from each vaccine group), so these subsets were sorted at Visit 3 (Day 28) instead, </w:t>
      </w:r>
      <w:r w:rsidRPr="008A4B25">
        <w:rPr>
          <w:rFonts w:ascii="Times New Roman" w:hAnsi="Times New Roman" w:cs="Times New Roman"/>
          <w:color w:val="000000" w:themeColor="text1"/>
        </w:rPr>
        <w:t>and treated as baseline</w:t>
      </w:r>
      <w:r w:rsidR="00D92A5D" w:rsidRPr="008A4B25">
        <w:rPr>
          <w:rFonts w:ascii="Times New Roman" w:hAnsi="Times New Roman" w:cs="Times New Roman"/>
          <w:color w:val="000000" w:themeColor="text1"/>
        </w:rPr>
        <w:t>.</w:t>
      </w:r>
      <w:r w:rsidRPr="008A4B25">
        <w:rPr>
          <w:rFonts w:ascii="Times New Roman" w:hAnsi="Times New Roman" w:cs="Times New Roman"/>
          <w:color w:val="000000" w:themeColor="text1"/>
        </w:rPr>
        <w:t xml:space="preserve"> </w:t>
      </w:r>
      <w:r w:rsidR="00761774" w:rsidRPr="008A4B25">
        <w:rPr>
          <w:rFonts w:ascii="Times New Roman" w:hAnsi="Times New Roman" w:cs="Times New Roman"/>
          <w:color w:val="000000" w:themeColor="text1"/>
        </w:rPr>
        <w:t>HLA-DR+ PCs (</w:t>
      </w:r>
      <w:r w:rsidR="0091732F" w:rsidRPr="008A4B25">
        <w:rPr>
          <w:rFonts w:ascii="Times New Roman" w:hAnsi="Times New Roman" w:cs="Times New Roman"/>
          <w:color w:val="000000" w:themeColor="text1"/>
        </w:rPr>
        <w:t>CD20-, CD27+, CD38+, HLA-DR+</w:t>
      </w:r>
      <w:r w:rsidR="00761774" w:rsidRPr="008A4B25">
        <w:rPr>
          <w:rFonts w:ascii="Times New Roman" w:hAnsi="Times New Roman" w:cs="Times New Roman"/>
          <w:color w:val="000000" w:themeColor="text1"/>
        </w:rPr>
        <w:t>) and HLA-DR- PCs (</w:t>
      </w:r>
      <w:r w:rsidR="0091732F" w:rsidRPr="008A4B25">
        <w:rPr>
          <w:rFonts w:ascii="Times New Roman" w:hAnsi="Times New Roman" w:cs="Times New Roman"/>
          <w:color w:val="000000" w:themeColor="text1"/>
        </w:rPr>
        <w:t>CD20-, CD27+, CD38+, HLA-DR-</w:t>
      </w:r>
      <w:r w:rsidR="00761774" w:rsidRPr="008A4B25">
        <w:rPr>
          <w:rFonts w:ascii="Times New Roman" w:hAnsi="Times New Roman" w:cs="Times New Roman"/>
          <w:color w:val="000000" w:themeColor="text1"/>
        </w:rPr>
        <w:t>)</w:t>
      </w:r>
      <w:r w:rsidRPr="008A4B25">
        <w:rPr>
          <w:rFonts w:ascii="Times New Roman" w:hAnsi="Times New Roman" w:cs="Times New Roman"/>
          <w:color w:val="000000" w:themeColor="text1"/>
        </w:rPr>
        <w:t xml:space="preserve"> </w:t>
      </w:r>
      <w:r w:rsidR="008C125E" w:rsidRPr="008A4B25">
        <w:rPr>
          <w:rFonts w:ascii="Times New Roman" w:hAnsi="Times New Roman" w:cs="Times New Roman"/>
          <w:color w:val="000000" w:themeColor="text1"/>
        </w:rPr>
        <w:t xml:space="preserve">were successfully sorted </w:t>
      </w:r>
      <w:r w:rsidRPr="008A4B25">
        <w:rPr>
          <w:rFonts w:ascii="Times New Roman" w:hAnsi="Times New Roman" w:cs="Times New Roman"/>
          <w:color w:val="000000" w:themeColor="text1"/>
        </w:rPr>
        <w:t xml:space="preserve">at Visit 2 (Day 7), and HLA-DR+ PCs at Visit 4 (Day </w:t>
      </w:r>
      <w:r w:rsidR="008C125E" w:rsidRPr="008A4B25">
        <w:rPr>
          <w:rFonts w:ascii="Times New Roman" w:hAnsi="Times New Roman" w:cs="Times New Roman"/>
          <w:color w:val="000000" w:themeColor="text1"/>
        </w:rPr>
        <w:t>35; day 7 after second vaccine) from all participants</w:t>
      </w:r>
      <w:r w:rsidR="00761774"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The mean number of sorted cells </w:t>
      </w:r>
      <w:r w:rsidR="00A6663C" w:rsidRPr="008A4B25">
        <w:rPr>
          <w:rFonts w:ascii="Times New Roman" w:hAnsi="Times New Roman" w:cs="Times New Roman"/>
          <w:color w:val="000000" w:themeColor="text1"/>
        </w:rPr>
        <w:t xml:space="preserve">per sample </w:t>
      </w:r>
      <w:r w:rsidR="00E513EC" w:rsidRPr="008A4B25">
        <w:rPr>
          <w:rFonts w:ascii="Times New Roman" w:hAnsi="Times New Roman" w:cs="Times New Roman"/>
          <w:color w:val="000000" w:themeColor="text1"/>
        </w:rPr>
        <w:t>was 75</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900 </w:t>
      </w:r>
      <w:r w:rsidR="002D7BA8" w:rsidRPr="008A4B25">
        <w:rPr>
          <w:rFonts w:ascii="Times New Roman" w:hAnsi="Times New Roman" w:cs="Times New Roman"/>
          <w:color w:val="000000" w:themeColor="text1"/>
        </w:rPr>
        <w:t>(</w:t>
      </w:r>
      <w:r w:rsidR="00002281" w:rsidRPr="008A4B25">
        <w:rPr>
          <w:rFonts w:ascii="Times New Roman" w:hAnsi="Times New Roman" w:cs="Times New Roman"/>
          <w:color w:val="000000" w:themeColor="text1"/>
        </w:rPr>
        <w:t xml:space="preserve">12 </w:t>
      </w:r>
      <w:r w:rsidR="0031156D" w:rsidRPr="008A4B25">
        <w:rPr>
          <w:rFonts w:ascii="Times New Roman" w:hAnsi="Times New Roman" w:cs="Times New Roman"/>
          <w:color w:val="000000" w:themeColor="text1"/>
        </w:rPr>
        <w:t>000 –</w:t>
      </w:r>
      <w:r w:rsidR="00002281" w:rsidRPr="008A4B25">
        <w:rPr>
          <w:rFonts w:ascii="Times New Roman" w:hAnsi="Times New Roman" w:cs="Times New Roman"/>
          <w:color w:val="000000" w:themeColor="text1"/>
        </w:rPr>
        <w:t xml:space="preserve"> 140 </w:t>
      </w:r>
      <w:r w:rsidR="0031156D" w:rsidRPr="008A4B25">
        <w:rPr>
          <w:rFonts w:ascii="Times New Roman" w:hAnsi="Times New Roman" w:cs="Times New Roman"/>
          <w:color w:val="000000" w:themeColor="text1"/>
        </w:rPr>
        <w:t>000</w:t>
      </w:r>
      <w:r w:rsidR="002D7BA8"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for naïve cells, 6</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753 </w:t>
      </w:r>
      <w:r w:rsidR="00B66C56" w:rsidRPr="008A4B25">
        <w:rPr>
          <w:rFonts w:ascii="Times New Roman" w:hAnsi="Times New Roman" w:cs="Times New Roman"/>
          <w:color w:val="000000" w:themeColor="text1"/>
        </w:rPr>
        <w:t>(</w:t>
      </w:r>
      <w:r w:rsidR="00002281" w:rsidRPr="008A4B25">
        <w:rPr>
          <w:rFonts w:ascii="Times New Roman" w:hAnsi="Times New Roman" w:cs="Times New Roman"/>
          <w:color w:val="000000" w:themeColor="text1"/>
        </w:rPr>
        <w:t xml:space="preserve">1 </w:t>
      </w:r>
      <w:r w:rsidR="0031156D" w:rsidRPr="008A4B25">
        <w:rPr>
          <w:rFonts w:ascii="Times New Roman" w:hAnsi="Times New Roman" w:cs="Times New Roman"/>
          <w:color w:val="000000" w:themeColor="text1"/>
        </w:rPr>
        <w:t>224 –</w:t>
      </w:r>
      <w:r w:rsidR="00002281" w:rsidRPr="008A4B25">
        <w:rPr>
          <w:rFonts w:ascii="Times New Roman" w:hAnsi="Times New Roman" w:cs="Times New Roman"/>
          <w:color w:val="000000" w:themeColor="text1"/>
        </w:rPr>
        <w:t xml:space="preserve"> 19 </w:t>
      </w:r>
      <w:r w:rsidR="0031156D" w:rsidRPr="008A4B25">
        <w:rPr>
          <w:rFonts w:ascii="Times New Roman" w:hAnsi="Times New Roman" w:cs="Times New Roman"/>
          <w:color w:val="000000" w:themeColor="text1"/>
        </w:rPr>
        <w:t>000</w:t>
      </w:r>
      <w:r w:rsidR="00B66C56"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for </w:t>
      </w:r>
      <w:r w:rsidR="00791C14" w:rsidRPr="008A4B25">
        <w:rPr>
          <w:rFonts w:ascii="Times New Roman" w:hAnsi="Times New Roman" w:cs="Times New Roman"/>
          <w:color w:val="000000" w:themeColor="text1"/>
        </w:rPr>
        <w:t>MZ</w:t>
      </w:r>
      <w:r w:rsidR="00E513EC" w:rsidRPr="008A4B25">
        <w:rPr>
          <w:rFonts w:ascii="Times New Roman" w:hAnsi="Times New Roman" w:cs="Times New Roman"/>
          <w:color w:val="000000" w:themeColor="text1"/>
        </w:rPr>
        <w:t xml:space="preserve"> cells, 8</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070 </w:t>
      </w:r>
      <w:r w:rsidR="00B66C56" w:rsidRPr="008A4B25">
        <w:rPr>
          <w:rFonts w:ascii="Times New Roman" w:hAnsi="Times New Roman" w:cs="Times New Roman"/>
          <w:color w:val="000000" w:themeColor="text1"/>
        </w:rPr>
        <w:t>(</w:t>
      </w:r>
      <w:r w:rsidR="00002281" w:rsidRPr="008A4B25">
        <w:rPr>
          <w:rFonts w:ascii="Times New Roman" w:hAnsi="Times New Roman" w:cs="Times New Roman"/>
          <w:color w:val="000000" w:themeColor="text1"/>
        </w:rPr>
        <w:t xml:space="preserve">1 </w:t>
      </w:r>
      <w:r w:rsidR="0031156D" w:rsidRPr="008A4B25">
        <w:rPr>
          <w:rFonts w:ascii="Times New Roman" w:hAnsi="Times New Roman" w:cs="Times New Roman"/>
          <w:color w:val="000000" w:themeColor="text1"/>
        </w:rPr>
        <w:t>888 –</w:t>
      </w:r>
      <w:r w:rsidR="00002281" w:rsidRPr="008A4B25">
        <w:rPr>
          <w:rFonts w:ascii="Times New Roman" w:hAnsi="Times New Roman" w:cs="Times New Roman"/>
          <w:color w:val="000000" w:themeColor="text1"/>
        </w:rPr>
        <w:t xml:space="preserve"> 19 </w:t>
      </w:r>
      <w:r w:rsidR="0031156D" w:rsidRPr="008A4B25">
        <w:rPr>
          <w:rFonts w:ascii="Times New Roman" w:hAnsi="Times New Roman" w:cs="Times New Roman"/>
          <w:color w:val="000000" w:themeColor="text1"/>
        </w:rPr>
        <w:t>000</w:t>
      </w:r>
      <w:r w:rsidR="00B66C56"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for IgM memory cells, 27</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145 </w:t>
      </w:r>
      <w:r w:rsidR="00B66C56" w:rsidRPr="008A4B25">
        <w:rPr>
          <w:rFonts w:ascii="Times New Roman" w:hAnsi="Times New Roman" w:cs="Times New Roman"/>
          <w:color w:val="000000" w:themeColor="text1"/>
        </w:rPr>
        <w:t>(</w:t>
      </w:r>
      <w:r w:rsidR="00002281" w:rsidRPr="008A4B25">
        <w:rPr>
          <w:rFonts w:ascii="Times New Roman" w:hAnsi="Times New Roman" w:cs="Times New Roman"/>
          <w:color w:val="000000" w:themeColor="text1"/>
        </w:rPr>
        <w:t xml:space="preserve">2 </w:t>
      </w:r>
      <w:r w:rsidR="0031156D" w:rsidRPr="008A4B25">
        <w:rPr>
          <w:rFonts w:ascii="Times New Roman" w:hAnsi="Times New Roman" w:cs="Times New Roman"/>
          <w:color w:val="000000" w:themeColor="text1"/>
        </w:rPr>
        <w:t>940 –</w:t>
      </w:r>
      <w:r w:rsidR="00002281" w:rsidRPr="008A4B25">
        <w:rPr>
          <w:rFonts w:ascii="Times New Roman" w:hAnsi="Times New Roman" w:cs="Times New Roman"/>
          <w:color w:val="000000" w:themeColor="text1"/>
        </w:rPr>
        <w:t xml:space="preserve"> 100 </w:t>
      </w:r>
      <w:r w:rsidR="0031156D" w:rsidRPr="008A4B25">
        <w:rPr>
          <w:rFonts w:ascii="Times New Roman" w:hAnsi="Times New Roman" w:cs="Times New Roman"/>
          <w:color w:val="000000" w:themeColor="text1"/>
        </w:rPr>
        <w:t>000</w:t>
      </w:r>
      <w:r w:rsidR="00B66C56"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for IgG memory cells, 6</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101 </w:t>
      </w:r>
      <w:r w:rsidR="00B66C56" w:rsidRPr="008A4B25">
        <w:rPr>
          <w:rFonts w:ascii="Times New Roman" w:hAnsi="Times New Roman" w:cs="Times New Roman"/>
          <w:color w:val="000000" w:themeColor="text1"/>
        </w:rPr>
        <w:t>(</w:t>
      </w:r>
      <w:r w:rsidR="0031156D" w:rsidRPr="008A4B25">
        <w:rPr>
          <w:rFonts w:ascii="Times New Roman" w:hAnsi="Times New Roman" w:cs="Times New Roman"/>
          <w:color w:val="000000" w:themeColor="text1"/>
        </w:rPr>
        <w:t>110 –</w:t>
      </w:r>
      <w:r w:rsidR="00002281" w:rsidRPr="008A4B25">
        <w:rPr>
          <w:rFonts w:ascii="Times New Roman" w:hAnsi="Times New Roman" w:cs="Times New Roman"/>
          <w:color w:val="000000" w:themeColor="text1"/>
        </w:rPr>
        <w:t xml:space="preserve"> 50 </w:t>
      </w:r>
      <w:r w:rsidR="0031156D" w:rsidRPr="008A4B25">
        <w:rPr>
          <w:rFonts w:ascii="Times New Roman" w:hAnsi="Times New Roman" w:cs="Times New Roman"/>
          <w:color w:val="000000" w:themeColor="text1"/>
        </w:rPr>
        <w:t>000</w:t>
      </w:r>
      <w:r w:rsidR="00B66C56"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for HLA-DR+ </w:t>
      </w:r>
      <w:r w:rsidR="0033414C" w:rsidRPr="008A4B25">
        <w:rPr>
          <w:rFonts w:ascii="Times New Roman" w:hAnsi="Times New Roman" w:cs="Times New Roman"/>
          <w:color w:val="000000" w:themeColor="text1"/>
        </w:rPr>
        <w:t>PC</w:t>
      </w:r>
      <w:r w:rsidR="00E513EC" w:rsidRPr="008A4B25">
        <w:rPr>
          <w:rFonts w:ascii="Times New Roman" w:hAnsi="Times New Roman" w:cs="Times New Roman"/>
          <w:color w:val="000000" w:themeColor="text1"/>
        </w:rPr>
        <w:t>s and 4</w:t>
      </w:r>
      <w:r w:rsidR="00002281"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311 </w:t>
      </w:r>
      <w:r w:rsidR="00B66C56" w:rsidRPr="008A4B25">
        <w:rPr>
          <w:rFonts w:ascii="Times New Roman" w:hAnsi="Times New Roman" w:cs="Times New Roman"/>
          <w:color w:val="000000" w:themeColor="text1"/>
        </w:rPr>
        <w:t>(</w:t>
      </w:r>
      <w:r w:rsidR="0031156D" w:rsidRPr="008A4B25">
        <w:rPr>
          <w:rFonts w:ascii="Times New Roman" w:hAnsi="Times New Roman" w:cs="Times New Roman"/>
          <w:color w:val="000000" w:themeColor="text1"/>
        </w:rPr>
        <w:t>221 –</w:t>
      </w:r>
      <w:r w:rsidR="00002281" w:rsidRPr="008A4B25">
        <w:rPr>
          <w:rFonts w:ascii="Times New Roman" w:hAnsi="Times New Roman" w:cs="Times New Roman"/>
          <w:color w:val="000000" w:themeColor="text1"/>
        </w:rPr>
        <w:t xml:space="preserve"> 11 </w:t>
      </w:r>
      <w:r w:rsidR="0031156D" w:rsidRPr="008A4B25">
        <w:rPr>
          <w:rFonts w:ascii="Times New Roman" w:hAnsi="Times New Roman" w:cs="Times New Roman"/>
          <w:color w:val="000000" w:themeColor="text1"/>
        </w:rPr>
        <w:t>000</w:t>
      </w:r>
      <w:r w:rsidR="00B66C56" w:rsidRPr="008A4B25">
        <w:rPr>
          <w:rFonts w:ascii="Times New Roman" w:hAnsi="Times New Roman" w:cs="Times New Roman"/>
          <w:color w:val="000000" w:themeColor="text1"/>
        </w:rPr>
        <w:t xml:space="preserve">) </w:t>
      </w:r>
      <w:r w:rsidR="00E513EC" w:rsidRPr="008A4B25">
        <w:rPr>
          <w:rFonts w:ascii="Times New Roman" w:hAnsi="Times New Roman" w:cs="Times New Roman"/>
          <w:color w:val="000000" w:themeColor="text1"/>
        </w:rPr>
        <w:t xml:space="preserve">for HLA-DR- </w:t>
      </w:r>
      <w:r w:rsidR="0033414C" w:rsidRPr="008A4B25">
        <w:rPr>
          <w:rFonts w:ascii="Times New Roman" w:hAnsi="Times New Roman" w:cs="Times New Roman"/>
          <w:color w:val="000000" w:themeColor="text1"/>
        </w:rPr>
        <w:t>PC</w:t>
      </w:r>
      <w:r w:rsidR="00E513EC" w:rsidRPr="008A4B25">
        <w:rPr>
          <w:rFonts w:ascii="Times New Roman" w:hAnsi="Times New Roman" w:cs="Times New Roman"/>
          <w:color w:val="000000" w:themeColor="text1"/>
        </w:rPr>
        <w:t>s (</w:t>
      </w:r>
      <w:r w:rsidR="00660A38" w:rsidRPr="008A4B25">
        <w:rPr>
          <w:rFonts w:ascii="Times New Roman" w:hAnsi="Times New Roman" w:cs="Times New Roman"/>
          <w:color w:val="000000" w:themeColor="text1"/>
        </w:rPr>
        <w:t>Table</w:t>
      </w:r>
      <w:r w:rsidR="000239A7" w:rsidRPr="008A4B25">
        <w:rPr>
          <w:rFonts w:ascii="Times New Roman" w:hAnsi="Times New Roman" w:cs="Times New Roman"/>
          <w:color w:val="000000" w:themeColor="text1"/>
        </w:rPr>
        <w:t xml:space="preserve"> S1</w:t>
      </w:r>
      <w:r w:rsidR="00E513EC" w:rsidRPr="008A4B25">
        <w:rPr>
          <w:rFonts w:ascii="Times New Roman" w:hAnsi="Times New Roman" w:cs="Times New Roman"/>
          <w:color w:val="000000" w:themeColor="text1"/>
        </w:rPr>
        <w:t xml:space="preserve">). </w:t>
      </w:r>
      <w:r w:rsidR="00CE4410" w:rsidRPr="008A4B25">
        <w:rPr>
          <w:rFonts w:ascii="Times New Roman" w:hAnsi="Times New Roman" w:cs="Times New Roman"/>
          <w:color w:val="000000" w:themeColor="text1"/>
        </w:rPr>
        <w:t>For t</w:t>
      </w:r>
      <w:r w:rsidR="00C03869" w:rsidRPr="008A4B25">
        <w:rPr>
          <w:rFonts w:ascii="Times New Roman" w:hAnsi="Times New Roman" w:cs="Times New Roman"/>
          <w:color w:val="000000" w:themeColor="text1"/>
        </w:rPr>
        <w:t>he Visit 2</w:t>
      </w:r>
      <w:r w:rsidR="00E513EC" w:rsidRPr="008A4B25">
        <w:rPr>
          <w:rFonts w:ascii="Times New Roman" w:hAnsi="Times New Roman" w:cs="Times New Roman"/>
          <w:color w:val="000000" w:themeColor="text1"/>
        </w:rPr>
        <w:t xml:space="preserve"> </w:t>
      </w:r>
      <w:r w:rsidR="00FB4B26" w:rsidRPr="008A4B25">
        <w:rPr>
          <w:rFonts w:ascii="Times New Roman" w:hAnsi="Times New Roman" w:cs="Times New Roman"/>
          <w:color w:val="000000" w:themeColor="text1"/>
        </w:rPr>
        <w:t xml:space="preserve">(Day 7) </w:t>
      </w:r>
      <w:r w:rsidR="00CE4410" w:rsidRPr="008A4B25">
        <w:rPr>
          <w:rFonts w:ascii="Times New Roman" w:hAnsi="Times New Roman" w:cs="Times New Roman"/>
          <w:color w:val="000000" w:themeColor="text1"/>
        </w:rPr>
        <w:t xml:space="preserve">HLA-DR+ and HLA-DR- PC </w:t>
      </w:r>
      <w:r w:rsidR="00E513EC" w:rsidRPr="008A4B25">
        <w:rPr>
          <w:rFonts w:ascii="Times New Roman" w:hAnsi="Times New Roman" w:cs="Times New Roman"/>
          <w:color w:val="000000" w:themeColor="text1"/>
        </w:rPr>
        <w:t>populations</w:t>
      </w:r>
      <w:r w:rsidR="00CE4410" w:rsidRPr="008A4B25">
        <w:rPr>
          <w:rFonts w:ascii="Times New Roman" w:hAnsi="Times New Roman" w:cs="Times New Roman"/>
          <w:color w:val="000000" w:themeColor="text1"/>
        </w:rPr>
        <w:t>, IgG and IgM transcripts</w:t>
      </w:r>
      <w:r w:rsidR="00E513EC" w:rsidRPr="008A4B25">
        <w:rPr>
          <w:rFonts w:ascii="Times New Roman" w:hAnsi="Times New Roman" w:cs="Times New Roman"/>
          <w:color w:val="000000" w:themeColor="text1"/>
        </w:rPr>
        <w:t xml:space="preserve"> were sequenced</w:t>
      </w:r>
      <w:r w:rsidR="000239A7" w:rsidRPr="008A4B25">
        <w:rPr>
          <w:rFonts w:ascii="Times New Roman" w:hAnsi="Times New Roman" w:cs="Times New Roman"/>
          <w:color w:val="000000" w:themeColor="text1"/>
        </w:rPr>
        <w:t xml:space="preserve"> </w:t>
      </w:r>
      <w:r w:rsidR="00CE4410" w:rsidRPr="008A4B25">
        <w:rPr>
          <w:rFonts w:ascii="Times New Roman" w:hAnsi="Times New Roman" w:cs="Times New Roman"/>
          <w:color w:val="000000" w:themeColor="text1"/>
        </w:rPr>
        <w:t>(</w:t>
      </w:r>
      <w:r w:rsidR="000239A7" w:rsidRPr="008A4B25">
        <w:rPr>
          <w:rFonts w:ascii="Times New Roman" w:hAnsi="Times New Roman" w:cs="Times New Roman"/>
          <w:color w:val="000000" w:themeColor="text1"/>
        </w:rPr>
        <w:t xml:space="preserve">except one </w:t>
      </w:r>
      <w:r w:rsidR="00DE431A" w:rsidRPr="008A4B25">
        <w:rPr>
          <w:rFonts w:ascii="Times New Roman" w:hAnsi="Times New Roman" w:cs="Times New Roman"/>
          <w:color w:val="000000" w:themeColor="text1"/>
        </w:rPr>
        <w:t xml:space="preserve">IgG </w:t>
      </w:r>
      <w:r w:rsidR="00D27184" w:rsidRPr="008A4B25">
        <w:rPr>
          <w:rFonts w:ascii="Times New Roman" w:hAnsi="Times New Roman" w:cs="Times New Roman"/>
          <w:color w:val="000000" w:themeColor="text1"/>
        </w:rPr>
        <w:t xml:space="preserve">HLA-DR+ </w:t>
      </w:r>
      <w:r w:rsidR="000239A7" w:rsidRPr="008A4B25">
        <w:rPr>
          <w:rFonts w:ascii="Times New Roman" w:hAnsi="Times New Roman" w:cs="Times New Roman"/>
          <w:color w:val="000000" w:themeColor="text1"/>
        </w:rPr>
        <w:t>sample which failed</w:t>
      </w:r>
      <w:r w:rsidR="00CE4410" w:rsidRPr="008A4B25">
        <w:rPr>
          <w:rFonts w:ascii="Times New Roman" w:hAnsi="Times New Roman" w:cs="Times New Roman"/>
          <w:color w:val="000000" w:themeColor="text1"/>
        </w:rPr>
        <w:t>)</w:t>
      </w:r>
      <w:r w:rsidR="000239A7" w:rsidRPr="008A4B25">
        <w:rPr>
          <w:rFonts w:ascii="Times New Roman" w:hAnsi="Times New Roman" w:cs="Times New Roman"/>
          <w:color w:val="000000" w:themeColor="text1"/>
        </w:rPr>
        <w:t xml:space="preserve">. Only the </w:t>
      </w:r>
      <w:r w:rsidR="00D27184" w:rsidRPr="008A4B25">
        <w:rPr>
          <w:rFonts w:ascii="Times New Roman" w:hAnsi="Times New Roman" w:cs="Times New Roman"/>
          <w:color w:val="000000" w:themeColor="text1"/>
        </w:rPr>
        <w:t>IgG transcripts of the HLA-DR+ population were</w:t>
      </w:r>
      <w:r w:rsidR="000239A7" w:rsidRPr="008A4B25">
        <w:rPr>
          <w:rFonts w:ascii="Times New Roman" w:hAnsi="Times New Roman" w:cs="Times New Roman"/>
          <w:color w:val="000000" w:themeColor="text1"/>
        </w:rPr>
        <w:t xml:space="preserve"> sequenced at </w:t>
      </w:r>
      <w:r w:rsidR="00AF5B3E" w:rsidRPr="008A4B25">
        <w:rPr>
          <w:rFonts w:ascii="Times New Roman" w:hAnsi="Times New Roman" w:cs="Times New Roman"/>
          <w:color w:val="000000" w:themeColor="text1"/>
        </w:rPr>
        <w:t>Visit 4</w:t>
      </w:r>
      <w:r w:rsidR="00FB4B26" w:rsidRPr="008A4B25">
        <w:rPr>
          <w:rFonts w:ascii="Times New Roman" w:hAnsi="Times New Roman" w:cs="Times New Roman"/>
          <w:color w:val="000000" w:themeColor="text1"/>
        </w:rPr>
        <w:t xml:space="preserve"> (Day 35)</w:t>
      </w:r>
      <w:r w:rsidR="00AF5B3E" w:rsidRPr="008A4B25">
        <w:rPr>
          <w:rFonts w:ascii="Times New Roman" w:hAnsi="Times New Roman" w:cs="Times New Roman"/>
          <w:color w:val="000000" w:themeColor="text1"/>
        </w:rPr>
        <w:t>.</w:t>
      </w:r>
      <w:r w:rsidR="004E482F" w:rsidRPr="008A4B25">
        <w:rPr>
          <w:rFonts w:ascii="Times New Roman" w:hAnsi="Times New Roman" w:cs="Times New Roman"/>
          <w:color w:val="000000" w:themeColor="text1"/>
        </w:rPr>
        <w:t xml:space="preserve"> </w:t>
      </w:r>
      <w:r w:rsidR="00CE4410" w:rsidRPr="008A4B25">
        <w:rPr>
          <w:rFonts w:ascii="Times New Roman" w:hAnsi="Times New Roman" w:cs="Times New Roman"/>
          <w:color w:val="000000" w:themeColor="text1"/>
        </w:rPr>
        <w:t>For the baseline subsets, IgM transcripts were sequences from all naïve, MZ and IgM memory samples, and IgG transcripts sequences from all the IgG memory samples.</w:t>
      </w:r>
    </w:p>
    <w:p w14:paraId="2941AE71" w14:textId="353E0B65" w:rsidR="00161498" w:rsidRPr="002B25D3" w:rsidRDefault="00161498" w:rsidP="002B25D3">
      <w:pPr>
        <w:pStyle w:val="Heading2"/>
      </w:pPr>
      <w:r w:rsidRPr="002B25D3">
        <w:t>Sequenc</w:t>
      </w:r>
      <w:r w:rsidR="00740E6A">
        <w:t>e processing</w:t>
      </w:r>
    </w:p>
    <w:p w14:paraId="267285A8" w14:textId="7B2A433E" w:rsidR="000C66DE" w:rsidRPr="008A4B25" w:rsidRDefault="00E513EC" w:rsidP="00956265">
      <w:pPr>
        <w:tabs>
          <w:tab w:val="left" w:pos="720"/>
          <w:tab w:val="left" w:pos="5493"/>
        </w:tabs>
        <w:spacing w:line="480" w:lineRule="auto"/>
        <w:jc w:val="both"/>
        <w:rPr>
          <w:rFonts w:ascii="Times New Roman" w:hAnsi="Times New Roman" w:cs="Times New Roman"/>
          <w:color w:val="000000" w:themeColor="text1"/>
        </w:rPr>
      </w:pPr>
      <w:r w:rsidRPr="00F36532">
        <w:rPr>
          <w:rFonts w:ascii="Times New Roman" w:hAnsi="Times New Roman" w:cs="Times New Roman"/>
        </w:rPr>
        <w:t>S</w:t>
      </w:r>
      <w:r w:rsidR="00572EB4" w:rsidRPr="00F36532">
        <w:rPr>
          <w:rFonts w:ascii="Times New Roman" w:hAnsi="Times New Roman" w:cs="Times New Roman"/>
        </w:rPr>
        <w:t xml:space="preserve">equence data </w:t>
      </w:r>
      <w:r w:rsidR="00D27184" w:rsidRPr="00F36532">
        <w:rPr>
          <w:rFonts w:ascii="Times New Roman" w:hAnsi="Times New Roman" w:cs="Times New Roman"/>
        </w:rPr>
        <w:t xml:space="preserve">were </w:t>
      </w:r>
      <w:r w:rsidR="00572EB4" w:rsidRPr="00F36532">
        <w:rPr>
          <w:rFonts w:ascii="Times New Roman" w:hAnsi="Times New Roman" w:cs="Times New Roman"/>
        </w:rPr>
        <w:t>obtained from 80 samples</w:t>
      </w:r>
      <w:r w:rsidR="003500A2" w:rsidRPr="00F36532">
        <w:rPr>
          <w:rFonts w:ascii="Times New Roman" w:hAnsi="Times New Roman" w:cs="Times New Roman"/>
        </w:rPr>
        <w:t xml:space="preserve"> </w:t>
      </w:r>
      <w:r w:rsidR="00A6663C" w:rsidRPr="00F36532">
        <w:rPr>
          <w:rFonts w:ascii="Times New Roman" w:hAnsi="Times New Roman" w:cs="Times New Roman"/>
        </w:rPr>
        <w:t xml:space="preserve">from 9 participants </w:t>
      </w:r>
      <w:r w:rsidR="003500A2" w:rsidRPr="00F36532">
        <w:rPr>
          <w:rFonts w:ascii="Times New Roman" w:hAnsi="Times New Roman" w:cs="Times New Roman"/>
        </w:rPr>
        <w:t xml:space="preserve">(Table </w:t>
      </w:r>
      <w:r w:rsidR="00D85B09" w:rsidRPr="00F36532">
        <w:rPr>
          <w:rFonts w:ascii="Times New Roman" w:hAnsi="Times New Roman" w:cs="Times New Roman"/>
        </w:rPr>
        <w:t>S</w:t>
      </w:r>
      <w:r w:rsidR="003500A2" w:rsidRPr="00F36532">
        <w:rPr>
          <w:rFonts w:ascii="Times New Roman" w:hAnsi="Times New Roman" w:cs="Times New Roman"/>
        </w:rPr>
        <w:t>1)</w:t>
      </w:r>
      <w:r w:rsidR="00572EB4" w:rsidRPr="00F36532">
        <w:rPr>
          <w:rFonts w:ascii="Times New Roman" w:hAnsi="Times New Roman" w:cs="Times New Roman"/>
        </w:rPr>
        <w:t xml:space="preserve">. </w:t>
      </w:r>
      <w:r w:rsidR="00F36B1C" w:rsidRPr="00F36532">
        <w:rPr>
          <w:rFonts w:ascii="Times New Roman" w:hAnsi="Times New Roman" w:cs="Times New Roman"/>
        </w:rPr>
        <w:t xml:space="preserve">The </w:t>
      </w:r>
      <w:r w:rsidR="00F36B1C" w:rsidRPr="008A4B25">
        <w:rPr>
          <w:rFonts w:ascii="Times New Roman" w:hAnsi="Times New Roman" w:cs="Times New Roman"/>
          <w:color w:val="000000" w:themeColor="text1"/>
        </w:rPr>
        <w:t>mean number of r</w:t>
      </w:r>
      <w:r w:rsidR="00045FB1" w:rsidRPr="008A4B25">
        <w:rPr>
          <w:rFonts w:ascii="Times New Roman" w:hAnsi="Times New Roman" w:cs="Times New Roman"/>
          <w:color w:val="000000" w:themeColor="text1"/>
        </w:rPr>
        <w:t>aw reads obtained for each sample was</w:t>
      </w:r>
      <w:r w:rsidR="008C1C92" w:rsidRPr="008A4B25">
        <w:rPr>
          <w:rFonts w:ascii="Times New Roman" w:hAnsi="Times New Roman" w:cs="Times New Roman"/>
          <w:color w:val="000000" w:themeColor="text1"/>
        </w:rPr>
        <w:t xml:space="preserve"> 133</w:t>
      </w:r>
      <w:r w:rsidR="00002281" w:rsidRPr="008A4B25">
        <w:rPr>
          <w:rFonts w:ascii="Times New Roman" w:hAnsi="Times New Roman" w:cs="Times New Roman"/>
          <w:color w:val="000000" w:themeColor="text1"/>
        </w:rPr>
        <w:t xml:space="preserve"> </w:t>
      </w:r>
      <w:r w:rsidR="008C1C92" w:rsidRPr="008A4B25">
        <w:rPr>
          <w:rFonts w:ascii="Times New Roman" w:hAnsi="Times New Roman" w:cs="Times New Roman"/>
          <w:color w:val="000000" w:themeColor="text1"/>
        </w:rPr>
        <w:t xml:space="preserve">190, of which 72% remained </w:t>
      </w:r>
      <w:r w:rsidR="007948C2" w:rsidRPr="008A4B25">
        <w:rPr>
          <w:rFonts w:ascii="Times New Roman" w:hAnsi="Times New Roman" w:cs="Times New Roman"/>
          <w:color w:val="000000" w:themeColor="text1"/>
        </w:rPr>
        <w:t xml:space="preserve">on average </w:t>
      </w:r>
      <w:r w:rsidR="008C1C92" w:rsidRPr="008A4B25">
        <w:rPr>
          <w:rFonts w:ascii="Times New Roman" w:hAnsi="Times New Roman" w:cs="Times New Roman"/>
          <w:color w:val="000000" w:themeColor="text1"/>
        </w:rPr>
        <w:t xml:space="preserve">after </w:t>
      </w:r>
      <w:r w:rsidR="00DC721D" w:rsidRPr="008A4B25">
        <w:rPr>
          <w:rFonts w:ascii="Times New Roman" w:hAnsi="Times New Roman" w:cs="Times New Roman"/>
          <w:color w:val="000000" w:themeColor="text1"/>
        </w:rPr>
        <w:t>initial</w:t>
      </w:r>
      <w:r w:rsidR="008C1C92" w:rsidRPr="008A4B25">
        <w:rPr>
          <w:rFonts w:ascii="Times New Roman" w:hAnsi="Times New Roman" w:cs="Times New Roman"/>
          <w:color w:val="000000" w:themeColor="text1"/>
        </w:rPr>
        <w:t xml:space="preserve"> filtering steps, giving 95</w:t>
      </w:r>
      <w:r w:rsidR="00002281" w:rsidRPr="008A4B25">
        <w:rPr>
          <w:rFonts w:ascii="Times New Roman" w:hAnsi="Times New Roman" w:cs="Times New Roman"/>
          <w:color w:val="000000" w:themeColor="text1"/>
        </w:rPr>
        <w:t xml:space="preserve"> </w:t>
      </w:r>
      <w:r w:rsidR="008C1C92" w:rsidRPr="008A4B25">
        <w:rPr>
          <w:rFonts w:ascii="Times New Roman" w:hAnsi="Times New Roman" w:cs="Times New Roman"/>
          <w:color w:val="000000" w:themeColor="text1"/>
        </w:rPr>
        <w:t xml:space="preserve">610 </w:t>
      </w:r>
      <w:r w:rsidR="00AF5B3E" w:rsidRPr="008A4B25">
        <w:rPr>
          <w:rFonts w:ascii="Times New Roman" w:hAnsi="Times New Roman" w:cs="Times New Roman"/>
          <w:color w:val="000000" w:themeColor="text1"/>
        </w:rPr>
        <w:t xml:space="preserve">reads </w:t>
      </w:r>
      <w:r w:rsidR="008C1C92" w:rsidRPr="008A4B25">
        <w:rPr>
          <w:rFonts w:ascii="Times New Roman" w:hAnsi="Times New Roman" w:cs="Times New Roman"/>
          <w:color w:val="000000" w:themeColor="text1"/>
        </w:rPr>
        <w:t xml:space="preserve">per sample </w:t>
      </w:r>
      <w:r w:rsidR="00D76CC7" w:rsidRPr="008A4B25">
        <w:rPr>
          <w:rFonts w:ascii="Times New Roman" w:hAnsi="Times New Roman" w:cs="Times New Roman"/>
          <w:color w:val="000000" w:themeColor="text1"/>
        </w:rPr>
        <w:t xml:space="preserve">for analysis. </w:t>
      </w:r>
      <w:r w:rsidR="0031156D" w:rsidRPr="008A4B25">
        <w:rPr>
          <w:rFonts w:ascii="Times New Roman" w:hAnsi="Times New Roman" w:cs="Times New Roman"/>
          <w:color w:val="000000" w:themeColor="text1"/>
        </w:rPr>
        <w:t xml:space="preserve">As </w:t>
      </w:r>
      <w:r w:rsidR="00222A4F" w:rsidRPr="008A4B25">
        <w:rPr>
          <w:rFonts w:ascii="Times New Roman" w:hAnsi="Times New Roman" w:cs="Times New Roman"/>
          <w:color w:val="000000" w:themeColor="text1"/>
        </w:rPr>
        <w:t>there was</w:t>
      </w:r>
      <w:r w:rsidR="0031156D" w:rsidRPr="008A4B25">
        <w:rPr>
          <w:rFonts w:ascii="Times New Roman" w:hAnsi="Times New Roman" w:cs="Times New Roman"/>
          <w:color w:val="000000" w:themeColor="text1"/>
        </w:rPr>
        <w:t xml:space="preserve"> over-sequencing (more </w:t>
      </w:r>
      <w:r w:rsidR="0031156D" w:rsidRPr="008A4B25">
        <w:rPr>
          <w:rFonts w:ascii="Times New Roman" w:hAnsi="Times New Roman" w:cs="Times New Roman"/>
          <w:color w:val="000000" w:themeColor="text1"/>
        </w:rPr>
        <w:lastRenderedPageBreak/>
        <w:t xml:space="preserve">reads than input cells) for nearly all samples, clustering </w:t>
      </w:r>
      <w:r w:rsidR="007C02C1" w:rsidRPr="008A4B25">
        <w:rPr>
          <w:rFonts w:ascii="Times New Roman" w:hAnsi="Times New Roman" w:cs="Times New Roman"/>
          <w:color w:val="000000" w:themeColor="text1"/>
        </w:rPr>
        <w:t xml:space="preserve">was used </w:t>
      </w:r>
      <w:r w:rsidR="0031156D" w:rsidRPr="008A4B25">
        <w:rPr>
          <w:rFonts w:ascii="Times New Roman" w:hAnsi="Times New Roman" w:cs="Times New Roman"/>
          <w:color w:val="000000" w:themeColor="text1"/>
        </w:rPr>
        <w:t>to minimize the effect of PCR and sequencing error</w:t>
      </w:r>
      <w:r w:rsidR="00222A4F" w:rsidRPr="008A4B25">
        <w:rPr>
          <w:rFonts w:ascii="Times New Roman" w:hAnsi="Times New Roman" w:cs="Times New Roman"/>
          <w:color w:val="000000" w:themeColor="text1"/>
        </w:rPr>
        <w:t xml:space="preserve"> on the dataset</w:t>
      </w:r>
      <w:r w:rsidR="0031156D" w:rsidRPr="008A4B25">
        <w:rPr>
          <w:rFonts w:ascii="Times New Roman" w:hAnsi="Times New Roman" w:cs="Times New Roman"/>
          <w:color w:val="000000" w:themeColor="text1"/>
        </w:rPr>
        <w:t xml:space="preserve">. </w:t>
      </w:r>
      <w:r w:rsidR="00E02659" w:rsidRPr="008A4B25">
        <w:rPr>
          <w:rFonts w:ascii="Times New Roman" w:hAnsi="Times New Roman" w:cs="Times New Roman"/>
          <w:color w:val="000000" w:themeColor="text1"/>
        </w:rPr>
        <w:t>As the most important region in determining antigen-specificity of the sequence, we focused analysis on the complementarity-determining region 3 (CDR3)</w:t>
      </w:r>
      <w:r w:rsidR="00F43832" w:rsidRPr="008A4B25">
        <w:rPr>
          <w:rFonts w:ascii="Times New Roman" w:hAnsi="Times New Roman" w:cs="Times New Roman"/>
          <w:color w:val="000000" w:themeColor="text1"/>
        </w:rPr>
        <w:t>.</w:t>
      </w:r>
      <w:r w:rsidR="00F43832"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"10.1016/S1074-7613(00)00006-6", "ISBN" : "1074-7613", "ISSN" : "10747613", "PMID" : "10933393", "abstract" : "All rearranging antigen receptor genes have one or two highly diverse complementarity determining regions (CDRs) among the six that typically form the ligand binding surface. We report here that, in the case of antibodies, diversity at one of these regions, CDR3 of the V(H) domain, is sufficient to permit otherwise identical IgM molecules to distinguish between a variety of hapten and protein antigens. Furthermore, we find that somatic mutation can allow such antibodies to achieve surprisingly high affinities. These results are consistent with a model in which the highly diverse CDR3 loops are the key determinant of specificity in antigen recognition in both T cell receptors (TCR) and antibodies, whereas the germline-encoded CDR1 and CDR2 sequences are much more cross-reactive.", "author" : [ { "dropping-particle" : "", "family" : "Xu", "given" : "J L", "non-dropping-particle" : "", "parse-names" : false, "suffix" : "" }, { "dropping-particle" : "", "family" : "Davis", "given" : "M M", "non-dropping-particle" : "", "parse-names" : false, "suffix" : "" } ], "container-title" : "Immunity", "id" : "ITEM-1", "issued" : { "date-parts" : [ [ "2000" ] ] }, "page" : "37-45", "title" : "Diversity in the CDR3 region of V(H) is sufficient for most antibody specificities.", "type" : "article-journal", "volume" : "13" }, "uris" : [ "http://www.mendeley.com/documents/?uuid=a004c9ad-a5d1-4a30-8c7a-4ef903fad031" ] } ], "mendeley" : { "formattedCitation" : "&lt;sup&gt;18&lt;/sup&gt;", "plainTextFormattedCitation" : "18", "previouslyFormattedCitation" : "&lt;sup&gt;17&lt;/sup&gt;" }, "properties" : { "noteIndex" : 0 }, "schema" : "https://github.com/citation-style-language/schema/raw/master/csl-citation.json" }</w:instrText>
      </w:r>
      <w:r w:rsidR="00F43832"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18</w:t>
      </w:r>
      <w:r w:rsidR="00F43832" w:rsidRPr="008A4B25">
        <w:rPr>
          <w:rFonts w:ascii="Times New Roman" w:hAnsi="Times New Roman" w:cs="Times New Roman"/>
          <w:color w:val="000000" w:themeColor="text1"/>
        </w:rPr>
        <w:fldChar w:fldCharType="end"/>
      </w:r>
      <w:r w:rsidR="00E02659" w:rsidRPr="008A4B25">
        <w:rPr>
          <w:rFonts w:ascii="Times New Roman" w:hAnsi="Times New Roman" w:cs="Times New Roman"/>
          <w:color w:val="000000" w:themeColor="text1"/>
        </w:rPr>
        <w:t xml:space="preserve"> </w:t>
      </w:r>
      <w:r w:rsidR="00340CBA" w:rsidRPr="008A4B25">
        <w:rPr>
          <w:rFonts w:ascii="Times New Roman" w:hAnsi="Times New Roman" w:cs="Times New Roman"/>
          <w:color w:val="000000" w:themeColor="text1"/>
        </w:rPr>
        <w:t xml:space="preserve">Determining the </w:t>
      </w:r>
      <w:r w:rsidR="00124FAD" w:rsidRPr="008A4B25">
        <w:rPr>
          <w:rFonts w:ascii="Times New Roman" w:hAnsi="Times New Roman" w:cs="Times New Roman"/>
          <w:color w:val="000000" w:themeColor="text1"/>
        </w:rPr>
        <w:t>distance of each</w:t>
      </w:r>
      <w:r w:rsidR="00E02659" w:rsidRPr="008A4B25">
        <w:rPr>
          <w:rFonts w:ascii="Times New Roman" w:hAnsi="Times New Roman" w:cs="Times New Roman"/>
          <w:color w:val="000000" w:themeColor="text1"/>
        </w:rPr>
        <w:t xml:space="preserve"> </w:t>
      </w:r>
      <w:r w:rsidR="00124FAD" w:rsidRPr="008A4B25">
        <w:rPr>
          <w:rFonts w:ascii="Times New Roman" w:hAnsi="Times New Roman" w:cs="Times New Roman"/>
          <w:color w:val="000000" w:themeColor="text1"/>
        </w:rPr>
        <w:t xml:space="preserve">CDR3 </w:t>
      </w:r>
      <w:r w:rsidR="00E11ACB" w:rsidRPr="008A4B25">
        <w:rPr>
          <w:rFonts w:ascii="Times New Roman" w:hAnsi="Times New Roman" w:cs="Times New Roman"/>
          <w:color w:val="000000" w:themeColor="text1"/>
        </w:rPr>
        <w:t>amino acid (</w:t>
      </w:r>
      <w:r w:rsidR="00124FAD" w:rsidRPr="008A4B25">
        <w:rPr>
          <w:rFonts w:ascii="Times New Roman" w:hAnsi="Times New Roman" w:cs="Times New Roman"/>
          <w:color w:val="000000" w:themeColor="text1"/>
        </w:rPr>
        <w:t>AA</w:t>
      </w:r>
      <w:r w:rsidR="00E11ACB" w:rsidRPr="008A4B25">
        <w:rPr>
          <w:rFonts w:ascii="Times New Roman" w:hAnsi="Times New Roman" w:cs="Times New Roman"/>
          <w:color w:val="000000" w:themeColor="text1"/>
        </w:rPr>
        <w:t>)</w:t>
      </w:r>
      <w:r w:rsidR="00124FAD" w:rsidRPr="008A4B25">
        <w:rPr>
          <w:rFonts w:ascii="Times New Roman" w:hAnsi="Times New Roman" w:cs="Times New Roman"/>
          <w:color w:val="000000" w:themeColor="text1"/>
        </w:rPr>
        <w:t xml:space="preserve"> sequence to its nearest neighbor in each sample revealed a </w:t>
      </w:r>
      <w:r w:rsidR="00D14A2D" w:rsidRPr="008A4B25">
        <w:rPr>
          <w:rFonts w:ascii="Times New Roman" w:hAnsi="Times New Roman" w:cs="Times New Roman"/>
          <w:color w:val="000000" w:themeColor="text1"/>
        </w:rPr>
        <w:t xml:space="preserve">bimodal </w:t>
      </w:r>
      <w:r w:rsidR="00124FAD" w:rsidRPr="008A4B25">
        <w:rPr>
          <w:rFonts w:ascii="Times New Roman" w:hAnsi="Times New Roman" w:cs="Times New Roman"/>
          <w:color w:val="000000" w:themeColor="text1"/>
        </w:rPr>
        <w:t>distribution (F</w:t>
      </w:r>
      <w:r w:rsidR="00DE3072" w:rsidRPr="008A4B25">
        <w:rPr>
          <w:rFonts w:ascii="Times New Roman" w:hAnsi="Times New Roman" w:cs="Times New Roman"/>
          <w:color w:val="000000" w:themeColor="text1"/>
        </w:rPr>
        <w:t xml:space="preserve">ig. 2A), for all cell subsets except for the </w:t>
      </w:r>
      <w:r w:rsidR="00463CA0" w:rsidRPr="008A4B25">
        <w:rPr>
          <w:rFonts w:ascii="Times New Roman" w:hAnsi="Times New Roman" w:cs="Times New Roman"/>
          <w:color w:val="000000" w:themeColor="text1"/>
        </w:rPr>
        <w:t>n</w:t>
      </w:r>
      <w:r w:rsidR="00DE3072" w:rsidRPr="008A4B25">
        <w:rPr>
          <w:rFonts w:ascii="Times New Roman" w:hAnsi="Times New Roman" w:cs="Times New Roman"/>
          <w:color w:val="000000" w:themeColor="text1"/>
        </w:rPr>
        <w:t>aïve cells, where there was the least over-seq</w:t>
      </w:r>
      <w:r w:rsidR="00B814EA" w:rsidRPr="008A4B25">
        <w:rPr>
          <w:rFonts w:ascii="Times New Roman" w:hAnsi="Times New Roman" w:cs="Times New Roman"/>
          <w:color w:val="000000" w:themeColor="text1"/>
        </w:rPr>
        <w:t>uencing. The first peak was at 0</w:t>
      </w:r>
      <w:r w:rsidR="00DE3072" w:rsidRPr="008A4B25">
        <w:rPr>
          <w:rFonts w:ascii="Times New Roman" w:hAnsi="Times New Roman" w:cs="Times New Roman"/>
          <w:color w:val="000000" w:themeColor="text1"/>
        </w:rPr>
        <w:t>-2</w:t>
      </w:r>
      <w:r w:rsidR="002156FE" w:rsidRPr="008A4B25">
        <w:rPr>
          <w:rFonts w:ascii="Times New Roman" w:hAnsi="Times New Roman" w:cs="Times New Roman"/>
          <w:color w:val="000000" w:themeColor="text1"/>
        </w:rPr>
        <w:t xml:space="preserve"> AA, and the second at 3-10 AA</w:t>
      </w:r>
      <w:r w:rsidR="00D14A2D" w:rsidRPr="008A4B25">
        <w:rPr>
          <w:rFonts w:ascii="Times New Roman" w:hAnsi="Times New Roman" w:cs="Times New Roman"/>
          <w:color w:val="000000" w:themeColor="text1"/>
        </w:rPr>
        <w:t xml:space="preserve">. </w:t>
      </w:r>
      <w:r w:rsidR="0028079A" w:rsidRPr="008A4B25" w:rsidDel="00D14A2D">
        <w:rPr>
          <w:rFonts w:ascii="Times New Roman" w:hAnsi="Times New Roman" w:cs="Times New Roman"/>
          <w:color w:val="000000" w:themeColor="text1"/>
        </w:rPr>
        <w:t>There was a strong positive correlation (r=0.72) between the proportion of reads in the repertoire in the first peak, and the degree of over-sequencing for each sample (Fig. 2B)</w:t>
      </w:r>
      <w:r w:rsidR="00E721BF" w:rsidRPr="008A4B25">
        <w:rPr>
          <w:rFonts w:ascii="Times New Roman" w:hAnsi="Times New Roman" w:cs="Times New Roman"/>
          <w:color w:val="000000" w:themeColor="text1"/>
        </w:rPr>
        <w:t>. Analysis of constant region sequences indicated a PCR and sequencing error rate of less than 0.5% per nucleotide. Given</w:t>
      </w:r>
      <w:r w:rsidR="00BE7FA3" w:rsidRPr="008A4B25">
        <w:rPr>
          <w:rFonts w:ascii="Times New Roman" w:hAnsi="Times New Roman" w:cs="Times New Roman"/>
          <w:color w:val="000000" w:themeColor="text1"/>
        </w:rPr>
        <w:t xml:space="preserve"> the median CDR3 length was 18</w:t>
      </w:r>
      <w:r w:rsidR="009F546C" w:rsidRPr="008A4B25">
        <w:rPr>
          <w:rFonts w:ascii="Times New Roman" w:hAnsi="Times New Roman" w:cs="Times New Roman"/>
          <w:color w:val="000000" w:themeColor="text1"/>
        </w:rPr>
        <w:t xml:space="preserve"> </w:t>
      </w:r>
      <w:r w:rsidR="00E721BF" w:rsidRPr="008A4B25">
        <w:rPr>
          <w:rFonts w:ascii="Times New Roman" w:hAnsi="Times New Roman" w:cs="Times New Roman"/>
          <w:color w:val="000000" w:themeColor="text1"/>
        </w:rPr>
        <w:t xml:space="preserve">AA, it is likely </w:t>
      </w:r>
      <w:r w:rsidR="0028079A" w:rsidRPr="008A4B25">
        <w:rPr>
          <w:rFonts w:ascii="Times New Roman" w:hAnsi="Times New Roman" w:cs="Times New Roman"/>
          <w:color w:val="000000" w:themeColor="text1"/>
        </w:rPr>
        <w:t xml:space="preserve">the peak </w:t>
      </w:r>
      <w:r w:rsidR="00E721BF" w:rsidRPr="008A4B25">
        <w:rPr>
          <w:rFonts w:ascii="Times New Roman" w:hAnsi="Times New Roman" w:cs="Times New Roman"/>
          <w:color w:val="000000" w:themeColor="text1"/>
        </w:rPr>
        <w:t>at 0-2</w:t>
      </w:r>
      <w:r w:rsidR="009F546C" w:rsidRPr="008A4B25">
        <w:rPr>
          <w:rFonts w:ascii="Times New Roman" w:hAnsi="Times New Roman" w:cs="Times New Roman"/>
          <w:color w:val="000000" w:themeColor="text1"/>
        </w:rPr>
        <w:t xml:space="preserve"> </w:t>
      </w:r>
      <w:r w:rsidR="00E721BF" w:rsidRPr="008A4B25">
        <w:rPr>
          <w:rFonts w:ascii="Times New Roman" w:hAnsi="Times New Roman" w:cs="Times New Roman"/>
          <w:color w:val="000000" w:themeColor="text1"/>
        </w:rPr>
        <w:t>AA contained most of the variants</w:t>
      </w:r>
      <w:r w:rsidR="0028079A" w:rsidRPr="008A4B25">
        <w:rPr>
          <w:rFonts w:ascii="Times New Roman" w:hAnsi="Times New Roman" w:cs="Times New Roman"/>
          <w:color w:val="000000" w:themeColor="text1"/>
        </w:rPr>
        <w:t xml:space="preserve"> due to sequencing and PCR error</w:t>
      </w:r>
      <w:r w:rsidR="009F546C" w:rsidRPr="008A4B25">
        <w:rPr>
          <w:rFonts w:ascii="Times New Roman" w:hAnsi="Times New Roman" w:cs="Times New Roman"/>
          <w:color w:val="000000" w:themeColor="text1"/>
        </w:rPr>
        <w:t>.</w:t>
      </w:r>
      <w:r w:rsidR="0028079A" w:rsidRPr="008A4B25" w:rsidDel="00D14A2D">
        <w:rPr>
          <w:rFonts w:ascii="Times New Roman" w:hAnsi="Times New Roman" w:cs="Times New Roman"/>
          <w:color w:val="000000" w:themeColor="text1"/>
        </w:rPr>
        <w:t xml:space="preserve"> </w:t>
      </w:r>
      <w:r w:rsidR="009F546C" w:rsidRPr="008A4B25">
        <w:rPr>
          <w:rFonts w:ascii="Times New Roman" w:hAnsi="Times New Roman" w:cs="Times New Roman"/>
          <w:color w:val="000000" w:themeColor="text1"/>
        </w:rPr>
        <w:t>Setting</w:t>
      </w:r>
      <w:r w:rsidR="007E7DBB" w:rsidRPr="008A4B25">
        <w:rPr>
          <w:rFonts w:ascii="Times New Roman" w:hAnsi="Times New Roman" w:cs="Times New Roman"/>
          <w:color w:val="000000" w:themeColor="text1"/>
        </w:rPr>
        <w:t xml:space="preserve"> a clustering threshold of 1 AA mismatch per 12 AAs </w:t>
      </w:r>
      <w:r w:rsidR="000F5399" w:rsidRPr="008A4B25">
        <w:rPr>
          <w:rFonts w:ascii="Times New Roman" w:hAnsi="Times New Roman" w:cs="Times New Roman"/>
          <w:color w:val="000000" w:themeColor="text1"/>
        </w:rPr>
        <w:t>means that</w:t>
      </w:r>
      <w:r w:rsidR="00B814EA" w:rsidRPr="008A4B25">
        <w:rPr>
          <w:rFonts w:ascii="Times New Roman" w:hAnsi="Times New Roman" w:cs="Times New Roman"/>
          <w:color w:val="000000" w:themeColor="text1"/>
        </w:rPr>
        <w:t xml:space="preserve"> </w:t>
      </w:r>
      <w:r w:rsidR="004A046B" w:rsidRPr="008A4B25">
        <w:rPr>
          <w:rFonts w:ascii="Times New Roman" w:hAnsi="Times New Roman" w:cs="Times New Roman"/>
          <w:color w:val="000000" w:themeColor="text1"/>
        </w:rPr>
        <w:t xml:space="preserve">for </w:t>
      </w:r>
      <w:r w:rsidR="00AE7CB1" w:rsidRPr="008A4B25">
        <w:rPr>
          <w:rFonts w:ascii="Times New Roman" w:hAnsi="Times New Roman" w:cs="Times New Roman"/>
          <w:color w:val="000000" w:themeColor="text1"/>
        </w:rPr>
        <w:t>8</w:t>
      </w:r>
      <w:r w:rsidR="00440531" w:rsidRPr="008A4B25">
        <w:rPr>
          <w:rFonts w:ascii="Times New Roman" w:hAnsi="Times New Roman" w:cs="Times New Roman"/>
          <w:color w:val="000000" w:themeColor="text1"/>
        </w:rPr>
        <w:t>% of</w:t>
      </w:r>
      <w:r w:rsidR="004A046B" w:rsidRPr="008A4B25">
        <w:rPr>
          <w:rFonts w:ascii="Times New Roman" w:hAnsi="Times New Roman" w:cs="Times New Roman"/>
          <w:color w:val="000000" w:themeColor="text1"/>
        </w:rPr>
        <w:t xml:space="preserve"> reads</w:t>
      </w:r>
      <w:r w:rsidR="00440531" w:rsidRPr="008A4B25">
        <w:rPr>
          <w:rFonts w:ascii="Times New Roman" w:hAnsi="Times New Roman" w:cs="Times New Roman"/>
          <w:color w:val="000000" w:themeColor="text1"/>
        </w:rPr>
        <w:t xml:space="preserve">, 1 </w:t>
      </w:r>
      <w:r w:rsidR="004A046B" w:rsidRPr="008A4B25">
        <w:rPr>
          <w:rFonts w:ascii="Times New Roman" w:hAnsi="Times New Roman" w:cs="Times New Roman"/>
          <w:color w:val="000000" w:themeColor="text1"/>
        </w:rPr>
        <w:t xml:space="preserve">AA mismatch </w:t>
      </w:r>
      <w:r w:rsidR="00440531" w:rsidRPr="008A4B25">
        <w:rPr>
          <w:rFonts w:ascii="Times New Roman" w:hAnsi="Times New Roman" w:cs="Times New Roman"/>
          <w:color w:val="000000" w:themeColor="text1"/>
        </w:rPr>
        <w:t xml:space="preserve">was </w:t>
      </w:r>
      <w:r w:rsidR="004A046B" w:rsidRPr="008A4B25">
        <w:rPr>
          <w:rFonts w:ascii="Times New Roman" w:hAnsi="Times New Roman" w:cs="Times New Roman"/>
          <w:color w:val="000000" w:themeColor="text1"/>
        </w:rPr>
        <w:t xml:space="preserve">allowed </w:t>
      </w:r>
      <w:r w:rsidR="00A6245D" w:rsidRPr="008A4B25">
        <w:rPr>
          <w:rFonts w:ascii="Times New Roman" w:hAnsi="Times New Roman" w:cs="Times New Roman"/>
          <w:color w:val="000000" w:themeColor="text1"/>
        </w:rPr>
        <w:t xml:space="preserve">during </w:t>
      </w:r>
      <w:r w:rsidR="004A046B" w:rsidRPr="008A4B25">
        <w:rPr>
          <w:rFonts w:ascii="Times New Roman" w:hAnsi="Times New Roman" w:cs="Times New Roman"/>
          <w:color w:val="000000" w:themeColor="text1"/>
        </w:rPr>
        <w:t>clustering</w:t>
      </w:r>
      <w:r w:rsidR="00440531" w:rsidRPr="008A4B25">
        <w:rPr>
          <w:rFonts w:ascii="Times New Roman" w:hAnsi="Times New Roman" w:cs="Times New Roman"/>
          <w:color w:val="000000" w:themeColor="text1"/>
        </w:rPr>
        <w:t>, for 89% of reads 2 AA mi</w:t>
      </w:r>
      <w:r w:rsidR="00AE7CB1" w:rsidRPr="008A4B25">
        <w:rPr>
          <w:rFonts w:ascii="Times New Roman" w:hAnsi="Times New Roman" w:cs="Times New Roman"/>
          <w:color w:val="000000" w:themeColor="text1"/>
        </w:rPr>
        <w:t>smatches were allowed, and for 3</w:t>
      </w:r>
      <w:r w:rsidR="00440531" w:rsidRPr="008A4B25">
        <w:rPr>
          <w:rFonts w:ascii="Times New Roman" w:hAnsi="Times New Roman" w:cs="Times New Roman"/>
          <w:color w:val="000000" w:themeColor="text1"/>
        </w:rPr>
        <w:t>% of reads 3 AA mismatches were allowed. C</w:t>
      </w:r>
      <w:r w:rsidR="00B814EA" w:rsidRPr="008A4B25">
        <w:rPr>
          <w:rFonts w:ascii="Times New Roman" w:hAnsi="Times New Roman" w:cs="Times New Roman"/>
          <w:color w:val="000000" w:themeColor="text1"/>
        </w:rPr>
        <w:t>lusters should</w:t>
      </w:r>
      <w:r w:rsidR="00440531" w:rsidRPr="008A4B25">
        <w:rPr>
          <w:rFonts w:ascii="Times New Roman" w:hAnsi="Times New Roman" w:cs="Times New Roman"/>
          <w:color w:val="000000" w:themeColor="text1"/>
        </w:rPr>
        <w:t xml:space="preserve"> therefore</w:t>
      </w:r>
      <w:r w:rsidR="00B814EA" w:rsidRPr="008A4B25">
        <w:rPr>
          <w:rFonts w:ascii="Times New Roman" w:hAnsi="Times New Roman" w:cs="Times New Roman"/>
          <w:color w:val="000000" w:themeColor="text1"/>
        </w:rPr>
        <w:t xml:space="preserve"> encompass all sequences arising from the same cell that differ due to PCR and sequencing error</w:t>
      </w:r>
      <w:r w:rsidR="00956265" w:rsidRPr="008A4B25">
        <w:rPr>
          <w:rFonts w:ascii="Times New Roman" w:hAnsi="Times New Roman" w:cs="Times New Roman"/>
          <w:color w:val="000000" w:themeColor="text1"/>
        </w:rPr>
        <w:t xml:space="preserve">, but </w:t>
      </w:r>
      <w:r w:rsidR="000225C8" w:rsidRPr="008A4B25">
        <w:rPr>
          <w:rFonts w:ascii="Times New Roman" w:hAnsi="Times New Roman" w:cs="Times New Roman"/>
          <w:color w:val="000000" w:themeColor="text1"/>
        </w:rPr>
        <w:t>will</w:t>
      </w:r>
      <w:r w:rsidR="00956265" w:rsidRPr="008A4B25">
        <w:rPr>
          <w:rFonts w:ascii="Times New Roman" w:hAnsi="Times New Roman" w:cs="Times New Roman"/>
          <w:color w:val="000000" w:themeColor="text1"/>
        </w:rPr>
        <w:t xml:space="preserve"> not contain reads more than </w:t>
      </w:r>
      <w:r w:rsidR="00581EAE" w:rsidRPr="008A4B25">
        <w:rPr>
          <w:rFonts w:ascii="Times New Roman" w:hAnsi="Times New Roman" w:cs="Times New Roman"/>
          <w:color w:val="000000" w:themeColor="text1"/>
        </w:rPr>
        <w:t>4</w:t>
      </w:r>
      <w:r w:rsidR="00956265" w:rsidRPr="008A4B25">
        <w:rPr>
          <w:rFonts w:ascii="Times New Roman" w:hAnsi="Times New Roman" w:cs="Times New Roman"/>
          <w:color w:val="000000" w:themeColor="text1"/>
        </w:rPr>
        <w:t xml:space="preserve"> AA different</w:t>
      </w:r>
      <w:r w:rsidR="001853DA" w:rsidRPr="008A4B25">
        <w:rPr>
          <w:rFonts w:ascii="Times New Roman" w:hAnsi="Times New Roman" w:cs="Times New Roman"/>
          <w:color w:val="000000" w:themeColor="text1"/>
        </w:rPr>
        <w:t xml:space="preserve"> which </w:t>
      </w:r>
      <w:r w:rsidR="009F546C" w:rsidRPr="008A4B25">
        <w:rPr>
          <w:rFonts w:ascii="Times New Roman" w:hAnsi="Times New Roman" w:cs="Times New Roman"/>
          <w:color w:val="000000" w:themeColor="text1"/>
        </w:rPr>
        <w:t>are</w:t>
      </w:r>
      <w:r w:rsidR="001853DA" w:rsidRPr="008A4B25">
        <w:rPr>
          <w:rFonts w:ascii="Times New Roman" w:hAnsi="Times New Roman" w:cs="Times New Roman"/>
          <w:color w:val="000000" w:themeColor="text1"/>
        </w:rPr>
        <w:t xml:space="preserve"> more</w:t>
      </w:r>
      <w:r w:rsidR="00956265" w:rsidRPr="008A4B25">
        <w:rPr>
          <w:rFonts w:ascii="Times New Roman" w:hAnsi="Times New Roman" w:cs="Times New Roman"/>
          <w:color w:val="000000" w:themeColor="text1"/>
        </w:rPr>
        <w:t xml:space="preserve"> likely </w:t>
      </w:r>
      <w:r w:rsidR="001853DA" w:rsidRPr="008A4B25">
        <w:rPr>
          <w:rFonts w:ascii="Times New Roman" w:hAnsi="Times New Roman" w:cs="Times New Roman"/>
          <w:color w:val="000000" w:themeColor="text1"/>
        </w:rPr>
        <w:t>to hav</w:t>
      </w:r>
      <w:r w:rsidR="00C64D06" w:rsidRPr="008A4B25">
        <w:rPr>
          <w:rFonts w:ascii="Times New Roman" w:hAnsi="Times New Roman" w:cs="Times New Roman"/>
          <w:color w:val="000000" w:themeColor="text1"/>
        </w:rPr>
        <w:t>e</w:t>
      </w:r>
      <w:r w:rsidR="001853DA" w:rsidRPr="008A4B25">
        <w:rPr>
          <w:rFonts w:ascii="Times New Roman" w:hAnsi="Times New Roman" w:cs="Times New Roman"/>
          <w:color w:val="000000" w:themeColor="text1"/>
        </w:rPr>
        <w:t xml:space="preserve"> </w:t>
      </w:r>
      <w:r w:rsidR="00BE7FA3" w:rsidRPr="008A4B25">
        <w:rPr>
          <w:rFonts w:ascii="Times New Roman" w:hAnsi="Times New Roman" w:cs="Times New Roman"/>
          <w:color w:val="000000" w:themeColor="text1"/>
        </w:rPr>
        <w:t>arisen</w:t>
      </w:r>
      <w:r w:rsidR="00956265" w:rsidRPr="008A4B25">
        <w:rPr>
          <w:rFonts w:ascii="Times New Roman" w:hAnsi="Times New Roman" w:cs="Times New Roman"/>
          <w:color w:val="000000" w:themeColor="text1"/>
        </w:rPr>
        <w:t xml:space="preserve"> </w:t>
      </w:r>
      <w:r w:rsidR="00956265" w:rsidRPr="003F091B">
        <w:rPr>
          <w:rFonts w:ascii="Times New Roman" w:hAnsi="Times New Roman" w:cs="Times New Roman"/>
          <w:color w:val="000000" w:themeColor="text1"/>
        </w:rPr>
        <w:t>from different cells</w:t>
      </w:r>
      <w:r w:rsidR="00B814EA" w:rsidRPr="003F091B">
        <w:rPr>
          <w:rFonts w:ascii="Times New Roman" w:hAnsi="Times New Roman" w:cs="Times New Roman"/>
          <w:color w:val="000000" w:themeColor="text1"/>
        </w:rPr>
        <w:t xml:space="preserve">. </w:t>
      </w:r>
      <w:r w:rsidR="0057696A" w:rsidRPr="003F091B">
        <w:rPr>
          <w:rFonts w:ascii="Times New Roman" w:hAnsi="Times New Roman" w:cs="Times New Roman"/>
          <w:color w:val="000000" w:themeColor="text1"/>
        </w:rPr>
        <w:t xml:space="preserve">However, we can not rule out that we also cluster together reads from different, but clonally related cells that </w:t>
      </w:r>
      <w:r w:rsidR="005F5CAD" w:rsidRPr="003F091B">
        <w:rPr>
          <w:rFonts w:ascii="Times New Roman" w:hAnsi="Times New Roman" w:cs="Times New Roman"/>
          <w:color w:val="000000" w:themeColor="text1"/>
        </w:rPr>
        <w:t>use the same V and J genes, and have a similar CDR3 sequence</w:t>
      </w:r>
      <w:r w:rsidR="00440531" w:rsidRPr="003F091B">
        <w:rPr>
          <w:rFonts w:ascii="Times New Roman" w:hAnsi="Times New Roman" w:cs="Times New Roman"/>
          <w:color w:val="000000" w:themeColor="text1"/>
        </w:rPr>
        <w:t xml:space="preserve"> (Fig. 2A)</w:t>
      </w:r>
      <w:r w:rsidR="0057696A" w:rsidRPr="003F091B">
        <w:rPr>
          <w:rFonts w:ascii="Times New Roman" w:hAnsi="Times New Roman" w:cs="Times New Roman"/>
          <w:color w:val="000000" w:themeColor="text1"/>
        </w:rPr>
        <w:t xml:space="preserve">. </w:t>
      </w:r>
      <w:r w:rsidR="00D76CC7" w:rsidRPr="003F091B">
        <w:rPr>
          <w:rFonts w:ascii="Times New Roman" w:hAnsi="Times New Roman" w:cs="Times New Roman"/>
          <w:color w:val="000000" w:themeColor="text1"/>
        </w:rPr>
        <w:t xml:space="preserve">After </w:t>
      </w:r>
      <w:r w:rsidR="00E60905" w:rsidRPr="003F091B">
        <w:rPr>
          <w:rFonts w:ascii="Times New Roman" w:hAnsi="Times New Roman" w:cs="Times New Roman"/>
          <w:color w:val="000000" w:themeColor="text1"/>
        </w:rPr>
        <w:t xml:space="preserve">collapsing the clusters to give a single representative sequence </w:t>
      </w:r>
      <w:r w:rsidR="00513EF3" w:rsidRPr="003F091B">
        <w:rPr>
          <w:rFonts w:ascii="Times New Roman" w:hAnsi="Times New Roman" w:cs="Times New Roman"/>
          <w:color w:val="000000" w:themeColor="text1"/>
        </w:rPr>
        <w:t>(the cluster center) for</w:t>
      </w:r>
      <w:r w:rsidR="00E60905" w:rsidRPr="003F091B">
        <w:rPr>
          <w:rFonts w:ascii="Times New Roman" w:hAnsi="Times New Roman" w:cs="Times New Roman"/>
          <w:color w:val="000000" w:themeColor="text1"/>
        </w:rPr>
        <w:t xml:space="preserve"> each</w:t>
      </w:r>
      <w:r w:rsidR="00740E6A" w:rsidRPr="003F091B">
        <w:rPr>
          <w:rFonts w:ascii="Times New Roman" w:hAnsi="Times New Roman" w:cs="Times New Roman"/>
          <w:color w:val="000000" w:themeColor="text1"/>
        </w:rPr>
        <w:t>,</w:t>
      </w:r>
      <w:r w:rsidR="00A1223F" w:rsidRPr="003F091B">
        <w:rPr>
          <w:rFonts w:ascii="Times New Roman" w:hAnsi="Times New Roman" w:cs="Times New Roman"/>
          <w:color w:val="000000" w:themeColor="text1"/>
        </w:rPr>
        <w:t xml:space="preserve"> </w:t>
      </w:r>
      <w:r w:rsidR="00FD24E6" w:rsidRPr="003F091B">
        <w:rPr>
          <w:rFonts w:ascii="Times New Roman" w:hAnsi="Times New Roman" w:cs="Times New Roman"/>
          <w:color w:val="000000" w:themeColor="text1"/>
        </w:rPr>
        <w:t xml:space="preserve">duplicates were removed, and </w:t>
      </w:r>
      <w:r w:rsidR="007E7DBB" w:rsidRPr="003F091B">
        <w:rPr>
          <w:rFonts w:ascii="Times New Roman" w:hAnsi="Times New Roman" w:cs="Times New Roman"/>
          <w:color w:val="000000" w:themeColor="text1"/>
        </w:rPr>
        <w:t>the number of sequences per sample was representative of the number of cells for that sample (Fig. 2C)</w:t>
      </w:r>
      <w:r w:rsidR="00DC721D" w:rsidRPr="003F091B">
        <w:rPr>
          <w:rFonts w:ascii="Times New Roman" w:hAnsi="Times New Roman" w:cs="Times New Roman"/>
          <w:color w:val="000000" w:themeColor="text1"/>
        </w:rPr>
        <w:t xml:space="preserve">, and on average </w:t>
      </w:r>
      <w:r w:rsidR="007A118F" w:rsidRPr="003F091B">
        <w:rPr>
          <w:rFonts w:ascii="Times New Roman" w:hAnsi="Times New Roman" w:cs="Times New Roman"/>
          <w:color w:val="000000" w:themeColor="text1"/>
        </w:rPr>
        <w:t>6</w:t>
      </w:r>
      <w:r w:rsidR="00DC721D" w:rsidRPr="003F091B">
        <w:rPr>
          <w:rFonts w:ascii="Times New Roman" w:hAnsi="Times New Roman" w:cs="Times New Roman"/>
          <w:color w:val="000000" w:themeColor="text1"/>
        </w:rPr>
        <w:t xml:space="preserve">% of the original number of </w:t>
      </w:r>
      <w:r w:rsidR="00E60905" w:rsidRPr="003F091B">
        <w:rPr>
          <w:rFonts w:ascii="Times New Roman" w:hAnsi="Times New Roman" w:cs="Times New Roman"/>
          <w:color w:val="000000" w:themeColor="text1"/>
        </w:rPr>
        <w:t>raw reads</w:t>
      </w:r>
      <w:r w:rsidR="007E7DBB" w:rsidRPr="003F091B">
        <w:rPr>
          <w:rFonts w:ascii="Times New Roman" w:hAnsi="Times New Roman" w:cs="Times New Roman"/>
          <w:color w:val="000000" w:themeColor="text1"/>
        </w:rPr>
        <w:t xml:space="preserve">. </w:t>
      </w:r>
      <w:r w:rsidR="00B37A6C" w:rsidRPr="003F091B">
        <w:rPr>
          <w:rFonts w:ascii="Times New Roman" w:hAnsi="Times New Roman" w:cs="Times New Roman"/>
          <w:color w:val="000000" w:themeColor="text1"/>
        </w:rPr>
        <w:t>For some samples, there were still more sequences than cell</w:t>
      </w:r>
      <w:r w:rsidR="00BA0768" w:rsidRPr="003F091B">
        <w:rPr>
          <w:rFonts w:ascii="Times New Roman" w:hAnsi="Times New Roman" w:cs="Times New Roman"/>
          <w:color w:val="000000" w:themeColor="text1"/>
        </w:rPr>
        <w:t>s, but the discrepancy was small, and could be due to inaccuracies in the number outputted by the cell sorter</w:t>
      </w:r>
      <w:r w:rsidR="00BE2F9B" w:rsidRPr="003F091B">
        <w:rPr>
          <w:rFonts w:ascii="Times New Roman" w:hAnsi="Times New Roman" w:cs="Times New Roman"/>
          <w:color w:val="000000" w:themeColor="text1"/>
        </w:rPr>
        <w:t>, a small number of erroneous sequences not being incorp</w:t>
      </w:r>
      <w:r w:rsidR="003408D2" w:rsidRPr="003F091B">
        <w:rPr>
          <w:rFonts w:ascii="Times New Roman" w:hAnsi="Times New Roman" w:cs="Times New Roman"/>
          <w:color w:val="000000" w:themeColor="text1"/>
        </w:rPr>
        <w:t>orated into the same cluster,</w:t>
      </w:r>
      <w:r w:rsidR="00BE2F9B" w:rsidRPr="003F091B">
        <w:rPr>
          <w:rFonts w:ascii="Times New Roman" w:hAnsi="Times New Roman" w:cs="Times New Roman"/>
          <w:color w:val="000000" w:themeColor="text1"/>
        </w:rPr>
        <w:t xml:space="preserve"> exogenous DNA contamination</w:t>
      </w:r>
      <w:r w:rsidR="003408D2" w:rsidRPr="003F091B">
        <w:rPr>
          <w:rFonts w:ascii="Times New Roman" w:hAnsi="Times New Roman" w:cs="Times New Roman"/>
          <w:color w:val="000000" w:themeColor="text1"/>
        </w:rPr>
        <w:t>, or the formation of chimeric sequences during the PCR reaction</w:t>
      </w:r>
      <w:r w:rsidR="00BA0768" w:rsidRPr="003F091B">
        <w:rPr>
          <w:rFonts w:ascii="Times New Roman" w:hAnsi="Times New Roman" w:cs="Times New Roman"/>
          <w:color w:val="000000" w:themeColor="text1"/>
        </w:rPr>
        <w:t xml:space="preserve"> </w:t>
      </w:r>
      <w:r w:rsidR="00BA0768" w:rsidRPr="003F091B">
        <w:rPr>
          <w:rFonts w:ascii="Times New Roman" w:hAnsi="Times New Roman" w:cs="Times New Roman"/>
          <w:color w:val="000000" w:themeColor="text1"/>
        </w:rPr>
        <w:lastRenderedPageBreak/>
        <w:t>(Table S1.)</w:t>
      </w:r>
      <w:r w:rsidR="00B37A6C" w:rsidRPr="003F091B">
        <w:rPr>
          <w:rFonts w:ascii="Times New Roman" w:hAnsi="Times New Roman" w:cs="Times New Roman"/>
          <w:color w:val="000000" w:themeColor="text1"/>
        </w:rPr>
        <w:t>.</w:t>
      </w:r>
      <w:r w:rsidR="00BA0768" w:rsidRPr="003F091B">
        <w:rPr>
          <w:rFonts w:ascii="Times New Roman" w:hAnsi="Times New Roman" w:cs="Times New Roman"/>
          <w:color w:val="000000" w:themeColor="text1"/>
        </w:rPr>
        <w:t xml:space="preserve"> </w:t>
      </w:r>
      <w:r w:rsidR="007E7DBB" w:rsidRPr="003F091B">
        <w:rPr>
          <w:rFonts w:ascii="Times New Roman" w:hAnsi="Times New Roman" w:cs="Times New Roman"/>
          <w:color w:val="000000" w:themeColor="text1"/>
        </w:rPr>
        <w:t>T</w:t>
      </w:r>
      <w:r w:rsidR="00740E6A" w:rsidRPr="003F091B">
        <w:rPr>
          <w:rFonts w:ascii="Times New Roman" w:hAnsi="Times New Roman" w:cs="Times New Roman"/>
          <w:color w:val="000000" w:themeColor="text1"/>
        </w:rPr>
        <w:t xml:space="preserve">he </w:t>
      </w:r>
      <w:r w:rsidR="00ED29B0" w:rsidRPr="003F091B">
        <w:rPr>
          <w:rFonts w:ascii="Times New Roman" w:hAnsi="Times New Roman" w:cs="Times New Roman"/>
          <w:color w:val="000000" w:themeColor="text1"/>
        </w:rPr>
        <w:t>m</w:t>
      </w:r>
      <w:r w:rsidR="00B8753E" w:rsidRPr="003F091B">
        <w:rPr>
          <w:rFonts w:ascii="Times New Roman" w:hAnsi="Times New Roman" w:cs="Times New Roman"/>
          <w:color w:val="000000" w:themeColor="text1"/>
        </w:rPr>
        <w:t>ean number</w:t>
      </w:r>
      <w:r w:rsidR="00B8753E" w:rsidRPr="008A4B25">
        <w:rPr>
          <w:rFonts w:ascii="Times New Roman" w:hAnsi="Times New Roman" w:cs="Times New Roman"/>
          <w:color w:val="000000" w:themeColor="text1"/>
        </w:rPr>
        <w:t xml:space="preserve"> of </w:t>
      </w:r>
      <w:r w:rsidR="006F504C" w:rsidRPr="008A4B25">
        <w:rPr>
          <w:rFonts w:ascii="Times New Roman" w:hAnsi="Times New Roman" w:cs="Times New Roman"/>
          <w:color w:val="000000" w:themeColor="text1"/>
        </w:rPr>
        <w:t xml:space="preserve">sequences </w:t>
      </w:r>
      <w:r w:rsidR="00A6663C" w:rsidRPr="008A4B25">
        <w:rPr>
          <w:rFonts w:ascii="Times New Roman" w:hAnsi="Times New Roman" w:cs="Times New Roman"/>
          <w:color w:val="000000" w:themeColor="text1"/>
        </w:rPr>
        <w:t>per sample</w:t>
      </w:r>
      <w:r w:rsidR="007E7DBB" w:rsidRPr="008A4B25">
        <w:rPr>
          <w:rFonts w:ascii="Times New Roman" w:hAnsi="Times New Roman" w:cs="Times New Roman"/>
          <w:color w:val="000000" w:themeColor="text1"/>
        </w:rPr>
        <w:t xml:space="preserve"> was</w:t>
      </w:r>
      <w:r w:rsidR="00A6663C" w:rsidRPr="008A4B25">
        <w:rPr>
          <w:rFonts w:ascii="Times New Roman" w:hAnsi="Times New Roman" w:cs="Times New Roman"/>
          <w:color w:val="000000" w:themeColor="text1"/>
        </w:rPr>
        <w:t xml:space="preserve"> </w:t>
      </w:r>
      <w:r w:rsidR="00EC6F51" w:rsidRPr="008A4B25">
        <w:rPr>
          <w:rFonts w:ascii="Times New Roman" w:hAnsi="Times New Roman" w:cs="Times New Roman"/>
          <w:color w:val="000000" w:themeColor="text1"/>
        </w:rPr>
        <w:t>41 100</w:t>
      </w:r>
      <w:r w:rsidR="00CC0583" w:rsidRPr="008A4B25">
        <w:rPr>
          <w:rFonts w:ascii="Times New Roman" w:hAnsi="Times New Roman" w:cs="Times New Roman"/>
          <w:color w:val="000000" w:themeColor="text1"/>
        </w:rPr>
        <w:t xml:space="preserve"> </w:t>
      </w:r>
      <w:r w:rsidR="00DD020C" w:rsidRPr="008A4B25">
        <w:rPr>
          <w:rFonts w:ascii="Times New Roman" w:hAnsi="Times New Roman" w:cs="Times New Roman"/>
          <w:color w:val="000000" w:themeColor="text1"/>
        </w:rPr>
        <w:t>(</w:t>
      </w:r>
      <w:r w:rsidR="00EC6F51" w:rsidRPr="008A4B25">
        <w:rPr>
          <w:rFonts w:ascii="Times New Roman" w:hAnsi="Times New Roman" w:cs="Times New Roman"/>
          <w:color w:val="000000" w:themeColor="text1"/>
        </w:rPr>
        <w:t>19 240</w:t>
      </w:r>
      <w:r w:rsidR="0031156D"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 xml:space="preserve"> </w:t>
      </w:r>
      <w:r w:rsidR="00EC6F51" w:rsidRPr="008A4B25">
        <w:rPr>
          <w:rFonts w:ascii="Times New Roman" w:hAnsi="Times New Roman" w:cs="Times New Roman"/>
          <w:color w:val="000000" w:themeColor="text1"/>
        </w:rPr>
        <w:t>52 440</w:t>
      </w:r>
      <w:r w:rsidR="00DD020C" w:rsidRPr="008A4B25">
        <w:rPr>
          <w:rFonts w:ascii="Times New Roman" w:hAnsi="Times New Roman" w:cs="Times New Roman"/>
          <w:color w:val="000000" w:themeColor="text1"/>
        </w:rPr>
        <w:t xml:space="preserve">) </w:t>
      </w:r>
      <w:r w:rsidR="00CC0583" w:rsidRPr="008A4B25">
        <w:rPr>
          <w:rFonts w:ascii="Times New Roman" w:hAnsi="Times New Roman" w:cs="Times New Roman"/>
          <w:color w:val="000000" w:themeColor="text1"/>
        </w:rPr>
        <w:t xml:space="preserve">for naïve </w:t>
      </w:r>
      <w:r w:rsidR="00B8753E" w:rsidRPr="008A4B25">
        <w:rPr>
          <w:rFonts w:ascii="Times New Roman" w:hAnsi="Times New Roman" w:cs="Times New Roman"/>
          <w:color w:val="000000" w:themeColor="text1"/>
        </w:rPr>
        <w:t xml:space="preserve">cells, </w:t>
      </w:r>
      <w:r w:rsidR="00EC6F51" w:rsidRPr="008A4B25">
        <w:rPr>
          <w:rFonts w:ascii="Times New Roman" w:hAnsi="Times New Roman" w:cs="Times New Roman"/>
          <w:color w:val="000000" w:themeColor="text1"/>
        </w:rPr>
        <w:t>7 873</w:t>
      </w:r>
      <w:r w:rsidR="00F417A6"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w:t>
      </w:r>
      <w:r w:rsidR="00EC6F51" w:rsidRPr="008A4B25">
        <w:rPr>
          <w:rFonts w:ascii="Times New Roman" w:hAnsi="Times New Roman" w:cs="Times New Roman"/>
          <w:color w:val="000000" w:themeColor="text1"/>
        </w:rPr>
        <w:t>3 861</w:t>
      </w:r>
      <w:r w:rsidR="0031156D"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 xml:space="preserve"> </w:t>
      </w:r>
      <w:r w:rsidR="00EC6F51" w:rsidRPr="008A4B25">
        <w:rPr>
          <w:rFonts w:ascii="Times New Roman" w:hAnsi="Times New Roman" w:cs="Times New Roman"/>
          <w:color w:val="000000" w:themeColor="text1"/>
        </w:rPr>
        <w:t>16 120</w:t>
      </w:r>
      <w:r w:rsidR="00DD020C" w:rsidRPr="008A4B25">
        <w:rPr>
          <w:rFonts w:ascii="Times New Roman" w:hAnsi="Times New Roman" w:cs="Times New Roman"/>
          <w:color w:val="000000" w:themeColor="text1"/>
        </w:rPr>
        <w:t xml:space="preserve">) </w:t>
      </w:r>
      <w:r w:rsidR="00CC0583" w:rsidRPr="008A4B25">
        <w:rPr>
          <w:rFonts w:ascii="Times New Roman" w:hAnsi="Times New Roman" w:cs="Times New Roman"/>
          <w:color w:val="000000" w:themeColor="text1"/>
        </w:rPr>
        <w:t xml:space="preserve">for </w:t>
      </w:r>
      <w:r w:rsidR="00791C14" w:rsidRPr="008A4B25">
        <w:rPr>
          <w:rFonts w:ascii="Times New Roman" w:hAnsi="Times New Roman" w:cs="Times New Roman"/>
          <w:color w:val="000000" w:themeColor="text1"/>
        </w:rPr>
        <w:t>MZ</w:t>
      </w:r>
      <w:r w:rsidR="00CC0583" w:rsidRPr="008A4B25">
        <w:rPr>
          <w:rFonts w:ascii="Times New Roman" w:hAnsi="Times New Roman" w:cs="Times New Roman"/>
          <w:color w:val="000000" w:themeColor="text1"/>
        </w:rPr>
        <w:t xml:space="preserve"> </w:t>
      </w:r>
      <w:r w:rsidR="00C61DD0" w:rsidRPr="008A4B25">
        <w:rPr>
          <w:rFonts w:ascii="Times New Roman" w:hAnsi="Times New Roman" w:cs="Times New Roman"/>
          <w:color w:val="000000" w:themeColor="text1"/>
        </w:rPr>
        <w:t>cells</w:t>
      </w:r>
      <w:r w:rsidR="00B8753E"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6 200</w:t>
      </w:r>
      <w:r w:rsidR="00B8753E"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w:t>
      </w:r>
      <w:r w:rsidR="00B924FE" w:rsidRPr="008A4B25">
        <w:rPr>
          <w:rFonts w:ascii="Times New Roman" w:hAnsi="Times New Roman" w:cs="Times New Roman"/>
          <w:color w:val="000000" w:themeColor="text1"/>
        </w:rPr>
        <w:t>3 096</w:t>
      </w:r>
      <w:r w:rsidR="0031156D"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9 673</w:t>
      </w:r>
      <w:r w:rsidR="00DD020C" w:rsidRPr="008A4B25">
        <w:rPr>
          <w:rFonts w:ascii="Times New Roman" w:hAnsi="Times New Roman" w:cs="Times New Roman"/>
          <w:color w:val="000000" w:themeColor="text1"/>
        </w:rPr>
        <w:t xml:space="preserve">) </w:t>
      </w:r>
      <w:r w:rsidR="00B8753E" w:rsidRPr="008A4B25">
        <w:rPr>
          <w:rFonts w:ascii="Times New Roman" w:hAnsi="Times New Roman" w:cs="Times New Roman"/>
          <w:color w:val="000000" w:themeColor="text1"/>
        </w:rPr>
        <w:t xml:space="preserve">for IgM memory </w:t>
      </w:r>
      <w:r w:rsidR="00C61DD0" w:rsidRPr="008A4B25">
        <w:rPr>
          <w:rFonts w:ascii="Times New Roman" w:hAnsi="Times New Roman" w:cs="Times New Roman"/>
          <w:color w:val="000000" w:themeColor="text1"/>
        </w:rPr>
        <w:t>cells</w:t>
      </w:r>
      <w:r w:rsidR="00B8753E"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3 652</w:t>
      </w:r>
      <w:r w:rsidR="00B8753E" w:rsidRPr="008A4B25">
        <w:rPr>
          <w:rFonts w:ascii="Times New Roman" w:hAnsi="Times New Roman" w:cs="Times New Roman"/>
          <w:color w:val="000000" w:themeColor="text1"/>
        </w:rPr>
        <w:t xml:space="preserve"> </w:t>
      </w:r>
      <w:r w:rsidR="0031156D" w:rsidRPr="008A4B25">
        <w:rPr>
          <w:rFonts w:ascii="Times New Roman" w:hAnsi="Times New Roman" w:cs="Times New Roman"/>
          <w:color w:val="000000" w:themeColor="text1"/>
        </w:rPr>
        <w:t>(</w:t>
      </w:r>
      <w:r w:rsidR="00B924FE" w:rsidRPr="008A4B25">
        <w:rPr>
          <w:rFonts w:ascii="Times New Roman" w:hAnsi="Times New Roman" w:cs="Times New Roman"/>
          <w:color w:val="000000" w:themeColor="text1"/>
        </w:rPr>
        <w:t>1 308</w:t>
      </w:r>
      <w:r w:rsidR="0031156D"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7 382</w:t>
      </w:r>
      <w:r w:rsidR="0031156D" w:rsidRPr="008A4B25">
        <w:rPr>
          <w:rFonts w:ascii="Times New Roman" w:hAnsi="Times New Roman" w:cs="Times New Roman"/>
          <w:color w:val="000000" w:themeColor="text1"/>
        </w:rPr>
        <w:t xml:space="preserve">) </w:t>
      </w:r>
      <w:r w:rsidR="00B8753E" w:rsidRPr="008A4B25">
        <w:rPr>
          <w:rFonts w:ascii="Times New Roman" w:hAnsi="Times New Roman" w:cs="Times New Roman"/>
          <w:color w:val="000000" w:themeColor="text1"/>
        </w:rPr>
        <w:t xml:space="preserve">for IgG memory </w:t>
      </w:r>
      <w:r w:rsidR="00C61DD0" w:rsidRPr="008A4B25">
        <w:rPr>
          <w:rFonts w:ascii="Times New Roman" w:hAnsi="Times New Roman" w:cs="Times New Roman"/>
          <w:color w:val="000000" w:themeColor="text1"/>
        </w:rPr>
        <w:t>cells</w:t>
      </w:r>
      <w:r w:rsidR="00B8753E"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1 466</w:t>
      </w:r>
      <w:r w:rsidR="00B8753E" w:rsidRPr="008A4B25">
        <w:rPr>
          <w:rFonts w:ascii="Times New Roman" w:hAnsi="Times New Roman" w:cs="Times New Roman"/>
          <w:color w:val="000000" w:themeColor="text1"/>
        </w:rPr>
        <w:t xml:space="preserve"> </w:t>
      </w:r>
      <w:r w:rsidR="0031156D" w:rsidRPr="008A4B25">
        <w:rPr>
          <w:rFonts w:ascii="Times New Roman" w:hAnsi="Times New Roman" w:cs="Times New Roman"/>
          <w:color w:val="000000" w:themeColor="text1"/>
        </w:rPr>
        <w:t>(</w:t>
      </w:r>
      <w:r w:rsidR="00B924FE" w:rsidRPr="008A4B25">
        <w:rPr>
          <w:rFonts w:ascii="Times New Roman" w:hAnsi="Times New Roman" w:cs="Times New Roman"/>
          <w:color w:val="000000" w:themeColor="text1"/>
        </w:rPr>
        <w:t>436</w:t>
      </w:r>
      <w:r w:rsidR="0031156D" w:rsidRPr="008A4B25">
        <w:rPr>
          <w:rFonts w:ascii="Times New Roman" w:hAnsi="Times New Roman" w:cs="Times New Roman"/>
          <w:color w:val="000000" w:themeColor="text1"/>
        </w:rPr>
        <w:t xml:space="preserve"> –</w:t>
      </w:r>
      <w:r w:rsidR="00002281"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2 786</w:t>
      </w:r>
      <w:r w:rsidR="0031156D" w:rsidRPr="008A4B25">
        <w:rPr>
          <w:rFonts w:ascii="Times New Roman" w:hAnsi="Times New Roman" w:cs="Times New Roman"/>
          <w:color w:val="000000" w:themeColor="text1"/>
        </w:rPr>
        <w:t xml:space="preserve">) </w:t>
      </w:r>
      <w:r w:rsidR="00B8753E" w:rsidRPr="008A4B25">
        <w:rPr>
          <w:rFonts w:ascii="Times New Roman" w:hAnsi="Times New Roman" w:cs="Times New Roman"/>
          <w:color w:val="000000" w:themeColor="text1"/>
        </w:rPr>
        <w:t xml:space="preserve">for HLA-DR+ </w:t>
      </w:r>
      <w:r w:rsidR="0033414C" w:rsidRPr="008A4B25">
        <w:rPr>
          <w:rFonts w:ascii="Times New Roman" w:hAnsi="Times New Roman" w:cs="Times New Roman"/>
          <w:color w:val="000000" w:themeColor="text1"/>
        </w:rPr>
        <w:t>PC</w:t>
      </w:r>
      <w:r w:rsidR="00B8753E" w:rsidRPr="008A4B25">
        <w:rPr>
          <w:rFonts w:ascii="Times New Roman" w:hAnsi="Times New Roman" w:cs="Times New Roman"/>
          <w:color w:val="000000" w:themeColor="text1"/>
        </w:rPr>
        <w:t xml:space="preserve">s, and </w:t>
      </w:r>
      <w:r w:rsidR="00B924FE" w:rsidRPr="008A4B25">
        <w:rPr>
          <w:rFonts w:ascii="Times New Roman" w:hAnsi="Times New Roman" w:cs="Times New Roman"/>
          <w:color w:val="000000" w:themeColor="text1"/>
        </w:rPr>
        <w:t>1 259</w:t>
      </w:r>
      <w:r w:rsidR="00CC0583" w:rsidRPr="008A4B25">
        <w:rPr>
          <w:rFonts w:ascii="Times New Roman" w:hAnsi="Times New Roman" w:cs="Times New Roman"/>
          <w:color w:val="000000" w:themeColor="text1"/>
        </w:rPr>
        <w:t xml:space="preserve"> </w:t>
      </w:r>
      <w:r w:rsidR="0031156D" w:rsidRPr="008A4B25">
        <w:rPr>
          <w:rFonts w:ascii="Times New Roman" w:hAnsi="Times New Roman" w:cs="Times New Roman"/>
          <w:color w:val="000000" w:themeColor="text1"/>
        </w:rPr>
        <w:t>(</w:t>
      </w:r>
      <w:r w:rsidR="00B924FE" w:rsidRPr="008A4B25">
        <w:rPr>
          <w:rFonts w:ascii="Times New Roman" w:hAnsi="Times New Roman" w:cs="Times New Roman"/>
          <w:color w:val="000000" w:themeColor="text1"/>
        </w:rPr>
        <w:t>601</w:t>
      </w:r>
      <w:r w:rsidR="0031156D"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w:t>
      </w:r>
      <w:r w:rsidR="0031156D" w:rsidRPr="008A4B25">
        <w:rPr>
          <w:rFonts w:ascii="Times New Roman" w:hAnsi="Times New Roman" w:cs="Times New Roman"/>
          <w:color w:val="000000" w:themeColor="text1"/>
        </w:rPr>
        <w:t xml:space="preserve"> </w:t>
      </w:r>
      <w:r w:rsidR="00B924FE" w:rsidRPr="008A4B25">
        <w:rPr>
          <w:rFonts w:ascii="Times New Roman" w:hAnsi="Times New Roman" w:cs="Times New Roman"/>
          <w:color w:val="000000" w:themeColor="text1"/>
        </w:rPr>
        <w:t>2 277</w:t>
      </w:r>
      <w:r w:rsidR="0031156D" w:rsidRPr="008A4B25">
        <w:rPr>
          <w:rFonts w:ascii="Times New Roman" w:hAnsi="Times New Roman" w:cs="Times New Roman"/>
          <w:color w:val="000000" w:themeColor="text1"/>
        </w:rPr>
        <w:t xml:space="preserve">) </w:t>
      </w:r>
      <w:r w:rsidR="00CC0583" w:rsidRPr="008A4B25">
        <w:rPr>
          <w:rFonts w:ascii="Times New Roman" w:hAnsi="Times New Roman" w:cs="Times New Roman"/>
          <w:color w:val="000000" w:themeColor="text1"/>
        </w:rPr>
        <w:t xml:space="preserve">for HLA-DR- </w:t>
      </w:r>
      <w:r w:rsidR="0033414C" w:rsidRPr="008A4B25">
        <w:rPr>
          <w:rFonts w:ascii="Times New Roman" w:hAnsi="Times New Roman" w:cs="Times New Roman"/>
          <w:color w:val="000000" w:themeColor="text1"/>
        </w:rPr>
        <w:t>PC</w:t>
      </w:r>
      <w:r w:rsidR="00CC0583" w:rsidRPr="008A4B25">
        <w:rPr>
          <w:rFonts w:ascii="Times New Roman" w:hAnsi="Times New Roman" w:cs="Times New Roman"/>
          <w:color w:val="000000" w:themeColor="text1"/>
        </w:rPr>
        <w:t>s.</w:t>
      </w:r>
      <w:r w:rsidR="00B37A6C" w:rsidRPr="008A4B25">
        <w:rPr>
          <w:rFonts w:ascii="Times New Roman" w:hAnsi="Times New Roman" w:cs="Times New Roman"/>
          <w:color w:val="000000" w:themeColor="text1"/>
        </w:rPr>
        <w:t xml:space="preserve"> </w:t>
      </w:r>
    </w:p>
    <w:p w14:paraId="69285B95" w14:textId="394D6BA8" w:rsidR="00142103" w:rsidRPr="008A4B25" w:rsidRDefault="00A64081">
      <w:pPr>
        <w:pStyle w:val="Heading2"/>
        <w:rPr>
          <w:rFonts w:ascii="Times New Roman" w:hAnsi="Times New Roman"/>
        </w:rPr>
      </w:pPr>
      <w:r w:rsidRPr="008A4B25">
        <w:rPr>
          <w:rFonts w:ascii="Times New Roman" w:hAnsi="Times New Roman"/>
        </w:rPr>
        <w:t>Post-vaccination p</w:t>
      </w:r>
      <w:r w:rsidR="00376F1F" w:rsidRPr="008A4B25">
        <w:rPr>
          <w:rFonts w:ascii="Times New Roman" w:hAnsi="Times New Roman"/>
        </w:rPr>
        <w:t>lasma cell repertoire</w:t>
      </w:r>
      <w:r w:rsidR="00596BA9" w:rsidRPr="008A4B25">
        <w:rPr>
          <w:rFonts w:ascii="Times New Roman" w:hAnsi="Times New Roman"/>
        </w:rPr>
        <w:t>s</w:t>
      </w:r>
      <w:r w:rsidR="00376F1F" w:rsidRPr="008A4B25">
        <w:rPr>
          <w:rFonts w:ascii="Times New Roman" w:hAnsi="Times New Roman"/>
        </w:rPr>
        <w:t xml:space="preserve"> </w:t>
      </w:r>
      <w:r w:rsidR="00596BA9" w:rsidRPr="008A4B25">
        <w:rPr>
          <w:rFonts w:ascii="Times New Roman" w:hAnsi="Times New Roman"/>
        </w:rPr>
        <w:t>have</w:t>
      </w:r>
      <w:r w:rsidR="00376F1F" w:rsidRPr="008A4B25">
        <w:rPr>
          <w:rFonts w:ascii="Times New Roman" w:hAnsi="Times New Roman"/>
        </w:rPr>
        <w:t xml:space="preserve"> distinct properties compared to the baseline cell subset repertoires</w:t>
      </w:r>
    </w:p>
    <w:p w14:paraId="35419D58" w14:textId="7D2891EA" w:rsidR="0059731A" w:rsidRPr="008A4B25" w:rsidRDefault="00020F44" w:rsidP="00774AC1">
      <w:pPr>
        <w:tabs>
          <w:tab w:val="left" w:pos="5493"/>
        </w:tabs>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Baseline B</w:t>
      </w:r>
      <w:r w:rsidR="0059731A" w:rsidRPr="008A4B25">
        <w:rPr>
          <w:rFonts w:ascii="Times New Roman" w:hAnsi="Times New Roman" w:cs="Times New Roman"/>
          <w:color w:val="000000" w:themeColor="text1"/>
        </w:rPr>
        <w:t xml:space="preserve"> </w:t>
      </w:r>
      <w:r w:rsidRPr="008A4B25">
        <w:rPr>
          <w:rFonts w:ascii="Times New Roman" w:hAnsi="Times New Roman" w:cs="Times New Roman"/>
          <w:color w:val="000000" w:themeColor="text1"/>
        </w:rPr>
        <w:t xml:space="preserve">cell subsets </w:t>
      </w:r>
      <w:r w:rsidR="001B770C" w:rsidRPr="008A4B25">
        <w:rPr>
          <w:rFonts w:ascii="Times New Roman" w:hAnsi="Times New Roman" w:cs="Times New Roman"/>
          <w:color w:val="000000" w:themeColor="text1"/>
        </w:rPr>
        <w:t xml:space="preserve">could </w:t>
      </w:r>
      <w:r w:rsidRPr="008A4B25">
        <w:rPr>
          <w:rFonts w:ascii="Times New Roman" w:hAnsi="Times New Roman" w:cs="Times New Roman"/>
          <w:color w:val="000000" w:themeColor="text1"/>
        </w:rPr>
        <w:t xml:space="preserve">be distinguished from each other by a small number of global repertoire properties: </w:t>
      </w:r>
      <w:r w:rsidR="00226FEA" w:rsidRPr="008A4B25">
        <w:rPr>
          <w:rFonts w:ascii="Times New Roman" w:hAnsi="Times New Roman" w:cs="Times New Roman"/>
          <w:color w:val="000000" w:themeColor="text1"/>
        </w:rPr>
        <w:t>clonality</w:t>
      </w:r>
      <w:r w:rsidRPr="008A4B25">
        <w:rPr>
          <w:rFonts w:ascii="Times New Roman" w:hAnsi="Times New Roman" w:cs="Times New Roman"/>
          <w:color w:val="000000" w:themeColor="text1"/>
        </w:rPr>
        <w:t xml:space="preserve">, V gene mutation </w:t>
      </w:r>
      <w:r w:rsidR="0059731A" w:rsidRPr="008A4B25">
        <w:rPr>
          <w:rFonts w:ascii="Times New Roman" w:hAnsi="Times New Roman" w:cs="Times New Roman"/>
          <w:color w:val="000000" w:themeColor="text1"/>
        </w:rPr>
        <w:t xml:space="preserve">from germ-line </w:t>
      </w:r>
      <w:r w:rsidRPr="008A4B25">
        <w:rPr>
          <w:rFonts w:ascii="Times New Roman" w:hAnsi="Times New Roman" w:cs="Times New Roman"/>
          <w:color w:val="000000" w:themeColor="text1"/>
        </w:rPr>
        <w:t>and CDR3 length (</w:t>
      </w:r>
      <w:r w:rsidR="00A80D5F" w:rsidRPr="008A4B25">
        <w:rPr>
          <w:rFonts w:ascii="Times New Roman" w:hAnsi="Times New Roman" w:cs="Times New Roman"/>
          <w:color w:val="000000" w:themeColor="text1"/>
        </w:rPr>
        <w:t>Fig. 3</w:t>
      </w:r>
      <w:r w:rsidR="00E01A30" w:rsidRPr="008A4B25">
        <w:rPr>
          <w:rFonts w:ascii="Times New Roman" w:hAnsi="Times New Roman" w:cs="Times New Roman"/>
          <w:color w:val="000000" w:themeColor="text1"/>
        </w:rPr>
        <w:t>A</w:t>
      </w:r>
      <w:r w:rsidRPr="008A4B25">
        <w:rPr>
          <w:rFonts w:ascii="Times New Roman" w:hAnsi="Times New Roman" w:cs="Times New Roman"/>
          <w:color w:val="000000" w:themeColor="text1"/>
        </w:rPr>
        <w:t>-</w:t>
      </w:r>
      <w:r w:rsidR="00E01A30" w:rsidRPr="008A4B25">
        <w:rPr>
          <w:rFonts w:ascii="Times New Roman" w:hAnsi="Times New Roman" w:cs="Times New Roman"/>
          <w:color w:val="000000" w:themeColor="text1"/>
        </w:rPr>
        <w:t>C</w:t>
      </w:r>
      <w:r w:rsidRPr="008A4B25">
        <w:rPr>
          <w:rFonts w:ascii="Times New Roman" w:hAnsi="Times New Roman" w:cs="Times New Roman"/>
          <w:color w:val="000000" w:themeColor="text1"/>
        </w:rPr>
        <w:t xml:space="preserve">). Naïve </w:t>
      </w:r>
      <w:r w:rsidR="0059731A" w:rsidRPr="008A4B25">
        <w:rPr>
          <w:rFonts w:ascii="Times New Roman" w:hAnsi="Times New Roman" w:cs="Times New Roman"/>
          <w:color w:val="000000" w:themeColor="text1"/>
        </w:rPr>
        <w:t>B cell</w:t>
      </w:r>
      <w:r w:rsidRPr="008A4B25">
        <w:rPr>
          <w:rFonts w:ascii="Times New Roman" w:hAnsi="Times New Roman" w:cs="Times New Roman"/>
          <w:color w:val="000000" w:themeColor="text1"/>
        </w:rPr>
        <w:t xml:space="preserve">s </w:t>
      </w:r>
      <w:r w:rsidR="001B770C" w:rsidRPr="008A4B25">
        <w:rPr>
          <w:rFonts w:ascii="Times New Roman" w:hAnsi="Times New Roman" w:cs="Times New Roman"/>
          <w:color w:val="000000" w:themeColor="text1"/>
        </w:rPr>
        <w:t xml:space="preserve">had </w:t>
      </w:r>
      <w:r w:rsidR="00D27184" w:rsidRPr="008A4B25">
        <w:rPr>
          <w:rFonts w:ascii="Times New Roman" w:hAnsi="Times New Roman" w:cs="Times New Roman"/>
          <w:color w:val="000000" w:themeColor="text1"/>
        </w:rPr>
        <w:t xml:space="preserve">the </w:t>
      </w:r>
      <w:r w:rsidR="00226FEA" w:rsidRPr="008A4B25">
        <w:rPr>
          <w:rFonts w:ascii="Times New Roman" w:hAnsi="Times New Roman" w:cs="Times New Roman"/>
          <w:color w:val="000000" w:themeColor="text1"/>
        </w:rPr>
        <w:t>lowest clonality</w:t>
      </w:r>
      <w:r w:rsidRPr="008A4B25">
        <w:rPr>
          <w:rFonts w:ascii="Times New Roman" w:hAnsi="Times New Roman" w:cs="Times New Roman"/>
          <w:color w:val="000000" w:themeColor="text1"/>
        </w:rPr>
        <w:t xml:space="preserve">, few mutations and </w:t>
      </w:r>
      <w:r w:rsidR="001C5010" w:rsidRPr="008A4B25">
        <w:rPr>
          <w:rFonts w:ascii="Times New Roman" w:hAnsi="Times New Roman" w:cs="Times New Roman"/>
          <w:color w:val="000000" w:themeColor="text1"/>
        </w:rPr>
        <w:t>longest</w:t>
      </w:r>
      <w:r w:rsidRPr="008A4B25">
        <w:rPr>
          <w:rFonts w:ascii="Times New Roman" w:hAnsi="Times New Roman" w:cs="Times New Roman"/>
          <w:color w:val="000000" w:themeColor="text1"/>
        </w:rPr>
        <w:t xml:space="preserve"> CDR3. </w:t>
      </w:r>
      <w:r w:rsidR="0025388A" w:rsidRPr="008A4B25">
        <w:rPr>
          <w:rFonts w:ascii="Times New Roman" w:hAnsi="Times New Roman" w:cs="Times New Roman"/>
          <w:color w:val="000000" w:themeColor="text1"/>
        </w:rPr>
        <w:t>M</w:t>
      </w:r>
      <w:r w:rsidRPr="008A4B25">
        <w:rPr>
          <w:rFonts w:ascii="Times New Roman" w:hAnsi="Times New Roman" w:cs="Times New Roman"/>
          <w:color w:val="000000" w:themeColor="text1"/>
        </w:rPr>
        <w:t xml:space="preserve">emory </w:t>
      </w:r>
      <w:r w:rsidR="0059731A" w:rsidRPr="008A4B25">
        <w:rPr>
          <w:rFonts w:ascii="Times New Roman" w:hAnsi="Times New Roman" w:cs="Times New Roman"/>
          <w:color w:val="000000" w:themeColor="text1"/>
        </w:rPr>
        <w:t>B cell</w:t>
      </w:r>
      <w:r w:rsidRPr="008A4B25">
        <w:rPr>
          <w:rFonts w:ascii="Times New Roman" w:hAnsi="Times New Roman" w:cs="Times New Roman"/>
          <w:color w:val="000000" w:themeColor="text1"/>
        </w:rPr>
        <w:t xml:space="preserve">s </w:t>
      </w:r>
      <w:r w:rsidR="001B770C" w:rsidRPr="008A4B25">
        <w:rPr>
          <w:rFonts w:ascii="Times New Roman" w:hAnsi="Times New Roman" w:cs="Times New Roman"/>
          <w:color w:val="000000" w:themeColor="text1"/>
        </w:rPr>
        <w:t xml:space="preserve">had </w:t>
      </w:r>
      <w:r w:rsidR="00226FEA" w:rsidRPr="008A4B25">
        <w:rPr>
          <w:rFonts w:ascii="Times New Roman" w:hAnsi="Times New Roman" w:cs="Times New Roman"/>
          <w:color w:val="000000" w:themeColor="text1"/>
        </w:rPr>
        <w:t>increased clonality</w:t>
      </w:r>
      <w:r w:rsidRPr="008A4B25">
        <w:rPr>
          <w:rFonts w:ascii="Times New Roman" w:hAnsi="Times New Roman" w:cs="Times New Roman"/>
          <w:color w:val="000000" w:themeColor="text1"/>
        </w:rPr>
        <w:t xml:space="preserve">, </w:t>
      </w:r>
      <w:r w:rsidR="001C5010" w:rsidRPr="008A4B25">
        <w:rPr>
          <w:rFonts w:ascii="Times New Roman" w:hAnsi="Times New Roman" w:cs="Times New Roman"/>
          <w:color w:val="000000" w:themeColor="text1"/>
        </w:rPr>
        <w:t>more mutations</w:t>
      </w:r>
      <w:r w:rsidRPr="008A4B25">
        <w:rPr>
          <w:rFonts w:ascii="Times New Roman" w:hAnsi="Times New Roman" w:cs="Times New Roman"/>
          <w:color w:val="000000" w:themeColor="text1"/>
        </w:rPr>
        <w:t xml:space="preserve">, and </w:t>
      </w:r>
      <w:r w:rsidR="0025388A" w:rsidRPr="008A4B25">
        <w:rPr>
          <w:rFonts w:ascii="Times New Roman" w:hAnsi="Times New Roman" w:cs="Times New Roman"/>
          <w:color w:val="000000" w:themeColor="text1"/>
        </w:rPr>
        <w:t xml:space="preserve">shorter </w:t>
      </w:r>
      <w:r w:rsidRPr="008A4B25">
        <w:rPr>
          <w:rFonts w:ascii="Times New Roman" w:hAnsi="Times New Roman" w:cs="Times New Roman"/>
          <w:color w:val="000000" w:themeColor="text1"/>
        </w:rPr>
        <w:t>CDR3</w:t>
      </w:r>
      <w:r w:rsidR="001C5010" w:rsidRPr="008A4B25">
        <w:rPr>
          <w:rFonts w:ascii="Times New Roman" w:hAnsi="Times New Roman" w:cs="Times New Roman"/>
          <w:color w:val="000000" w:themeColor="text1"/>
        </w:rPr>
        <w:t xml:space="preserve"> length</w:t>
      </w:r>
      <w:r w:rsidR="0025388A" w:rsidRPr="008A4B25">
        <w:rPr>
          <w:rFonts w:ascii="Times New Roman" w:hAnsi="Times New Roman" w:cs="Times New Roman"/>
          <w:color w:val="000000" w:themeColor="text1"/>
        </w:rPr>
        <w:t xml:space="preserve"> compared to </w:t>
      </w:r>
      <w:r w:rsidR="00463CA0" w:rsidRPr="008A4B25">
        <w:rPr>
          <w:rFonts w:ascii="Times New Roman" w:hAnsi="Times New Roman" w:cs="Times New Roman"/>
          <w:color w:val="000000" w:themeColor="text1"/>
        </w:rPr>
        <w:t>naïve</w:t>
      </w:r>
      <w:r w:rsidR="0025388A" w:rsidRPr="008A4B25">
        <w:rPr>
          <w:rFonts w:ascii="Times New Roman" w:hAnsi="Times New Roman" w:cs="Times New Roman"/>
          <w:color w:val="000000" w:themeColor="text1"/>
        </w:rPr>
        <w:t xml:space="preserve"> cells</w:t>
      </w:r>
      <w:r w:rsidR="001B770C" w:rsidRPr="008A4B25">
        <w:rPr>
          <w:rFonts w:ascii="Times New Roman" w:hAnsi="Times New Roman" w:cs="Times New Roman"/>
          <w:color w:val="000000" w:themeColor="text1"/>
        </w:rPr>
        <w:t>, with IgM memory being less mutated and having longer CDR3 length than IgG memory cells.</w:t>
      </w:r>
      <w:r w:rsidR="001C5010" w:rsidRPr="008A4B25">
        <w:rPr>
          <w:rFonts w:ascii="Times New Roman" w:hAnsi="Times New Roman" w:cs="Times New Roman"/>
          <w:color w:val="000000" w:themeColor="text1"/>
        </w:rPr>
        <w:t xml:space="preserve"> </w:t>
      </w:r>
      <w:r w:rsidR="00791C14" w:rsidRPr="008A4B25">
        <w:rPr>
          <w:rFonts w:ascii="Times New Roman" w:hAnsi="Times New Roman" w:cs="Times New Roman"/>
          <w:color w:val="000000" w:themeColor="text1"/>
        </w:rPr>
        <w:t>MZ</w:t>
      </w:r>
      <w:r w:rsidRPr="008A4B25">
        <w:rPr>
          <w:rFonts w:ascii="Times New Roman" w:hAnsi="Times New Roman" w:cs="Times New Roman"/>
          <w:color w:val="000000" w:themeColor="text1"/>
        </w:rPr>
        <w:t xml:space="preserve"> </w:t>
      </w:r>
      <w:r w:rsidR="0025388A" w:rsidRPr="008A4B25">
        <w:rPr>
          <w:rFonts w:ascii="Times New Roman" w:hAnsi="Times New Roman" w:cs="Times New Roman"/>
          <w:color w:val="000000" w:themeColor="text1"/>
        </w:rPr>
        <w:t xml:space="preserve">cells </w:t>
      </w:r>
      <w:r w:rsidR="001B770C" w:rsidRPr="008A4B25">
        <w:rPr>
          <w:rFonts w:ascii="Times New Roman" w:hAnsi="Times New Roman" w:cs="Times New Roman"/>
          <w:color w:val="000000" w:themeColor="text1"/>
        </w:rPr>
        <w:t>had</w:t>
      </w:r>
      <w:r w:rsidR="0025388A" w:rsidRPr="008A4B25">
        <w:rPr>
          <w:rFonts w:ascii="Times New Roman" w:hAnsi="Times New Roman" w:cs="Times New Roman"/>
          <w:color w:val="000000" w:themeColor="text1"/>
        </w:rPr>
        <w:t xml:space="preserve"> similar clonality to </w:t>
      </w:r>
      <w:r w:rsidR="003F53A5" w:rsidRPr="008A4B25">
        <w:rPr>
          <w:rFonts w:ascii="Times New Roman" w:hAnsi="Times New Roman" w:cs="Times New Roman"/>
          <w:color w:val="000000" w:themeColor="text1"/>
        </w:rPr>
        <w:t>IgM memory</w:t>
      </w:r>
      <w:r w:rsidR="0025388A" w:rsidRPr="008A4B25">
        <w:rPr>
          <w:rFonts w:ascii="Times New Roman" w:hAnsi="Times New Roman" w:cs="Times New Roman"/>
          <w:color w:val="000000" w:themeColor="text1"/>
        </w:rPr>
        <w:t xml:space="preserve"> cells, but </w:t>
      </w:r>
      <w:r w:rsidR="001B770C" w:rsidRPr="008A4B25">
        <w:rPr>
          <w:rFonts w:ascii="Times New Roman" w:hAnsi="Times New Roman" w:cs="Times New Roman"/>
          <w:color w:val="000000" w:themeColor="text1"/>
        </w:rPr>
        <w:t>had</w:t>
      </w:r>
      <w:r w:rsidR="0025388A" w:rsidRPr="008A4B25">
        <w:rPr>
          <w:rFonts w:ascii="Times New Roman" w:hAnsi="Times New Roman" w:cs="Times New Roman"/>
          <w:color w:val="000000" w:themeColor="text1"/>
        </w:rPr>
        <w:t xml:space="preserve"> </w:t>
      </w:r>
      <w:r w:rsidR="003F53A5" w:rsidRPr="008A4B25">
        <w:rPr>
          <w:rFonts w:ascii="Times New Roman" w:hAnsi="Times New Roman" w:cs="Times New Roman"/>
          <w:color w:val="000000" w:themeColor="text1"/>
        </w:rPr>
        <w:t>fewer mutations, and a shorter</w:t>
      </w:r>
      <w:r w:rsidR="0025388A" w:rsidRPr="008A4B25">
        <w:rPr>
          <w:rFonts w:ascii="Times New Roman" w:hAnsi="Times New Roman" w:cs="Times New Roman"/>
          <w:color w:val="000000" w:themeColor="text1"/>
        </w:rPr>
        <w:t xml:space="preserve"> CDR3 length </w:t>
      </w:r>
      <w:r w:rsidR="003F53A5" w:rsidRPr="008A4B25">
        <w:rPr>
          <w:rFonts w:ascii="Times New Roman" w:hAnsi="Times New Roman" w:cs="Times New Roman"/>
          <w:color w:val="000000" w:themeColor="text1"/>
        </w:rPr>
        <w:t>than IgM memory</w:t>
      </w:r>
      <w:r w:rsidR="0025388A" w:rsidRPr="008A4B25">
        <w:rPr>
          <w:rFonts w:ascii="Times New Roman" w:hAnsi="Times New Roman" w:cs="Times New Roman"/>
          <w:color w:val="000000" w:themeColor="text1"/>
        </w:rPr>
        <w:t xml:space="preserve"> cells</w:t>
      </w:r>
      <w:r w:rsidRPr="008A4B25">
        <w:rPr>
          <w:rFonts w:ascii="Times New Roman" w:hAnsi="Times New Roman" w:cs="Times New Roman"/>
          <w:color w:val="000000" w:themeColor="text1"/>
        </w:rPr>
        <w:t>.</w:t>
      </w:r>
      <w:r w:rsidR="004815FE" w:rsidRPr="008A4B25">
        <w:rPr>
          <w:rFonts w:ascii="Times New Roman" w:hAnsi="Times New Roman" w:cs="Times New Roman"/>
          <w:color w:val="000000" w:themeColor="text1"/>
        </w:rPr>
        <w:t xml:space="preserve"> </w:t>
      </w:r>
      <w:r w:rsidR="0033414C" w:rsidRPr="008A4B25">
        <w:rPr>
          <w:rFonts w:ascii="Times New Roman" w:hAnsi="Times New Roman" w:cs="Times New Roman"/>
          <w:color w:val="000000" w:themeColor="text1"/>
        </w:rPr>
        <w:t>PC</w:t>
      </w:r>
      <w:r w:rsidR="001C5010" w:rsidRPr="008A4B25">
        <w:rPr>
          <w:rFonts w:ascii="Times New Roman" w:hAnsi="Times New Roman" w:cs="Times New Roman"/>
          <w:color w:val="000000" w:themeColor="text1"/>
        </w:rPr>
        <w:t xml:space="preserve"> subsets </w:t>
      </w:r>
      <w:r w:rsidR="00226FEA" w:rsidRPr="008A4B25">
        <w:rPr>
          <w:rFonts w:ascii="Times New Roman" w:hAnsi="Times New Roman" w:cs="Times New Roman"/>
          <w:color w:val="000000" w:themeColor="text1"/>
        </w:rPr>
        <w:t xml:space="preserve">were the most clonal </w:t>
      </w:r>
      <w:r w:rsidR="003F53A5" w:rsidRPr="008A4B25">
        <w:rPr>
          <w:rFonts w:ascii="Times New Roman" w:hAnsi="Times New Roman" w:cs="Times New Roman"/>
          <w:color w:val="000000" w:themeColor="text1"/>
        </w:rPr>
        <w:t xml:space="preserve">and most mutated </w:t>
      </w:r>
      <w:r w:rsidR="00226FEA" w:rsidRPr="008A4B25">
        <w:rPr>
          <w:rFonts w:ascii="Times New Roman" w:hAnsi="Times New Roman" w:cs="Times New Roman"/>
          <w:color w:val="000000" w:themeColor="text1"/>
        </w:rPr>
        <w:t>populations</w:t>
      </w:r>
      <w:r w:rsidR="003F53A5" w:rsidRPr="008A4B25">
        <w:rPr>
          <w:rFonts w:ascii="Times New Roman" w:hAnsi="Times New Roman" w:cs="Times New Roman"/>
          <w:color w:val="000000" w:themeColor="text1"/>
        </w:rPr>
        <w:t>. CDR3 length of PCs resembled that of memory cells</w:t>
      </w:r>
      <w:r w:rsidR="00D257E0" w:rsidRPr="008A4B25">
        <w:rPr>
          <w:rFonts w:ascii="Times New Roman" w:hAnsi="Times New Roman" w:cs="Times New Roman"/>
          <w:color w:val="000000" w:themeColor="text1"/>
        </w:rPr>
        <w:t xml:space="preserve"> with the same isotype</w:t>
      </w:r>
      <w:r w:rsidR="001C5010" w:rsidRPr="008A4B25">
        <w:rPr>
          <w:rFonts w:ascii="Times New Roman" w:hAnsi="Times New Roman" w:cs="Times New Roman"/>
          <w:color w:val="000000" w:themeColor="text1"/>
        </w:rPr>
        <w:t xml:space="preserve">. </w:t>
      </w:r>
      <w:r w:rsidR="004815FE" w:rsidRPr="008A4B25">
        <w:rPr>
          <w:rFonts w:ascii="Times New Roman" w:hAnsi="Times New Roman" w:cs="Times New Roman"/>
          <w:color w:val="000000" w:themeColor="text1"/>
        </w:rPr>
        <w:t xml:space="preserve">Within the </w:t>
      </w:r>
      <w:r w:rsidR="0033414C" w:rsidRPr="008A4B25">
        <w:rPr>
          <w:rFonts w:ascii="Times New Roman" w:hAnsi="Times New Roman" w:cs="Times New Roman"/>
          <w:color w:val="000000" w:themeColor="text1"/>
        </w:rPr>
        <w:t>PC</w:t>
      </w:r>
      <w:r w:rsidR="004815FE" w:rsidRPr="008A4B25">
        <w:rPr>
          <w:rFonts w:ascii="Times New Roman" w:hAnsi="Times New Roman" w:cs="Times New Roman"/>
          <w:color w:val="000000" w:themeColor="text1"/>
        </w:rPr>
        <w:t xml:space="preserve"> populations, there were some differences between the IgG and IgM </w:t>
      </w:r>
      <w:r w:rsidR="0033414C" w:rsidRPr="008A4B25">
        <w:rPr>
          <w:rFonts w:ascii="Times New Roman" w:hAnsi="Times New Roman" w:cs="Times New Roman"/>
          <w:color w:val="000000" w:themeColor="text1"/>
        </w:rPr>
        <w:t>PC</w:t>
      </w:r>
      <w:r w:rsidR="004815FE" w:rsidRPr="008A4B25">
        <w:rPr>
          <w:rFonts w:ascii="Times New Roman" w:hAnsi="Times New Roman" w:cs="Times New Roman"/>
          <w:color w:val="000000" w:themeColor="text1"/>
        </w:rPr>
        <w:t>s (</w:t>
      </w:r>
      <w:r w:rsidR="002E198A" w:rsidRPr="008A4B25">
        <w:rPr>
          <w:rFonts w:ascii="Times New Roman" w:hAnsi="Times New Roman" w:cs="Times New Roman"/>
          <w:color w:val="000000" w:themeColor="text1"/>
        </w:rPr>
        <w:t xml:space="preserve">as with the memory cells, </w:t>
      </w:r>
      <w:r w:rsidR="004815FE" w:rsidRPr="008A4B25">
        <w:rPr>
          <w:rFonts w:ascii="Times New Roman" w:hAnsi="Times New Roman" w:cs="Times New Roman"/>
          <w:color w:val="000000" w:themeColor="text1"/>
        </w:rPr>
        <w:t xml:space="preserve">IgM </w:t>
      </w:r>
      <w:r w:rsidR="002E198A" w:rsidRPr="008A4B25">
        <w:rPr>
          <w:rFonts w:ascii="Times New Roman" w:hAnsi="Times New Roman" w:cs="Times New Roman"/>
          <w:color w:val="000000" w:themeColor="text1"/>
        </w:rPr>
        <w:t xml:space="preserve">were </w:t>
      </w:r>
      <w:r w:rsidR="004815FE" w:rsidRPr="008A4B25">
        <w:rPr>
          <w:rFonts w:ascii="Times New Roman" w:hAnsi="Times New Roman" w:cs="Times New Roman"/>
          <w:color w:val="000000" w:themeColor="text1"/>
        </w:rPr>
        <w:t>less mutated, and had shorter CDR3</w:t>
      </w:r>
      <w:r w:rsidR="00F30836" w:rsidRPr="008A4B25">
        <w:rPr>
          <w:rFonts w:ascii="Times New Roman" w:hAnsi="Times New Roman" w:cs="Times New Roman"/>
          <w:color w:val="000000" w:themeColor="text1"/>
        </w:rPr>
        <w:t>’s</w:t>
      </w:r>
      <w:r w:rsidR="004815FE" w:rsidRPr="008A4B25">
        <w:rPr>
          <w:rFonts w:ascii="Times New Roman" w:hAnsi="Times New Roman" w:cs="Times New Roman"/>
          <w:color w:val="000000" w:themeColor="text1"/>
        </w:rPr>
        <w:t xml:space="preserve"> than IgG), but no differences between the HLA-DR+ and HLA-DR- populations.</w:t>
      </w:r>
      <w:r w:rsidR="001C5010" w:rsidRPr="008A4B25">
        <w:rPr>
          <w:rFonts w:ascii="Times New Roman" w:hAnsi="Times New Roman" w:cs="Times New Roman"/>
          <w:color w:val="000000" w:themeColor="text1"/>
        </w:rPr>
        <w:t xml:space="preserve"> </w:t>
      </w:r>
      <w:r w:rsidR="004F1229" w:rsidRPr="008A4B25">
        <w:rPr>
          <w:rFonts w:ascii="Times New Roman" w:hAnsi="Times New Roman" w:cs="Times New Roman"/>
          <w:color w:val="000000" w:themeColor="text1"/>
        </w:rPr>
        <w:t>Principal component</w:t>
      </w:r>
      <w:r w:rsidRPr="008A4B25">
        <w:rPr>
          <w:rFonts w:ascii="Times New Roman" w:hAnsi="Times New Roman" w:cs="Times New Roman"/>
          <w:color w:val="000000" w:themeColor="text1"/>
        </w:rPr>
        <w:t xml:space="preserve"> analysis based on these variables </w:t>
      </w:r>
      <w:r w:rsidR="003D33F2" w:rsidRPr="008A4B25">
        <w:rPr>
          <w:rFonts w:ascii="Times New Roman" w:hAnsi="Times New Roman" w:cs="Times New Roman"/>
          <w:color w:val="000000" w:themeColor="text1"/>
        </w:rPr>
        <w:t xml:space="preserve">showed </w:t>
      </w:r>
      <w:r w:rsidR="004F1229" w:rsidRPr="008A4B25">
        <w:rPr>
          <w:rFonts w:ascii="Times New Roman" w:hAnsi="Times New Roman" w:cs="Times New Roman"/>
          <w:color w:val="000000" w:themeColor="text1"/>
        </w:rPr>
        <w:t>distinct groupings of the different baseline subsets</w:t>
      </w:r>
      <w:r w:rsidR="004815FE" w:rsidRPr="008A4B25">
        <w:rPr>
          <w:rFonts w:ascii="Times New Roman" w:hAnsi="Times New Roman" w:cs="Times New Roman"/>
          <w:color w:val="000000" w:themeColor="text1"/>
        </w:rPr>
        <w:t xml:space="preserve"> (</w:t>
      </w:r>
      <w:r w:rsidR="00A80D5F" w:rsidRPr="008A4B25">
        <w:rPr>
          <w:rFonts w:ascii="Times New Roman" w:hAnsi="Times New Roman" w:cs="Times New Roman"/>
          <w:color w:val="000000" w:themeColor="text1"/>
        </w:rPr>
        <w:t>Fig. 3</w:t>
      </w:r>
      <w:r w:rsidR="0025388A" w:rsidRPr="008A4B25">
        <w:rPr>
          <w:rFonts w:ascii="Times New Roman" w:hAnsi="Times New Roman" w:cs="Times New Roman"/>
          <w:color w:val="000000" w:themeColor="text1"/>
        </w:rPr>
        <w:t>D</w:t>
      </w:r>
      <w:r w:rsidR="001368DD" w:rsidRPr="008A4B25">
        <w:rPr>
          <w:rFonts w:ascii="Times New Roman" w:hAnsi="Times New Roman" w:cs="Times New Roman"/>
          <w:color w:val="000000" w:themeColor="text1"/>
        </w:rPr>
        <w:t xml:space="preserve"> &amp; Fig. S2</w:t>
      </w:r>
      <w:r w:rsidRPr="008A4B25">
        <w:rPr>
          <w:rFonts w:ascii="Times New Roman" w:hAnsi="Times New Roman" w:cs="Times New Roman"/>
          <w:color w:val="000000" w:themeColor="text1"/>
        </w:rPr>
        <w:t>).</w:t>
      </w:r>
      <w:r w:rsidR="004F1229" w:rsidRPr="008A4B25">
        <w:rPr>
          <w:rFonts w:ascii="Times New Roman" w:hAnsi="Times New Roman" w:cs="Times New Roman"/>
          <w:color w:val="000000" w:themeColor="text1"/>
        </w:rPr>
        <w:t xml:space="preserve"> </w:t>
      </w:r>
      <w:r w:rsidR="001853DA" w:rsidRPr="008A4B25">
        <w:rPr>
          <w:rFonts w:ascii="Times New Roman" w:hAnsi="Times New Roman" w:cs="Times New Roman"/>
          <w:color w:val="000000" w:themeColor="text1"/>
        </w:rPr>
        <w:t>Strikingly</w:t>
      </w:r>
      <w:r w:rsidR="00696190" w:rsidRPr="008A4B25">
        <w:rPr>
          <w:rFonts w:ascii="Times New Roman" w:hAnsi="Times New Roman" w:cs="Times New Roman"/>
          <w:color w:val="000000" w:themeColor="text1"/>
        </w:rPr>
        <w:t>,</w:t>
      </w:r>
      <w:r w:rsidR="001853DA" w:rsidRPr="008A4B25">
        <w:rPr>
          <w:rFonts w:ascii="Times New Roman" w:hAnsi="Times New Roman" w:cs="Times New Roman"/>
          <w:color w:val="000000" w:themeColor="text1"/>
        </w:rPr>
        <w:t xml:space="preserve"> </w:t>
      </w:r>
      <w:r w:rsidR="0033414C" w:rsidRPr="008A4B25">
        <w:rPr>
          <w:rFonts w:ascii="Times New Roman" w:hAnsi="Times New Roman" w:cs="Times New Roman"/>
          <w:color w:val="000000" w:themeColor="text1"/>
        </w:rPr>
        <w:t>PC</w:t>
      </w:r>
      <w:r w:rsidR="004F1229" w:rsidRPr="008A4B25">
        <w:rPr>
          <w:rFonts w:ascii="Times New Roman" w:hAnsi="Times New Roman" w:cs="Times New Roman"/>
          <w:color w:val="000000" w:themeColor="text1"/>
        </w:rPr>
        <w:t xml:space="preserve">s </w:t>
      </w:r>
      <w:r w:rsidR="001853DA" w:rsidRPr="008A4B25">
        <w:rPr>
          <w:rFonts w:ascii="Times New Roman" w:hAnsi="Times New Roman" w:cs="Times New Roman"/>
          <w:color w:val="000000" w:themeColor="text1"/>
        </w:rPr>
        <w:t>had much</w:t>
      </w:r>
      <w:r w:rsidR="00696190" w:rsidRPr="008A4B25">
        <w:rPr>
          <w:rFonts w:ascii="Times New Roman" w:hAnsi="Times New Roman" w:cs="Times New Roman"/>
          <w:color w:val="000000" w:themeColor="text1"/>
        </w:rPr>
        <w:t xml:space="preserve"> </w:t>
      </w:r>
      <w:r w:rsidR="001853DA" w:rsidRPr="008A4B25">
        <w:rPr>
          <w:rFonts w:ascii="Times New Roman" w:hAnsi="Times New Roman" w:cs="Times New Roman"/>
          <w:color w:val="000000" w:themeColor="text1"/>
        </w:rPr>
        <w:t xml:space="preserve">greater inter-individual variation in these global repertoire properties than other subsets. Whilst the PCs could still </w:t>
      </w:r>
      <w:r w:rsidR="004815FE" w:rsidRPr="008A4B25">
        <w:rPr>
          <w:rFonts w:ascii="Times New Roman" w:hAnsi="Times New Roman" w:cs="Times New Roman"/>
          <w:color w:val="000000" w:themeColor="text1"/>
        </w:rPr>
        <w:t xml:space="preserve">be </w:t>
      </w:r>
      <w:r w:rsidR="001853DA" w:rsidRPr="008A4B25">
        <w:rPr>
          <w:rFonts w:ascii="Times New Roman" w:hAnsi="Times New Roman" w:cs="Times New Roman"/>
          <w:color w:val="000000" w:themeColor="text1"/>
        </w:rPr>
        <w:t xml:space="preserve">clearly </w:t>
      </w:r>
      <w:r w:rsidR="004815FE" w:rsidRPr="008A4B25">
        <w:rPr>
          <w:rFonts w:ascii="Times New Roman" w:hAnsi="Times New Roman" w:cs="Times New Roman"/>
          <w:color w:val="000000" w:themeColor="text1"/>
        </w:rPr>
        <w:t xml:space="preserve">distinguished from the </w:t>
      </w:r>
      <w:r w:rsidR="001853DA" w:rsidRPr="008A4B25">
        <w:rPr>
          <w:rFonts w:ascii="Times New Roman" w:hAnsi="Times New Roman" w:cs="Times New Roman"/>
          <w:color w:val="000000" w:themeColor="text1"/>
        </w:rPr>
        <w:t xml:space="preserve">naïve, marginal zone and IgM memory </w:t>
      </w:r>
      <w:r w:rsidR="004815FE" w:rsidRPr="008A4B25">
        <w:rPr>
          <w:rFonts w:ascii="Times New Roman" w:hAnsi="Times New Roman" w:cs="Times New Roman"/>
          <w:color w:val="000000" w:themeColor="text1"/>
        </w:rPr>
        <w:t>subset</w:t>
      </w:r>
      <w:r w:rsidR="001853DA" w:rsidRPr="008A4B25">
        <w:rPr>
          <w:rFonts w:ascii="Times New Roman" w:hAnsi="Times New Roman" w:cs="Times New Roman"/>
          <w:color w:val="000000" w:themeColor="text1"/>
        </w:rPr>
        <w:t>s</w:t>
      </w:r>
      <w:r w:rsidR="00696190" w:rsidRPr="008A4B25">
        <w:rPr>
          <w:rFonts w:ascii="Times New Roman" w:hAnsi="Times New Roman" w:cs="Times New Roman"/>
          <w:color w:val="000000" w:themeColor="text1"/>
        </w:rPr>
        <w:t>,</w:t>
      </w:r>
      <w:r w:rsidR="001853DA" w:rsidRPr="008A4B25">
        <w:rPr>
          <w:rFonts w:ascii="Times New Roman" w:hAnsi="Times New Roman" w:cs="Times New Roman"/>
          <w:color w:val="000000" w:themeColor="text1"/>
        </w:rPr>
        <w:t xml:space="preserve"> their global repertoire properties overlapped with</w:t>
      </w:r>
      <w:r w:rsidR="00D55A8B" w:rsidRPr="008A4B25">
        <w:rPr>
          <w:rFonts w:ascii="Times New Roman" w:hAnsi="Times New Roman" w:cs="Times New Roman"/>
          <w:color w:val="000000" w:themeColor="text1"/>
        </w:rPr>
        <w:t xml:space="preserve"> the IgG memory cells</w:t>
      </w:r>
      <w:r w:rsidR="004815FE" w:rsidRPr="008A4B25">
        <w:rPr>
          <w:rFonts w:ascii="Times New Roman" w:hAnsi="Times New Roman" w:cs="Times New Roman"/>
          <w:color w:val="000000" w:themeColor="text1"/>
        </w:rPr>
        <w:t xml:space="preserve">. </w:t>
      </w:r>
      <w:r w:rsidR="003D33F2" w:rsidRPr="008A4B25">
        <w:rPr>
          <w:rFonts w:ascii="Times New Roman" w:hAnsi="Times New Roman" w:cs="Times New Roman"/>
          <w:color w:val="000000" w:themeColor="text1"/>
        </w:rPr>
        <w:t>Within t</w:t>
      </w:r>
      <w:r w:rsidR="001C5010" w:rsidRPr="008A4B25">
        <w:rPr>
          <w:rFonts w:ascii="Times New Roman" w:hAnsi="Times New Roman" w:cs="Times New Roman"/>
          <w:color w:val="000000" w:themeColor="text1"/>
        </w:rPr>
        <w:t xml:space="preserve">he </w:t>
      </w:r>
      <w:r w:rsidR="0033414C" w:rsidRPr="008A4B25">
        <w:rPr>
          <w:rFonts w:ascii="Times New Roman" w:hAnsi="Times New Roman" w:cs="Times New Roman"/>
          <w:color w:val="000000" w:themeColor="text1"/>
        </w:rPr>
        <w:t>PC</w:t>
      </w:r>
      <w:r w:rsidR="001C5010" w:rsidRPr="008A4B25">
        <w:rPr>
          <w:rFonts w:ascii="Times New Roman" w:hAnsi="Times New Roman" w:cs="Times New Roman"/>
          <w:color w:val="000000" w:themeColor="text1"/>
        </w:rPr>
        <w:t xml:space="preserve">s, </w:t>
      </w:r>
      <w:r w:rsidR="003D33F2" w:rsidRPr="008A4B25">
        <w:rPr>
          <w:rFonts w:ascii="Times New Roman" w:hAnsi="Times New Roman" w:cs="Times New Roman"/>
          <w:color w:val="000000" w:themeColor="text1"/>
        </w:rPr>
        <w:t xml:space="preserve">populations could be distinguished based on isotype, but not </w:t>
      </w:r>
      <w:r w:rsidR="001C5010" w:rsidRPr="008A4B25">
        <w:rPr>
          <w:rFonts w:ascii="Times New Roman" w:hAnsi="Times New Roman" w:cs="Times New Roman"/>
          <w:color w:val="000000" w:themeColor="text1"/>
        </w:rPr>
        <w:t>HLA-DR expression.</w:t>
      </w:r>
    </w:p>
    <w:p w14:paraId="6B81B7DD" w14:textId="1EF8353F" w:rsidR="007B2387" w:rsidRPr="008A4B25" w:rsidRDefault="005877E9" w:rsidP="003960D2">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There were differences in </w:t>
      </w:r>
      <w:r w:rsidR="003433A0" w:rsidRPr="008A4B25">
        <w:rPr>
          <w:rFonts w:ascii="Times New Roman" w:hAnsi="Times New Roman" w:cs="Times New Roman"/>
          <w:color w:val="000000" w:themeColor="text1"/>
        </w:rPr>
        <w:t>V, D</w:t>
      </w:r>
      <w:r w:rsidR="001139A1" w:rsidRPr="008A4B25">
        <w:rPr>
          <w:rFonts w:ascii="Times New Roman" w:hAnsi="Times New Roman" w:cs="Times New Roman"/>
          <w:color w:val="000000" w:themeColor="text1"/>
        </w:rPr>
        <w:t xml:space="preserve">, and J gene </w:t>
      </w:r>
      <w:r w:rsidR="00BE3AD0" w:rsidRPr="008A4B25">
        <w:rPr>
          <w:rFonts w:ascii="Times New Roman" w:hAnsi="Times New Roman" w:cs="Times New Roman"/>
          <w:color w:val="000000" w:themeColor="text1"/>
        </w:rPr>
        <w:t xml:space="preserve">segment </w:t>
      </w:r>
      <w:r w:rsidR="001139A1" w:rsidRPr="008A4B25">
        <w:rPr>
          <w:rFonts w:ascii="Times New Roman" w:hAnsi="Times New Roman" w:cs="Times New Roman"/>
          <w:color w:val="000000" w:themeColor="text1"/>
        </w:rPr>
        <w:t>usage</w:t>
      </w:r>
      <w:r w:rsidRPr="008A4B25">
        <w:rPr>
          <w:rFonts w:ascii="Times New Roman" w:hAnsi="Times New Roman" w:cs="Times New Roman"/>
          <w:color w:val="000000" w:themeColor="text1"/>
        </w:rPr>
        <w:t xml:space="preserve"> </w:t>
      </w:r>
      <w:r w:rsidR="001139A1" w:rsidRPr="008A4B25">
        <w:rPr>
          <w:rFonts w:ascii="Times New Roman" w:hAnsi="Times New Roman" w:cs="Times New Roman"/>
          <w:color w:val="000000" w:themeColor="text1"/>
        </w:rPr>
        <w:t>between all subsets</w:t>
      </w:r>
      <w:r w:rsidR="0063606D" w:rsidRPr="008A4B25">
        <w:rPr>
          <w:rFonts w:ascii="Times New Roman" w:hAnsi="Times New Roman" w:cs="Times New Roman"/>
          <w:color w:val="000000" w:themeColor="text1"/>
        </w:rPr>
        <w:t xml:space="preserve"> analyzed</w:t>
      </w:r>
      <w:r w:rsidR="00D907CC" w:rsidRPr="008A4B25">
        <w:rPr>
          <w:rFonts w:ascii="Times New Roman" w:hAnsi="Times New Roman" w:cs="Times New Roman"/>
          <w:color w:val="000000" w:themeColor="text1"/>
        </w:rPr>
        <w:t xml:space="preserve">, including numerous differences between </w:t>
      </w:r>
      <w:r w:rsidR="0033414C" w:rsidRPr="008A4B25">
        <w:rPr>
          <w:rFonts w:ascii="Times New Roman" w:hAnsi="Times New Roman" w:cs="Times New Roman"/>
          <w:color w:val="000000" w:themeColor="text1"/>
        </w:rPr>
        <w:t>PC</w:t>
      </w:r>
      <w:r w:rsidR="00D907CC" w:rsidRPr="008A4B25">
        <w:rPr>
          <w:rFonts w:ascii="Times New Roman" w:hAnsi="Times New Roman" w:cs="Times New Roman"/>
          <w:color w:val="000000" w:themeColor="text1"/>
        </w:rPr>
        <w:t xml:space="preserve"> and baseline subsets</w:t>
      </w:r>
      <w:r w:rsidR="003960D2" w:rsidRPr="008A4B25">
        <w:rPr>
          <w:rFonts w:ascii="Times New Roman" w:hAnsi="Times New Roman" w:cs="Times New Roman"/>
          <w:color w:val="000000" w:themeColor="text1"/>
        </w:rPr>
        <w:t xml:space="preserve">, and within the different baseline </w:t>
      </w:r>
      <w:r w:rsidR="003960D2" w:rsidRPr="008A4B25">
        <w:rPr>
          <w:rFonts w:ascii="Times New Roman" w:hAnsi="Times New Roman" w:cs="Times New Roman"/>
          <w:color w:val="000000" w:themeColor="text1"/>
        </w:rPr>
        <w:lastRenderedPageBreak/>
        <w:t>subsets</w:t>
      </w:r>
      <w:r w:rsidR="00BE3AD0" w:rsidRPr="008A4B25">
        <w:rPr>
          <w:rFonts w:ascii="Times New Roman" w:hAnsi="Times New Roman" w:cs="Times New Roman"/>
          <w:color w:val="000000" w:themeColor="text1"/>
        </w:rPr>
        <w:t xml:space="preserve"> </w:t>
      </w:r>
      <w:r w:rsidR="001139A1" w:rsidRPr="008A4B25">
        <w:rPr>
          <w:rFonts w:ascii="Times New Roman" w:hAnsi="Times New Roman" w:cs="Times New Roman"/>
          <w:color w:val="000000" w:themeColor="text1"/>
        </w:rPr>
        <w:t>(</w:t>
      </w:r>
      <w:r w:rsidR="0025388A" w:rsidRPr="008A4B25">
        <w:rPr>
          <w:rFonts w:ascii="Times New Roman" w:hAnsi="Times New Roman" w:cs="Times New Roman"/>
          <w:color w:val="000000" w:themeColor="text1"/>
        </w:rPr>
        <w:t xml:space="preserve">Fig. 3E &amp; </w:t>
      </w:r>
      <w:r w:rsidR="00947900" w:rsidRPr="008A4B25">
        <w:rPr>
          <w:rFonts w:ascii="Times New Roman" w:hAnsi="Times New Roman" w:cs="Times New Roman"/>
          <w:color w:val="000000" w:themeColor="text1"/>
        </w:rPr>
        <w:t>Fig.</w:t>
      </w:r>
      <w:r w:rsidR="005B7568" w:rsidRPr="008A4B25">
        <w:rPr>
          <w:rFonts w:ascii="Times New Roman" w:hAnsi="Times New Roman" w:cs="Times New Roman"/>
          <w:color w:val="000000" w:themeColor="text1"/>
        </w:rPr>
        <w:t xml:space="preserve"> </w:t>
      </w:r>
      <w:r w:rsidR="009F36D4" w:rsidRPr="008A4B25">
        <w:rPr>
          <w:rFonts w:ascii="Times New Roman" w:hAnsi="Times New Roman" w:cs="Times New Roman"/>
          <w:color w:val="000000" w:themeColor="text1"/>
        </w:rPr>
        <w:t>S3</w:t>
      </w:r>
      <w:r w:rsidR="00226FEA" w:rsidRPr="008A4B25">
        <w:rPr>
          <w:rFonts w:ascii="Times New Roman" w:hAnsi="Times New Roman" w:cs="Times New Roman"/>
          <w:color w:val="000000" w:themeColor="text1"/>
        </w:rPr>
        <w:t>A</w:t>
      </w:r>
      <w:r w:rsidR="00DE502C" w:rsidRPr="008A4B25">
        <w:rPr>
          <w:rFonts w:ascii="Times New Roman" w:hAnsi="Times New Roman" w:cs="Times New Roman"/>
          <w:color w:val="000000" w:themeColor="text1"/>
        </w:rPr>
        <w:t>)</w:t>
      </w:r>
      <w:r w:rsidR="006850F0" w:rsidRPr="008A4B25">
        <w:rPr>
          <w:rFonts w:ascii="Times New Roman" w:hAnsi="Times New Roman" w:cs="Times New Roman"/>
          <w:color w:val="000000" w:themeColor="text1"/>
        </w:rPr>
        <w:t>.</w:t>
      </w:r>
      <w:r w:rsidR="00E147F7" w:rsidRPr="008A4B25">
        <w:rPr>
          <w:rFonts w:ascii="Times New Roman" w:hAnsi="Times New Roman" w:cs="Times New Roman"/>
          <w:color w:val="000000" w:themeColor="text1"/>
        </w:rPr>
        <w:t xml:space="preserve"> </w:t>
      </w:r>
      <w:r w:rsidR="003960D2" w:rsidRPr="008A4B25">
        <w:rPr>
          <w:rFonts w:ascii="Times New Roman" w:hAnsi="Times New Roman" w:cs="Times New Roman"/>
          <w:color w:val="000000" w:themeColor="text1"/>
        </w:rPr>
        <w:t>When comparing</w:t>
      </w:r>
      <w:r w:rsidR="00A678C7" w:rsidRPr="008A4B25">
        <w:rPr>
          <w:rFonts w:ascii="Times New Roman" w:hAnsi="Times New Roman" w:cs="Times New Roman"/>
          <w:color w:val="000000" w:themeColor="text1"/>
        </w:rPr>
        <w:t xml:space="preserve"> each PC population to other PC and baseline subsets</w:t>
      </w:r>
      <w:r w:rsidR="003960D2" w:rsidRPr="008A4B25">
        <w:rPr>
          <w:rFonts w:ascii="Times New Roman" w:hAnsi="Times New Roman" w:cs="Times New Roman"/>
          <w:color w:val="000000" w:themeColor="text1"/>
        </w:rPr>
        <w:t>,</w:t>
      </w:r>
      <w:r w:rsidR="00A678C7" w:rsidRPr="008A4B25">
        <w:rPr>
          <w:rFonts w:ascii="Times New Roman" w:hAnsi="Times New Roman" w:cs="Times New Roman"/>
          <w:color w:val="000000" w:themeColor="text1"/>
        </w:rPr>
        <w:t xml:space="preserve"> the PCs were more similar to each other (whether IgG/IgM or HLA-DR+/-) than to any baseline subset.</w:t>
      </w:r>
      <w:r w:rsidR="003960D2" w:rsidRPr="008A4B25">
        <w:rPr>
          <w:rFonts w:ascii="Times New Roman" w:hAnsi="Times New Roman" w:cs="Times New Roman"/>
          <w:color w:val="000000" w:themeColor="text1"/>
        </w:rPr>
        <w:t xml:space="preserve"> </w:t>
      </w:r>
      <w:r w:rsidR="00E4537C" w:rsidRPr="008A4B25">
        <w:rPr>
          <w:rFonts w:ascii="Times New Roman" w:hAnsi="Times New Roman" w:cs="Times New Roman"/>
          <w:color w:val="000000" w:themeColor="text1"/>
        </w:rPr>
        <w:t>Differences in V, D and J gene usage between the HLA-DR+ and HLA-DR- PCs were further investigated by looking at the inter-individual variation in gene usage.</w:t>
      </w:r>
      <w:r w:rsidR="00A678C7" w:rsidRPr="008A4B25">
        <w:rPr>
          <w:rFonts w:ascii="Times New Roman" w:hAnsi="Times New Roman" w:cs="Times New Roman"/>
          <w:color w:val="000000" w:themeColor="text1"/>
        </w:rPr>
        <w:t xml:space="preserve"> A population</w:t>
      </w:r>
      <w:r w:rsidR="003960D2" w:rsidRPr="008A4B25">
        <w:rPr>
          <w:rFonts w:ascii="Times New Roman" w:hAnsi="Times New Roman" w:cs="Times New Roman"/>
          <w:color w:val="000000" w:themeColor="text1"/>
        </w:rPr>
        <w:t xml:space="preserve"> with more restricted antigen-specificity</w:t>
      </w:r>
      <w:r w:rsidR="00A678C7" w:rsidRPr="008A4B25">
        <w:rPr>
          <w:rFonts w:ascii="Times New Roman" w:hAnsi="Times New Roman" w:cs="Times New Roman"/>
          <w:color w:val="000000" w:themeColor="text1"/>
        </w:rPr>
        <w:t xml:space="preserve"> </w:t>
      </w:r>
      <w:r w:rsidR="003960D2" w:rsidRPr="008A4B25">
        <w:rPr>
          <w:rFonts w:ascii="Times New Roman" w:hAnsi="Times New Roman" w:cs="Times New Roman"/>
          <w:color w:val="000000" w:themeColor="text1"/>
        </w:rPr>
        <w:t>is</w:t>
      </w:r>
      <w:r w:rsidR="00A678C7" w:rsidRPr="008A4B25">
        <w:rPr>
          <w:rFonts w:ascii="Times New Roman" w:hAnsi="Times New Roman" w:cs="Times New Roman"/>
          <w:color w:val="000000" w:themeColor="text1"/>
        </w:rPr>
        <w:t xml:space="preserve"> expected to have less variance in gene segment usage between individuals.</w:t>
      </w:r>
      <w:r w:rsidR="00E4537C" w:rsidRPr="008A4B25">
        <w:rPr>
          <w:rFonts w:ascii="Times New Roman" w:hAnsi="Times New Roman" w:cs="Times New Roman"/>
          <w:color w:val="000000" w:themeColor="text1"/>
        </w:rPr>
        <w:t xml:space="preserve"> </w:t>
      </w:r>
      <w:r w:rsidR="000D5502" w:rsidRPr="008A4B25">
        <w:rPr>
          <w:rFonts w:ascii="Times New Roman" w:hAnsi="Times New Roman" w:cs="Times New Roman"/>
          <w:color w:val="000000" w:themeColor="text1"/>
        </w:rPr>
        <w:t>For each</w:t>
      </w:r>
      <w:r w:rsidR="00252F38" w:rsidRPr="008A4B25">
        <w:rPr>
          <w:rFonts w:ascii="Times New Roman" w:hAnsi="Times New Roman" w:cs="Times New Roman"/>
          <w:color w:val="000000" w:themeColor="text1"/>
        </w:rPr>
        <w:t xml:space="preserve"> gene </w:t>
      </w:r>
      <w:r w:rsidR="000D5502" w:rsidRPr="008A4B25">
        <w:rPr>
          <w:rFonts w:ascii="Times New Roman" w:hAnsi="Times New Roman" w:cs="Times New Roman"/>
          <w:color w:val="000000" w:themeColor="text1"/>
        </w:rPr>
        <w:t xml:space="preserve">segment, the variance in </w:t>
      </w:r>
      <w:r w:rsidR="00252F38" w:rsidRPr="008A4B25">
        <w:rPr>
          <w:rFonts w:ascii="Times New Roman" w:hAnsi="Times New Roman" w:cs="Times New Roman"/>
          <w:color w:val="000000" w:themeColor="text1"/>
        </w:rPr>
        <w:t xml:space="preserve">their </w:t>
      </w:r>
      <w:r w:rsidR="000D5502" w:rsidRPr="008A4B25">
        <w:rPr>
          <w:rFonts w:ascii="Times New Roman" w:hAnsi="Times New Roman" w:cs="Times New Roman"/>
          <w:color w:val="000000" w:themeColor="text1"/>
        </w:rPr>
        <w:t xml:space="preserve">usage between the participants was calculated for the two </w:t>
      </w:r>
      <w:r w:rsidR="00252F38" w:rsidRPr="008A4B25">
        <w:rPr>
          <w:rFonts w:ascii="Times New Roman" w:hAnsi="Times New Roman" w:cs="Times New Roman"/>
          <w:color w:val="000000" w:themeColor="text1"/>
        </w:rPr>
        <w:t xml:space="preserve">PC </w:t>
      </w:r>
      <w:r w:rsidR="000D5502" w:rsidRPr="008A4B25">
        <w:rPr>
          <w:rFonts w:ascii="Times New Roman" w:hAnsi="Times New Roman" w:cs="Times New Roman"/>
          <w:color w:val="000000" w:themeColor="text1"/>
        </w:rPr>
        <w:t>populations, and then compared between the two populations using an F-test for equality of variance</w:t>
      </w:r>
      <w:r w:rsidR="007B2387" w:rsidRPr="008A4B25">
        <w:rPr>
          <w:rFonts w:ascii="Times New Roman" w:hAnsi="Times New Roman" w:cs="Times New Roman"/>
          <w:color w:val="000000" w:themeColor="text1"/>
        </w:rPr>
        <w:t xml:space="preserve"> (Fig. S3B)</w:t>
      </w:r>
      <w:r w:rsidR="000D5502" w:rsidRPr="008A4B25">
        <w:rPr>
          <w:rFonts w:ascii="Times New Roman" w:hAnsi="Times New Roman" w:cs="Times New Roman"/>
          <w:color w:val="000000" w:themeColor="text1"/>
        </w:rPr>
        <w:t xml:space="preserve">. </w:t>
      </w:r>
      <w:r w:rsidR="00416346" w:rsidRPr="008A4B25">
        <w:rPr>
          <w:rFonts w:ascii="Times New Roman" w:hAnsi="Times New Roman" w:cs="Times New Roman"/>
          <w:color w:val="000000" w:themeColor="text1"/>
        </w:rPr>
        <w:t>All J and D gene segments had similar variances in the two PC populations. For the IgG PCs, there were ten V genes that had greater inter-individual variation in the HLA-DR+ PCs compared to the HLA-DR- PCs, and only one V gene that had greater variation in the HLA-DR- PCs.  For the IgM</w:t>
      </w:r>
      <w:r w:rsidR="00BC3150" w:rsidRPr="008A4B25">
        <w:rPr>
          <w:rFonts w:ascii="Times New Roman" w:hAnsi="Times New Roman" w:cs="Times New Roman"/>
          <w:color w:val="000000" w:themeColor="text1"/>
        </w:rPr>
        <w:t xml:space="preserve"> </w:t>
      </w:r>
      <w:r w:rsidR="00416346" w:rsidRPr="008A4B25">
        <w:rPr>
          <w:rFonts w:ascii="Times New Roman" w:hAnsi="Times New Roman" w:cs="Times New Roman"/>
          <w:color w:val="000000" w:themeColor="text1"/>
        </w:rPr>
        <w:t>PCs, three V genes had greater variance in the HLA-DR+ PCs compared to two V genes that had greater variance in the HLA-DR- PCs. The HLA-DR+ PCs therefore appear to vary more between individuals in their V gene usage, while the HLA-DR- PCs have more similar V gene usage in different individuals.</w:t>
      </w:r>
    </w:p>
    <w:p w14:paraId="45D9F322" w14:textId="6B54002B" w:rsidR="009308A1" w:rsidRPr="008A4B25" w:rsidRDefault="00C202E8" w:rsidP="007C35F5">
      <w:pPr>
        <w:pStyle w:val="Heading2"/>
        <w:rPr>
          <w:rFonts w:ascii="Times New Roman" w:hAnsi="Times New Roman"/>
        </w:rPr>
      </w:pPr>
      <w:r w:rsidRPr="008A4B25">
        <w:rPr>
          <w:rFonts w:ascii="Times New Roman" w:hAnsi="Times New Roman"/>
        </w:rPr>
        <w:t xml:space="preserve">Plasma cell repertoires </w:t>
      </w:r>
      <w:r w:rsidR="00F87E20" w:rsidRPr="008A4B25">
        <w:rPr>
          <w:rFonts w:ascii="Times New Roman" w:hAnsi="Times New Roman"/>
        </w:rPr>
        <w:t>show similarity between individuals at the sequence level</w:t>
      </w:r>
    </w:p>
    <w:p w14:paraId="2E110C0C" w14:textId="7B4B486D" w:rsidR="00882AFA" w:rsidRPr="008A4B25" w:rsidRDefault="00E6258B" w:rsidP="00536D38">
      <w:pPr>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To determine if we could identify repertoire convergence </w:t>
      </w:r>
      <w:r w:rsidR="008F7FE6" w:rsidRPr="008A4B25">
        <w:rPr>
          <w:rFonts w:ascii="Times New Roman" w:hAnsi="Times New Roman" w:cs="Times New Roman"/>
          <w:color w:val="000000" w:themeColor="text1"/>
        </w:rPr>
        <w:t xml:space="preserve">between </w:t>
      </w:r>
      <w:r w:rsidRPr="008A4B25">
        <w:rPr>
          <w:rFonts w:ascii="Times New Roman" w:hAnsi="Times New Roman" w:cs="Times New Roman"/>
          <w:color w:val="000000" w:themeColor="text1"/>
        </w:rPr>
        <w:t xml:space="preserve">the different participants </w:t>
      </w:r>
      <w:r w:rsidR="00813D34" w:rsidRPr="008A4B25">
        <w:rPr>
          <w:rFonts w:ascii="Times New Roman" w:hAnsi="Times New Roman" w:cs="Times New Roman"/>
          <w:color w:val="000000" w:themeColor="text1"/>
        </w:rPr>
        <w:t xml:space="preserve">(the use of similar sequences to bind similar antigens following an immune stimulus) </w:t>
      </w:r>
      <w:r w:rsidRPr="008A4B25">
        <w:rPr>
          <w:rFonts w:ascii="Times New Roman" w:hAnsi="Times New Roman" w:cs="Times New Roman"/>
          <w:color w:val="000000" w:themeColor="text1"/>
        </w:rPr>
        <w:t xml:space="preserve">in response to vaccination, we searched for </w:t>
      </w:r>
      <w:r w:rsidR="008F7FE6" w:rsidRPr="008A4B25">
        <w:rPr>
          <w:rFonts w:ascii="Times New Roman" w:hAnsi="Times New Roman" w:cs="Times New Roman"/>
          <w:color w:val="000000" w:themeColor="text1"/>
        </w:rPr>
        <w:t xml:space="preserve">shared CDR3 </w:t>
      </w:r>
      <w:r w:rsidR="00C75494" w:rsidRPr="008A4B25">
        <w:rPr>
          <w:rFonts w:ascii="Times New Roman" w:hAnsi="Times New Roman" w:cs="Times New Roman"/>
          <w:color w:val="000000" w:themeColor="text1"/>
        </w:rPr>
        <w:t>AA</w:t>
      </w:r>
      <w:r w:rsidR="008F7FE6" w:rsidRPr="008A4B25">
        <w:rPr>
          <w:rFonts w:ascii="Times New Roman" w:hAnsi="Times New Roman" w:cs="Times New Roman"/>
          <w:color w:val="000000" w:themeColor="text1"/>
        </w:rPr>
        <w:t xml:space="preserve"> </w:t>
      </w:r>
      <w:r w:rsidR="001E7AB0" w:rsidRPr="008A4B25">
        <w:rPr>
          <w:rFonts w:ascii="Times New Roman" w:hAnsi="Times New Roman" w:cs="Times New Roman"/>
          <w:color w:val="000000" w:themeColor="text1"/>
        </w:rPr>
        <w:t>sequences</w:t>
      </w:r>
      <w:r w:rsidR="005B7D48" w:rsidRPr="008A4B25">
        <w:rPr>
          <w:rFonts w:ascii="Times New Roman" w:hAnsi="Times New Roman" w:cs="Times New Roman"/>
          <w:color w:val="000000" w:themeColor="text1"/>
        </w:rPr>
        <w:t xml:space="preserve"> </w:t>
      </w:r>
      <w:r w:rsidR="008F7FE6" w:rsidRPr="008A4B25">
        <w:rPr>
          <w:rFonts w:ascii="Times New Roman" w:hAnsi="Times New Roman" w:cs="Times New Roman"/>
          <w:color w:val="000000" w:themeColor="text1"/>
        </w:rPr>
        <w:t>between</w:t>
      </w:r>
      <w:r w:rsidR="00745248" w:rsidRPr="008A4B25">
        <w:rPr>
          <w:rFonts w:ascii="Times New Roman" w:hAnsi="Times New Roman" w:cs="Times New Roman"/>
          <w:color w:val="000000" w:themeColor="text1"/>
        </w:rPr>
        <w:t xml:space="preserve"> </w:t>
      </w:r>
      <w:r w:rsidR="005B7D48" w:rsidRPr="008A4B25">
        <w:rPr>
          <w:rFonts w:ascii="Times New Roman" w:hAnsi="Times New Roman" w:cs="Times New Roman"/>
          <w:color w:val="000000" w:themeColor="text1"/>
        </w:rPr>
        <w:t xml:space="preserve">samples </w:t>
      </w:r>
      <w:r w:rsidR="00987593" w:rsidRPr="008A4B25">
        <w:rPr>
          <w:rFonts w:ascii="Times New Roman" w:hAnsi="Times New Roman" w:cs="Times New Roman"/>
          <w:color w:val="000000" w:themeColor="text1"/>
        </w:rPr>
        <w:t xml:space="preserve">(Fig. </w:t>
      </w:r>
      <w:r w:rsidR="009F36D4" w:rsidRPr="008A4B25">
        <w:rPr>
          <w:rFonts w:ascii="Times New Roman" w:hAnsi="Times New Roman" w:cs="Times New Roman"/>
          <w:color w:val="000000" w:themeColor="text1"/>
        </w:rPr>
        <w:t>S4</w:t>
      </w:r>
      <w:r w:rsidR="008C7FA7" w:rsidRPr="008A4B25">
        <w:rPr>
          <w:rFonts w:ascii="Times New Roman" w:hAnsi="Times New Roman" w:cs="Times New Roman"/>
          <w:color w:val="000000" w:themeColor="text1"/>
        </w:rPr>
        <w:t>).</w:t>
      </w:r>
      <w:r w:rsidR="003F073D" w:rsidRPr="008A4B25">
        <w:rPr>
          <w:rFonts w:ascii="Times New Roman" w:hAnsi="Times New Roman" w:cs="Times New Roman"/>
          <w:color w:val="000000" w:themeColor="text1"/>
        </w:rPr>
        <w:t xml:space="preserve"> The CDR3 region</w:t>
      </w:r>
      <w:r w:rsidR="00813D34" w:rsidRPr="008A4B25">
        <w:rPr>
          <w:rFonts w:ascii="Times New Roman" w:hAnsi="Times New Roman" w:cs="Times New Roman"/>
          <w:color w:val="000000" w:themeColor="text1"/>
        </w:rPr>
        <w:t xml:space="preserve"> is the most variable of the three CDRs and</w:t>
      </w:r>
      <w:r w:rsidR="003F073D" w:rsidRPr="008A4B25">
        <w:rPr>
          <w:rFonts w:ascii="Times New Roman" w:hAnsi="Times New Roman" w:cs="Times New Roman"/>
          <w:color w:val="000000" w:themeColor="text1"/>
        </w:rPr>
        <w:t xml:space="preserve"> is </w:t>
      </w:r>
      <w:r w:rsidR="00813D34" w:rsidRPr="008A4B25">
        <w:rPr>
          <w:rFonts w:ascii="Times New Roman" w:hAnsi="Times New Roman" w:cs="Times New Roman"/>
          <w:color w:val="000000" w:themeColor="text1"/>
        </w:rPr>
        <w:t>considered a key region for determining antigen binding.</w:t>
      </w:r>
      <w:r w:rsidR="00EE5EE2"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"10.1016/S1074-7613(00)00006-6", "ISBN" : "1074-7613", "ISSN" : "10747613", "PMID" : "10933393", "abstract" : "All rearranging antigen receptor genes have one or two highly diverse complementarity determining regions (CDRs) among the six that typically form the ligand binding surface. We report here that, in the case of antibodies, diversity at one of these regions, CDR3 of the V(H) domain, is sufficient to permit otherwise identical IgM molecules to distinguish between a variety of hapten and protein antigens. Furthermore, we find that somatic mutation can allow such antibodies to achieve surprisingly high affinities. These results are consistent with a model in which the highly diverse CDR3 loops are the key determinant of specificity in antigen recognition in both T cell receptors (TCR) and antibodies, whereas the germline-encoded CDR1 and CDR2 sequences are much more cross-reactive.", "author" : [ { "dropping-particle" : "", "family" : "Xu", "given" : "J L", "non-dropping-particle" : "", "parse-names" : false, "suffix" : "" }, { "dropping-particle" : "", "family" : "Davis", "given" : "M M", "non-dropping-particle" : "", "parse-names" : false, "suffix" : "" } ], "container-title" : "Immunity", "id" : "ITEM-1", "issued" : { "date-parts" : [ [ "2000" ] ] }, "page" : "37-45", "title" : "Diversity in the CDR3 region of V(H) is sufficient for most antibody specificities.", "type" : "article-journal", "volume" : "13" }, "uris" : [ "http://www.mendeley.com/documents/?uuid=a004c9ad-a5d1-4a30-8c7a-4ef903fad031" ] } ], "mendeley" : { "formattedCitation" : "&lt;sup&gt;18&lt;/sup&gt;", "plainTextFormattedCitation" : "18", "previouslyFormattedCitation" : "&lt;sup&gt;17&lt;/sup&gt;" }, "properties" : { "noteIndex" : 0 }, "schema" : "https://github.com/citation-style-language/schema/raw/master/csl-citation.json" }</w:instrText>
      </w:r>
      <w:r w:rsidR="00EE5EE2"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18</w:t>
      </w:r>
      <w:r w:rsidR="00EE5EE2" w:rsidRPr="008A4B25">
        <w:rPr>
          <w:rFonts w:ascii="Times New Roman" w:hAnsi="Times New Roman" w:cs="Times New Roman"/>
          <w:color w:val="000000" w:themeColor="text1"/>
        </w:rPr>
        <w:fldChar w:fldCharType="end"/>
      </w:r>
      <w:r w:rsidR="009008EF" w:rsidRPr="008A4B25">
        <w:rPr>
          <w:rFonts w:ascii="Times New Roman" w:hAnsi="Times New Roman" w:cs="Times New Roman"/>
          <w:color w:val="000000" w:themeColor="text1"/>
        </w:rPr>
        <w:t xml:space="preserve"> </w:t>
      </w:r>
      <w:r w:rsidR="00745248" w:rsidRPr="008A4B25">
        <w:rPr>
          <w:rFonts w:ascii="Times New Roman" w:hAnsi="Times New Roman" w:cs="Times New Roman"/>
          <w:color w:val="000000" w:themeColor="text1"/>
        </w:rPr>
        <w:t xml:space="preserve">Among the baseline subsets, </w:t>
      </w:r>
      <w:r w:rsidR="006209EF" w:rsidRPr="008A4B25">
        <w:rPr>
          <w:rFonts w:ascii="Times New Roman" w:hAnsi="Times New Roman" w:cs="Times New Roman"/>
          <w:color w:val="000000" w:themeColor="text1"/>
        </w:rPr>
        <w:t xml:space="preserve">on average </w:t>
      </w:r>
      <w:r w:rsidR="00157FCE" w:rsidRPr="008A4B25">
        <w:rPr>
          <w:rFonts w:ascii="Times New Roman" w:hAnsi="Times New Roman" w:cs="Times New Roman"/>
          <w:color w:val="000000" w:themeColor="text1"/>
        </w:rPr>
        <w:t>0.1</w:t>
      </w:r>
      <w:r w:rsidR="002F7822" w:rsidRPr="008A4B25">
        <w:rPr>
          <w:rFonts w:ascii="Times New Roman" w:hAnsi="Times New Roman" w:cs="Times New Roman"/>
          <w:color w:val="000000" w:themeColor="text1"/>
        </w:rPr>
        <w:t>9</w:t>
      </w:r>
      <w:r w:rsidR="00157FCE" w:rsidRPr="008A4B25">
        <w:rPr>
          <w:rFonts w:ascii="Times New Roman" w:hAnsi="Times New Roman" w:cs="Times New Roman"/>
          <w:color w:val="000000" w:themeColor="text1"/>
        </w:rPr>
        <w:t xml:space="preserve">% (range: </w:t>
      </w:r>
      <w:r w:rsidR="00D23346" w:rsidRPr="008A4B25">
        <w:rPr>
          <w:rFonts w:ascii="Times New Roman" w:hAnsi="Times New Roman" w:cs="Times New Roman"/>
          <w:color w:val="000000" w:themeColor="text1"/>
        </w:rPr>
        <w:t>0.</w:t>
      </w:r>
      <w:r w:rsidR="002F7822" w:rsidRPr="008A4B25">
        <w:rPr>
          <w:rFonts w:ascii="Times New Roman" w:hAnsi="Times New Roman" w:cs="Times New Roman"/>
          <w:color w:val="000000" w:themeColor="text1"/>
        </w:rPr>
        <w:t>11</w:t>
      </w:r>
      <w:r w:rsidR="00D23346" w:rsidRPr="008A4B25">
        <w:rPr>
          <w:rFonts w:ascii="Times New Roman" w:hAnsi="Times New Roman" w:cs="Times New Roman"/>
          <w:color w:val="000000" w:themeColor="text1"/>
        </w:rPr>
        <w:t>-0.</w:t>
      </w:r>
      <w:r w:rsidR="002F7822" w:rsidRPr="008A4B25">
        <w:rPr>
          <w:rFonts w:ascii="Times New Roman" w:hAnsi="Times New Roman" w:cs="Times New Roman"/>
          <w:color w:val="000000" w:themeColor="text1"/>
        </w:rPr>
        <w:t>40</w:t>
      </w:r>
      <w:r w:rsidR="00157FCE" w:rsidRPr="008A4B25">
        <w:rPr>
          <w:rFonts w:ascii="Times New Roman" w:hAnsi="Times New Roman" w:cs="Times New Roman"/>
          <w:color w:val="000000" w:themeColor="text1"/>
        </w:rPr>
        <w:t xml:space="preserve">%) </w:t>
      </w:r>
      <w:r w:rsidR="00745248" w:rsidRPr="008A4B25">
        <w:rPr>
          <w:rFonts w:ascii="Times New Roman" w:hAnsi="Times New Roman" w:cs="Times New Roman"/>
          <w:color w:val="000000" w:themeColor="text1"/>
        </w:rPr>
        <w:t xml:space="preserve">of </w:t>
      </w:r>
      <w:r w:rsidR="00FD258B" w:rsidRPr="008A4B25">
        <w:rPr>
          <w:rFonts w:ascii="Times New Roman" w:hAnsi="Times New Roman" w:cs="Times New Roman"/>
          <w:color w:val="000000" w:themeColor="text1"/>
        </w:rPr>
        <w:t>sequences were shared either between the vaccine groups, or by at least two participants within each vaccine group (</w:t>
      </w:r>
      <w:r w:rsidR="00A80D5F" w:rsidRPr="008A4B25">
        <w:rPr>
          <w:rFonts w:ascii="Times New Roman" w:hAnsi="Times New Roman" w:cs="Times New Roman"/>
          <w:color w:val="000000" w:themeColor="text1"/>
        </w:rPr>
        <w:t>Fig. 4</w:t>
      </w:r>
      <w:r w:rsidR="00FD258B" w:rsidRPr="008A4B25">
        <w:rPr>
          <w:rFonts w:ascii="Times New Roman" w:hAnsi="Times New Roman" w:cs="Times New Roman"/>
          <w:color w:val="000000" w:themeColor="text1"/>
        </w:rPr>
        <w:t xml:space="preserve">). In contrast, </w:t>
      </w:r>
      <w:r w:rsidR="0033414C" w:rsidRPr="008A4B25">
        <w:rPr>
          <w:rFonts w:ascii="Times New Roman" w:hAnsi="Times New Roman" w:cs="Times New Roman"/>
          <w:color w:val="000000" w:themeColor="text1"/>
        </w:rPr>
        <w:t>PC</w:t>
      </w:r>
      <w:r w:rsidR="00FD258B" w:rsidRPr="008A4B25">
        <w:rPr>
          <w:rFonts w:ascii="Times New Roman" w:hAnsi="Times New Roman" w:cs="Times New Roman"/>
          <w:color w:val="000000" w:themeColor="text1"/>
        </w:rPr>
        <w:t xml:space="preserve">s had greater sequence </w:t>
      </w:r>
      <w:r w:rsidR="000D62E3" w:rsidRPr="008A4B25">
        <w:rPr>
          <w:rFonts w:ascii="Times New Roman" w:hAnsi="Times New Roman" w:cs="Times New Roman"/>
          <w:color w:val="000000" w:themeColor="text1"/>
        </w:rPr>
        <w:t>sharing</w:t>
      </w:r>
      <w:r w:rsidR="00FD258B" w:rsidRPr="008A4B25">
        <w:rPr>
          <w:rFonts w:ascii="Times New Roman" w:hAnsi="Times New Roman" w:cs="Times New Roman"/>
          <w:color w:val="000000" w:themeColor="text1"/>
        </w:rPr>
        <w:t xml:space="preserve">, with </w:t>
      </w:r>
      <w:r w:rsidR="00D23346" w:rsidRPr="008A4B25">
        <w:rPr>
          <w:rFonts w:ascii="Times New Roman" w:hAnsi="Times New Roman" w:cs="Times New Roman"/>
          <w:color w:val="000000" w:themeColor="text1"/>
        </w:rPr>
        <w:t xml:space="preserve">on average </w:t>
      </w:r>
      <w:r w:rsidR="002F7822" w:rsidRPr="008A4B25">
        <w:rPr>
          <w:rFonts w:ascii="Times New Roman" w:hAnsi="Times New Roman" w:cs="Times New Roman"/>
          <w:color w:val="000000" w:themeColor="text1"/>
        </w:rPr>
        <w:t>0.99</w:t>
      </w:r>
      <w:r w:rsidR="00D23346" w:rsidRPr="008A4B25">
        <w:rPr>
          <w:rFonts w:ascii="Times New Roman" w:hAnsi="Times New Roman" w:cs="Times New Roman"/>
          <w:color w:val="000000" w:themeColor="text1"/>
        </w:rPr>
        <w:t xml:space="preserve">% (range: </w:t>
      </w:r>
      <w:r w:rsidR="00FD258B" w:rsidRPr="008A4B25">
        <w:rPr>
          <w:rFonts w:ascii="Times New Roman" w:hAnsi="Times New Roman" w:cs="Times New Roman"/>
          <w:color w:val="000000" w:themeColor="text1"/>
        </w:rPr>
        <w:t>0.</w:t>
      </w:r>
      <w:r w:rsidR="002F7822" w:rsidRPr="008A4B25">
        <w:rPr>
          <w:rFonts w:ascii="Times New Roman" w:hAnsi="Times New Roman" w:cs="Times New Roman"/>
          <w:color w:val="000000" w:themeColor="text1"/>
        </w:rPr>
        <w:t>17</w:t>
      </w:r>
      <w:r w:rsidR="00FD258B" w:rsidRPr="008A4B25">
        <w:rPr>
          <w:rFonts w:ascii="Times New Roman" w:hAnsi="Times New Roman" w:cs="Times New Roman"/>
          <w:color w:val="000000" w:themeColor="text1"/>
        </w:rPr>
        <w:t>-2</w:t>
      </w:r>
      <w:r w:rsidR="00D23346" w:rsidRPr="008A4B25">
        <w:rPr>
          <w:rFonts w:ascii="Times New Roman" w:hAnsi="Times New Roman" w:cs="Times New Roman"/>
          <w:color w:val="000000" w:themeColor="text1"/>
        </w:rPr>
        <w:t>.</w:t>
      </w:r>
      <w:r w:rsidR="002F7822" w:rsidRPr="008A4B25">
        <w:rPr>
          <w:rFonts w:ascii="Times New Roman" w:hAnsi="Times New Roman" w:cs="Times New Roman"/>
          <w:color w:val="000000" w:themeColor="text1"/>
        </w:rPr>
        <w:t>2</w:t>
      </w:r>
      <w:r w:rsidR="00D23346" w:rsidRPr="008A4B25">
        <w:rPr>
          <w:rFonts w:ascii="Times New Roman" w:hAnsi="Times New Roman" w:cs="Times New Roman"/>
          <w:color w:val="000000" w:themeColor="text1"/>
        </w:rPr>
        <w:t>1</w:t>
      </w:r>
      <w:r w:rsidR="00FD258B" w:rsidRPr="008A4B25">
        <w:rPr>
          <w:rFonts w:ascii="Times New Roman" w:hAnsi="Times New Roman" w:cs="Times New Roman"/>
          <w:color w:val="000000" w:themeColor="text1"/>
        </w:rPr>
        <w:t>%</w:t>
      </w:r>
      <w:r w:rsidR="00D23346" w:rsidRPr="008A4B25">
        <w:rPr>
          <w:rFonts w:ascii="Times New Roman" w:hAnsi="Times New Roman" w:cs="Times New Roman"/>
          <w:color w:val="000000" w:themeColor="text1"/>
        </w:rPr>
        <w:t>)</w:t>
      </w:r>
      <w:r w:rsidR="00FD258B" w:rsidRPr="008A4B25">
        <w:rPr>
          <w:rFonts w:ascii="Times New Roman" w:hAnsi="Times New Roman" w:cs="Times New Roman"/>
          <w:color w:val="000000" w:themeColor="text1"/>
        </w:rPr>
        <w:t xml:space="preserve"> of sequences being shared either within or between </w:t>
      </w:r>
      <w:r w:rsidR="00A55C42" w:rsidRPr="008A4B25">
        <w:rPr>
          <w:rFonts w:ascii="Times New Roman" w:hAnsi="Times New Roman" w:cs="Times New Roman"/>
          <w:color w:val="000000" w:themeColor="text1"/>
        </w:rPr>
        <w:t xml:space="preserve">individuals in the two </w:t>
      </w:r>
      <w:r w:rsidR="00FD258B" w:rsidRPr="008A4B25">
        <w:rPr>
          <w:rFonts w:ascii="Times New Roman" w:hAnsi="Times New Roman" w:cs="Times New Roman"/>
          <w:color w:val="000000" w:themeColor="text1"/>
        </w:rPr>
        <w:t>vaccine groups. The HLA-DR</w:t>
      </w:r>
      <w:r w:rsidR="000D62E3" w:rsidRPr="008A4B25">
        <w:rPr>
          <w:rFonts w:ascii="Times New Roman" w:hAnsi="Times New Roman" w:cs="Times New Roman"/>
          <w:color w:val="000000" w:themeColor="text1"/>
        </w:rPr>
        <w:t>-</w:t>
      </w:r>
      <w:r w:rsidR="00FD258B" w:rsidRPr="008A4B25">
        <w:rPr>
          <w:rFonts w:ascii="Times New Roman" w:hAnsi="Times New Roman" w:cs="Times New Roman"/>
          <w:color w:val="000000" w:themeColor="text1"/>
        </w:rPr>
        <w:t xml:space="preserve"> </w:t>
      </w:r>
      <w:r w:rsidR="000D62E3" w:rsidRPr="008A4B25">
        <w:rPr>
          <w:rFonts w:ascii="Times New Roman" w:hAnsi="Times New Roman" w:cs="Times New Roman"/>
          <w:color w:val="000000" w:themeColor="text1"/>
        </w:rPr>
        <w:t>PCs tended to have more sequence sharing than the HLA-DR+ PCs</w:t>
      </w:r>
      <w:r w:rsidR="00FD258B" w:rsidRPr="008A4B25">
        <w:rPr>
          <w:rFonts w:ascii="Times New Roman" w:hAnsi="Times New Roman" w:cs="Times New Roman"/>
          <w:color w:val="000000" w:themeColor="text1"/>
        </w:rPr>
        <w:t xml:space="preserve">. </w:t>
      </w:r>
      <w:r w:rsidR="009400FA" w:rsidRPr="008A4B25">
        <w:rPr>
          <w:rFonts w:ascii="Times New Roman" w:hAnsi="Times New Roman" w:cs="Times New Roman"/>
          <w:color w:val="000000" w:themeColor="text1"/>
        </w:rPr>
        <w:t xml:space="preserve">Comparing the </w:t>
      </w:r>
      <w:r w:rsidR="009400FA" w:rsidRPr="008A4B25">
        <w:rPr>
          <w:rFonts w:ascii="Times New Roman" w:hAnsi="Times New Roman" w:cs="Times New Roman"/>
          <w:color w:val="000000" w:themeColor="text1"/>
        </w:rPr>
        <w:lastRenderedPageBreak/>
        <w:t xml:space="preserve">two vaccine groups the most striking difference was in the HLA-DR+ IgM PCs, where the percent of shared sequences was more than two times greater within the polysaccharide group than the conjugate group. </w:t>
      </w:r>
      <w:r w:rsidR="00B23974" w:rsidRPr="008A4B25">
        <w:rPr>
          <w:rFonts w:ascii="Times New Roman" w:hAnsi="Times New Roman" w:cs="Times New Roman"/>
          <w:color w:val="000000" w:themeColor="text1"/>
        </w:rPr>
        <w:t xml:space="preserve">Other than this high level of sequence sharing in IgM HLA-DR+ PCs after </w:t>
      </w:r>
      <w:r w:rsidR="00E65CDB" w:rsidRPr="008A4B25">
        <w:rPr>
          <w:rFonts w:ascii="Times New Roman" w:hAnsi="Times New Roman" w:cs="Times New Roman"/>
          <w:color w:val="000000" w:themeColor="text1"/>
        </w:rPr>
        <w:t xml:space="preserve">polysaccharide </w:t>
      </w:r>
      <w:r w:rsidR="00B23974" w:rsidRPr="008A4B25">
        <w:rPr>
          <w:rFonts w:ascii="Times New Roman" w:hAnsi="Times New Roman" w:cs="Times New Roman"/>
          <w:color w:val="000000" w:themeColor="text1"/>
        </w:rPr>
        <w:t xml:space="preserve">vaccination, there was little difference in the number of shared sequences between IgM and IgG PCs. </w:t>
      </w:r>
      <w:r w:rsidR="00FD258B" w:rsidRPr="008A4B25">
        <w:rPr>
          <w:rFonts w:ascii="Times New Roman" w:hAnsi="Times New Roman" w:cs="Times New Roman"/>
          <w:color w:val="000000" w:themeColor="text1"/>
        </w:rPr>
        <w:t>There were some differences in convergence at</w:t>
      </w:r>
      <w:r w:rsidR="008C7FA7" w:rsidRPr="008A4B25">
        <w:rPr>
          <w:rFonts w:ascii="Times New Roman" w:hAnsi="Times New Roman" w:cs="Times New Roman"/>
          <w:color w:val="000000" w:themeColor="text1"/>
        </w:rPr>
        <w:t xml:space="preserve"> Visit 2 compared to Visit 4 for the HLA-DR+ IgG </w:t>
      </w:r>
      <w:r w:rsidR="0033414C" w:rsidRPr="008A4B25">
        <w:rPr>
          <w:rFonts w:ascii="Times New Roman" w:hAnsi="Times New Roman" w:cs="Times New Roman"/>
          <w:color w:val="000000" w:themeColor="text1"/>
        </w:rPr>
        <w:t>PC</w:t>
      </w:r>
      <w:r w:rsidR="008C7FA7" w:rsidRPr="008A4B25">
        <w:rPr>
          <w:rFonts w:ascii="Times New Roman" w:hAnsi="Times New Roman" w:cs="Times New Roman"/>
          <w:color w:val="000000" w:themeColor="text1"/>
        </w:rPr>
        <w:t>s</w:t>
      </w:r>
      <w:r w:rsidR="00F3772B" w:rsidRPr="008A4B25">
        <w:rPr>
          <w:rFonts w:ascii="Times New Roman" w:hAnsi="Times New Roman" w:cs="Times New Roman"/>
          <w:color w:val="000000" w:themeColor="text1"/>
        </w:rPr>
        <w:t>;</w:t>
      </w:r>
      <w:r w:rsidR="008C7FA7" w:rsidRPr="008A4B25">
        <w:rPr>
          <w:rFonts w:ascii="Times New Roman" w:hAnsi="Times New Roman" w:cs="Times New Roman"/>
          <w:color w:val="000000" w:themeColor="text1"/>
        </w:rPr>
        <w:t xml:space="preserve"> there </w:t>
      </w:r>
      <w:r w:rsidR="00B74E5E" w:rsidRPr="008A4B25">
        <w:rPr>
          <w:rFonts w:ascii="Times New Roman" w:hAnsi="Times New Roman" w:cs="Times New Roman"/>
          <w:color w:val="000000" w:themeColor="text1"/>
        </w:rPr>
        <w:t>was</w:t>
      </w:r>
      <w:r w:rsidR="008C7FA7" w:rsidRPr="008A4B25">
        <w:rPr>
          <w:rFonts w:ascii="Times New Roman" w:hAnsi="Times New Roman" w:cs="Times New Roman"/>
          <w:color w:val="000000" w:themeColor="text1"/>
        </w:rPr>
        <w:t xml:space="preserve"> more </w:t>
      </w:r>
      <w:r w:rsidR="00FD258B" w:rsidRPr="008A4B25">
        <w:rPr>
          <w:rFonts w:ascii="Times New Roman" w:hAnsi="Times New Roman" w:cs="Times New Roman"/>
          <w:color w:val="000000" w:themeColor="text1"/>
        </w:rPr>
        <w:t xml:space="preserve">convergence </w:t>
      </w:r>
      <w:r w:rsidR="008C7FA7" w:rsidRPr="008A4B25">
        <w:rPr>
          <w:rFonts w:ascii="Times New Roman" w:hAnsi="Times New Roman" w:cs="Times New Roman"/>
          <w:color w:val="000000" w:themeColor="text1"/>
        </w:rPr>
        <w:t xml:space="preserve">between the vaccine groups at Visit 4 (administered the same vaccine) compared to Visit 2 (administered different vaccines). </w:t>
      </w:r>
      <w:r w:rsidR="001067B8" w:rsidRPr="008A4B25">
        <w:rPr>
          <w:rFonts w:ascii="Times New Roman" w:hAnsi="Times New Roman" w:cs="Times New Roman"/>
          <w:color w:val="000000" w:themeColor="text1"/>
        </w:rPr>
        <w:t xml:space="preserve">However, it should be noted that it was a HLA-DR+ IgG Visit 2 sample from the conjugate group that failed sequencing, </w:t>
      </w:r>
      <w:r w:rsidR="00EC58D6" w:rsidRPr="008A4B25">
        <w:rPr>
          <w:rFonts w:ascii="Times New Roman" w:hAnsi="Times New Roman" w:cs="Times New Roman"/>
          <w:color w:val="000000" w:themeColor="text1"/>
        </w:rPr>
        <w:t>which would decrease the probability of sequence sharing within this population</w:t>
      </w:r>
      <w:r w:rsidR="001067B8" w:rsidRPr="008A4B25">
        <w:rPr>
          <w:rFonts w:ascii="Times New Roman" w:hAnsi="Times New Roman" w:cs="Times New Roman"/>
          <w:color w:val="000000" w:themeColor="text1"/>
        </w:rPr>
        <w:t xml:space="preserve">. </w:t>
      </w:r>
      <w:r w:rsidR="00FD258B" w:rsidRPr="008A4B25">
        <w:rPr>
          <w:rFonts w:ascii="Times New Roman" w:hAnsi="Times New Roman" w:cs="Times New Roman"/>
          <w:color w:val="000000" w:themeColor="text1"/>
        </w:rPr>
        <w:t>W</w:t>
      </w:r>
      <w:r w:rsidR="008C7FA7" w:rsidRPr="008A4B25">
        <w:rPr>
          <w:rFonts w:ascii="Times New Roman" w:hAnsi="Times New Roman" w:cs="Times New Roman"/>
          <w:color w:val="000000" w:themeColor="text1"/>
        </w:rPr>
        <w:t>ithin the vaccine groups, the number of shared sequences increase</w:t>
      </w:r>
      <w:r w:rsidR="00B74E5E" w:rsidRPr="008A4B25">
        <w:rPr>
          <w:rFonts w:ascii="Times New Roman" w:hAnsi="Times New Roman" w:cs="Times New Roman"/>
          <w:color w:val="000000" w:themeColor="text1"/>
        </w:rPr>
        <w:t>d</w:t>
      </w:r>
      <w:r w:rsidR="008C7FA7" w:rsidRPr="008A4B25">
        <w:rPr>
          <w:rFonts w:ascii="Times New Roman" w:hAnsi="Times New Roman" w:cs="Times New Roman"/>
          <w:color w:val="000000" w:themeColor="text1"/>
        </w:rPr>
        <w:t xml:space="preserve"> </w:t>
      </w:r>
      <w:r w:rsidR="00A308D9" w:rsidRPr="008A4B25">
        <w:rPr>
          <w:rFonts w:ascii="Times New Roman" w:hAnsi="Times New Roman" w:cs="Times New Roman"/>
          <w:color w:val="000000" w:themeColor="text1"/>
        </w:rPr>
        <w:t>approximately</w:t>
      </w:r>
      <w:r w:rsidR="008C7FA7" w:rsidRPr="008A4B25">
        <w:rPr>
          <w:rFonts w:ascii="Times New Roman" w:hAnsi="Times New Roman" w:cs="Times New Roman"/>
          <w:color w:val="000000" w:themeColor="text1"/>
        </w:rPr>
        <w:t xml:space="preserve"> fourfold in the conjugate group, but decrease</w:t>
      </w:r>
      <w:r w:rsidR="00B74E5E" w:rsidRPr="008A4B25">
        <w:rPr>
          <w:rFonts w:ascii="Times New Roman" w:hAnsi="Times New Roman" w:cs="Times New Roman"/>
          <w:color w:val="000000" w:themeColor="text1"/>
        </w:rPr>
        <w:t>d</w:t>
      </w:r>
      <w:r w:rsidR="008C7FA7" w:rsidRPr="008A4B25">
        <w:rPr>
          <w:rFonts w:ascii="Times New Roman" w:hAnsi="Times New Roman" w:cs="Times New Roman"/>
          <w:color w:val="000000" w:themeColor="text1"/>
        </w:rPr>
        <w:t xml:space="preserve"> slightly in the polysaccharide group</w:t>
      </w:r>
      <w:r w:rsidR="00791EF7" w:rsidRPr="008A4B25">
        <w:rPr>
          <w:rFonts w:ascii="Times New Roman" w:hAnsi="Times New Roman" w:cs="Times New Roman"/>
          <w:color w:val="000000" w:themeColor="text1"/>
        </w:rPr>
        <w:t xml:space="preserve"> at Visit 4</w:t>
      </w:r>
      <w:r w:rsidR="008C7FA7" w:rsidRPr="008A4B25">
        <w:rPr>
          <w:rFonts w:ascii="Times New Roman" w:hAnsi="Times New Roman" w:cs="Times New Roman"/>
          <w:color w:val="000000" w:themeColor="text1"/>
        </w:rPr>
        <w:t xml:space="preserve">. </w:t>
      </w:r>
    </w:p>
    <w:p w14:paraId="64FE3D1C" w14:textId="412C1E02" w:rsidR="00117106" w:rsidRPr="008A4B25" w:rsidRDefault="00117106" w:rsidP="00117106">
      <w:pPr>
        <w:pStyle w:val="Heading2"/>
        <w:rPr>
          <w:rFonts w:ascii="Times New Roman" w:hAnsi="Times New Roman"/>
        </w:rPr>
      </w:pPr>
      <w:r w:rsidRPr="008A4B25">
        <w:rPr>
          <w:rFonts w:ascii="Times New Roman" w:hAnsi="Times New Roman"/>
        </w:rPr>
        <w:t xml:space="preserve">Analysis of </w:t>
      </w:r>
      <w:r w:rsidR="009B24BA" w:rsidRPr="008A4B25">
        <w:rPr>
          <w:rFonts w:ascii="Times New Roman" w:hAnsi="Times New Roman"/>
        </w:rPr>
        <w:t>plasma cell activation</w:t>
      </w:r>
      <w:r w:rsidR="00AD2C45" w:rsidRPr="008A4B25">
        <w:rPr>
          <w:rFonts w:ascii="Times New Roman" w:hAnsi="Times New Roman"/>
        </w:rPr>
        <w:t xml:space="preserve"> distinguishes polysaccharide from conjugate responses</w:t>
      </w:r>
    </w:p>
    <w:p w14:paraId="10AAFA4F" w14:textId="73A38B86" w:rsidR="00761DF9" w:rsidRPr="008A4B25" w:rsidRDefault="006D712E" w:rsidP="00761DF9">
      <w:pPr>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W</w:t>
      </w:r>
      <w:r w:rsidR="00791EF7" w:rsidRPr="008A4B25">
        <w:rPr>
          <w:rFonts w:ascii="Times New Roman" w:hAnsi="Times New Roman" w:cs="Times New Roman"/>
          <w:color w:val="000000" w:themeColor="text1"/>
        </w:rPr>
        <w:t>e investigated whether there</w:t>
      </w:r>
      <w:r w:rsidR="00AC4ACE" w:rsidRPr="008A4B25">
        <w:rPr>
          <w:rFonts w:ascii="Times New Roman" w:hAnsi="Times New Roman" w:cs="Times New Roman"/>
          <w:color w:val="000000" w:themeColor="text1"/>
        </w:rPr>
        <w:t xml:space="preserve"> was evidence that </w:t>
      </w:r>
      <w:r w:rsidR="006414D4" w:rsidRPr="008A4B25">
        <w:rPr>
          <w:rFonts w:ascii="Times New Roman" w:hAnsi="Times New Roman" w:cs="Times New Roman"/>
          <w:color w:val="000000" w:themeColor="text1"/>
        </w:rPr>
        <w:t xml:space="preserve">the </w:t>
      </w:r>
      <w:r w:rsidR="001E3E01" w:rsidRPr="008A4B25">
        <w:rPr>
          <w:rFonts w:ascii="Times New Roman" w:hAnsi="Times New Roman" w:cs="Times New Roman"/>
          <w:color w:val="000000" w:themeColor="text1"/>
        </w:rPr>
        <w:t xml:space="preserve">PCs </w:t>
      </w:r>
      <w:r w:rsidR="006414D4" w:rsidRPr="008A4B25">
        <w:rPr>
          <w:rFonts w:ascii="Times New Roman" w:hAnsi="Times New Roman" w:cs="Times New Roman"/>
          <w:color w:val="000000" w:themeColor="text1"/>
        </w:rPr>
        <w:t xml:space="preserve">isolated </w:t>
      </w:r>
      <w:r w:rsidR="001E3E01" w:rsidRPr="008A4B25">
        <w:rPr>
          <w:rFonts w:ascii="Times New Roman" w:hAnsi="Times New Roman" w:cs="Times New Roman"/>
          <w:color w:val="000000" w:themeColor="text1"/>
        </w:rPr>
        <w:t xml:space="preserve">at day 7 </w:t>
      </w:r>
      <w:r w:rsidR="006414D4" w:rsidRPr="008A4B25">
        <w:rPr>
          <w:rFonts w:ascii="Times New Roman" w:hAnsi="Times New Roman" w:cs="Times New Roman"/>
          <w:color w:val="000000" w:themeColor="text1"/>
        </w:rPr>
        <w:t>following each vaccine</w:t>
      </w:r>
      <w:r w:rsidR="001E3E01" w:rsidRPr="008A4B25">
        <w:rPr>
          <w:rFonts w:ascii="Times New Roman" w:hAnsi="Times New Roman" w:cs="Times New Roman"/>
          <w:color w:val="000000" w:themeColor="text1"/>
        </w:rPr>
        <w:t xml:space="preserve">, were related to </w:t>
      </w:r>
      <w:r w:rsidR="006414D4" w:rsidRPr="008A4B25">
        <w:rPr>
          <w:rFonts w:ascii="Times New Roman" w:hAnsi="Times New Roman" w:cs="Times New Roman"/>
          <w:color w:val="000000" w:themeColor="text1"/>
        </w:rPr>
        <w:t xml:space="preserve">the </w:t>
      </w:r>
      <w:r w:rsidR="001E3E01" w:rsidRPr="008A4B25">
        <w:rPr>
          <w:rFonts w:ascii="Times New Roman" w:hAnsi="Times New Roman" w:cs="Times New Roman"/>
          <w:color w:val="000000" w:themeColor="text1"/>
        </w:rPr>
        <w:t>baseline subsets</w:t>
      </w:r>
      <w:r w:rsidR="003960D2" w:rsidRPr="008A4B25">
        <w:rPr>
          <w:rFonts w:ascii="Times New Roman" w:hAnsi="Times New Roman" w:cs="Times New Roman"/>
          <w:color w:val="000000" w:themeColor="text1"/>
        </w:rPr>
        <w:t xml:space="preserve">. </w:t>
      </w:r>
      <w:r w:rsidR="003E6DD1" w:rsidRPr="008A4B25">
        <w:rPr>
          <w:rFonts w:ascii="Times New Roman" w:hAnsi="Times New Roman" w:cs="Times New Roman"/>
          <w:color w:val="000000" w:themeColor="text1"/>
        </w:rPr>
        <w:t>Data from a previous study had d</w:t>
      </w:r>
      <w:r w:rsidR="00494C5A" w:rsidRPr="008A4B25">
        <w:rPr>
          <w:rFonts w:ascii="Times New Roman" w:hAnsi="Times New Roman" w:cs="Times New Roman"/>
          <w:color w:val="000000" w:themeColor="text1"/>
        </w:rPr>
        <w:t>emonstrated that the PC population on day 7 contained significant numbers of vaccine-specific PCs.</w:t>
      </w:r>
      <w:r w:rsidR="0026297F" w:rsidRPr="008A4B25">
        <w:rPr>
          <w:rFonts w:ascii="Times New Roman" w:hAnsi="Times New Roman" w:cs="Times New Roman"/>
          <w:color w:val="000000" w:themeColor="text1"/>
        </w:rPr>
        <w:fldChar w:fldCharType="begin" w:fldLock="1"/>
      </w:r>
      <w:r w:rsidR="00005CC0" w:rsidRPr="008A4B25">
        <w:rPr>
          <w:rFonts w:ascii="Times New Roman" w:hAnsi="Times New Roman" w:cs="Times New Roman"/>
          <w:color w:val="000000" w:themeColor="text1"/>
        </w:rPr>
        <w:instrText>ADDIN CSL_CITATION { "citationItems" : [ { "id" : "ITEM-1", "itemData" : { "author" : [ { "dropping-particle" : "", "family" : "Ramasamy", "given" : "Maheshi", "non-dropping-particle" : "", "parse-names" : false, "suffix" : "" } ], "container-title" : "PhD Thesis. University of Oxford, UK", "id" : "ITEM-1", "issued" : { "date-parts" : [ [ "2012" ] ] }, "title" : "B cell responses to conjugate and polysaccharide meningococcal vaccines", "type" : "article-journal" }, "uris" : [ "http://www.mendeley.com/documents/?uuid=ae21a340-7b49-4413-b7db-027a61536a19" ] } ], "mendeley" : { "formattedCitation" : "&lt;sup&gt;14&lt;/sup&gt;", "plainTextFormattedCitation" : "14", "previouslyFormattedCitation" : "&lt;sup&gt;14&lt;/sup&gt;" }, "properties" : { "noteIndex" : 0 }, "schema" : "https://github.com/citation-style-language/schema/raw/master/csl-citation.json" }</w:instrText>
      </w:r>
      <w:r w:rsidR="0026297F" w:rsidRPr="008A4B25">
        <w:rPr>
          <w:rFonts w:ascii="Times New Roman" w:hAnsi="Times New Roman" w:cs="Times New Roman"/>
          <w:color w:val="000000" w:themeColor="text1"/>
        </w:rPr>
        <w:fldChar w:fldCharType="separate"/>
      </w:r>
      <w:r w:rsidR="0026297F" w:rsidRPr="008A4B25">
        <w:rPr>
          <w:rFonts w:ascii="Times New Roman" w:hAnsi="Times New Roman" w:cs="Times New Roman"/>
          <w:noProof/>
          <w:color w:val="000000" w:themeColor="text1"/>
          <w:vertAlign w:val="superscript"/>
        </w:rPr>
        <w:t>14</w:t>
      </w:r>
      <w:r w:rsidR="0026297F" w:rsidRPr="008A4B25">
        <w:rPr>
          <w:rFonts w:ascii="Times New Roman" w:hAnsi="Times New Roman" w:cs="Times New Roman"/>
          <w:color w:val="000000" w:themeColor="text1"/>
        </w:rPr>
        <w:fldChar w:fldCharType="end"/>
      </w:r>
      <w:r w:rsidR="00494C5A" w:rsidRPr="008A4B25">
        <w:rPr>
          <w:rFonts w:ascii="Times New Roman" w:hAnsi="Times New Roman" w:cs="Times New Roman"/>
          <w:color w:val="000000" w:themeColor="text1"/>
        </w:rPr>
        <w:t xml:space="preserve"> </w:t>
      </w:r>
      <w:r w:rsidR="00AC4ACE" w:rsidRPr="008A4B25">
        <w:rPr>
          <w:rFonts w:ascii="Times New Roman" w:hAnsi="Times New Roman" w:cs="Times New Roman"/>
          <w:color w:val="000000" w:themeColor="text1"/>
        </w:rPr>
        <w:t xml:space="preserve">We </w:t>
      </w:r>
      <w:r w:rsidR="001E3E01" w:rsidRPr="008A4B25">
        <w:rPr>
          <w:rFonts w:ascii="Times New Roman" w:hAnsi="Times New Roman" w:cs="Times New Roman"/>
          <w:color w:val="000000" w:themeColor="text1"/>
        </w:rPr>
        <w:t xml:space="preserve">therefore </w:t>
      </w:r>
      <w:r w:rsidR="00AC4ACE" w:rsidRPr="008A4B25">
        <w:rPr>
          <w:rFonts w:ascii="Times New Roman" w:hAnsi="Times New Roman" w:cs="Times New Roman"/>
          <w:color w:val="000000" w:themeColor="text1"/>
        </w:rPr>
        <w:t>determined whether there were</w:t>
      </w:r>
      <w:r w:rsidR="00791EF7" w:rsidRPr="008A4B25">
        <w:rPr>
          <w:rFonts w:ascii="Times New Roman" w:hAnsi="Times New Roman" w:cs="Times New Roman"/>
          <w:color w:val="000000" w:themeColor="text1"/>
        </w:rPr>
        <w:t xml:space="preserve"> shared </w:t>
      </w:r>
      <w:r w:rsidR="00A91C89" w:rsidRPr="008A4B25">
        <w:rPr>
          <w:rFonts w:ascii="Times New Roman" w:hAnsi="Times New Roman" w:cs="Times New Roman"/>
          <w:color w:val="000000" w:themeColor="text1"/>
        </w:rPr>
        <w:t>sequences (based on an exact CDR3 AA sequence match</w:t>
      </w:r>
      <w:r w:rsidR="00A304FB" w:rsidRPr="008A4B25">
        <w:rPr>
          <w:rFonts w:ascii="Times New Roman" w:hAnsi="Times New Roman" w:cs="Times New Roman"/>
          <w:color w:val="000000" w:themeColor="text1"/>
        </w:rPr>
        <w:t>, and use of the same V and J gene segments</w:t>
      </w:r>
      <w:r w:rsidR="00A91C89" w:rsidRPr="008A4B25">
        <w:rPr>
          <w:rFonts w:ascii="Times New Roman" w:hAnsi="Times New Roman" w:cs="Times New Roman"/>
          <w:color w:val="000000" w:themeColor="text1"/>
        </w:rPr>
        <w:t xml:space="preserve">) </w:t>
      </w:r>
      <w:r w:rsidR="00791EF7" w:rsidRPr="008A4B25">
        <w:rPr>
          <w:rFonts w:ascii="Times New Roman" w:hAnsi="Times New Roman" w:cs="Times New Roman"/>
          <w:color w:val="000000" w:themeColor="text1"/>
        </w:rPr>
        <w:t xml:space="preserve">between the </w:t>
      </w:r>
      <w:r w:rsidR="00A91C89" w:rsidRPr="008A4B25">
        <w:rPr>
          <w:rFonts w:ascii="Times New Roman" w:hAnsi="Times New Roman" w:cs="Times New Roman"/>
          <w:color w:val="000000" w:themeColor="text1"/>
        </w:rPr>
        <w:t xml:space="preserve">HLA-DR+ </w:t>
      </w:r>
      <w:r w:rsidR="0033414C" w:rsidRPr="008A4B25">
        <w:rPr>
          <w:rFonts w:ascii="Times New Roman" w:hAnsi="Times New Roman" w:cs="Times New Roman"/>
          <w:color w:val="000000" w:themeColor="text1"/>
        </w:rPr>
        <w:t>PC</w:t>
      </w:r>
      <w:r w:rsidR="00791EF7" w:rsidRPr="008A4B25">
        <w:rPr>
          <w:rFonts w:ascii="Times New Roman" w:hAnsi="Times New Roman" w:cs="Times New Roman"/>
          <w:color w:val="000000" w:themeColor="text1"/>
        </w:rPr>
        <w:t xml:space="preserve"> subsets, and the baseline subsets within the samples from a given individual. </w:t>
      </w:r>
      <w:r w:rsidR="00507C72" w:rsidRPr="008A4B25">
        <w:rPr>
          <w:rFonts w:ascii="Times New Roman" w:hAnsi="Times New Roman" w:cs="Times New Roman"/>
          <w:color w:val="000000" w:themeColor="text1"/>
        </w:rPr>
        <w:t xml:space="preserve">On average, </w:t>
      </w:r>
      <w:r w:rsidR="0025003C" w:rsidRPr="008A4B25">
        <w:rPr>
          <w:rFonts w:ascii="Times New Roman" w:hAnsi="Times New Roman" w:cs="Times New Roman"/>
          <w:color w:val="000000" w:themeColor="text1"/>
        </w:rPr>
        <w:t>2.</w:t>
      </w:r>
      <w:r w:rsidR="000F46AE" w:rsidRPr="008A4B25">
        <w:rPr>
          <w:rFonts w:ascii="Times New Roman" w:hAnsi="Times New Roman" w:cs="Times New Roman"/>
          <w:color w:val="000000" w:themeColor="text1"/>
        </w:rPr>
        <w:t>2</w:t>
      </w:r>
      <w:r w:rsidR="009D5BF2" w:rsidRPr="008A4B25">
        <w:rPr>
          <w:rFonts w:ascii="Times New Roman" w:hAnsi="Times New Roman" w:cs="Times New Roman"/>
          <w:color w:val="000000" w:themeColor="text1"/>
        </w:rPr>
        <w:t>% (</w:t>
      </w:r>
      <w:r w:rsidR="0025003C" w:rsidRPr="008A4B25">
        <w:rPr>
          <w:rFonts w:ascii="Times New Roman" w:hAnsi="Times New Roman" w:cs="Times New Roman"/>
          <w:color w:val="000000" w:themeColor="text1"/>
        </w:rPr>
        <w:t>3</w:t>
      </w:r>
      <w:r w:rsidR="000F46AE" w:rsidRPr="008A4B25">
        <w:rPr>
          <w:rFonts w:ascii="Times New Roman" w:hAnsi="Times New Roman" w:cs="Times New Roman"/>
          <w:color w:val="000000" w:themeColor="text1"/>
        </w:rPr>
        <w:t>0</w:t>
      </w:r>
      <w:r w:rsidR="009D5BF2" w:rsidRPr="008A4B25">
        <w:rPr>
          <w:rFonts w:ascii="Times New Roman" w:hAnsi="Times New Roman" w:cs="Times New Roman"/>
          <w:color w:val="000000" w:themeColor="text1"/>
        </w:rPr>
        <w:t xml:space="preserve">) </w:t>
      </w:r>
      <w:r w:rsidR="001E3E01" w:rsidRPr="008A4B25">
        <w:rPr>
          <w:rFonts w:ascii="Times New Roman" w:hAnsi="Times New Roman" w:cs="Times New Roman"/>
          <w:color w:val="000000" w:themeColor="text1"/>
        </w:rPr>
        <w:t xml:space="preserve">of </w:t>
      </w:r>
      <w:r w:rsidR="009D5BF2" w:rsidRPr="008A4B25">
        <w:rPr>
          <w:rFonts w:ascii="Times New Roman" w:hAnsi="Times New Roman" w:cs="Times New Roman"/>
          <w:color w:val="000000" w:themeColor="text1"/>
        </w:rPr>
        <w:t xml:space="preserve">sequences of each </w:t>
      </w:r>
      <w:r w:rsidR="0033414C" w:rsidRPr="008A4B25">
        <w:rPr>
          <w:rFonts w:ascii="Times New Roman" w:hAnsi="Times New Roman" w:cs="Times New Roman"/>
          <w:color w:val="000000" w:themeColor="text1"/>
        </w:rPr>
        <w:t>PC</w:t>
      </w:r>
      <w:r w:rsidR="009D5BF2" w:rsidRPr="008A4B25">
        <w:rPr>
          <w:rFonts w:ascii="Times New Roman" w:hAnsi="Times New Roman" w:cs="Times New Roman"/>
          <w:color w:val="000000" w:themeColor="text1"/>
        </w:rPr>
        <w:t xml:space="preserve"> subset were shared with one of the baseline subsets for each participant</w:t>
      </w:r>
      <w:r w:rsidR="00791EF7" w:rsidRPr="008A4B25">
        <w:rPr>
          <w:rFonts w:ascii="Times New Roman" w:hAnsi="Times New Roman" w:cs="Times New Roman"/>
          <w:color w:val="000000" w:themeColor="text1"/>
        </w:rPr>
        <w:t xml:space="preserve">. </w:t>
      </w:r>
      <w:r w:rsidR="001E3E01" w:rsidRPr="008A4B25">
        <w:rPr>
          <w:rFonts w:ascii="Times New Roman" w:hAnsi="Times New Roman" w:cs="Times New Roman"/>
          <w:color w:val="000000" w:themeColor="text1"/>
        </w:rPr>
        <w:t>Across all participants</w:t>
      </w:r>
      <w:r w:rsidR="00791EF7" w:rsidRPr="008A4B25">
        <w:rPr>
          <w:rFonts w:ascii="Times New Roman" w:hAnsi="Times New Roman" w:cs="Times New Roman"/>
          <w:color w:val="000000" w:themeColor="text1"/>
        </w:rPr>
        <w:t xml:space="preserve"> IgM </w:t>
      </w:r>
      <w:r w:rsidR="00951CFB" w:rsidRPr="008A4B25">
        <w:rPr>
          <w:rFonts w:ascii="Times New Roman" w:hAnsi="Times New Roman" w:cs="Times New Roman"/>
          <w:color w:val="000000" w:themeColor="text1"/>
        </w:rPr>
        <w:t xml:space="preserve">PC </w:t>
      </w:r>
      <w:r w:rsidR="00791EF7" w:rsidRPr="008A4B25">
        <w:rPr>
          <w:rFonts w:ascii="Times New Roman" w:hAnsi="Times New Roman" w:cs="Times New Roman"/>
          <w:color w:val="000000" w:themeColor="text1"/>
        </w:rPr>
        <w:t xml:space="preserve">sequences were predominantly shared with the </w:t>
      </w:r>
      <w:r w:rsidR="00791C14" w:rsidRPr="008A4B25">
        <w:rPr>
          <w:rFonts w:ascii="Times New Roman" w:hAnsi="Times New Roman" w:cs="Times New Roman"/>
          <w:color w:val="000000" w:themeColor="text1"/>
        </w:rPr>
        <w:t>MZ</w:t>
      </w:r>
      <w:r w:rsidR="00791EF7" w:rsidRPr="008A4B25">
        <w:rPr>
          <w:rFonts w:ascii="Times New Roman" w:hAnsi="Times New Roman" w:cs="Times New Roman"/>
          <w:color w:val="000000" w:themeColor="text1"/>
        </w:rPr>
        <w:t xml:space="preserve"> and IgM memory cells whereas the IgG </w:t>
      </w:r>
      <w:r w:rsidR="0033414C" w:rsidRPr="008A4B25">
        <w:rPr>
          <w:rFonts w:ascii="Times New Roman" w:hAnsi="Times New Roman" w:cs="Times New Roman"/>
          <w:color w:val="000000" w:themeColor="text1"/>
        </w:rPr>
        <w:t>PC</w:t>
      </w:r>
      <w:r w:rsidR="00791EF7" w:rsidRPr="008A4B25">
        <w:rPr>
          <w:rFonts w:ascii="Times New Roman" w:hAnsi="Times New Roman" w:cs="Times New Roman"/>
          <w:color w:val="000000" w:themeColor="text1"/>
        </w:rPr>
        <w:t xml:space="preserve"> sequences were predominantly shared with the IgG memory cells</w:t>
      </w:r>
      <w:r w:rsidR="00205838" w:rsidRPr="008A4B25">
        <w:rPr>
          <w:rFonts w:ascii="Times New Roman" w:hAnsi="Times New Roman" w:cs="Times New Roman"/>
          <w:color w:val="000000" w:themeColor="text1"/>
        </w:rPr>
        <w:t xml:space="preserve"> (</w:t>
      </w:r>
      <w:r w:rsidR="00A80D5F" w:rsidRPr="008A4B25">
        <w:rPr>
          <w:rFonts w:ascii="Times New Roman" w:hAnsi="Times New Roman" w:cs="Times New Roman"/>
          <w:color w:val="000000" w:themeColor="text1"/>
        </w:rPr>
        <w:t>Fig. 5</w:t>
      </w:r>
      <w:r w:rsidR="00205838" w:rsidRPr="008A4B25">
        <w:rPr>
          <w:rFonts w:ascii="Times New Roman" w:hAnsi="Times New Roman" w:cs="Times New Roman"/>
          <w:color w:val="000000" w:themeColor="text1"/>
        </w:rPr>
        <w:t>A)</w:t>
      </w:r>
      <w:r w:rsidR="00791EF7" w:rsidRPr="008A4B25">
        <w:rPr>
          <w:rFonts w:ascii="Times New Roman" w:hAnsi="Times New Roman" w:cs="Times New Roman"/>
          <w:color w:val="000000" w:themeColor="text1"/>
        </w:rPr>
        <w:t>.</w:t>
      </w:r>
    </w:p>
    <w:p w14:paraId="56217AB9" w14:textId="6DBB68EB" w:rsidR="006A522A" w:rsidRPr="008A4B25" w:rsidRDefault="00507C72" w:rsidP="00015016">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To</w:t>
      </w:r>
      <w:r w:rsidR="000D4756" w:rsidRPr="008A4B25">
        <w:rPr>
          <w:rFonts w:ascii="Times New Roman" w:hAnsi="Times New Roman" w:cs="Times New Roman"/>
          <w:color w:val="000000" w:themeColor="text1"/>
        </w:rPr>
        <w:t xml:space="preserve"> </w:t>
      </w:r>
      <w:r w:rsidRPr="008A4B25">
        <w:rPr>
          <w:rFonts w:ascii="Times New Roman" w:hAnsi="Times New Roman" w:cs="Times New Roman"/>
          <w:color w:val="000000" w:themeColor="text1"/>
        </w:rPr>
        <w:t xml:space="preserve">investigate </w:t>
      </w:r>
      <w:r w:rsidR="000D4756" w:rsidRPr="008A4B25">
        <w:rPr>
          <w:rFonts w:ascii="Times New Roman" w:hAnsi="Times New Roman" w:cs="Times New Roman"/>
          <w:color w:val="000000" w:themeColor="text1"/>
        </w:rPr>
        <w:t xml:space="preserve">which baseline subsets </w:t>
      </w:r>
      <w:r w:rsidR="00D7357A" w:rsidRPr="008A4B25">
        <w:rPr>
          <w:rFonts w:ascii="Times New Roman" w:hAnsi="Times New Roman" w:cs="Times New Roman"/>
          <w:color w:val="000000" w:themeColor="text1"/>
        </w:rPr>
        <w:t xml:space="preserve">were </w:t>
      </w:r>
      <w:r w:rsidR="00086A10" w:rsidRPr="008A4B25">
        <w:rPr>
          <w:rFonts w:ascii="Times New Roman" w:hAnsi="Times New Roman" w:cs="Times New Roman"/>
          <w:color w:val="000000" w:themeColor="text1"/>
        </w:rPr>
        <w:t xml:space="preserve">related to the vaccine-stimulated </w:t>
      </w:r>
      <w:r w:rsidR="0033414C" w:rsidRPr="008A4B25">
        <w:rPr>
          <w:rFonts w:ascii="Times New Roman" w:hAnsi="Times New Roman" w:cs="Times New Roman"/>
          <w:color w:val="000000" w:themeColor="text1"/>
        </w:rPr>
        <w:t>PC</w:t>
      </w:r>
      <w:r w:rsidR="00086A10" w:rsidRPr="008A4B25">
        <w:rPr>
          <w:rFonts w:ascii="Times New Roman" w:hAnsi="Times New Roman" w:cs="Times New Roman"/>
          <w:color w:val="000000" w:themeColor="text1"/>
        </w:rPr>
        <w:t>s</w:t>
      </w:r>
      <w:r w:rsidRPr="008A4B25">
        <w:rPr>
          <w:rFonts w:ascii="Times New Roman" w:hAnsi="Times New Roman" w:cs="Times New Roman"/>
          <w:color w:val="000000" w:themeColor="text1"/>
        </w:rPr>
        <w:t xml:space="preserve">, </w:t>
      </w:r>
      <w:r w:rsidR="009D5BF2" w:rsidRPr="008A4B25">
        <w:rPr>
          <w:rFonts w:ascii="Times New Roman" w:hAnsi="Times New Roman" w:cs="Times New Roman"/>
          <w:color w:val="000000" w:themeColor="text1"/>
        </w:rPr>
        <w:t xml:space="preserve">we </w:t>
      </w:r>
      <w:r w:rsidR="00B77D5F" w:rsidRPr="008A4B25">
        <w:rPr>
          <w:rFonts w:ascii="Times New Roman" w:hAnsi="Times New Roman" w:cs="Times New Roman"/>
          <w:color w:val="000000" w:themeColor="text1"/>
        </w:rPr>
        <w:t xml:space="preserve">calculated </w:t>
      </w:r>
      <w:r w:rsidR="009D5BF2" w:rsidRPr="008A4B25">
        <w:rPr>
          <w:rFonts w:ascii="Times New Roman" w:hAnsi="Times New Roman" w:cs="Times New Roman"/>
          <w:color w:val="000000" w:themeColor="text1"/>
        </w:rPr>
        <w:t xml:space="preserve">the </w:t>
      </w:r>
      <w:r w:rsidR="00B77D5F" w:rsidRPr="008A4B25">
        <w:rPr>
          <w:rFonts w:ascii="Times New Roman" w:hAnsi="Times New Roman" w:cs="Times New Roman"/>
          <w:color w:val="000000" w:themeColor="text1"/>
        </w:rPr>
        <w:t xml:space="preserve">probability of the </w:t>
      </w:r>
      <w:r w:rsidR="009D5BF2" w:rsidRPr="008A4B25">
        <w:rPr>
          <w:rFonts w:ascii="Times New Roman" w:hAnsi="Times New Roman" w:cs="Times New Roman"/>
          <w:color w:val="000000" w:themeColor="text1"/>
        </w:rPr>
        <w:t xml:space="preserve">shared </w:t>
      </w:r>
      <w:r w:rsidR="0033414C" w:rsidRPr="008A4B25">
        <w:rPr>
          <w:rFonts w:ascii="Times New Roman" w:hAnsi="Times New Roman" w:cs="Times New Roman"/>
          <w:color w:val="000000" w:themeColor="text1"/>
        </w:rPr>
        <w:t>PC</w:t>
      </w:r>
      <w:r w:rsidR="009D5BF2" w:rsidRPr="008A4B25">
        <w:rPr>
          <w:rFonts w:ascii="Times New Roman" w:hAnsi="Times New Roman" w:cs="Times New Roman"/>
          <w:color w:val="000000" w:themeColor="text1"/>
        </w:rPr>
        <w:t xml:space="preserve"> sequences </w:t>
      </w:r>
      <w:r w:rsidR="00B77D5F" w:rsidRPr="008A4B25">
        <w:rPr>
          <w:rFonts w:ascii="Times New Roman" w:hAnsi="Times New Roman" w:cs="Times New Roman"/>
          <w:color w:val="000000" w:themeColor="text1"/>
        </w:rPr>
        <w:t>mapping to each baseline subset</w:t>
      </w:r>
      <w:r w:rsidR="00205838" w:rsidRPr="008A4B25">
        <w:rPr>
          <w:rFonts w:ascii="Times New Roman" w:hAnsi="Times New Roman" w:cs="Times New Roman"/>
          <w:color w:val="000000" w:themeColor="text1"/>
        </w:rPr>
        <w:t xml:space="preserve"> (</w:t>
      </w:r>
      <w:r w:rsidR="00A80D5F" w:rsidRPr="008A4B25">
        <w:rPr>
          <w:rFonts w:ascii="Times New Roman" w:hAnsi="Times New Roman" w:cs="Times New Roman"/>
          <w:color w:val="000000" w:themeColor="text1"/>
        </w:rPr>
        <w:t>Fig. 5</w:t>
      </w:r>
      <w:r w:rsidR="00205838" w:rsidRPr="008A4B25">
        <w:rPr>
          <w:rFonts w:ascii="Times New Roman" w:hAnsi="Times New Roman" w:cs="Times New Roman"/>
          <w:color w:val="000000" w:themeColor="text1"/>
        </w:rPr>
        <w:t>B-</w:t>
      </w:r>
      <w:r w:rsidR="00A91C89" w:rsidRPr="008A4B25">
        <w:rPr>
          <w:rFonts w:ascii="Times New Roman" w:hAnsi="Times New Roman" w:cs="Times New Roman"/>
          <w:color w:val="000000" w:themeColor="text1"/>
        </w:rPr>
        <w:t>C</w:t>
      </w:r>
      <w:r w:rsidR="00205838" w:rsidRPr="008A4B25">
        <w:rPr>
          <w:rFonts w:ascii="Times New Roman" w:hAnsi="Times New Roman" w:cs="Times New Roman"/>
          <w:color w:val="000000" w:themeColor="text1"/>
        </w:rPr>
        <w:t>)</w:t>
      </w:r>
      <w:r w:rsidR="006577C4" w:rsidRPr="008A4B25">
        <w:rPr>
          <w:rFonts w:ascii="Times New Roman" w:hAnsi="Times New Roman" w:cs="Times New Roman"/>
          <w:color w:val="000000" w:themeColor="text1"/>
        </w:rPr>
        <w:t xml:space="preserve">. </w:t>
      </w:r>
      <w:r w:rsidR="007306EA" w:rsidRPr="008A4B25">
        <w:rPr>
          <w:rFonts w:ascii="Times New Roman" w:hAnsi="Times New Roman" w:cs="Times New Roman"/>
          <w:color w:val="000000" w:themeColor="text1"/>
        </w:rPr>
        <w:lastRenderedPageBreak/>
        <w:t xml:space="preserve">There was a low probability of </w:t>
      </w:r>
      <w:r w:rsidR="002830AC" w:rsidRPr="008A4B25">
        <w:rPr>
          <w:rFonts w:ascii="Times New Roman" w:hAnsi="Times New Roman" w:cs="Times New Roman"/>
          <w:color w:val="000000" w:themeColor="text1"/>
        </w:rPr>
        <w:t xml:space="preserve">IgG or IgM </w:t>
      </w:r>
      <w:r w:rsidR="0033414C" w:rsidRPr="008A4B25">
        <w:rPr>
          <w:rFonts w:ascii="Times New Roman" w:hAnsi="Times New Roman" w:cs="Times New Roman"/>
          <w:color w:val="000000" w:themeColor="text1"/>
        </w:rPr>
        <w:t>PC</w:t>
      </w:r>
      <w:r w:rsidR="00117106" w:rsidRPr="008A4B25">
        <w:rPr>
          <w:rFonts w:ascii="Times New Roman" w:hAnsi="Times New Roman" w:cs="Times New Roman"/>
          <w:color w:val="000000" w:themeColor="text1"/>
        </w:rPr>
        <w:t xml:space="preserve"> </w:t>
      </w:r>
      <w:r w:rsidR="001E7AB0" w:rsidRPr="008A4B25">
        <w:rPr>
          <w:rFonts w:ascii="Times New Roman" w:hAnsi="Times New Roman" w:cs="Times New Roman"/>
          <w:color w:val="000000" w:themeColor="text1"/>
        </w:rPr>
        <w:t>sequences</w:t>
      </w:r>
      <w:r w:rsidR="00117106" w:rsidRPr="008A4B25">
        <w:rPr>
          <w:rFonts w:ascii="Times New Roman" w:hAnsi="Times New Roman" w:cs="Times New Roman"/>
          <w:color w:val="000000" w:themeColor="text1"/>
        </w:rPr>
        <w:t xml:space="preserve"> </w:t>
      </w:r>
      <w:r w:rsidR="007306EA" w:rsidRPr="008A4B25">
        <w:rPr>
          <w:rFonts w:ascii="Times New Roman" w:hAnsi="Times New Roman" w:cs="Times New Roman"/>
          <w:color w:val="000000" w:themeColor="text1"/>
        </w:rPr>
        <w:t xml:space="preserve">being </w:t>
      </w:r>
      <w:r w:rsidR="00117106" w:rsidRPr="008A4B25">
        <w:rPr>
          <w:rFonts w:ascii="Times New Roman" w:hAnsi="Times New Roman" w:cs="Times New Roman"/>
          <w:color w:val="000000" w:themeColor="text1"/>
        </w:rPr>
        <w:t>shared with th</w:t>
      </w:r>
      <w:r w:rsidR="00AD2C45" w:rsidRPr="008A4B25">
        <w:rPr>
          <w:rFonts w:ascii="Times New Roman" w:hAnsi="Times New Roman" w:cs="Times New Roman"/>
          <w:color w:val="000000" w:themeColor="text1"/>
        </w:rPr>
        <w:t>e naïve baseline subset</w:t>
      </w:r>
      <w:r w:rsidR="002830AC" w:rsidRPr="008A4B25">
        <w:rPr>
          <w:rFonts w:ascii="Times New Roman" w:hAnsi="Times New Roman" w:cs="Times New Roman"/>
          <w:color w:val="000000" w:themeColor="text1"/>
        </w:rPr>
        <w:t xml:space="preserve"> at either visit, in any vaccine group</w:t>
      </w:r>
      <w:r w:rsidR="00AD2C45" w:rsidRPr="008A4B25">
        <w:rPr>
          <w:rFonts w:ascii="Times New Roman" w:hAnsi="Times New Roman" w:cs="Times New Roman"/>
          <w:color w:val="000000" w:themeColor="text1"/>
        </w:rPr>
        <w:t xml:space="preserve"> (</w:t>
      </w:r>
      <w:r w:rsidR="00A80D5F" w:rsidRPr="008A4B25">
        <w:rPr>
          <w:rFonts w:ascii="Times New Roman" w:hAnsi="Times New Roman" w:cs="Times New Roman"/>
          <w:color w:val="000000" w:themeColor="text1"/>
        </w:rPr>
        <w:t>Fig. 5</w:t>
      </w:r>
      <w:r w:rsidR="00205838" w:rsidRPr="008A4B25">
        <w:rPr>
          <w:rFonts w:ascii="Times New Roman" w:hAnsi="Times New Roman" w:cs="Times New Roman"/>
          <w:color w:val="000000" w:themeColor="text1"/>
        </w:rPr>
        <w:t>B-</w:t>
      </w:r>
      <w:r w:rsidR="00A91C89" w:rsidRPr="008A4B25">
        <w:rPr>
          <w:rFonts w:ascii="Times New Roman" w:hAnsi="Times New Roman" w:cs="Times New Roman"/>
          <w:color w:val="000000" w:themeColor="text1"/>
        </w:rPr>
        <w:t>C</w:t>
      </w:r>
      <w:r w:rsidR="00117106" w:rsidRPr="008A4B25">
        <w:rPr>
          <w:rFonts w:ascii="Times New Roman" w:hAnsi="Times New Roman" w:cs="Times New Roman"/>
          <w:color w:val="000000" w:themeColor="text1"/>
        </w:rPr>
        <w:t xml:space="preserve">). </w:t>
      </w:r>
      <w:r w:rsidR="00F65F24" w:rsidRPr="008A4B25">
        <w:rPr>
          <w:rFonts w:ascii="Times New Roman" w:hAnsi="Times New Roman" w:cs="Times New Roman"/>
          <w:color w:val="000000" w:themeColor="text1"/>
        </w:rPr>
        <w:t xml:space="preserve">In the conjugate group, at Visit 2, the HLA-DR+ IgG </w:t>
      </w:r>
      <w:r w:rsidR="0033414C" w:rsidRPr="008A4B25">
        <w:rPr>
          <w:rFonts w:ascii="Times New Roman" w:hAnsi="Times New Roman" w:cs="Times New Roman"/>
          <w:color w:val="000000" w:themeColor="text1"/>
        </w:rPr>
        <w:t>PC</w:t>
      </w:r>
      <w:r w:rsidR="00F65F24" w:rsidRPr="008A4B25">
        <w:rPr>
          <w:rFonts w:ascii="Times New Roman" w:hAnsi="Times New Roman" w:cs="Times New Roman"/>
          <w:color w:val="000000" w:themeColor="text1"/>
        </w:rPr>
        <w:t xml:space="preserve"> sequences were </w:t>
      </w:r>
      <w:r w:rsidR="00F263DD" w:rsidRPr="008A4B25">
        <w:rPr>
          <w:rFonts w:ascii="Times New Roman" w:hAnsi="Times New Roman" w:cs="Times New Roman"/>
          <w:color w:val="000000" w:themeColor="text1"/>
        </w:rPr>
        <w:t xml:space="preserve">more </w:t>
      </w:r>
      <w:r w:rsidR="00F65F24" w:rsidRPr="008A4B25">
        <w:rPr>
          <w:rFonts w:ascii="Times New Roman" w:hAnsi="Times New Roman" w:cs="Times New Roman"/>
          <w:color w:val="000000" w:themeColor="text1"/>
        </w:rPr>
        <w:t xml:space="preserve">likely to be related to the IgG memory sequences than </w:t>
      </w:r>
      <w:r w:rsidR="00F263DD" w:rsidRPr="008A4B25">
        <w:rPr>
          <w:rFonts w:ascii="Times New Roman" w:hAnsi="Times New Roman" w:cs="Times New Roman"/>
          <w:color w:val="000000" w:themeColor="text1"/>
        </w:rPr>
        <w:t xml:space="preserve">naïve, </w:t>
      </w:r>
      <w:r w:rsidR="00791C14" w:rsidRPr="008A4B25">
        <w:rPr>
          <w:rFonts w:ascii="Times New Roman" w:hAnsi="Times New Roman" w:cs="Times New Roman"/>
          <w:color w:val="000000" w:themeColor="text1"/>
        </w:rPr>
        <w:t>MZ</w:t>
      </w:r>
      <w:r w:rsidR="00F263DD" w:rsidRPr="008A4B25">
        <w:rPr>
          <w:rFonts w:ascii="Times New Roman" w:hAnsi="Times New Roman" w:cs="Times New Roman"/>
          <w:color w:val="000000" w:themeColor="text1"/>
        </w:rPr>
        <w:t xml:space="preserve"> or</w:t>
      </w:r>
      <w:r w:rsidR="00F65F24" w:rsidRPr="008A4B25">
        <w:rPr>
          <w:rFonts w:ascii="Times New Roman" w:hAnsi="Times New Roman" w:cs="Times New Roman"/>
          <w:color w:val="000000" w:themeColor="text1"/>
        </w:rPr>
        <w:t xml:space="preserve"> IgM memory </w:t>
      </w:r>
      <w:r w:rsidR="00F263DD" w:rsidRPr="008A4B25">
        <w:rPr>
          <w:rFonts w:ascii="Times New Roman" w:hAnsi="Times New Roman" w:cs="Times New Roman"/>
          <w:color w:val="000000" w:themeColor="text1"/>
        </w:rPr>
        <w:t xml:space="preserve">sequences </w:t>
      </w:r>
      <w:r w:rsidR="00F65F24" w:rsidRPr="008A4B25">
        <w:rPr>
          <w:rFonts w:ascii="Times New Roman" w:hAnsi="Times New Roman" w:cs="Times New Roman"/>
          <w:color w:val="000000" w:themeColor="text1"/>
        </w:rPr>
        <w:t>(</w:t>
      </w:r>
      <w:r w:rsidR="00A80D5F" w:rsidRPr="008A4B25">
        <w:rPr>
          <w:rFonts w:ascii="Times New Roman" w:hAnsi="Times New Roman" w:cs="Times New Roman"/>
          <w:color w:val="000000" w:themeColor="text1"/>
        </w:rPr>
        <w:t>Fig. 5</w:t>
      </w:r>
      <w:r w:rsidR="00205838" w:rsidRPr="008A4B25">
        <w:rPr>
          <w:rFonts w:ascii="Times New Roman" w:hAnsi="Times New Roman" w:cs="Times New Roman"/>
          <w:color w:val="000000" w:themeColor="text1"/>
        </w:rPr>
        <w:t>B</w:t>
      </w:r>
      <w:r w:rsidR="00F65F24" w:rsidRPr="008A4B25">
        <w:rPr>
          <w:rFonts w:ascii="Times New Roman" w:hAnsi="Times New Roman" w:cs="Times New Roman"/>
          <w:color w:val="000000" w:themeColor="text1"/>
        </w:rPr>
        <w:t xml:space="preserve">). In contrast, in the polysaccharide group, </w:t>
      </w:r>
      <w:r w:rsidR="00045831" w:rsidRPr="008A4B25">
        <w:rPr>
          <w:rFonts w:ascii="Times New Roman" w:hAnsi="Times New Roman" w:cs="Times New Roman"/>
          <w:color w:val="000000" w:themeColor="text1"/>
        </w:rPr>
        <w:t xml:space="preserve">HLA-DR+ IgG </w:t>
      </w:r>
      <w:r w:rsidR="0033414C" w:rsidRPr="008A4B25">
        <w:rPr>
          <w:rFonts w:ascii="Times New Roman" w:hAnsi="Times New Roman" w:cs="Times New Roman"/>
          <w:color w:val="000000" w:themeColor="text1"/>
        </w:rPr>
        <w:t>PC</w:t>
      </w:r>
      <w:r w:rsidR="00F65F24" w:rsidRPr="008A4B25">
        <w:rPr>
          <w:rFonts w:ascii="Times New Roman" w:hAnsi="Times New Roman" w:cs="Times New Roman"/>
          <w:color w:val="000000" w:themeColor="text1"/>
        </w:rPr>
        <w:t xml:space="preserve"> sequences </w:t>
      </w:r>
      <w:r w:rsidR="00F263DD" w:rsidRPr="008A4B25">
        <w:rPr>
          <w:rFonts w:ascii="Times New Roman" w:hAnsi="Times New Roman" w:cs="Times New Roman"/>
          <w:color w:val="000000" w:themeColor="text1"/>
        </w:rPr>
        <w:t xml:space="preserve">were equally likely to be </w:t>
      </w:r>
      <w:r w:rsidR="00F65F24" w:rsidRPr="008A4B25">
        <w:rPr>
          <w:rFonts w:ascii="Times New Roman" w:hAnsi="Times New Roman" w:cs="Times New Roman"/>
          <w:color w:val="000000" w:themeColor="text1"/>
        </w:rPr>
        <w:t xml:space="preserve">related to </w:t>
      </w:r>
      <w:r w:rsidR="00791C14" w:rsidRPr="008A4B25">
        <w:rPr>
          <w:rFonts w:ascii="Times New Roman" w:hAnsi="Times New Roman" w:cs="Times New Roman"/>
          <w:color w:val="000000" w:themeColor="text1"/>
        </w:rPr>
        <w:t>MZ</w:t>
      </w:r>
      <w:r w:rsidR="00F65F24" w:rsidRPr="008A4B25">
        <w:rPr>
          <w:rFonts w:ascii="Times New Roman" w:hAnsi="Times New Roman" w:cs="Times New Roman"/>
          <w:color w:val="000000" w:themeColor="text1"/>
        </w:rPr>
        <w:t xml:space="preserve">, IgM memory and IgG memory sequences. </w:t>
      </w:r>
      <w:r w:rsidR="00494C5A" w:rsidRPr="008A4B25">
        <w:rPr>
          <w:rFonts w:ascii="Times New Roman" w:hAnsi="Times New Roman" w:cs="Times New Roman"/>
          <w:color w:val="000000" w:themeColor="text1"/>
        </w:rPr>
        <w:t>Therefore for the HLA-DR+ IgG PCs, the baseline subset that they were most likely to be shared with was related to the vaccine that was given (Fig. 5</w:t>
      </w:r>
      <w:r w:rsidR="00FD02E3" w:rsidRPr="008A4B25">
        <w:rPr>
          <w:rFonts w:ascii="Times New Roman" w:hAnsi="Times New Roman" w:cs="Times New Roman"/>
          <w:color w:val="000000" w:themeColor="text1"/>
        </w:rPr>
        <w:t>B-</w:t>
      </w:r>
      <w:r w:rsidR="00494C5A" w:rsidRPr="008A4B25">
        <w:rPr>
          <w:rFonts w:ascii="Times New Roman" w:hAnsi="Times New Roman" w:cs="Times New Roman"/>
          <w:color w:val="000000" w:themeColor="text1"/>
        </w:rPr>
        <w:t>C</w:t>
      </w:r>
      <w:r w:rsidR="001F04F9" w:rsidRPr="008A4B25">
        <w:rPr>
          <w:rFonts w:ascii="Times New Roman" w:hAnsi="Times New Roman" w:cs="Times New Roman"/>
          <w:color w:val="000000" w:themeColor="text1"/>
        </w:rPr>
        <w:t>)</w:t>
      </w:r>
      <w:r w:rsidR="00015016" w:rsidRPr="008A4B25">
        <w:rPr>
          <w:rFonts w:ascii="Times New Roman" w:hAnsi="Times New Roman" w:cs="Times New Roman"/>
          <w:color w:val="000000" w:themeColor="text1"/>
        </w:rPr>
        <w:t xml:space="preserve">; </w:t>
      </w:r>
      <w:r w:rsidR="003F4F62" w:rsidRPr="008A4B25">
        <w:rPr>
          <w:rFonts w:ascii="Times New Roman" w:hAnsi="Times New Roman" w:cs="Times New Roman"/>
          <w:color w:val="000000" w:themeColor="text1"/>
        </w:rPr>
        <w:t>we investigated the potential effect of having baseline subsets from Day 0 vs Day 28 on this</w:t>
      </w:r>
      <w:r w:rsidR="00FD02E3" w:rsidRPr="008A4B25">
        <w:rPr>
          <w:rFonts w:ascii="Times New Roman" w:hAnsi="Times New Roman" w:cs="Times New Roman"/>
          <w:color w:val="000000" w:themeColor="text1"/>
        </w:rPr>
        <w:t xml:space="preserve"> difference between the vaccine groups</w:t>
      </w:r>
      <w:r w:rsidR="003F4F62" w:rsidRPr="008A4B25">
        <w:rPr>
          <w:rFonts w:ascii="Times New Roman" w:hAnsi="Times New Roman" w:cs="Times New Roman"/>
          <w:color w:val="000000" w:themeColor="text1"/>
        </w:rPr>
        <w:t xml:space="preserve">, but it was not significant (Fig. S5). We also saw no difference between the vaccine groups </w:t>
      </w:r>
      <w:r w:rsidR="00015016" w:rsidRPr="008A4B25">
        <w:rPr>
          <w:rFonts w:ascii="Times New Roman" w:hAnsi="Times New Roman" w:cs="Times New Roman"/>
          <w:color w:val="000000" w:themeColor="text1"/>
        </w:rPr>
        <w:t xml:space="preserve">for the HLA-DR- </w:t>
      </w:r>
      <w:r w:rsidR="000A0138" w:rsidRPr="008A4B25">
        <w:rPr>
          <w:rFonts w:ascii="Times New Roman" w:hAnsi="Times New Roman" w:cs="Times New Roman"/>
          <w:color w:val="000000" w:themeColor="text1"/>
        </w:rPr>
        <w:t xml:space="preserve">IgG </w:t>
      </w:r>
      <w:r w:rsidR="00015016" w:rsidRPr="008A4B25">
        <w:rPr>
          <w:rFonts w:ascii="Times New Roman" w:hAnsi="Times New Roman" w:cs="Times New Roman"/>
          <w:color w:val="000000" w:themeColor="text1"/>
        </w:rPr>
        <w:t>PCs, which should not be specific for the vaccine (Fig. S</w:t>
      </w:r>
      <w:r w:rsidR="003F4F62" w:rsidRPr="008A4B25">
        <w:rPr>
          <w:rFonts w:ascii="Times New Roman" w:hAnsi="Times New Roman" w:cs="Times New Roman"/>
          <w:color w:val="000000" w:themeColor="text1"/>
        </w:rPr>
        <w:t>6</w:t>
      </w:r>
      <w:r w:rsidR="00015016" w:rsidRPr="008A4B25">
        <w:rPr>
          <w:rFonts w:ascii="Times New Roman" w:hAnsi="Times New Roman" w:cs="Times New Roman"/>
          <w:color w:val="000000" w:themeColor="text1"/>
        </w:rPr>
        <w:t>)</w:t>
      </w:r>
      <w:r w:rsidR="00494C5A" w:rsidRPr="008A4B25">
        <w:rPr>
          <w:rFonts w:ascii="Times New Roman" w:hAnsi="Times New Roman" w:cs="Times New Roman"/>
          <w:color w:val="000000" w:themeColor="text1"/>
        </w:rPr>
        <w:t>. By comparison</w:t>
      </w:r>
      <w:r w:rsidR="00EB333F" w:rsidRPr="008A4B25">
        <w:rPr>
          <w:rFonts w:ascii="Times New Roman" w:hAnsi="Times New Roman" w:cs="Times New Roman"/>
          <w:color w:val="000000" w:themeColor="text1"/>
        </w:rPr>
        <w:t>,</w:t>
      </w:r>
      <w:r w:rsidR="00494C5A" w:rsidRPr="008A4B25">
        <w:rPr>
          <w:rFonts w:ascii="Times New Roman" w:hAnsi="Times New Roman" w:cs="Times New Roman"/>
          <w:color w:val="000000" w:themeColor="text1"/>
        </w:rPr>
        <w:t xml:space="preserve"> f</w:t>
      </w:r>
      <w:r w:rsidR="00F65F24" w:rsidRPr="008A4B25">
        <w:rPr>
          <w:rFonts w:ascii="Times New Roman" w:hAnsi="Times New Roman" w:cs="Times New Roman"/>
          <w:color w:val="000000" w:themeColor="text1"/>
        </w:rPr>
        <w:t xml:space="preserve">or the HLA-DR+ IgM </w:t>
      </w:r>
      <w:r w:rsidR="0033414C" w:rsidRPr="008A4B25">
        <w:rPr>
          <w:rFonts w:ascii="Times New Roman" w:hAnsi="Times New Roman" w:cs="Times New Roman"/>
          <w:color w:val="000000" w:themeColor="text1"/>
        </w:rPr>
        <w:t>PC</w:t>
      </w:r>
      <w:r w:rsidR="00F65F24" w:rsidRPr="008A4B25">
        <w:rPr>
          <w:rFonts w:ascii="Times New Roman" w:hAnsi="Times New Roman" w:cs="Times New Roman"/>
          <w:color w:val="000000" w:themeColor="text1"/>
        </w:rPr>
        <w:t xml:space="preserve"> sequences, there was a similar probability of being similar to the </w:t>
      </w:r>
      <w:r w:rsidR="00791C14" w:rsidRPr="008A4B25">
        <w:rPr>
          <w:rFonts w:ascii="Times New Roman" w:hAnsi="Times New Roman" w:cs="Times New Roman"/>
          <w:color w:val="000000" w:themeColor="text1"/>
        </w:rPr>
        <w:t>MZ</w:t>
      </w:r>
      <w:r w:rsidR="00F65F24" w:rsidRPr="008A4B25">
        <w:rPr>
          <w:rFonts w:ascii="Times New Roman" w:hAnsi="Times New Roman" w:cs="Times New Roman"/>
          <w:color w:val="000000" w:themeColor="text1"/>
        </w:rPr>
        <w:t xml:space="preserve"> and IgM memory cells </w:t>
      </w:r>
      <w:r w:rsidR="00045831" w:rsidRPr="008A4B25">
        <w:rPr>
          <w:rFonts w:ascii="Times New Roman" w:hAnsi="Times New Roman" w:cs="Times New Roman"/>
          <w:color w:val="000000" w:themeColor="text1"/>
        </w:rPr>
        <w:t>for</w:t>
      </w:r>
      <w:r w:rsidR="00F65F24" w:rsidRPr="008A4B25">
        <w:rPr>
          <w:rFonts w:ascii="Times New Roman" w:hAnsi="Times New Roman" w:cs="Times New Roman"/>
          <w:color w:val="000000" w:themeColor="text1"/>
        </w:rPr>
        <w:t xml:space="preserve"> both vaccine groups. </w:t>
      </w:r>
      <w:r w:rsidR="00494C5A" w:rsidRPr="008A4B25">
        <w:rPr>
          <w:rFonts w:ascii="Times New Roman" w:hAnsi="Times New Roman" w:cs="Times New Roman"/>
          <w:color w:val="000000" w:themeColor="text1"/>
        </w:rPr>
        <w:t>Interestingly a</w:t>
      </w:r>
      <w:r w:rsidR="00117106" w:rsidRPr="008A4B25">
        <w:rPr>
          <w:rFonts w:ascii="Times New Roman" w:hAnsi="Times New Roman" w:cs="Times New Roman"/>
          <w:color w:val="000000" w:themeColor="text1"/>
        </w:rPr>
        <w:t xml:space="preserve">fter the second </w:t>
      </w:r>
      <w:r w:rsidR="00F65F24" w:rsidRPr="008A4B25">
        <w:rPr>
          <w:rFonts w:ascii="Times New Roman" w:hAnsi="Times New Roman" w:cs="Times New Roman"/>
          <w:color w:val="000000" w:themeColor="text1"/>
        </w:rPr>
        <w:t xml:space="preserve">dose of </w:t>
      </w:r>
      <w:r w:rsidR="00117106" w:rsidRPr="008A4B25">
        <w:rPr>
          <w:rFonts w:ascii="Times New Roman" w:hAnsi="Times New Roman" w:cs="Times New Roman"/>
          <w:color w:val="000000" w:themeColor="text1"/>
        </w:rPr>
        <w:t>vaccine</w:t>
      </w:r>
      <w:r w:rsidR="00DF05A6" w:rsidRPr="008A4B25">
        <w:rPr>
          <w:rFonts w:ascii="Times New Roman" w:hAnsi="Times New Roman" w:cs="Times New Roman"/>
          <w:color w:val="000000" w:themeColor="text1"/>
        </w:rPr>
        <w:t xml:space="preserve"> (conjugate for both groups)</w:t>
      </w:r>
      <w:r w:rsidR="003A5916" w:rsidRPr="008A4B25">
        <w:rPr>
          <w:rFonts w:ascii="Times New Roman" w:hAnsi="Times New Roman" w:cs="Times New Roman"/>
          <w:color w:val="000000" w:themeColor="text1"/>
        </w:rPr>
        <w:t xml:space="preserve">, the probability of </w:t>
      </w:r>
      <w:r w:rsidR="009C5604" w:rsidRPr="008A4B25">
        <w:rPr>
          <w:rFonts w:ascii="Times New Roman" w:hAnsi="Times New Roman" w:cs="Times New Roman"/>
          <w:color w:val="000000" w:themeColor="text1"/>
        </w:rPr>
        <w:t xml:space="preserve">HLA-DR+ </w:t>
      </w:r>
      <w:r w:rsidR="0033414C" w:rsidRPr="008A4B25">
        <w:rPr>
          <w:rFonts w:ascii="Times New Roman" w:hAnsi="Times New Roman" w:cs="Times New Roman"/>
          <w:color w:val="000000" w:themeColor="text1"/>
        </w:rPr>
        <w:t>PC</w:t>
      </w:r>
      <w:r w:rsidR="003A5916" w:rsidRPr="008A4B25">
        <w:rPr>
          <w:rFonts w:ascii="Times New Roman" w:hAnsi="Times New Roman" w:cs="Times New Roman"/>
          <w:color w:val="000000" w:themeColor="text1"/>
        </w:rPr>
        <w:t>s being shared with each baseline subset was similar for both groups</w:t>
      </w:r>
      <w:r w:rsidR="00117106" w:rsidRPr="008A4B25">
        <w:rPr>
          <w:rFonts w:ascii="Times New Roman" w:hAnsi="Times New Roman" w:cs="Times New Roman"/>
          <w:color w:val="000000" w:themeColor="text1"/>
        </w:rPr>
        <w:t xml:space="preserve"> </w:t>
      </w:r>
      <w:r w:rsidR="00EE75A9" w:rsidRPr="008A4B25">
        <w:rPr>
          <w:rFonts w:ascii="Times New Roman" w:hAnsi="Times New Roman" w:cs="Times New Roman"/>
          <w:color w:val="000000" w:themeColor="text1"/>
        </w:rPr>
        <w:t>(</w:t>
      </w:r>
      <w:r w:rsidR="00A80D5F" w:rsidRPr="008A4B25">
        <w:rPr>
          <w:rFonts w:ascii="Times New Roman" w:hAnsi="Times New Roman" w:cs="Times New Roman"/>
          <w:color w:val="000000" w:themeColor="text1"/>
        </w:rPr>
        <w:t>Fig. 5</w:t>
      </w:r>
      <w:r w:rsidR="00205838" w:rsidRPr="008A4B25">
        <w:rPr>
          <w:rFonts w:ascii="Times New Roman" w:hAnsi="Times New Roman" w:cs="Times New Roman"/>
          <w:color w:val="000000" w:themeColor="text1"/>
        </w:rPr>
        <w:t>C</w:t>
      </w:r>
      <w:r w:rsidR="003A5916" w:rsidRPr="008A4B25">
        <w:rPr>
          <w:rFonts w:ascii="Times New Roman" w:hAnsi="Times New Roman" w:cs="Times New Roman"/>
          <w:color w:val="000000" w:themeColor="text1"/>
        </w:rPr>
        <w:t>)</w:t>
      </w:r>
      <w:r w:rsidR="00B91FFA" w:rsidRPr="008A4B25">
        <w:rPr>
          <w:rFonts w:ascii="Times New Roman" w:hAnsi="Times New Roman" w:cs="Times New Roman"/>
          <w:color w:val="000000" w:themeColor="text1"/>
        </w:rPr>
        <w:t>;</w:t>
      </w:r>
      <w:r w:rsidR="003A5916" w:rsidRPr="008A4B25">
        <w:rPr>
          <w:rFonts w:ascii="Times New Roman" w:hAnsi="Times New Roman" w:cs="Times New Roman"/>
          <w:color w:val="000000" w:themeColor="text1"/>
        </w:rPr>
        <w:t xml:space="preserve"> the profile resembled that</w:t>
      </w:r>
      <w:r w:rsidR="00EE75A9" w:rsidRPr="008A4B25">
        <w:rPr>
          <w:rFonts w:ascii="Times New Roman" w:hAnsi="Times New Roman" w:cs="Times New Roman"/>
          <w:color w:val="000000" w:themeColor="text1"/>
        </w:rPr>
        <w:t xml:space="preserve"> of the conjugate group after the first vaccination.</w:t>
      </w:r>
    </w:p>
    <w:p w14:paraId="474DC152" w14:textId="48C624CE" w:rsidR="007C35F5" w:rsidRPr="008A4B25" w:rsidRDefault="00AD2C45" w:rsidP="007C35F5">
      <w:pPr>
        <w:pStyle w:val="Heading2"/>
        <w:rPr>
          <w:rFonts w:ascii="Times New Roman" w:hAnsi="Times New Roman"/>
        </w:rPr>
      </w:pPr>
      <w:r w:rsidRPr="008A4B25">
        <w:rPr>
          <w:rFonts w:ascii="Times New Roman" w:hAnsi="Times New Roman"/>
        </w:rPr>
        <w:t>Vaccine response can further be distinguished based on IgG subclass usage, and mutation</w:t>
      </w:r>
    </w:p>
    <w:p w14:paraId="5AA865F5" w14:textId="0EF3FB34" w:rsidR="006F0ABD" w:rsidRPr="008A4B25" w:rsidRDefault="009308A1" w:rsidP="00CD28DE">
      <w:pPr>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W</w:t>
      </w:r>
      <w:r w:rsidR="00A54DC6" w:rsidRPr="008A4B25">
        <w:rPr>
          <w:rFonts w:ascii="Times New Roman" w:hAnsi="Times New Roman" w:cs="Times New Roman"/>
          <w:color w:val="000000" w:themeColor="text1"/>
        </w:rPr>
        <w:t xml:space="preserve">e </w:t>
      </w:r>
      <w:r w:rsidR="00EE75A9" w:rsidRPr="008A4B25">
        <w:rPr>
          <w:rFonts w:ascii="Times New Roman" w:hAnsi="Times New Roman" w:cs="Times New Roman"/>
          <w:color w:val="000000" w:themeColor="text1"/>
        </w:rPr>
        <w:t xml:space="preserve">then further characterized differences in the response between the </w:t>
      </w:r>
      <w:r w:rsidR="00C62964" w:rsidRPr="008A4B25">
        <w:rPr>
          <w:rFonts w:ascii="Times New Roman" w:hAnsi="Times New Roman" w:cs="Times New Roman"/>
          <w:color w:val="000000" w:themeColor="text1"/>
        </w:rPr>
        <w:t xml:space="preserve">vaccine </w:t>
      </w:r>
      <w:r w:rsidR="00EE75A9" w:rsidRPr="008A4B25">
        <w:rPr>
          <w:rFonts w:ascii="Times New Roman" w:hAnsi="Times New Roman" w:cs="Times New Roman"/>
          <w:color w:val="000000" w:themeColor="text1"/>
        </w:rPr>
        <w:t>groups by comparing</w:t>
      </w:r>
      <w:r w:rsidR="00E86B2F" w:rsidRPr="008A4B25">
        <w:rPr>
          <w:rFonts w:ascii="Times New Roman" w:hAnsi="Times New Roman" w:cs="Times New Roman"/>
          <w:color w:val="000000" w:themeColor="text1"/>
        </w:rPr>
        <w:t xml:space="preserve"> V gene mutation from germline, and IgG subclass</w:t>
      </w:r>
      <w:r w:rsidR="00E6258B" w:rsidRPr="008A4B25">
        <w:rPr>
          <w:rFonts w:ascii="Times New Roman" w:hAnsi="Times New Roman" w:cs="Times New Roman"/>
          <w:color w:val="000000" w:themeColor="text1"/>
        </w:rPr>
        <w:t xml:space="preserve"> usage between the vaccine</w:t>
      </w:r>
      <w:r w:rsidR="00B84EC9" w:rsidRPr="008A4B25">
        <w:rPr>
          <w:rFonts w:ascii="Times New Roman" w:hAnsi="Times New Roman" w:cs="Times New Roman"/>
          <w:color w:val="000000" w:themeColor="text1"/>
        </w:rPr>
        <w:t xml:space="preserve"> groups for the </w:t>
      </w:r>
      <w:r w:rsidR="009C5604" w:rsidRPr="008A4B25">
        <w:rPr>
          <w:rFonts w:ascii="Times New Roman" w:hAnsi="Times New Roman" w:cs="Times New Roman"/>
          <w:color w:val="000000" w:themeColor="text1"/>
        </w:rPr>
        <w:t xml:space="preserve">HLA-DR+ </w:t>
      </w:r>
      <w:r w:rsidR="0033414C" w:rsidRPr="008A4B25">
        <w:rPr>
          <w:rFonts w:ascii="Times New Roman" w:hAnsi="Times New Roman" w:cs="Times New Roman"/>
          <w:color w:val="000000" w:themeColor="text1"/>
        </w:rPr>
        <w:t>PC</w:t>
      </w:r>
      <w:r w:rsidR="00B84EC9" w:rsidRPr="008A4B25">
        <w:rPr>
          <w:rFonts w:ascii="Times New Roman" w:hAnsi="Times New Roman" w:cs="Times New Roman"/>
          <w:color w:val="000000" w:themeColor="text1"/>
        </w:rPr>
        <w:t xml:space="preserve"> sequences generated after vaccination.</w:t>
      </w:r>
      <w:r w:rsidR="00E6258B" w:rsidRPr="008A4B25">
        <w:rPr>
          <w:rFonts w:ascii="Times New Roman" w:hAnsi="Times New Roman" w:cs="Times New Roman"/>
          <w:color w:val="000000" w:themeColor="text1"/>
        </w:rPr>
        <w:t xml:space="preserve"> </w:t>
      </w:r>
      <w:r w:rsidR="007C35F5" w:rsidRPr="008A4B25">
        <w:rPr>
          <w:rFonts w:ascii="Times New Roman" w:hAnsi="Times New Roman" w:cs="Times New Roman"/>
          <w:color w:val="000000" w:themeColor="text1"/>
        </w:rPr>
        <w:t>IgG</w:t>
      </w:r>
      <w:r w:rsidR="00B71754" w:rsidRPr="008A4B25">
        <w:rPr>
          <w:rFonts w:ascii="Times New Roman" w:hAnsi="Times New Roman" w:cs="Times New Roman"/>
          <w:color w:val="000000" w:themeColor="text1"/>
        </w:rPr>
        <w:t xml:space="preserve"> </w:t>
      </w:r>
      <w:r w:rsidR="007C35F5" w:rsidRPr="008A4B25">
        <w:rPr>
          <w:rFonts w:ascii="Times New Roman" w:hAnsi="Times New Roman" w:cs="Times New Roman"/>
          <w:color w:val="000000" w:themeColor="text1"/>
        </w:rPr>
        <w:t xml:space="preserve">sequences extended on average 126 nucleotides into the constant region. This was sufficient to allow mapping of the IgG subclass for all sequences in our dataset. </w:t>
      </w:r>
      <w:r w:rsidR="005856C5" w:rsidRPr="008A4B25">
        <w:rPr>
          <w:rFonts w:ascii="Times New Roman" w:hAnsi="Times New Roman" w:cs="Times New Roman"/>
          <w:color w:val="000000" w:themeColor="text1"/>
        </w:rPr>
        <w:t>In</w:t>
      </w:r>
      <w:r w:rsidR="00542319" w:rsidRPr="008A4B25">
        <w:rPr>
          <w:rFonts w:ascii="Times New Roman" w:hAnsi="Times New Roman" w:cs="Times New Roman"/>
          <w:color w:val="000000" w:themeColor="text1"/>
        </w:rPr>
        <w:t xml:space="preserve"> the </w:t>
      </w:r>
      <w:r w:rsidR="007C35F5" w:rsidRPr="008A4B25">
        <w:rPr>
          <w:rFonts w:ascii="Times New Roman" w:hAnsi="Times New Roman" w:cs="Times New Roman"/>
          <w:color w:val="000000" w:themeColor="text1"/>
        </w:rPr>
        <w:t xml:space="preserve">IgG </w:t>
      </w:r>
      <w:r w:rsidR="00542319" w:rsidRPr="008A4B25">
        <w:rPr>
          <w:rFonts w:ascii="Times New Roman" w:hAnsi="Times New Roman" w:cs="Times New Roman"/>
          <w:color w:val="000000" w:themeColor="text1"/>
        </w:rPr>
        <w:t xml:space="preserve">memory cells, IgG </w:t>
      </w:r>
      <w:r w:rsidR="007C35F5" w:rsidRPr="008A4B25">
        <w:rPr>
          <w:rFonts w:ascii="Times New Roman" w:hAnsi="Times New Roman" w:cs="Times New Roman"/>
          <w:color w:val="000000" w:themeColor="text1"/>
        </w:rPr>
        <w:t>subclasses were present in uneven frequencies, with IgG1 (</w:t>
      </w:r>
      <w:r w:rsidR="00480C6B" w:rsidRPr="008A4B25">
        <w:rPr>
          <w:rFonts w:ascii="Times New Roman" w:hAnsi="Times New Roman" w:cs="Times New Roman"/>
          <w:color w:val="000000" w:themeColor="text1"/>
        </w:rPr>
        <w:t>58</w:t>
      </w:r>
      <w:r w:rsidR="007C35F5" w:rsidRPr="008A4B25">
        <w:rPr>
          <w:rFonts w:ascii="Times New Roman" w:hAnsi="Times New Roman" w:cs="Times New Roman"/>
          <w:color w:val="000000" w:themeColor="text1"/>
        </w:rPr>
        <w:t>%) and IgG2 (</w:t>
      </w:r>
      <w:r w:rsidR="00480C6B" w:rsidRPr="008A4B25">
        <w:rPr>
          <w:rFonts w:ascii="Times New Roman" w:hAnsi="Times New Roman" w:cs="Times New Roman"/>
          <w:color w:val="000000" w:themeColor="text1"/>
        </w:rPr>
        <w:t>34</w:t>
      </w:r>
      <w:r w:rsidR="007C35F5" w:rsidRPr="008A4B25">
        <w:rPr>
          <w:rFonts w:ascii="Times New Roman" w:hAnsi="Times New Roman" w:cs="Times New Roman"/>
          <w:color w:val="000000" w:themeColor="text1"/>
        </w:rPr>
        <w:t>%) being the most common, and IgG3 (</w:t>
      </w:r>
      <w:r w:rsidR="00480C6B" w:rsidRPr="008A4B25">
        <w:rPr>
          <w:rFonts w:ascii="Times New Roman" w:hAnsi="Times New Roman" w:cs="Times New Roman"/>
          <w:color w:val="000000" w:themeColor="text1"/>
        </w:rPr>
        <w:t>7</w:t>
      </w:r>
      <w:r w:rsidR="007C35F5" w:rsidRPr="008A4B25">
        <w:rPr>
          <w:rFonts w:ascii="Times New Roman" w:hAnsi="Times New Roman" w:cs="Times New Roman"/>
          <w:color w:val="000000" w:themeColor="text1"/>
        </w:rPr>
        <w:t>%) and IgG4 (</w:t>
      </w:r>
      <w:r w:rsidR="00480C6B" w:rsidRPr="008A4B25">
        <w:rPr>
          <w:rFonts w:ascii="Times New Roman" w:hAnsi="Times New Roman" w:cs="Times New Roman"/>
          <w:color w:val="000000" w:themeColor="text1"/>
        </w:rPr>
        <w:t>1</w:t>
      </w:r>
      <w:r w:rsidR="007C35F5" w:rsidRPr="008A4B25">
        <w:rPr>
          <w:rFonts w:ascii="Times New Roman" w:hAnsi="Times New Roman" w:cs="Times New Roman"/>
          <w:color w:val="000000" w:themeColor="text1"/>
        </w:rPr>
        <w:t>%) being the least common</w:t>
      </w:r>
      <w:r w:rsidR="0081500B" w:rsidRPr="008A4B25">
        <w:rPr>
          <w:rFonts w:ascii="Times New Roman" w:hAnsi="Times New Roman" w:cs="Times New Roman"/>
          <w:color w:val="000000" w:themeColor="text1"/>
        </w:rPr>
        <w:t xml:space="preserve"> (Fig. </w:t>
      </w:r>
      <w:r w:rsidR="003F4F62" w:rsidRPr="008A4B25">
        <w:rPr>
          <w:rFonts w:ascii="Times New Roman" w:hAnsi="Times New Roman" w:cs="Times New Roman"/>
          <w:color w:val="000000" w:themeColor="text1"/>
        </w:rPr>
        <w:t>S7</w:t>
      </w:r>
      <w:r w:rsidR="0081500B" w:rsidRPr="008A4B25">
        <w:rPr>
          <w:rFonts w:ascii="Times New Roman" w:hAnsi="Times New Roman" w:cs="Times New Roman"/>
          <w:color w:val="000000" w:themeColor="text1"/>
        </w:rPr>
        <w:t>A)</w:t>
      </w:r>
      <w:r w:rsidR="007C35F5" w:rsidRPr="008A4B25">
        <w:rPr>
          <w:rFonts w:ascii="Times New Roman" w:hAnsi="Times New Roman" w:cs="Times New Roman"/>
          <w:color w:val="000000" w:themeColor="text1"/>
        </w:rPr>
        <w:t xml:space="preserve">. </w:t>
      </w:r>
      <w:r w:rsidR="005856C5" w:rsidRPr="008A4B25">
        <w:rPr>
          <w:rFonts w:ascii="Times New Roman" w:hAnsi="Times New Roman" w:cs="Times New Roman"/>
          <w:color w:val="000000" w:themeColor="text1"/>
        </w:rPr>
        <w:t xml:space="preserve">By comparison, </w:t>
      </w:r>
      <w:r w:rsidR="00542319" w:rsidRPr="008A4B25">
        <w:rPr>
          <w:rFonts w:ascii="Times New Roman" w:hAnsi="Times New Roman" w:cs="Times New Roman"/>
          <w:color w:val="000000" w:themeColor="text1"/>
        </w:rPr>
        <w:t>In the PCs</w:t>
      </w:r>
      <w:r w:rsidR="00370CDC" w:rsidRPr="008A4B25">
        <w:rPr>
          <w:rFonts w:ascii="Times New Roman" w:hAnsi="Times New Roman" w:cs="Times New Roman"/>
          <w:color w:val="000000" w:themeColor="text1"/>
        </w:rPr>
        <w:t xml:space="preserve"> produced after the first </w:t>
      </w:r>
      <w:r w:rsidR="00370CDC" w:rsidRPr="008A4B25">
        <w:rPr>
          <w:rFonts w:ascii="Times New Roman" w:hAnsi="Times New Roman" w:cs="Times New Roman"/>
          <w:color w:val="000000" w:themeColor="text1"/>
        </w:rPr>
        <w:lastRenderedPageBreak/>
        <w:t>vaccination</w:t>
      </w:r>
      <w:r w:rsidR="00542319" w:rsidRPr="008A4B25">
        <w:rPr>
          <w:rFonts w:ascii="Times New Roman" w:hAnsi="Times New Roman" w:cs="Times New Roman"/>
          <w:color w:val="000000" w:themeColor="text1"/>
        </w:rPr>
        <w:t xml:space="preserve">, in the conjugate group, </w:t>
      </w:r>
      <w:r w:rsidR="00370CDC" w:rsidRPr="008A4B25">
        <w:rPr>
          <w:rFonts w:ascii="Times New Roman" w:hAnsi="Times New Roman" w:cs="Times New Roman"/>
          <w:color w:val="000000" w:themeColor="text1"/>
        </w:rPr>
        <w:t>IgG1 remained the most common subclass</w:t>
      </w:r>
      <w:r w:rsidR="008E3194" w:rsidRPr="008A4B25">
        <w:rPr>
          <w:rFonts w:ascii="Times New Roman" w:hAnsi="Times New Roman" w:cs="Times New Roman"/>
          <w:color w:val="000000" w:themeColor="text1"/>
        </w:rPr>
        <w:t xml:space="preserve"> </w:t>
      </w:r>
      <w:r w:rsidR="00370CDC" w:rsidRPr="008A4B25">
        <w:rPr>
          <w:rFonts w:ascii="Times New Roman" w:hAnsi="Times New Roman" w:cs="Times New Roman"/>
          <w:color w:val="000000" w:themeColor="text1"/>
        </w:rPr>
        <w:t>(</w:t>
      </w:r>
      <w:r w:rsidR="00A14914" w:rsidRPr="008A4B25">
        <w:rPr>
          <w:rFonts w:ascii="Times New Roman" w:hAnsi="Times New Roman" w:cs="Times New Roman"/>
          <w:color w:val="000000" w:themeColor="text1"/>
        </w:rPr>
        <w:t>58%</w:t>
      </w:r>
      <w:r w:rsidR="00370CDC" w:rsidRPr="008A4B25">
        <w:rPr>
          <w:rFonts w:ascii="Times New Roman" w:hAnsi="Times New Roman" w:cs="Times New Roman"/>
          <w:color w:val="000000" w:themeColor="text1"/>
        </w:rPr>
        <w:t>), followed by IgG2 (</w:t>
      </w:r>
      <w:r w:rsidR="00A14914" w:rsidRPr="008A4B25">
        <w:rPr>
          <w:rFonts w:ascii="Times New Roman" w:hAnsi="Times New Roman" w:cs="Times New Roman"/>
          <w:color w:val="000000" w:themeColor="text1"/>
        </w:rPr>
        <w:t>33%</w:t>
      </w:r>
      <w:r w:rsidR="00370CDC" w:rsidRPr="008A4B25">
        <w:rPr>
          <w:rFonts w:ascii="Times New Roman" w:hAnsi="Times New Roman" w:cs="Times New Roman"/>
          <w:color w:val="000000" w:themeColor="text1"/>
        </w:rPr>
        <w:t>), IgG4 (</w:t>
      </w:r>
      <w:r w:rsidR="00A14914" w:rsidRPr="008A4B25">
        <w:rPr>
          <w:rFonts w:ascii="Times New Roman" w:hAnsi="Times New Roman" w:cs="Times New Roman"/>
          <w:color w:val="000000" w:themeColor="text1"/>
        </w:rPr>
        <w:t>7%</w:t>
      </w:r>
      <w:r w:rsidR="00370CDC" w:rsidRPr="008A4B25">
        <w:rPr>
          <w:rFonts w:ascii="Times New Roman" w:hAnsi="Times New Roman" w:cs="Times New Roman"/>
          <w:color w:val="000000" w:themeColor="text1"/>
        </w:rPr>
        <w:t>) and IgG3 (</w:t>
      </w:r>
      <w:r w:rsidR="00A14914" w:rsidRPr="008A4B25">
        <w:rPr>
          <w:rFonts w:ascii="Times New Roman" w:hAnsi="Times New Roman" w:cs="Times New Roman"/>
          <w:color w:val="000000" w:themeColor="text1"/>
        </w:rPr>
        <w:t>2%</w:t>
      </w:r>
      <w:r w:rsidR="00370CDC" w:rsidRPr="008A4B25">
        <w:rPr>
          <w:rFonts w:ascii="Times New Roman" w:hAnsi="Times New Roman" w:cs="Times New Roman"/>
          <w:color w:val="000000" w:themeColor="text1"/>
        </w:rPr>
        <w:t>)</w:t>
      </w:r>
      <w:r w:rsidR="008E3194" w:rsidRPr="008A4B25">
        <w:rPr>
          <w:rFonts w:ascii="Times New Roman" w:hAnsi="Times New Roman" w:cs="Times New Roman"/>
          <w:color w:val="000000" w:themeColor="text1"/>
        </w:rPr>
        <w:t xml:space="preserve"> (Fig. </w:t>
      </w:r>
      <w:r w:rsidR="00B83EF4" w:rsidRPr="008A4B25">
        <w:rPr>
          <w:rFonts w:ascii="Times New Roman" w:hAnsi="Times New Roman" w:cs="Times New Roman"/>
          <w:color w:val="000000" w:themeColor="text1"/>
        </w:rPr>
        <w:t>S</w:t>
      </w:r>
      <w:r w:rsidR="003F4F62" w:rsidRPr="008A4B25">
        <w:rPr>
          <w:rFonts w:ascii="Times New Roman" w:hAnsi="Times New Roman" w:cs="Times New Roman"/>
          <w:color w:val="000000" w:themeColor="text1"/>
        </w:rPr>
        <w:t>7</w:t>
      </w:r>
      <w:r w:rsidR="00A14914" w:rsidRPr="008A4B25">
        <w:rPr>
          <w:rFonts w:ascii="Times New Roman" w:hAnsi="Times New Roman" w:cs="Times New Roman"/>
          <w:color w:val="000000" w:themeColor="text1"/>
        </w:rPr>
        <w:t>A</w:t>
      </w:r>
      <w:r w:rsidR="00370CDC" w:rsidRPr="008A4B25">
        <w:rPr>
          <w:rFonts w:ascii="Times New Roman" w:hAnsi="Times New Roman" w:cs="Times New Roman"/>
          <w:color w:val="000000" w:themeColor="text1"/>
        </w:rPr>
        <w:t>). In the polysaccharide group on the other hand, the subclass distribution was different; IgG2 was the dominant subclass</w:t>
      </w:r>
      <w:r w:rsidR="00A14914" w:rsidRPr="008A4B25">
        <w:rPr>
          <w:rFonts w:ascii="Times New Roman" w:hAnsi="Times New Roman" w:cs="Times New Roman"/>
          <w:color w:val="000000" w:themeColor="text1"/>
        </w:rPr>
        <w:t xml:space="preserve"> (58%)</w:t>
      </w:r>
      <w:r w:rsidR="00370CDC" w:rsidRPr="008A4B25">
        <w:rPr>
          <w:rFonts w:ascii="Times New Roman" w:hAnsi="Times New Roman" w:cs="Times New Roman"/>
          <w:color w:val="000000" w:themeColor="text1"/>
        </w:rPr>
        <w:t>, followed by IgG1 (</w:t>
      </w:r>
      <w:r w:rsidR="00A14914" w:rsidRPr="008A4B25">
        <w:rPr>
          <w:rFonts w:ascii="Times New Roman" w:hAnsi="Times New Roman" w:cs="Times New Roman"/>
          <w:color w:val="000000" w:themeColor="text1"/>
        </w:rPr>
        <w:t>37%</w:t>
      </w:r>
      <w:r w:rsidR="00370CDC" w:rsidRPr="008A4B25">
        <w:rPr>
          <w:rFonts w:ascii="Times New Roman" w:hAnsi="Times New Roman" w:cs="Times New Roman"/>
          <w:color w:val="000000" w:themeColor="text1"/>
        </w:rPr>
        <w:t>), IgG3 (</w:t>
      </w:r>
      <w:r w:rsidR="00A14914" w:rsidRPr="008A4B25">
        <w:rPr>
          <w:rFonts w:ascii="Times New Roman" w:hAnsi="Times New Roman" w:cs="Times New Roman"/>
          <w:color w:val="000000" w:themeColor="text1"/>
        </w:rPr>
        <w:t>5%</w:t>
      </w:r>
      <w:r w:rsidR="00370CDC" w:rsidRPr="008A4B25">
        <w:rPr>
          <w:rFonts w:ascii="Times New Roman" w:hAnsi="Times New Roman" w:cs="Times New Roman"/>
          <w:color w:val="000000" w:themeColor="text1"/>
        </w:rPr>
        <w:t>) and IgG4 (</w:t>
      </w:r>
      <w:r w:rsidR="00A14914" w:rsidRPr="008A4B25">
        <w:rPr>
          <w:rFonts w:ascii="Times New Roman" w:hAnsi="Times New Roman" w:cs="Times New Roman"/>
          <w:color w:val="000000" w:themeColor="text1"/>
        </w:rPr>
        <w:t>&lt;1%</w:t>
      </w:r>
      <w:r w:rsidR="00370CDC" w:rsidRPr="008A4B25">
        <w:rPr>
          <w:rFonts w:ascii="Times New Roman" w:hAnsi="Times New Roman" w:cs="Times New Roman"/>
          <w:color w:val="000000" w:themeColor="text1"/>
        </w:rPr>
        <w:t>).</w:t>
      </w:r>
      <w:r w:rsidR="002B702B" w:rsidRPr="008A4B25">
        <w:rPr>
          <w:rFonts w:ascii="Times New Roman" w:hAnsi="Times New Roman" w:cs="Times New Roman"/>
          <w:color w:val="000000" w:themeColor="text1"/>
        </w:rPr>
        <w:t xml:space="preserve"> </w:t>
      </w:r>
      <w:r w:rsidR="00370CDC" w:rsidRPr="008A4B25">
        <w:rPr>
          <w:rFonts w:ascii="Times New Roman" w:hAnsi="Times New Roman" w:cs="Times New Roman"/>
          <w:color w:val="000000" w:themeColor="text1"/>
        </w:rPr>
        <w:t>After the second vaccine, when both groups were given conjugate</w:t>
      </w:r>
      <w:r w:rsidR="008E3194" w:rsidRPr="008A4B25">
        <w:rPr>
          <w:rFonts w:ascii="Times New Roman" w:hAnsi="Times New Roman" w:cs="Times New Roman"/>
          <w:color w:val="000000" w:themeColor="text1"/>
        </w:rPr>
        <w:t xml:space="preserve"> vaccine</w:t>
      </w:r>
      <w:r w:rsidR="00370CDC" w:rsidRPr="008A4B25">
        <w:rPr>
          <w:rFonts w:ascii="Times New Roman" w:hAnsi="Times New Roman" w:cs="Times New Roman"/>
          <w:color w:val="000000" w:themeColor="text1"/>
        </w:rPr>
        <w:t>, the subclass usage of the PCs resembled that of the conjugate group in both vaccine groups.</w:t>
      </w:r>
    </w:p>
    <w:p w14:paraId="21E7EA5F" w14:textId="7D3BD05F" w:rsidR="00AA0315" w:rsidRPr="008A4B25" w:rsidRDefault="007C35F5" w:rsidP="002D1F18">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Considering V gene mutation </w:t>
      </w:r>
      <w:r w:rsidR="006F0ABD" w:rsidRPr="008A4B25">
        <w:rPr>
          <w:rFonts w:ascii="Times New Roman" w:hAnsi="Times New Roman" w:cs="Times New Roman"/>
          <w:color w:val="000000" w:themeColor="text1"/>
        </w:rPr>
        <w:t>from germ-line</w:t>
      </w:r>
      <w:r w:rsidR="00A423DD" w:rsidRPr="008A4B25">
        <w:rPr>
          <w:rFonts w:ascii="Times New Roman" w:hAnsi="Times New Roman" w:cs="Times New Roman"/>
          <w:color w:val="000000" w:themeColor="text1"/>
        </w:rPr>
        <w:t xml:space="preserve"> for total IgG compared to IgM</w:t>
      </w:r>
      <w:r w:rsidRPr="008A4B25">
        <w:rPr>
          <w:rFonts w:ascii="Times New Roman" w:hAnsi="Times New Roman" w:cs="Times New Roman"/>
          <w:color w:val="000000" w:themeColor="text1"/>
        </w:rPr>
        <w:t xml:space="preserve">, </w:t>
      </w:r>
      <w:r w:rsidR="006F0ABD" w:rsidRPr="008A4B25">
        <w:rPr>
          <w:rFonts w:ascii="Times New Roman" w:hAnsi="Times New Roman" w:cs="Times New Roman"/>
          <w:color w:val="000000" w:themeColor="text1"/>
        </w:rPr>
        <w:t>IgG PCs were more mutated than IgM PCs</w:t>
      </w:r>
      <w:r w:rsidR="005140ED" w:rsidRPr="008A4B25">
        <w:rPr>
          <w:rFonts w:ascii="Times New Roman" w:hAnsi="Times New Roman" w:cs="Times New Roman"/>
          <w:color w:val="000000" w:themeColor="text1"/>
        </w:rPr>
        <w:t xml:space="preserve"> (p = 0.0024)</w:t>
      </w:r>
      <w:r w:rsidR="006F0ABD" w:rsidRPr="008A4B25">
        <w:rPr>
          <w:rFonts w:ascii="Times New Roman" w:hAnsi="Times New Roman" w:cs="Times New Roman"/>
          <w:color w:val="000000" w:themeColor="text1"/>
        </w:rPr>
        <w:t>. After the first vaccination, there was no significant difference in V gene mutation between the vaccine groups</w:t>
      </w:r>
      <w:r w:rsidR="00F63AF7" w:rsidRPr="008A4B25">
        <w:rPr>
          <w:rFonts w:ascii="Times New Roman" w:hAnsi="Times New Roman" w:cs="Times New Roman"/>
          <w:color w:val="000000" w:themeColor="text1"/>
        </w:rPr>
        <w:t xml:space="preserve"> </w:t>
      </w:r>
      <w:r w:rsidR="006F0ABD" w:rsidRPr="008A4B25">
        <w:rPr>
          <w:rFonts w:ascii="Times New Roman" w:hAnsi="Times New Roman" w:cs="Times New Roman"/>
          <w:color w:val="000000" w:themeColor="text1"/>
        </w:rPr>
        <w:t xml:space="preserve">for either the </w:t>
      </w:r>
      <w:r w:rsidR="004E521A" w:rsidRPr="008A4B25">
        <w:rPr>
          <w:rFonts w:ascii="Times New Roman" w:hAnsi="Times New Roman" w:cs="Times New Roman"/>
          <w:color w:val="000000" w:themeColor="text1"/>
        </w:rPr>
        <w:t xml:space="preserve">total </w:t>
      </w:r>
      <w:r w:rsidR="006F0ABD" w:rsidRPr="008A4B25">
        <w:rPr>
          <w:rFonts w:ascii="Times New Roman" w:hAnsi="Times New Roman" w:cs="Times New Roman"/>
          <w:color w:val="000000" w:themeColor="text1"/>
        </w:rPr>
        <w:t xml:space="preserve">IgG or the IgM PCs </w:t>
      </w:r>
      <w:r w:rsidR="00F63AF7" w:rsidRPr="008A4B25">
        <w:rPr>
          <w:rFonts w:ascii="Times New Roman" w:hAnsi="Times New Roman" w:cs="Times New Roman"/>
          <w:color w:val="000000" w:themeColor="text1"/>
        </w:rPr>
        <w:t>(</w:t>
      </w:r>
      <w:r w:rsidR="00A80D5F" w:rsidRPr="008A4B25">
        <w:rPr>
          <w:rFonts w:ascii="Times New Roman" w:hAnsi="Times New Roman" w:cs="Times New Roman"/>
          <w:color w:val="000000" w:themeColor="text1"/>
        </w:rPr>
        <w:t>Fig. 6</w:t>
      </w:r>
      <w:r w:rsidR="00B31188" w:rsidRPr="008A4B25">
        <w:rPr>
          <w:rFonts w:ascii="Times New Roman" w:hAnsi="Times New Roman" w:cs="Times New Roman"/>
          <w:color w:val="000000" w:themeColor="text1"/>
        </w:rPr>
        <w:t>B</w:t>
      </w:r>
      <w:r w:rsidRPr="008A4B25">
        <w:rPr>
          <w:rFonts w:ascii="Times New Roman" w:hAnsi="Times New Roman" w:cs="Times New Roman"/>
          <w:color w:val="000000" w:themeColor="text1"/>
        </w:rPr>
        <w:t>). After the second vaccination</w:t>
      </w:r>
      <w:r w:rsidR="00C62964" w:rsidRPr="008A4B25">
        <w:rPr>
          <w:rFonts w:ascii="Times New Roman" w:hAnsi="Times New Roman" w:cs="Times New Roman"/>
          <w:color w:val="000000" w:themeColor="text1"/>
        </w:rPr>
        <w:t xml:space="preserve"> (when both groups were given the conjugate vaccine)</w:t>
      </w:r>
      <w:r w:rsidRPr="008A4B25">
        <w:rPr>
          <w:rFonts w:ascii="Times New Roman" w:hAnsi="Times New Roman" w:cs="Times New Roman"/>
          <w:color w:val="000000" w:themeColor="text1"/>
        </w:rPr>
        <w:t xml:space="preserve">, V gene mutation </w:t>
      </w:r>
      <w:r w:rsidR="006F0ABD" w:rsidRPr="008A4B25">
        <w:rPr>
          <w:rFonts w:ascii="Times New Roman" w:hAnsi="Times New Roman" w:cs="Times New Roman"/>
          <w:color w:val="000000" w:themeColor="text1"/>
        </w:rPr>
        <w:t xml:space="preserve">in the IgG PCs </w:t>
      </w:r>
      <w:r w:rsidRPr="008A4B25">
        <w:rPr>
          <w:rFonts w:ascii="Times New Roman" w:hAnsi="Times New Roman" w:cs="Times New Roman"/>
          <w:color w:val="000000" w:themeColor="text1"/>
        </w:rPr>
        <w:t xml:space="preserve">was greater in the </w:t>
      </w:r>
      <w:r w:rsidR="00C62964" w:rsidRPr="008A4B25">
        <w:rPr>
          <w:rFonts w:ascii="Times New Roman" w:hAnsi="Times New Roman" w:cs="Times New Roman"/>
          <w:color w:val="000000" w:themeColor="text1"/>
        </w:rPr>
        <w:t xml:space="preserve">group primed with the </w:t>
      </w:r>
      <w:r w:rsidRPr="008A4B25">
        <w:rPr>
          <w:rFonts w:ascii="Times New Roman" w:hAnsi="Times New Roman" w:cs="Times New Roman"/>
          <w:color w:val="000000" w:themeColor="text1"/>
        </w:rPr>
        <w:t xml:space="preserve">polysaccharide </w:t>
      </w:r>
      <w:r w:rsidR="00C62964" w:rsidRPr="008A4B25">
        <w:rPr>
          <w:rFonts w:ascii="Times New Roman" w:hAnsi="Times New Roman" w:cs="Times New Roman"/>
          <w:color w:val="000000" w:themeColor="text1"/>
        </w:rPr>
        <w:t xml:space="preserve">rather </w:t>
      </w:r>
      <w:r w:rsidRPr="008A4B25">
        <w:rPr>
          <w:rFonts w:ascii="Times New Roman" w:hAnsi="Times New Roman" w:cs="Times New Roman"/>
          <w:color w:val="000000" w:themeColor="text1"/>
        </w:rPr>
        <w:t>than conjugate</w:t>
      </w:r>
      <w:r w:rsidR="00C62964" w:rsidRPr="008A4B25">
        <w:rPr>
          <w:rFonts w:ascii="Times New Roman" w:hAnsi="Times New Roman" w:cs="Times New Roman"/>
          <w:color w:val="000000" w:themeColor="text1"/>
        </w:rPr>
        <w:t xml:space="preserve"> vaccine</w:t>
      </w:r>
      <w:r w:rsidRPr="008A4B25">
        <w:rPr>
          <w:rFonts w:ascii="Times New Roman" w:hAnsi="Times New Roman" w:cs="Times New Roman"/>
          <w:color w:val="000000" w:themeColor="text1"/>
        </w:rPr>
        <w:t xml:space="preserve">. </w:t>
      </w:r>
      <w:r w:rsidR="006F0ABD" w:rsidRPr="008A4B25">
        <w:rPr>
          <w:rFonts w:ascii="Times New Roman" w:hAnsi="Times New Roman" w:cs="Times New Roman"/>
          <w:color w:val="000000" w:themeColor="text1"/>
        </w:rPr>
        <w:t>There was a significant increase in</w:t>
      </w:r>
      <w:r w:rsidRPr="008A4B25">
        <w:rPr>
          <w:rFonts w:ascii="Times New Roman" w:hAnsi="Times New Roman" w:cs="Times New Roman"/>
          <w:color w:val="000000" w:themeColor="text1"/>
        </w:rPr>
        <w:t xml:space="preserve"> </w:t>
      </w:r>
      <w:r w:rsidR="005A2968" w:rsidRPr="008A4B25">
        <w:rPr>
          <w:rFonts w:ascii="Times New Roman" w:hAnsi="Times New Roman" w:cs="Times New Roman"/>
          <w:color w:val="000000" w:themeColor="text1"/>
        </w:rPr>
        <w:t xml:space="preserve">IgG PC </w:t>
      </w:r>
      <w:r w:rsidRPr="008A4B25">
        <w:rPr>
          <w:rFonts w:ascii="Times New Roman" w:hAnsi="Times New Roman" w:cs="Times New Roman"/>
          <w:color w:val="000000" w:themeColor="text1"/>
        </w:rPr>
        <w:t xml:space="preserve">V gene mutation in the polysaccharide group </w:t>
      </w:r>
      <w:r w:rsidR="005A2968" w:rsidRPr="008A4B25">
        <w:rPr>
          <w:rFonts w:ascii="Times New Roman" w:hAnsi="Times New Roman" w:cs="Times New Roman"/>
          <w:color w:val="000000" w:themeColor="text1"/>
        </w:rPr>
        <w:t xml:space="preserve">after the second vaccination (conjugate) compared to the first vaccine (polysaccharide). </w:t>
      </w:r>
      <w:r w:rsidR="002D1F18" w:rsidRPr="008A4B25">
        <w:rPr>
          <w:rFonts w:ascii="Times New Roman" w:hAnsi="Times New Roman" w:cs="Times New Roman"/>
          <w:color w:val="000000" w:themeColor="text1"/>
        </w:rPr>
        <w:t>In the conjugate group, t</w:t>
      </w:r>
      <w:r w:rsidRPr="008A4B25">
        <w:rPr>
          <w:rFonts w:ascii="Times New Roman" w:hAnsi="Times New Roman" w:cs="Times New Roman"/>
          <w:color w:val="000000" w:themeColor="text1"/>
        </w:rPr>
        <w:t xml:space="preserve">here was no difference in </w:t>
      </w:r>
      <w:r w:rsidR="005A2968" w:rsidRPr="008A4B25">
        <w:rPr>
          <w:rFonts w:ascii="Times New Roman" w:hAnsi="Times New Roman" w:cs="Times New Roman"/>
          <w:color w:val="000000" w:themeColor="text1"/>
        </w:rPr>
        <w:t xml:space="preserve">IgG PC V gene mutation </w:t>
      </w:r>
      <w:r w:rsidRPr="008A4B25">
        <w:rPr>
          <w:rFonts w:ascii="Times New Roman" w:hAnsi="Times New Roman" w:cs="Times New Roman"/>
          <w:color w:val="000000" w:themeColor="text1"/>
        </w:rPr>
        <w:t>after</w:t>
      </w:r>
      <w:r w:rsidR="002D1F18" w:rsidRPr="008A4B25">
        <w:rPr>
          <w:rFonts w:ascii="Times New Roman" w:hAnsi="Times New Roman" w:cs="Times New Roman"/>
          <w:color w:val="000000" w:themeColor="text1"/>
        </w:rPr>
        <w:t xml:space="preserve"> the second dose compared to the first dose of the </w:t>
      </w:r>
      <w:r w:rsidRPr="008A4B25">
        <w:rPr>
          <w:rFonts w:ascii="Times New Roman" w:hAnsi="Times New Roman" w:cs="Times New Roman"/>
          <w:color w:val="000000" w:themeColor="text1"/>
        </w:rPr>
        <w:t xml:space="preserve">two </w:t>
      </w:r>
      <w:r w:rsidR="00B91FFA" w:rsidRPr="008A4B25">
        <w:rPr>
          <w:rFonts w:ascii="Times New Roman" w:hAnsi="Times New Roman" w:cs="Times New Roman"/>
          <w:color w:val="000000" w:themeColor="text1"/>
        </w:rPr>
        <w:t xml:space="preserve">conjugate </w:t>
      </w:r>
      <w:r w:rsidRPr="008A4B25">
        <w:rPr>
          <w:rFonts w:ascii="Times New Roman" w:hAnsi="Times New Roman" w:cs="Times New Roman"/>
          <w:color w:val="000000" w:themeColor="text1"/>
        </w:rPr>
        <w:t>vaccines.</w:t>
      </w:r>
      <w:r w:rsidR="00E161FC" w:rsidRPr="008A4B25">
        <w:rPr>
          <w:rFonts w:ascii="Times New Roman" w:hAnsi="Times New Roman" w:cs="Times New Roman"/>
          <w:color w:val="000000" w:themeColor="text1"/>
        </w:rPr>
        <w:t xml:space="preserve"> </w:t>
      </w:r>
    </w:p>
    <w:p w14:paraId="034541BC" w14:textId="0123B83B" w:rsidR="006714FF" w:rsidRPr="008A4B25" w:rsidRDefault="00474C4D" w:rsidP="00BE2F9B">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Calculating </w:t>
      </w:r>
      <w:r w:rsidR="004B7EE1" w:rsidRPr="008A4B25">
        <w:rPr>
          <w:rFonts w:ascii="Times New Roman" w:hAnsi="Times New Roman" w:cs="Times New Roman"/>
          <w:color w:val="000000" w:themeColor="text1"/>
        </w:rPr>
        <w:t xml:space="preserve">average </w:t>
      </w:r>
      <w:r w:rsidRPr="008A4B25">
        <w:rPr>
          <w:rFonts w:ascii="Times New Roman" w:hAnsi="Times New Roman" w:cs="Times New Roman"/>
          <w:color w:val="000000" w:themeColor="text1"/>
        </w:rPr>
        <w:t xml:space="preserve">V gene mutation </w:t>
      </w:r>
      <w:r w:rsidR="00F10771" w:rsidRPr="008A4B25">
        <w:rPr>
          <w:rFonts w:ascii="Times New Roman" w:hAnsi="Times New Roman" w:cs="Times New Roman"/>
          <w:color w:val="000000" w:themeColor="text1"/>
        </w:rPr>
        <w:t xml:space="preserve">separately </w:t>
      </w:r>
      <w:r w:rsidR="004E521A" w:rsidRPr="008A4B25">
        <w:rPr>
          <w:rFonts w:ascii="Times New Roman" w:hAnsi="Times New Roman" w:cs="Times New Roman"/>
          <w:color w:val="000000" w:themeColor="text1"/>
        </w:rPr>
        <w:t>for each</w:t>
      </w:r>
      <w:r w:rsidR="004B7EE1" w:rsidRPr="008A4B25">
        <w:rPr>
          <w:rFonts w:ascii="Times New Roman" w:hAnsi="Times New Roman" w:cs="Times New Roman"/>
          <w:color w:val="000000" w:themeColor="text1"/>
        </w:rPr>
        <w:t xml:space="preserve"> IgG</w:t>
      </w:r>
      <w:r w:rsidRPr="008A4B25">
        <w:rPr>
          <w:rFonts w:ascii="Times New Roman" w:hAnsi="Times New Roman" w:cs="Times New Roman"/>
          <w:color w:val="000000" w:themeColor="text1"/>
        </w:rPr>
        <w:t xml:space="preserve"> subclass revealed further differences between the </w:t>
      </w:r>
      <w:r w:rsidR="00C45CEC" w:rsidRPr="008A4B25">
        <w:rPr>
          <w:rFonts w:ascii="Times New Roman" w:hAnsi="Times New Roman" w:cs="Times New Roman"/>
          <w:color w:val="000000" w:themeColor="text1"/>
        </w:rPr>
        <w:t xml:space="preserve">vaccine </w:t>
      </w:r>
      <w:r w:rsidRPr="008A4B25">
        <w:rPr>
          <w:rFonts w:ascii="Times New Roman" w:hAnsi="Times New Roman" w:cs="Times New Roman"/>
          <w:color w:val="000000" w:themeColor="text1"/>
        </w:rPr>
        <w:t>groups</w:t>
      </w:r>
      <w:r w:rsidR="00AA0315" w:rsidRPr="008A4B25">
        <w:rPr>
          <w:rFonts w:ascii="Times New Roman" w:hAnsi="Times New Roman" w:cs="Times New Roman"/>
          <w:color w:val="000000" w:themeColor="text1"/>
        </w:rPr>
        <w:t xml:space="preserve">. </w:t>
      </w:r>
      <w:r w:rsidR="003E6DD1" w:rsidRPr="008A4B25">
        <w:rPr>
          <w:rFonts w:ascii="Times New Roman" w:hAnsi="Times New Roman" w:cs="Times New Roman"/>
          <w:color w:val="000000" w:themeColor="text1"/>
        </w:rPr>
        <w:t>In the</w:t>
      </w:r>
      <w:r w:rsidR="00AA0315" w:rsidRPr="008A4B25">
        <w:rPr>
          <w:rFonts w:ascii="Times New Roman" w:hAnsi="Times New Roman" w:cs="Times New Roman"/>
          <w:color w:val="000000" w:themeColor="text1"/>
        </w:rPr>
        <w:t xml:space="preserve"> IgG memory cells, </w:t>
      </w:r>
      <w:r w:rsidR="00E627E7" w:rsidRPr="008A4B25">
        <w:rPr>
          <w:rFonts w:ascii="Times New Roman" w:hAnsi="Times New Roman" w:cs="Times New Roman"/>
          <w:color w:val="000000" w:themeColor="text1"/>
        </w:rPr>
        <w:t xml:space="preserve">there </w:t>
      </w:r>
      <w:r w:rsidR="00C45CEC" w:rsidRPr="008A4B25">
        <w:rPr>
          <w:rFonts w:ascii="Times New Roman" w:hAnsi="Times New Roman" w:cs="Times New Roman"/>
          <w:color w:val="000000" w:themeColor="text1"/>
        </w:rPr>
        <w:t>are slight differences in</w:t>
      </w:r>
      <w:r w:rsidR="00E627E7" w:rsidRPr="008A4B25">
        <w:rPr>
          <w:rFonts w:ascii="Times New Roman" w:hAnsi="Times New Roman" w:cs="Times New Roman"/>
          <w:color w:val="000000" w:themeColor="text1"/>
        </w:rPr>
        <w:t xml:space="preserve"> V gene mutation</w:t>
      </w:r>
      <w:r w:rsidR="00C45CEC" w:rsidRPr="008A4B25">
        <w:rPr>
          <w:rFonts w:ascii="Times New Roman" w:hAnsi="Times New Roman" w:cs="Times New Roman"/>
          <w:color w:val="000000" w:themeColor="text1"/>
        </w:rPr>
        <w:t xml:space="preserve"> in the different subclasses</w:t>
      </w:r>
      <w:r w:rsidR="00E627E7" w:rsidRPr="008A4B25">
        <w:rPr>
          <w:rFonts w:ascii="Times New Roman" w:hAnsi="Times New Roman" w:cs="Times New Roman"/>
          <w:color w:val="000000" w:themeColor="text1"/>
        </w:rPr>
        <w:t xml:space="preserve"> going from IgG3 (7.04%) to IgG1 (7.19%), IgG2 (7.64%) and IgG4 (7.87%)</w:t>
      </w:r>
      <w:r w:rsidR="0081500B" w:rsidRPr="008A4B25">
        <w:rPr>
          <w:rFonts w:ascii="Times New Roman" w:hAnsi="Times New Roman" w:cs="Times New Roman"/>
          <w:color w:val="000000" w:themeColor="text1"/>
        </w:rPr>
        <w:t xml:space="preserve"> (Fig. </w:t>
      </w:r>
      <w:r w:rsidR="00B83EF4" w:rsidRPr="008A4B25">
        <w:rPr>
          <w:rFonts w:ascii="Times New Roman" w:hAnsi="Times New Roman" w:cs="Times New Roman"/>
          <w:color w:val="000000" w:themeColor="text1"/>
        </w:rPr>
        <w:t>S</w:t>
      </w:r>
      <w:r w:rsidR="003F4F62" w:rsidRPr="008A4B25">
        <w:rPr>
          <w:rFonts w:ascii="Times New Roman" w:hAnsi="Times New Roman" w:cs="Times New Roman"/>
          <w:color w:val="000000" w:themeColor="text1"/>
        </w:rPr>
        <w:t>7</w:t>
      </w:r>
      <w:r w:rsidR="0081500B" w:rsidRPr="008A4B25">
        <w:rPr>
          <w:rFonts w:ascii="Times New Roman" w:hAnsi="Times New Roman" w:cs="Times New Roman"/>
          <w:color w:val="000000" w:themeColor="text1"/>
        </w:rPr>
        <w:t xml:space="preserve">B). </w:t>
      </w:r>
      <w:r w:rsidR="00C45CEC" w:rsidRPr="008A4B25">
        <w:rPr>
          <w:rFonts w:ascii="Times New Roman" w:hAnsi="Times New Roman" w:cs="Times New Roman"/>
          <w:color w:val="000000" w:themeColor="text1"/>
        </w:rPr>
        <w:t xml:space="preserve">Comparing the vaccine groups showed the </w:t>
      </w:r>
      <w:r w:rsidR="00ED3EC2" w:rsidRPr="008A4B25">
        <w:rPr>
          <w:rFonts w:ascii="Times New Roman" w:hAnsi="Times New Roman" w:cs="Times New Roman"/>
          <w:color w:val="000000" w:themeColor="text1"/>
        </w:rPr>
        <w:t>only</w:t>
      </w:r>
      <w:r w:rsidR="00C45CEC" w:rsidRPr="008A4B25">
        <w:rPr>
          <w:rFonts w:ascii="Times New Roman" w:hAnsi="Times New Roman" w:cs="Times New Roman"/>
          <w:color w:val="000000" w:themeColor="text1"/>
        </w:rPr>
        <w:t xml:space="preserve"> </w:t>
      </w:r>
      <w:r w:rsidR="003F0027" w:rsidRPr="008A4B25">
        <w:rPr>
          <w:rFonts w:ascii="Times New Roman" w:hAnsi="Times New Roman" w:cs="Times New Roman"/>
          <w:color w:val="000000" w:themeColor="text1"/>
        </w:rPr>
        <w:t xml:space="preserve">significant </w:t>
      </w:r>
      <w:r w:rsidR="00C45CEC" w:rsidRPr="008A4B25">
        <w:rPr>
          <w:rFonts w:ascii="Times New Roman" w:hAnsi="Times New Roman" w:cs="Times New Roman"/>
          <w:color w:val="000000" w:themeColor="text1"/>
        </w:rPr>
        <w:t>difference to be in IgG1</w:t>
      </w:r>
      <w:r w:rsidR="00B023BF" w:rsidRPr="008A4B25">
        <w:rPr>
          <w:rFonts w:ascii="Times New Roman" w:hAnsi="Times New Roman" w:cs="Times New Roman"/>
          <w:color w:val="000000" w:themeColor="text1"/>
        </w:rPr>
        <w:t xml:space="preserve"> PC sequences</w:t>
      </w:r>
      <w:r w:rsidR="00C45CEC" w:rsidRPr="008A4B25">
        <w:rPr>
          <w:rFonts w:ascii="Times New Roman" w:hAnsi="Times New Roman" w:cs="Times New Roman"/>
          <w:color w:val="000000" w:themeColor="text1"/>
        </w:rPr>
        <w:t>. IgG1 sequences were significantly more mutated in the conjugate group after the first vaccine</w:t>
      </w:r>
      <w:r w:rsidR="004B7EE1" w:rsidRPr="008A4B25">
        <w:rPr>
          <w:rFonts w:ascii="Times New Roman" w:hAnsi="Times New Roman" w:cs="Times New Roman"/>
          <w:color w:val="000000" w:themeColor="text1"/>
        </w:rPr>
        <w:t xml:space="preserve"> (</w:t>
      </w:r>
      <w:r w:rsidR="00AA78CC" w:rsidRPr="008A4B25">
        <w:rPr>
          <w:rFonts w:ascii="Times New Roman" w:hAnsi="Times New Roman" w:cs="Times New Roman"/>
          <w:color w:val="000000" w:themeColor="text1"/>
        </w:rPr>
        <w:t>7.3% in the conjugate group vs. 5.9% in the polysaccharide group</w:t>
      </w:r>
      <w:r w:rsidR="004B7EE1" w:rsidRPr="008A4B25">
        <w:rPr>
          <w:rFonts w:ascii="Times New Roman" w:hAnsi="Times New Roman" w:cs="Times New Roman"/>
          <w:color w:val="000000" w:themeColor="text1"/>
        </w:rPr>
        <w:t>)</w:t>
      </w:r>
      <w:r w:rsidR="00C45CEC" w:rsidRPr="008A4B25">
        <w:rPr>
          <w:rFonts w:ascii="Times New Roman" w:hAnsi="Times New Roman" w:cs="Times New Roman"/>
          <w:color w:val="000000" w:themeColor="text1"/>
        </w:rPr>
        <w:t xml:space="preserve">, but significantly more mutated in the polysaccharide group after the second vaccine </w:t>
      </w:r>
      <w:r w:rsidR="004B7EE1" w:rsidRPr="008A4B25">
        <w:rPr>
          <w:rFonts w:ascii="Times New Roman" w:hAnsi="Times New Roman" w:cs="Times New Roman"/>
          <w:color w:val="000000" w:themeColor="text1"/>
        </w:rPr>
        <w:t>(</w:t>
      </w:r>
      <w:r w:rsidR="00AA78CC" w:rsidRPr="008A4B25">
        <w:rPr>
          <w:rFonts w:ascii="Times New Roman" w:hAnsi="Times New Roman" w:cs="Times New Roman"/>
          <w:color w:val="000000" w:themeColor="text1"/>
        </w:rPr>
        <w:t>7.2% in the conjugate group vs</w:t>
      </w:r>
      <w:r w:rsidR="00F10771" w:rsidRPr="008A4B25">
        <w:rPr>
          <w:rFonts w:ascii="Times New Roman" w:hAnsi="Times New Roman" w:cs="Times New Roman"/>
          <w:color w:val="000000" w:themeColor="text1"/>
        </w:rPr>
        <w:t>.</w:t>
      </w:r>
      <w:r w:rsidR="00AA78CC" w:rsidRPr="008A4B25">
        <w:rPr>
          <w:rFonts w:ascii="Times New Roman" w:hAnsi="Times New Roman" w:cs="Times New Roman"/>
          <w:color w:val="000000" w:themeColor="text1"/>
        </w:rPr>
        <w:t xml:space="preserve"> 8.7% in the polysaccharide group</w:t>
      </w:r>
      <w:r w:rsidR="004B7EE1" w:rsidRPr="008A4B25">
        <w:rPr>
          <w:rFonts w:ascii="Times New Roman" w:hAnsi="Times New Roman" w:cs="Times New Roman"/>
          <w:color w:val="000000" w:themeColor="text1"/>
        </w:rPr>
        <w:t xml:space="preserve">) </w:t>
      </w:r>
      <w:r w:rsidR="00C45CEC" w:rsidRPr="008A4B25">
        <w:rPr>
          <w:rFonts w:ascii="Times New Roman" w:hAnsi="Times New Roman" w:cs="Times New Roman"/>
          <w:color w:val="000000" w:themeColor="text1"/>
        </w:rPr>
        <w:t xml:space="preserve">(Fig. </w:t>
      </w:r>
      <w:r w:rsidR="00B023BF" w:rsidRPr="008A4B25">
        <w:rPr>
          <w:rFonts w:ascii="Times New Roman" w:hAnsi="Times New Roman" w:cs="Times New Roman"/>
          <w:color w:val="000000" w:themeColor="text1"/>
        </w:rPr>
        <w:t>6C). Mutation for all four subclasses increased between the first vaccination and the second vaccination in the polysaccharide group. In the conjugate group, there was only a significant increase in mutation in the IgG</w:t>
      </w:r>
      <w:r w:rsidR="005000E1" w:rsidRPr="008A4B25">
        <w:rPr>
          <w:rFonts w:ascii="Times New Roman" w:hAnsi="Times New Roman" w:cs="Times New Roman"/>
          <w:color w:val="000000" w:themeColor="text1"/>
        </w:rPr>
        <w:t>4</w:t>
      </w:r>
      <w:r w:rsidR="00B023BF" w:rsidRPr="008A4B25">
        <w:rPr>
          <w:rFonts w:ascii="Times New Roman" w:hAnsi="Times New Roman" w:cs="Times New Roman"/>
          <w:color w:val="000000" w:themeColor="text1"/>
        </w:rPr>
        <w:t xml:space="preserve"> sequences after the second vaccination.</w:t>
      </w:r>
      <w:r w:rsidR="006714FF" w:rsidRPr="008A4B25">
        <w:rPr>
          <w:rFonts w:ascii="Times New Roman" w:hAnsi="Times New Roman" w:cs="Times New Roman"/>
          <w:color w:val="000000" w:themeColor="text1"/>
        </w:rPr>
        <w:br w:type="page"/>
      </w:r>
    </w:p>
    <w:p w14:paraId="2A72AB91" w14:textId="59A87417" w:rsidR="00486E1A" w:rsidRPr="00F36532" w:rsidRDefault="0066096E" w:rsidP="006714FF">
      <w:pPr>
        <w:pStyle w:val="Heading1"/>
      </w:pPr>
      <w:r w:rsidRPr="00F36532">
        <w:t>Discussion</w:t>
      </w:r>
    </w:p>
    <w:p w14:paraId="09B48945" w14:textId="6D8A68EE" w:rsidR="0097016C" w:rsidRPr="008A4B25" w:rsidRDefault="0097016C" w:rsidP="0097016C">
      <w:pPr>
        <w:spacing w:line="480" w:lineRule="auto"/>
        <w:jc w:val="both"/>
        <w:rPr>
          <w:rFonts w:ascii="Times New Roman" w:hAnsi="Times New Roman" w:cs="Times New Roman"/>
          <w:color w:val="000000" w:themeColor="text1"/>
        </w:rPr>
      </w:pPr>
      <w:r w:rsidRPr="00F36532">
        <w:rPr>
          <w:rFonts w:ascii="Times New Roman" w:hAnsi="Times New Roman" w:cs="Times New Roman"/>
        </w:rPr>
        <w:t xml:space="preserve">The critical events </w:t>
      </w:r>
      <w:r w:rsidR="0084417B" w:rsidRPr="00F36532">
        <w:rPr>
          <w:rFonts w:ascii="Times New Roman" w:hAnsi="Times New Roman" w:cs="Times New Roman"/>
        </w:rPr>
        <w:t>in the generation of an immune response</w:t>
      </w:r>
      <w:r w:rsidRPr="00F36532">
        <w:rPr>
          <w:rFonts w:ascii="Times New Roman" w:hAnsi="Times New Roman" w:cs="Times New Roman"/>
        </w:rPr>
        <w:t xml:space="preserve"> occur </w:t>
      </w:r>
      <w:r w:rsidR="0084417B" w:rsidRPr="00F36532">
        <w:rPr>
          <w:rFonts w:ascii="Times New Roman" w:hAnsi="Times New Roman" w:cs="Times New Roman"/>
        </w:rPr>
        <w:t>largely</w:t>
      </w:r>
      <w:r w:rsidRPr="00F36532">
        <w:rPr>
          <w:rFonts w:ascii="Times New Roman" w:hAnsi="Times New Roman" w:cs="Times New Roman"/>
        </w:rPr>
        <w:t xml:space="preserve"> in the lymphoid tissue, which is challenging to sample directly</w:t>
      </w:r>
      <w:r w:rsidR="0084417B" w:rsidRPr="00F36532">
        <w:rPr>
          <w:rFonts w:ascii="Times New Roman" w:hAnsi="Times New Roman" w:cs="Times New Roman"/>
        </w:rPr>
        <w:t xml:space="preserve"> in humans</w:t>
      </w:r>
      <w:r w:rsidRPr="00F36532">
        <w:rPr>
          <w:rFonts w:ascii="Times New Roman" w:hAnsi="Times New Roman" w:cs="Times New Roman"/>
        </w:rPr>
        <w:t>.</w:t>
      </w:r>
      <w:r w:rsidR="00C43D15" w:rsidRPr="00F36532">
        <w:rPr>
          <w:rFonts w:ascii="Times New Roman" w:hAnsi="Times New Roman" w:cs="Times New Roman"/>
        </w:rPr>
        <w:t xml:space="preserve"> </w:t>
      </w:r>
      <w:r w:rsidR="007D4166" w:rsidRPr="00F36532">
        <w:rPr>
          <w:rFonts w:ascii="Times New Roman" w:hAnsi="Times New Roman" w:cs="Times New Roman"/>
        </w:rPr>
        <w:t>After vaccination</w:t>
      </w:r>
      <w:r w:rsidR="00A04986" w:rsidRPr="00F36532">
        <w:rPr>
          <w:rFonts w:ascii="Times New Roman" w:hAnsi="Times New Roman" w:cs="Times New Roman"/>
        </w:rPr>
        <w:t xml:space="preserve"> with </w:t>
      </w:r>
      <w:r w:rsidR="008A62A0">
        <w:rPr>
          <w:rFonts w:ascii="Times New Roman" w:hAnsi="Times New Roman" w:cs="Times New Roman"/>
        </w:rPr>
        <w:t>m</w:t>
      </w:r>
      <w:r w:rsidR="008E3FDB" w:rsidRPr="00F36532">
        <w:rPr>
          <w:rFonts w:ascii="Times New Roman" w:hAnsi="Times New Roman" w:cs="Times New Roman"/>
        </w:rPr>
        <w:t>eningococcal</w:t>
      </w:r>
      <w:r w:rsidR="00A04986" w:rsidRPr="00F36532">
        <w:rPr>
          <w:rFonts w:ascii="Times New Roman" w:hAnsi="Times New Roman" w:cs="Times New Roman"/>
        </w:rPr>
        <w:t xml:space="preserve"> conjugate o</w:t>
      </w:r>
      <w:r w:rsidR="008A62A0">
        <w:rPr>
          <w:rFonts w:ascii="Times New Roman" w:hAnsi="Times New Roman" w:cs="Times New Roman"/>
        </w:rPr>
        <w:t>r</w:t>
      </w:r>
      <w:r w:rsidR="00A04986" w:rsidRPr="00F36532">
        <w:rPr>
          <w:rFonts w:ascii="Times New Roman" w:hAnsi="Times New Roman" w:cs="Times New Roman"/>
        </w:rPr>
        <w:t xml:space="preserve"> polysaccharide vaccines</w:t>
      </w:r>
      <w:r w:rsidR="008A62A0">
        <w:rPr>
          <w:rFonts w:ascii="Times New Roman" w:hAnsi="Times New Roman" w:cs="Times New Roman"/>
        </w:rPr>
        <w:t>,</w:t>
      </w:r>
      <w:r w:rsidR="007D4166" w:rsidRPr="00F36532">
        <w:rPr>
          <w:rFonts w:ascii="Times New Roman" w:hAnsi="Times New Roman" w:cs="Times New Roman"/>
        </w:rPr>
        <w:t xml:space="preserve"> </w:t>
      </w:r>
      <w:r w:rsidR="00261141" w:rsidRPr="00F36532">
        <w:rPr>
          <w:rFonts w:ascii="Times New Roman" w:hAnsi="Times New Roman" w:cs="Times New Roman"/>
        </w:rPr>
        <w:t xml:space="preserve">antigen-specific </w:t>
      </w:r>
      <w:r w:rsidR="0033414C" w:rsidRPr="00F36532">
        <w:rPr>
          <w:rFonts w:ascii="Times New Roman" w:hAnsi="Times New Roman" w:cs="Times New Roman"/>
        </w:rPr>
        <w:t>PC</w:t>
      </w:r>
      <w:r w:rsidR="00C43D15" w:rsidRPr="00F36532">
        <w:rPr>
          <w:rFonts w:ascii="Times New Roman" w:hAnsi="Times New Roman" w:cs="Times New Roman"/>
        </w:rPr>
        <w:t xml:space="preserve">s are </w:t>
      </w:r>
      <w:r w:rsidR="00A04986" w:rsidRPr="00F36532">
        <w:rPr>
          <w:rFonts w:ascii="Times New Roman" w:hAnsi="Times New Roman" w:cs="Times New Roman"/>
        </w:rPr>
        <w:t xml:space="preserve">detected </w:t>
      </w:r>
      <w:r w:rsidR="00C43D15" w:rsidRPr="00F36532">
        <w:rPr>
          <w:rFonts w:ascii="Times New Roman" w:hAnsi="Times New Roman" w:cs="Times New Roman"/>
        </w:rPr>
        <w:t>in peripheral blood at high levels 7 days post-vaccination</w:t>
      </w:r>
      <w:r w:rsidR="00FC28BA">
        <w:rPr>
          <w:rFonts w:ascii="Times New Roman" w:hAnsi="Times New Roman" w:cs="Times New Roman"/>
        </w:rPr>
        <w:t>.</w:t>
      </w:r>
      <w:r w:rsidR="008C09A5"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"ISSN" : "2164-5515", "author" : [ { "dropping-particle" : "", "family" : "Mitchell", "given" : "Ruth", "non-dropping-particle" : "", "parse-names" : false, "suffix" : "" }, { "dropping-particle" : "", "family" : "Kelly", "given" : "Dominic F", "non-dropping-particle" : "", "parse-names" : false, "suffix" : "" }, { "dropping-particle" : "", "family" : "Pollard", "given" : "Andrew J", "non-dropping-particle" : "", "parse-names" : false, "suffix" : "" }, { "dropping-particle" : "", "family" : "Tr\u00fcck", "given" : "Johannes", "non-dropping-particle" : "", "parse-names" : false, "suffix" : "" } ], "container-title" : "Human Vaccines &amp; Immunotherapeutics", "id" : "ITEM-1", "issue" : "6", "issued" : { "date-parts" : [ [ "2014", "3", "14" ] ] }, "page" : "1661-1668", "publisher" : "Landes Bioscience", "title" : "Polysaccharide-specific B cell responses to vaccination in humans", "type" : "article-journal", "volume" : "10" }, "uris" : [ "http://www.mendeley.com/documents/?uuid=3a127572-8f1b-4a76-aa35-ca88bc46cf35" ] } ], "mendeley" : { "formattedCitation" : "&lt;sup&gt;19&lt;/sup&gt;", "plainTextFormattedCitation" : "19", "previouslyFormattedCitation" : "&lt;sup&gt;18&lt;/sup&gt;" }, "properties" : { "noteIndex" : 0 }, "schema" : "https://github.com/citation-style-language/schema/raw/master/csl-citation.json" }</w:instrText>
      </w:r>
      <w:r w:rsidR="008C09A5"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19</w:t>
      </w:r>
      <w:r w:rsidR="008C09A5" w:rsidRPr="0098329B">
        <w:rPr>
          <w:rFonts w:ascii="Times New Roman" w:hAnsi="Times New Roman" w:cs="Times New Roman"/>
        </w:rPr>
        <w:fldChar w:fldCharType="end"/>
      </w:r>
      <w:r w:rsidR="007D4166" w:rsidRPr="0098329B">
        <w:rPr>
          <w:rFonts w:ascii="Times New Roman" w:hAnsi="Times New Roman" w:cs="Times New Roman"/>
        </w:rPr>
        <w:t xml:space="preserve"> </w:t>
      </w:r>
      <w:r w:rsidRPr="0098329B">
        <w:rPr>
          <w:rFonts w:ascii="Times New Roman" w:hAnsi="Times New Roman" w:cs="Times New Roman"/>
        </w:rPr>
        <w:t xml:space="preserve">Using </w:t>
      </w:r>
      <w:r w:rsidR="008A62A0">
        <w:rPr>
          <w:rFonts w:ascii="Times New Roman" w:hAnsi="Times New Roman" w:cs="Times New Roman"/>
        </w:rPr>
        <w:t>BCR repertoire</w:t>
      </w:r>
      <w:r w:rsidRPr="0098329B">
        <w:rPr>
          <w:rFonts w:ascii="Times New Roman" w:hAnsi="Times New Roman" w:cs="Times New Roman"/>
        </w:rPr>
        <w:t xml:space="preserve"> analysis of the response to two different </w:t>
      </w:r>
      <w:r w:rsidR="00F674F0" w:rsidRPr="00354432">
        <w:rPr>
          <w:rFonts w:ascii="Times New Roman" w:hAnsi="Times New Roman" w:cs="Times New Roman"/>
        </w:rPr>
        <w:t>meningococcal serogroup</w:t>
      </w:r>
      <w:r w:rsidRPr="00354432">
        <w:rPr>
          <w:rFonts w:ascii="Times New Roman" w:hAnsi="Times New Roman" w:cs="Times New Roman"/>
        </w:rPr>
        <w:t xml:space="preserve"> ACWY vaccines, this study suggest that insights </w:t>
      </w:r>
      <w:r w:rsidR="00F674F0" w:rsidRPr="00354432">
        <w:rPr>
          <w:rFonts w:ascii="Times New Roman" w:hAnsi="Times New Roman" w:cs="Times New Roman"/>
        </w:rPr>
        <w:t xml:space="preserve">into </w:t>
      </w:r>
      <w:r w:rsidR="00C43D15" w:rsidRPr="00354432">
        <w:rPr>
          <w:rFonts w:ascii="Times New Roman" w:hAnsi="Times New Roman" w:cs="Times New Roman"/>
        </w:rPr>
        <w:t>B cell activation</w:t>
      </w:r>
      <w:r w:rsidRPr="00354432">
        <w:rPr>
          <w:rFonts w:ascii="Times New Roman" w:hAnsi="Times New Roman" w:cs="Times New Roman"/>
        </w:rPr>
        <w:t xml:space="preserve"> can be obtained by relating </w:t>
      </w:r>
      <w:r w:rsidR="008A62A0">
        <w:rPr>
          <w:rFonts w:ascii="Times New Roman" w:hAnsi="Times New Roman" w:cs="Times New Roman"/>
        </w:rPr>
        <w:t>BCR</w:t>
      </w:r>
      <w:r w:rsidR="008A62A0" w:rsidRPr="00354432">
        <w:rPr>
          <w:rFonts w:ascii="Times New Roman" w:hAnsi="Times New Roman" w:cs="Times New Roman"/>
        </w:rPr>
        <w:t xml:space="preserve"> </w:t>
      </w:r>
      <w:r w:rsidR="00C43D15" w:rsidRPr="00C04382">
        <w:rPr>
          <w:rFonts w:ascii="Times New Roman" w:hAnsi="Times New Roman" w:cs="Times New Roman"/>
        </w:rPr>
        <w:t xml:space="preserve">sequence data from </w:t>
      </w:r>
      <w:r w:rsidR="00F674F0" w:rsidRPr="00F36532">
        <w:rPr>
          <w:rFonts w:ascii="Times New Roman" w:hAnsi="Times New Roman" w:cs="Times New Roman"/>
        </w:rPr>
        <w:t xml:space="preserve">post-vaccination </w:t>
      </w:r>
      <w:r w:rsidR="0033414C" w:rsidRPr="00F36532">
        <w:rPr>
          <w:rFonts w:ascii="Times New Roman" w:hAnsi="Times New Roman" w:cs="Times New Roman"/>
        </w:rPr>
        <w:t>PC</w:t>
      </w:r>
      <w:r w:rsidR="00F674F0" w:rsidRPr="00F36532">
        <w:rPr>
          <w:rFonts w:ascii="Times New Roman" w:hAnsi="Times New Roman" w:cs="Times New Roman"/>
        </w:rPr>
        <w:t xml:space="preserve">s </w:t>
      </w:r>
      <w:r w:rsidRPr="00F36532">
        <w:rPr>
          <w:rFonts w:ascii="Times New Roman" w:hAnsi="Times New Roman" w:cs="Times New Roman"/>
        </w:rPr>
        <w:t xml:space="preserve">to </w:t>
      </w:r>
      <w:r w:rsidR="00E96115">
        <w:rPr>
          <w:rFonts w:ascii="Times New Roman" w:hAnsi="Times New Roman" w:cs="Times New Roman"/>
        </w:rPr>
        <w:t>a variety of</w:t>
      </w:r>
      <w:r w:rsidR="00E96115" w:rsidRPr="00F36532">
        <w:rPr>
          <w:rFonts w:ascii="Times New Roman" w:hAnsi="Times New Roman" w:cs="Times New Roman"/>
        </w:rPr>
        <w:t xml:space="preserve"> </w:t>
      </w:r>
      <w:r w:rsidR="00C43D15" w:rsidRPr="00F36532">
        <w:rPr>
          <w:rFonts w:ascii="Times New Roman" w:hAnsi="Times New Roman" w:cs="Times New Roman"/>
        </w:rPr>
        <w:t>baseline</w:t>
      </w:r>
      <w:r w:rsidRPr="00F36532">
        <w:rPr>
          <w:rFonts w:ascii="Times New Roman" w:hAnsi="Times New Roman" w:cs="Times New Roman"/>
        </w:rPr>
        <w:t xml:space="preserve"> B cell subsets. The study has shown that </w:t>
      </w:r>
      <w:r w:rsidR="00CE3E1B">
        <w:rPr>
          <w:rFonts w:ascii="Times New Roman" w:hAnsi="Times New Roman" w:cs="Times New Roman"/>
        </w:rPr>
        <w:t>a</w:t>
      </w:r>
      <w:r w:rsidR="00E96115">
        <w:rPr>
          <w:rFonts w:ascii="Times New Roman" w:hAnsi="Times New Roman" w:cs="Times New Roman"/>
        </w:rPr>
        <w:t xml:space="preserve"> limited number of </w:t>
      </w:r>
      <w:r w:rsidR="00690623">
        <w:rPr>
          <w:rFonts w:ascii="Times New Roman" w:hAnsi="Times New Roman" w:cs="Times New Roman"/>
        </w:rPr>
        <w:t xml:space="preserve">global </w:t>
      </w:r>
      <w:r w:rsidR="00E96115">
        <w:rPr>
          <w:rFonts w:ascii="Times New Roman" w:hAnsi="Times New Roman" w:cs="Times New Roman"/>
        </w:rPr>
        <w:t>BCR repertoire properties</w:t>
      </w:r>
      <w:r w:rsidR="00690623">
        <w:rPr>
          <w:rFonts w:ascii="Times New Roman" w:hAnsi="Times New Roman" w:cs="Times New Roman"/>
        </w:rPr>
        <w:t xml:space="preserve"> </w:t>
      </w:r>
      <w:r w:rsidR="00E96115">
        <w:rPr>
          <w:rFonts w:ascii="Times New Roman" w:hAnsi="Times New Roman" w:cs="Times New Roman"/>
        </w:rPr>
        <w:t>(mean CDR3 length, mutation</w:t>
      </w:r>
      <w:r w:rsidR="00980E0F">
        <w:rPr>
          <w:rFonts w:ascii="Times New Roman" w:hAnsi="Times New Roman" w:cs="Times New Roman"/>
        </w:rPr>
        <w:t xml:space="preserve"> and</w:t>
      </w:r>
      <w:r w:rsidR="00E96115">
        <w:rPr>
          <w:rFonts w:ascii="Times New Roman" w:hAnsi="Times New Roman" w:cs="Times New Roman"/>
        </w:rPr>
        <w:t xml:space="preserve"> clonality) </w:t>
      </w:r>
      <w:r w:rsidR="0030209F">
        <w:rPr>
          <w:rFonts w:ascii="Times New Roman" w:hAnsi="Times New Roman" w:cs="Times New Roman"/>
        </w:rPr>
        <w:t xml:space="preserve">can </w:t>
      </w:r>
      <w:r w:rsidR="00690623">
        <w:rPr>
          <w:rFonts w:ascii="Times New Roman" w:hAnsi="Times New Roman" w:cs="Times New Roman"/>
        </w:rPr>
        <w:t xml:space="preserve">be used to </w:t>
      </w:r>
      <w:r w:rsidR="00E96115">
        <w:rPr>
          <w:rFonts w:ascii="Times New Roman" w:hAnsi="Times New Roman" w:cs="Times New Roman"/>
        </w:rPr>
        <w:t>define</w:t>
      </w:r>
      <w:r w:rsidR="00690623">
        <w:rPr>
          <w:rFonts w:ascii="Times New Roman" w:hAnsi="Times New Roman" w:cs="Times New Roman"/>
        </w:rPr>
        <w:t xml:space="preserve"> different</w:t>
      </w:r>
      <w:r w:rsidR="00E96115">
        <w:rPr>
          <w:rFonts w:ascii="Times New Roman" w:hAnsi="Times New Roman" w:cs="Times New Roman"/>
        </w:rPr>
        <w:t xml:space="preserve"> baseline subsets</w:t>
      </w:r>
      <w:r w:rsidR="00690623">
        <w:rPr>
          <w:rFonts w:ascii="Times New Roman" w:hAnsi="Times New Roman" w:cs="Times New Roman"/>
        </w:rPr>
        <w:t>, and that these properties are well conserved between individuals. I</w:t>
      </w:r>
      <w:r w:rsidR="0030209F">
        <w:rPr>
          <w:rFonts w:ascii="Times New Roman" w:hAnsi="Times New Roman" w:cs="Times New Roman"/>
        </w:rPr>
        <w:t xml:space="preserve">n contrast, </w:t>
      </w:r>
      <w:r w:rsidRPr="00F36532">
        <w:rPr>
          <w:rFonts w:ascii="Times New Roman" w:hAnsi="Times New Roman" w:cs="Times New Roman"/>
        </w:rPr>
        <w:t xml:space="preserve">antigen stimulated </w:t>
      </w:r>
      <w:r w:rsidR="0033414C" w:rsidRPr="00F36532">
        <w:rPr>
          <w:rFonts w:ascii="Times New Roman" w:hAnsi="Times New Roman" w:cs="Times New Roman"/>
        </w:rPr>
        <w:t>PC</w:t>
      </w:r>
      <w:r w:rsidRPr="00F36532">
        <w:rPr>
          <w:rFonts w:ascii="Times New Roman" w:hAnsi="Times New Roman" w:cs="Times New Roman"/>
        </w:rPr>
        <w:t xml:space="preserve">s </w:t>
      </w:r>
      <w:r w:rsidR="00690623">
        <w:rPr>
          <w:rFonts w:ascii="Times New Roman" w:hAnsi="Times New Roman" w:cs="Times New Roman"/>
        </w:rPr>
        <w:t xml:space="preserve">display more inter-individual variation in </w:t>
      </w:r>
      <w:r w:rsidR="00690623" w:rsidRPr="008A4B25">
        <w:rPr>
          <w:rFonts w:ascii="Times New Roman" w:hAnsi="Times New Roman" w:cs="Times New Roman"/>
          <w:color w:val="000000" w:themeColor="text1"/>
        </w:rPr>
        <w:t>these global repertoire properties</w:t>
      </w:r>
      <w:r w:rsidR="00E5592F" w:rsidRPr="008A4B25">
        <w:rPr>
          <w:rFonts w:ascii="Times New Roman" w:hAnsi="Times New Roman" w:cs="Times New Roman"/>
          <w:color w:val="000000" w:themeColor="text1"/>
        </w:rPr>
        <w:t xml:space="preserve">. </w:t>
      </w:r>
      <w:r w:rsidR="00690623" w:rsidRPr="008A4B25">
        <w:rPr>
          <w:rFonts w:ascii="Times New Roman" w:hAnsi="Times New Roman" w:cs="Times New Roman"/>
          <w:color w:val="000000" w:themeColor="text1"/>
        </w:rPr>
        <w:t>D</w:t>
      </w:r>
      <w:r w:rsidR="0030209F" w:rsidRPr="008A4B25">
        <w:rPr>
          <w:rFonts w:ascii="Times New Roman" w:hAnsi="Times New Roman" w:cs="Times New Roman"/>
          <w:color w:val="000000" w:themeColor="text1"/>
        </w:rPr>
        <w:t>espite this diversity</w:t>
      </w:r>
      <w:r w:rsidR="00690623" w:rsidRPr="008A4B25">
        <w:rPr>
          <w:rFonts w:ascii="Times New Roman" w:hAnsi="Times New Roman" w:cs="Times New Roman"/>
          <w:color w:val="000000" w:themeColor="text1"/>
        </w:rPr>
        <w:t xml:space="preserve"> in global repertoire properties,</w:t>
      </w:r>
      <w:r w:rsidR="0030209F" w:rsidRPr="008A4B25">
        <w:rPr>
          <w:rFonts w:ascii="Times New Roman" w:hAnsi="Times New Roman" w:cs="Times New Roman"/>
          <w:color w:val="000000" w:themeColor="text1"/>
        </w:rPr>
        <w:t xml:space="preserve"> the PCs </w:t>
      </w:r>
      <w:r w:rsidRPr="008A4B25">
        <w:rPr>
          <w:rFonts w:ascii="Times New Roman" w:hAnsi="Times New Roman" w:cs="Times New Roman"/>
          <w:color w:val="000000" w:themeColor="text1"/>
        </w:rPr>
        <w:t>show a</w:t>
      </w:r>
      <w:r w:rsidR="008E3FDB" w:rsidRPr="008A4B25">
        <w:rPr>
          <w:rFonts w:ascii="Times New Roman" w:hAnsi="Times New Roman" w:cs="Times New Roman"/>
          <w:color w:val="000000" w:themeColor="text1"/>
        </w:rPr>
        <w:t xml:space="preserve"> high</w:t>
      </w:r>
      <w:r w:rsidR="0030209F" w:rsidRPr="008A4B25">
        <w:rPr>
          <w:rFonts w:ascii="Times New Roman" w:hAnsi="Times New Roman" w:cs="Times New Roman"/>
          <w:color w:val="000000" w:themeColor="text1"/>
        </w:rPr>
        <w:t>er</w:t>
      </w:r>
      <w:r w:rsidRPr="008A4B25">
        <w:rPr>
          <w:rFonts w:ascii="Times New Roman" w:hAnsi="Times New Roman" w:cs="Times New Roman"/>
          <w:color w:val="000000" w:themeColor="text1"/>
        </w:rPr>
        <w:t xml:space="preserve"> degree of </w:t>
      </w:r>
      <w:r w:rsidR="0030209F" w:rsidRPr="008A4B25">
        <w:rPr>
          <w:rFonts w:ascii="Times New Roman" w:hAnsi="Times New Roman" w:cs="Times New Roman"/>
          <w:color w:val="000000" w:themeColor="text1"/>
        </w:rPr>
        <w:t xml:space="preserve">sharing </w:t>
      </w:r>
      <w:r w:rsidR="00690623" w:rsidRPr="008A4B25">
        <w:rPr>
          <w:rFonts w:ascii="Times New Roman" w:hAnsi="Times New Roman" w:cs="Times New Roman"/>
          <w:color w:val="000000" w:themeColor="text1"/>
        </w:rPr>
        <w:t>between individuals at the level of the</w:t>
      </w:r>
      <w:r w:rsidR="0030209F" w:rsidRPr="008A4B25">
        <w:rPr>
          <w:rFonts w:ascii="Times New Roman" w:hAnsi="Times New Roman" w:cs="Times New Roman"/>
          <w:color w:val="000000" w:themeColor="text1"/>
        </w:rPr>
        <w:t xml:space="preserve"> CDR3</w:t>
      </w:r>
      <w:r w:rsidR="00690623" w:rsidRPr="008A4B25">
        <w:rPr>
          <w:rFonts w:ascii="Times New Roman" w:hAnsi="Times New Roman" w:cs="Times New Roman"/>
          <w:color w:val="000000" w:themeColor="text1"/>
        </w:rPr>
        <w:t xml:space="preserve"> AA sequence (</w:t>
      </w:r>
      <w:r w:rsidR="0030209F" w:rsidRPr="008A4B25">
        <w:rPr>
          <w:rFonts w:ascii="Times New Roman" w:hAnsi="Times New Roman" w:cs="Times New Roman"/>
          <w:color w:val="000000" w:themeColor="text1"/>
        </w:rPr>
        <w:t>the most critical for antigen binding</w:t>
      </w:r>
      <w:r w:rsidR="00690623" w:rsidRPr="008A4B25">
        <w:rPr>
          <w:rFonts w:ascii="Times New Roman" w:hAnsi="Times New Roman" w:cs="Times New Roman"/>
          <w:color w:val="000000" w:themeColor="text1"/>
        </w:rPr>
        <w:t>)</w:t>
      </w:r>
      <w:r w:rsidR="0030209F" w:rsidRPr="008A4B25">
        <w:rPr>
          <w:rFonts w:ascii="Times New Roman" w:hAnsi="Times New Roman" w:cs="Times New Roman"/>
          <w:color w:val="000000" w:themeColor="text1"/>
        </w:rPr>
        <w:t>, when compared to the baseline subsets.</w:t>
      </w:r>
      <w:r w:rsidR="00DB2EEE" w:rsidRPr="008A4B25">
        <w:rPr>
          <w:rFonts w:ascii="Times New Roman" w:hAnsi="Times New Roman" w:cs="Times New Roman"/>
          <w:color w:val="000000" w:themeColor="text1"/>
        </w:rPr>
        <w:t xml:space="preserve"> </w:t>
      </w:r>
      <w:r w:rsidR="00390A7D" w:rsidRPr="008A4B25">
        <w:rPr>
          <w:rFonts w:ascii="Times New Roman" w:hAnsi="Times New Roman" w:cs="Times New Roman"/>
          <w:color w:val="000000" w:themeColor="text1"/>
        </w:rPr>
        <w:t xml:space="preserve">Although we recognize that such sharing can come from cross-sample PCR contamination, laboratory work was conducted under stringent conditions with this in mind, and we find no contaminant sequences present in all samples, indicating that this would not have had a large effect on our results. </w:t>
      </w:r>
      <w:r w:rsidR="004A1FD9" w:rsidRPr="008A4B25">
        <w:rPr>
          <w:rFonts w:ascii="Times New Roman" w:hAnsi="Times New Roman" w:cs="Times New Roman"/>
          <w:color w:val="000000" w:themeColor="text1"/>
        </w:rPr>
        <w:t>The</w:t>
      </w:r>
      <w:r w:rsidR="0030209F" w:rsidRPr="008A4B25">
        <w:rPr>
          <w:rFonts w:ascii="Times New Roman" w:hAnsi="Times New Roman" w:cs="Times New Roman"/>
          <w:color w:val="000000" w:themeColor="text1"/>
        </w:rPr>
        <w:t xml:space="preserve"> finding </w:t>
      </w:r>
      <w:r w:rsidR="004A1FD9" w:rsidRPr="008A4B25">
        <w:rPr>
          <w:rFonts w:ascii="Times New Roman" w:hAnsi="Times New Roman" w:cs="Times New Roman"/>
          <w:color w:val="000000" w:themeColor="text1"/>
        </w:rPr>
        <w:t xml:space="preserve">of PCs expressing the greatest difference between individuals in their global repertoire properties </w:t>
      </w:r>
      <w:r w:rsidR="0030209F" w:rsidRPr="008A4B25">
        <w:rPr>
          <w:rFonts w:ascii="Times New Roman" w:hAnsi="Times New Roman" w:cs="Times New Roman"/>
          <w:color w:val="000000" w:themeColor="text1"/>
        </w:rPr>
        <w:t>is</w:t>
      </w:r>
      <w:r w:rsidR="008F7A76" w:rsidRPr="008A4B25">
        <w:rPr>
          <w:rFonts w:ascii="Times New Roman" w:hAnsi="Times New Roman" w:cs="Times New Roman"/>
          <w:color w:val="000000" w:themeColor="text1"/>
        </w:rPr>
        <w:t xml:space="preserve"> </w:t>
      </w:r>
      <w:r w:rsidRPr="008A4B25">
        <w:rPr>
          <w:rFonts w:ascii="Times New Roman" w:hAnsi="Times New Roman" w:cs="Times New Roman"/>
          <w:color w:val="000000" w:themeColor="text1"/>
        </w:rPr>
        <w:t xml:space="preserve">consistent with </w:t>
      </w:r>
      <w:r w:rsidR="000C4FE9" w:rsidRPr="008A4B25">
        <w:rPr>
          <w:rFonts w:ascii="Times New Roman" w:hAnsi="Times New Roman" w:cs="Times New Roman"/>
          <w:color w:val="000000" w:themeColor="text1"/>
        </w:rPr>
        <w:t>the</w:t>
      </w:r>
      <w:r w:rsidR="004A1FD9" w:rsidRPr="008A4B25">
        <w:rPr>
          <w:rFonts w:ascii="Times New Roman" w:hAnsi="Times New Roman" w:cs="Times New Roman"/>
          <w:color w:val="000000" w:themeColor="text1"/>
        </w:rPr>
        <w:t>m</w:t>
      </w:r>
      <w:r w:rsidR="000C4FE9" w:rsidRPr="008A4B25">
        <w:rPr>
          <w:rFonts w:ascii="Times New Roman" w:hAnsi="Times New Roman" w:cs="Times New Roman"/>
          <w:color w:val="000000" w:themeColor="text1"/>
        </w:rPr>
        <w:t xml:space="preserve"> p</w:t>
      </w:r>
      <w:r w:rsidR="002D1F18" w:rsidRPr="008A4B25">
        <w:rPr>
          <w:rFonts w:ascii="Times New Roman" w:hAnsi="Times New Roman" w:cs="Times New Roman"/>
          <w:color w:val="000000" w:themeColor="text1"/>
        </w:rPr>
        <w:t>otentially being activated from</w:t>
      </w:r>
      <w:r w:rsidR="00E93636" w:rsidRPr="008A4B25">
        <w:rPr>
          <w:rFonts w:ascii="Times New Roman" w:hAnsi="Times New Roman" w:cs="Times New Roman"/>
          <w:color w:val="000000" w:themeColor="text1"/>
        </w:rPr>
        <w:t xml:space="preserve"> a variety of </w:t>
      </w:r>
      <w:r w:rsidR="000C4FE9" w:rsidRPr="008A4B25">
        <w:rPr>
          <w:rFonts w:ascii="Times New Roman" w:hAnsi="Times New Roman" w:cs="Times New Roman"/>
          <w:color w:val="000000" w:themeColor="text1"/>
        </w:rPr>
        <w:t>different baseline B cell subsets</w:t>
      </w:r>
      <w:r w:rsidR="008B0B6E" w:rsidRPr="008A4B25">
        <w:rPr>
          <w:rFonts w:ascii="Times New Roman" w:hAnsi="Times New Roman" w:cs="Times New Roman"/>
          <w:color w:val="000000" w:themeColor="text1"/>
        </w:rPr>
        <w:t>,</w:t>
      </w:r>
      <w:r w:rsidR="00E93636" w:rsidRPr="008A4B25">
        <w:rPr>
          <w:rFonts w:ascii="Times New Roman" w:hAnsi="Times New Roman" w:cs="Times New Roman"/>
          <w:color w:val="000000" w:themeColor="text1"/>
        </w:rPr>
        <w:t xml:space="preserve"> which will differ for each individual. The greater proportion of shared sequences in the PC</w:t>
      </w:r>
      <w:r w:rsidR="004A1FD9" w:rsidRPr="008A4B25">
        <w:rPr>
          <w:rFonts w:ascii="Times New Roman" w:hAnsi="Times New Roman" w:cs="Times New Roman"/>
          <w:color w:val="000000" w:themeColor="text1"/>
        </w:rPr>
        <w:t>s</w:t>
      </w:r>
      <w:r w:rsidR="00E93636" w:rsidRPr="008A4B25">
        <w:rPr>
          <w:rFonts w:ascii="Times New Roman" w:hAnsi="Times New Roman" w:cs="Times New Roman"/>
          <w:color w:val="000000" w:themeColor="text1"/>
        </w:rPr>
        <w:t xml:space="preserve"> suggests</w:t>
      </w:r>
      <w:r w:rsidR="004A1FD9" w:rsidRPr="008A4B25">
        <w:rPr>
          <w:rFonts w:ascii="Times New Roman" w:hAnsi="Times New Roman" w:cs="Times New Roman"/>
          <w:color w:val="000000" w:themeColor="text1"/>
        </w:rPr>
        <w:t xml:space="preserve"> that there is then</w:t>
      </w:r>
      <w:r w:rsidR="00E93636" w:rsidRPr="008A4B25">
        <w:rPr>
          <w:rFonts w:ascii="Times New Roman" w:hAnsi="Times New Roman" w:cs="Times New Roman"/>
          <w:color w:val="000000" w:themeColor="text1"/>
        </w:rPr>
        <w:t xml:space="preserve"> some degree of </w:t>
      </w:r>
      <w:r w:rsidR="000C4FE9" w:rsidRPr="008A4B25">
        <w:rPr>
          <w:rFonts w:ascii="Times New Roman" w:hAnsi="Times New Roman" w:cs="Times New Roman"/>
          <w:color w:val="000000" w:themeColor="text1"/>
        </w:rPr>
        <w:t>converg</w:t>
      </w:r>
      <w:r w:rsidR="00E93636" w:rsidRPr="008A4B25">
        <w:rPr>
          <w:rFonts w:ascii="Times New Roman" w:hAnsi="Times New Roman" w:cs="Times New Roman"/>
          <w:color w:val="000000" w:themeColor="text1"/>
        </w:rPr>
        <w:t>ence</w:t>
      </w:r>
      <w:r w:rsidR="000C4FE9" w:rsidRPr="008A4B25">
        <w:rPr>
          <w:rFonts w:ascii="Times New Roman" w:hAnsi="Times New Roman" w:cs="Times New Roman"/>
          <w:color w:val="000000" w:themeColor="text1"/>
        </w:rPr>
        <w:t xml:space="preserve"> at the sequence level </w:t>
      </w:r>
      <w:r w:rsidR="00DB2EEE" w:rsidRPr="008A4B25">
        <w:rPr>
          <w:rFonts w:ascii="Times New Roman" w:hAnsi="Times New Roman" w:cs="Times New Roman"/>
          <w:color w:val="000000" w:themeColor="text1"/>
        </w:rPr>
        <w:t xml:space="preserve">to </w:t>
      </w:r>
      <w:r w:rsidR="008B0B6E" w:rsidRPr="008A4B25">
        <w:rPr>
          <w:rFonts w:ascii="Times New Roman" w:hAnsi="Times New Roman" w:cs="Times New Roman"/>
          <w:color w:val="000000" w:themeColor="text1"/>
        </w:rPr>
        <w:t xml:space="preserve">the vaccine </w:t>
      </w:r>
      <w:r w:rsidR="00E93636" w:rsidRPr="008A4B25">
        <w:rPr>
          <w:rFonts w:ascii="Times New Roman" w:hAnsi="Times New Roman" w:cs="Times New Roman"/>
          <w:color w:val="000000" w:themeColor="text1"/>
        </w:rPr>
        <w:t>antigens stimulating the</w:t>
      </w:r>
      <w:r w:rsidR="008B0B6E" w:rsidRPr="008A4B25">
        <w:rPr>
          <w:rFonts w:ascii="Times New Roman" w:hAnsi="Times New Roman" w:cs="Times New Roman"/>
          <w:color w:val="000000" w:themeColor="text1"/>
        </w:rPr>
        <w:t>ir</w:t>
      </w:r>
      <w:r w:rsidR="00E93636" w:rsidRPr="008A4B25">
        <w:rPr>
          <w:rFonts w:ascii="Times New Roman" w:hAnsi="Times New Roman" w:cs="Times New Roman"/>
          <w:color w:val="000000" w:themeColor="text1"/>
        </w:rPr>
        <w:t xml:space="preserve"> production</w:t>
      </w:r>
      <w:r w:rsidRPr="008A4B25">
        <w:rPr>
          <w:rFonts w:ascii="Times New Roman" w:hAnsi="Times New Roman" w:cs="Times New Roman"/>
          <w:color w:val="000000" w:themeColor="text1"/>
        </w:rPr>
        <w:t xml:space="preserve">. </w:t>
      </w:r>
      <w:r w:rsidR="0030209F" w:rsidRPr="008A4B25">
        <w:rPr>
          <w:rFonts w:ascii="Times New Roman" w:hAnsi="Times New Roman" w:cs="Times New Roman"/>
          <w:color w:val="000000" w:themeColor="text1"/>
        </w:rPr>
        <w:t>Furthermore o</w:t>
      </w:r>
      <w:r w:rsidR="0045209E" w:rsidRPr="008A4B25">
        <w:rPr>
          <w:rFonts w:ascii="Times New Roman" w:hAnsi="Times New Roman" w:cs="Times New Roman"/>
          <w:color w:val="000000" w:themeColor="text1"/>
        </w:rPr>
        <w:t>ur data suggest that immunisation with p</w:t>
      </w:r>
      <w:r w:rsidR="00BE06B3" w:rsidRPr="008A4B25">
        <w:rPr>
          <w:rFonts w:ascii="Times New Roman" w:hAnsi="Times New Roman" w:cs="Times New Roman"/>
          <w:color w:val="000000" w:themeColor="text1"/>
        </w:rPr>
        <w:t>rotein-polysaccharide c</w:t>
      </w:r>
      <w:r w:rsidR="00403140" w:rsidRPr="008A4B25">
        <w:rPr>
          <w:rFonts w:ascii="Times New Roman" w:hAnsi="Times New Roman" w:cs="Times New Roman"/>
          <w:color w:val="000000" w:themeColor="text1"/>
        </w:rPr>
        <w:t>onjugate vaccin</w:t>
      </w:r>
      <w:r w:rsidR="0045209E" w:rsidRPr="008A4B25">
        <w:rPr>
          <w:rFonts w:ascii="Times New Roman" w:hAnsi="Times New Roman" w:cs="Times New Roman"/>
          <w:color w:val="000000" w:themeColor="text1"/>
        </w:rPr>
        <w:t>es</w:t>
      </w:r>
      <w:r w:rsidR="00403140" w:rsidRPr="008A4B25">
        <w:rPr>
          <w:rFonts w:ascii="Times New Roman" w:hAnsi="Times New Roman" w:cs="Times New Roman"/>
          <w:color w:val="000000" w:themeColor="text1"/>
        </w:rPr>
        <w:t xml:space="preserve"> </w:t>
      </w:r>
      <w:r w:rsidR="0045209E" w:rsidRPr="008A4B25">
        <w:rPr>
          <w:rFonts w:ascii="Times New Roman" w:hAnsi="Times New Roman" w:cs="Times New Roman"/>
          <w:color w:val="000000" w:themeColor="text1"/>
        </w:rPr>
        <w:t xml:space="preserve">stimulates the </w:t>
      </w:r>
      <w:r w:rsidR="00BE06B3" w:rsidRPr="008A4B25">
        <w:rPr>
          <w:rFonts w:ascii="Times New Roman" w:hAnsi="Times New Roman" w:cs="Times New Roman"/>
          <w:color w:val="000000" w:themeColor="text1"/>
        </w:rPr>
        <w:t xml:space="preserve">development of </w:t>
      </w:r>
      <w:r w:rsidR="0033414C" w:rsidRPr="008A4B25">
        <w:rPr>
          <w:rFonts w:ascii="Times New Roman" w:hAnsi="Times New Roman" w:cs="Times New Roman"/>
          <w:color w:val="000000" w:themeColor="text1"/>
        </w:rPr>
        <w:t>PC</w:t>
      </w:r>
      <w:r w:rsidR="00BE06B3" w:rsidRPr="008A4B25">
        <w:rPr>
          <w:rFonts w:ascii="Times New Roman" w:hAnsi="Times New Roman" w:cs="Times New Roman"/>
          <w:color w:val="000000" w:themeColor="text1"/>
        </w:rPr>
        <w:t>s</w:t>
      </w:r>
      <w:r w:rsidR="00403140" w:rsidRPr="008A4B25">
        <w:rPr>
          <w:rFonts w:ascii="Times New Roman" w:hAnsi="Times New Roman" w:cs="Times New Roman"/>
          <w:color w:val="000000" w:themeColor="text1"/>
        </w:rPr>
        <w:t xml:space="preserve"> from IgG memory cells, but plain polysaccharide vaccination </w:t>
      </w:r>
      <w:r w:rsidRPr="008A4B25">
        <w:rPr>
          <w:rFonts w:ascii="Times New Roman" w:hAnsi="Times New Roman" w:cs="Times New Roman"/>
          <w:color w:val="000000" w:themeColor="text1"/>
        </w:rPr>
        <w:t>resu</w:t>
      </w:r>
      <w:r w:rsidR="00403140" w:rsidRPr="008A4B25">
        <w:rPr>
          <w:rFonts w:ascii="Times New Roman" w:hAnsi="Times New Roman" w:cs="Times New Roman"/>
          <w:color w:val="000000" w:themeColor="text1"/>
        </w:rPr>
        <w:t xml:space="preserve">lts in significant numbers of B </w:t>
      </w:r>
      <w:r w:rsidRPr="008A4B25">
        <w:rPr>
          <w:rFonts w:ascii="Times New Roman" w:hAnsi="Times New Roman" w:cs="Times New Roman"/>
          <w:color w:val="000000" w:themeColor="text1"/>
        </w:rPr>
        <w:t xml:space="preserve">cells being derived from IgM memory and </w:t>
      </w:r>
      <w:r w:rsidR="00791C14" w:rsidRPr="008A4B25">
        <w:rPr>
          <w:rFonts w:ascii="Times New Roman" w:hAnsi="Times New Roman" w:cs="Times New Roman"/>
          <w:color w:val="000000" w:themeColor="text1"/>
        </w:rPr>
        <w:t>MZ</w:t>
      </w:r>
      <w:r w:rsidR="00403140" w:rsidRPr="008A4B25">
        <w:rPr>
          <w:rFonts w:ascii="Times New Roman" w:hAnsi="Times New Roman" w:cs="Times New Roman"/>
          <w:color w:val="000000" w:themeColor="text1"/>
        </w:rPr>
        <w:t xml:space="preserve"> B </w:t>
      </w:r>
      <w:r w:rsidR="00096475" w:rsidRPr="008A4B25">
        <w:rPr>
          <w:rFonts w:ascii="Times New Roman" w:hAnsi="Times New Roman" w:cs="Times New Roman"/>
          <w:color w:val="000000" w:themeColor="text1"/>
        </w:rPr>
        <w:t>cells</w:t>
      </w:r>
      <w:r w:rsidR="00B652B5" w:rsidRPr="008A4B25">
        <w:rPr>
          <w:rFonts w:ascii="Times New Roman" w:hAnsi="Times New Roman" w:cs="Times New Roman"/>
          <w:color w:val="000000" w:themeColor="text1"/>
        </w:rPr>
        <w:t xml:space="preserve"> as well</w:t>
      </w:r>
      <w:r w:rsidR="00096475" w:rsidRPr="008A4B25">
        <w:rPr>
          <w:rFonts w:ascii="Times New Roman" w:hAnsi="Times New Roman" w:cs="Times New Roman"/>
          <w:color w:val="000000" w:themeColor="text1"/>
        </w:rPr>
        <w:t xml:space="preserve">. Further dissection of the </w:t>
      </w:r>
      <w:r w:rsidR="0033414C" w:rsidRPr="008A4B25">
        <w:rPr>
          <w:rFonts w:ascii="Times New Roman" w:hAnsi="Times New Roman" w:cs="Times New Roman"/>
          <w:color w:val="000000" w:themeColor="text1"/>
        </w:rPr>
        <w:t>PC</w:t>
      </w:r>
      <w:r w:rsidR="00096475" w:rsidRPr="008A4B25">
        <w:rPr>
          <w:rFonts w:ascii="Times New Roman" w:hAnsi="Times New Roman" w:cs="Times New Roman"/>
          <w:color w:val="000000" w:themeColor="text1"/>
        </w:rPr>
        <w:t xml:space="preserve"> sequences gives insight into differential IgG subclass usage, and </w:t>
      </w:r>
      <w:r w:rsidR="00C426F3" w:rsidRPr="008A4B25">
        <w:rPr>
          <w:rFonts w:ascii="Times New Roman" w:hAnsi="Times New Roman" w:cs="Times New Roman"/>
          <w:color w:val="000000" w:themeColor="text1"/>
        </w:rPr>
        <w:t xml:space="preserve">V gene </w:t>
      </w:r>
      <w:r w:rsidR="00096475" w:rsidRPr="008A4B25">
        <w:rPr>
          <w:rFonts w:ascii="Times New Roman" w:hAnsi="Times New Roman" w:cs="Times New Roman"/>
          <w:color w:val="000000" w:themeColor="text1"/>
        </w:rPr>
        <w:t xml:space="preserve">mutation induced by the two vaccines. </w:t>
      </w:r>
    </w:p>
    <w:p w14:paraId="46BCE6CF" w14:textId="79E64FD2" w:rsidR="009B07F7" w:rsidRPr="008A4B25" w:rsidRDefault="00096475" w:rsidP="00E26B1F">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D</w:t>
      </w:r>
      <w:r w:rsidR="003C7264" w:rsidRPr="008A4B25">
        <w:rPr>
          <w:rFonts w:ascii="Times New Roman" w:hAnsi="Times New Roman" w:cs="Times New Roman"/>
          <w:color w:val="000000" w:themeColor="text1"/>
        </w:rPr>
        <w:t xml:space="preserve">ifferences have previously been observed </w:t>
      </w:r>
      <w:r w:rsidR="008A62A0" w:rsidRPr="008A4B25">
        <w:rPr>
          <w:rFonts w:ascii="Times New Roman" w:hAnsi="Times New Roman" w:cs="Times New Roman"/>
          <w:color w:val="000000" w:themeColor="text1"/>
        </w:rPr>
        <w:t xml:space="preserve">in the BCR repertoire </w:t>
      </w:r>
      <w:r w:rsidR="003C7264" w:rsidRPr="008A4B25">
        <w:rPr>
          <w:rFonts w:ascii="Times New Roman" w:hAnsi="Times New Roman" w:cs="Times New Roman"/>
          <w:color w:val="000000" w:themeColor="text1"/>
        </w:rPr>
        <w:t xml:space="preserve">between naïve, IgM memory and IgG memory </w:t>
      </w:r>
      <w:r w:rsidR="00580329" w:rsidRPr="008A4B25">
        <w:rPr>
          <w:rFonts w:ascii="Times New Roman" w:hAnsi="Times New Roman" w:cs="Times New Roman"/>
          <w:color w:val="000000" w:themeColor="text1"/>
        </w:rPr>
        <w:t>cell subsets</w:t>
      </w:r>
      <w:r w:rsidR="003C7264"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"10.1038/gene.2012.20", "ISSN" : "1476-5470", "PMID" : "22622198", "abstract" : "Vast diversity in the antibody repertoire is a key component of the adaptive immune response. This diversity is generated centrally through the assembly of variable, diversity and joining gene segments, and peripherally by somatic hypermutation and class-switch recombination. The peripheral diversification process is thought to only occur in response to antigenic stimulus, producing antigen-selected memory B cells. Surprisingly, analyses of the variable, diversity and joining gene segments have revealed that the na\u00efve and memory subsets are composed of similar proportions of these elements. Lacking, however, is a more detailed study, analyzing the repertoires of na\u00efve and memory subsets at the level of the complete V(D)J recombinant. This report presents a thorough examination of V(D)J recombinants in the human peripheral blood repertoire, revealing surprisingly large repertoire differences between circulating B-cell subsets and providing genetic evidence for global control of repertoire diversity in na\u00efve and memory circulating B-cell subsets.", "author" : [ { "dropping-particle" : "", "family" : "Briney", "given" : "B S", "non-dropping-particle" : "", "parse-names" : false, "suffix" : "" }, { "dropping-particle" : "", "family" : "Willis", "given" : "J R", "non-dropping-particle" : "", "parse-names" : false, "suffix" : "" }, { "dropping-particle" : "", "family" : "McKinney", "given" : "B A", "non-dropping-particle" : "", "parse-names" : false, "suffix" : "" }, { "dropping-particle" : "", "family" : "Crowe", "given" : "J E", "non-dropping-particle" : "", "parse-names" : false, "suffix" : "" } ], "container-title" : "Genes Immun.", "id" : "ITEM-1", "issue" : "6", "issued" : { "date-parts" : [ [ "2012", "9" ] ] }, "page" : "469-73", "publisher" : "Nature Publishing Group", "title" : "High-throughput antibody sequencing reveals genetic evidence of global regulation of the na\u00efve and memory repertoires that extends across individuals", "type" : "article-journal", "volume" : "13" }, "uris" : [ "http://www.mendeley.com/documents/?uuid=5a5b3616-eaf8-4e2b-957f-8187633e8e3f" ] }, { "id" : "ITEM-2", "itemData" : { "DOI" : "10.1182/blood-2010-03-275859", "ISSN" : "1528-0020", "PMID" : "20457872", "abstract" : "B-cell receptor (BCR) diversity is achieved centrally by rearrangement of Variable, Diversity, and Joining genes, and peripherally by somatic hypermutation and class-switching of the rearranged genes. Peripheral B-cell populations are subject to both negative and positive selection events in the course of their development that have the potential to shape the BCR repertoire. The origin of IgM(+)IgD(+)CD27(+) (IgM memory) cells is controversial. It has been suggested that they may be a prediversified, antigen-independent, population of cells or that they are a population of cells that develop in response to T-independent antigens. Most recently, it was suggested that the majority of IgM memory cells are directly related to switched memory cells and are early emigrants from the germinal center reaction. Advances in sequencing technology have enabled us to undertake large scale IGH repertoire analysis of transitional, naive, IgM memory and switched memory B-cell populations. We find that the memory B-cell repertoires differ from the transitional and naive repertoires, and that the IgM memory repertoire is distinct from that of class-switched memory. Thus we conclude that a large proportion of IgM memory cells develop in response to different stimuli than for class-switched memory cell development.", "author" : [ { "dropping-particle" : "", "family" : "Wu", "given" : "Yu-Chang", "non-dropping-particle" : "", "parse-names" : false, "suffix" : "" }, { "dropping-particle" : "", "family" : "Kipling", "given" : "David", "non-dropping-particle" : "", "parse-names" : false, "suffix" : "" }, { "dropping-particle" : "", "family" : "Leong", "given" : "Hui Sun", "non-dropping-particle" : "", "parse-names" : false, "suffix" : "" }, { "dropping-particle" : "", "family" : "Martin", "given" : "Victoria", "non-dropping-particle" : "", "parse-names" : false, "suffix" : "" }, { "dropping-particle" : "", "family" : "Ademokun", "given" : "Alexander A", "non-dropping-particle" : "", "parse-names" : false, "suffix" : "" }, { "dropping-particle" : "", "family" : "Dunn-Walters", "given" : "Deborah K", "non-dropping-particle" : "", "parse-names" : false, "suffix" : "" } ], "container-title" : "Blood", "id" : "ITEM-2", "issue" : "7", "issued" : { "date-parts" : [ [ "2010", "8", "19" ] ] }, "page" : "1070-8", "title" : "High-throughput immunoglobulin repertoire analysis distinguishes between human IgM memory and switched memory B-cell populations", "type" : "article-journal", "volume" : "116" }, "uris" : [ "http://www.mendeley.com/documents/?uuid=0f20ff95-bb6e-4a4b-a60c-4dcac0e827c1" ] } ], "mendeley" : { "formattedCitation" : "&lt;sup&gt;20,21&lt;/sup&gt;", "plainTextFormattedCitation" : "20,21", "previouslyFormattedCitation" : "&lt;sup&gt;19,20&lt;/sup&gt;" }, "properties" : { "noteIndex" : 0 }, "schema" : "https://github.com/citation-style-language/schema/raw/master/csl-citation.json" }</w:instrText>
      </w:r>
      <w:r w:rsidR="003C7264"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20,21</w:t>
      </w:r>
      <w:r w:rsidR="003C7264" w:rsidRPr="008A4B25">
        <w:rPr>
          <w:rFonts w:ascii="Times New Roman" w:hAnsi="Times New Roman" w:cs="Times New Roman"/>
          <w:color w:val="000000" w:themeColor="text1"/>
        </w:rPr>
        <w:fldChar w:fldCharType="end"/>
      </w:r>
      <w:r w:rsidR="0076093D" w:rsidRPr="008A4B25">
        <w:rPr>
          <w:rFonts w:ascii="Times New Roman" w:hAnsi="Times New Roman" w:cs="Times New Roman"/>
          <w:color w:val="000000" w:themeColor="text1"/>
        </w:rPr>
        <w:t xml:space="preserve"> that are conserved across multiple individuals</w:t>
      </w:r>
      <w:r w:rsidRPr="008A4B25">
        <w:rPr>
          <w:rFonts w:ascii="Times New Roman" w:hAnsi="Times New Roman" w:cs="Times New Roman"/>
          <w:color w:val="000000" w:themeColor="text1"/>
        </w:rPr>
        <w:t>.</w:t>
      </w:r>
      <w:r w:rsidR="004076ED" w:rsidRPr="008A4B25">
        <w:rPr>
          <w:rFonts w:ascii="Times New Roman" w:hAnsi="Times New Roman" w:cs="Times New Roman"/>
          <w:color w:val="000000" w:themeColor="text1"/>
        </w:rPr>
        <w:t xml:space="preserve"> </w:t>
      </w:r>
      <w:r w:rsidRPr="008A4B25">
        <w:rPr>
          <w:rFonts w:ascii="Times New Roman" w:hAnsi="Times New Roman" w:cs="Times New Roman"/>
          <w:color w:val="000000" w:themeColor="text1"/>
        </w:rPr>
        <w:t>This study extends these observations by including</w:t>
      </w:r>
      <w:r w:rsidR="00E137EE" w:rsidRPr="008A4B25">
        <w:rPr>
          <w:rFonts w:ascii="Times New Roman" w:hAnsi="Times New Roman" w:cs="Times New Roman"/>
          <w:color w:val="000000" w:themeColor="text1"/>
        </w:rPr>
        <w:t xml:space="preserve">, </w:t>
      </w:r>
      <w:r w:rsidR="00791C14" w:rsidRPr="008A4B25">
        <w:rPr>
          <w:rFonts w:ascii="Times New Roman" w:hAnsi="Times New Roman" w:cs="Times New Roman"/>
          <w:color w:val="000000" w:themeColor="text1"/>
        </w:rPr>
        <w:t>MZ</w:t>
      </w:r>
      <w:r w:rsidR="004076ED" w:rsidRPr="008A4B25">
        <w:rPr>
          <w:rFonts w:ascii="Times New Roman" w:hAnsi="Times New Roman" w:cs="Times New Roman"/>
          <w:color w:val="000000" w:themeColor="text1"/>
        </w:rPr>
        <w:t xml:space="preserve">, </w:t>
      </w:r>
      <w:r w:rsidR="0030209F" w:rsidRPr="008A4B25">
        <w:rPr>
          <w:rFonts w:ascii="Times New Roman" w:hAnsi="Times New Roman" w:cs="Times New Roman"/>
          <w:color w:val="000000" w:themeColor="text1"/>
        </w:rPr>
        <w:t>and a variety of</w:t>
      </w:r>
      <w:r w:rsidR="004076ED" w:rsidRPr="008A4B25">
        <w:rPr>
          <w:rFonts w:ascii="Times New Roman" w:hAnsi="Times New Roman" w:cs="Times New Roman"/>
          <w:color w:val="000000" w:themeColor="text1"/>
        </w:rPr>
        <w:t xml:space="preserve"> </w:t>
      </w:r>
      <w:r w:rsidR="0033414C" w:rsidRPr="008A4B25">
        <w:rPr>
          <w:rFonts w:ascii="Times New Roman" w:hAnsi="Times New Roman" w:cs="Times New Roman"/>
          <w:color w:val="000000" w:themeColor="text1"/>
        </w:rPr>
        <w:t>PC</w:t>
      </w:r>
      <w:r w:rsidR="0030209F" w:rsidRPr="008A4B25">
        <w:rPr>
          <w:rFonts w:ascii="Times New Roman" w:hAnsi="Times New Roman" w:cs="Times New Roman"/>
          <w:color w:val="000000" w:themeColor="text1"/>
        </w:rPr>
        <w:t xml:space="preserve"> subsets</w:t>
      </w:r>
      <w:r w:rsidR="004076ED" w:rsidRPr="008A4B25">
        <w:rPr>
          <w:rFonts w:ascii="Times New Roman" w:hAnsi="Times New Roman" w:cs="Times New Roman"/>
          <w:color w:val="000000" w:themeColor="text1"/>
        </w:rPr>
        <w:t xml:space="preserve"> in the same analysis. </w:t>
      </w:r>
      <w:r w:rsidR="005429BF" w:rsidRPr="008A4B25">
        <w:rPr>
          <w:rFonts w:ascii="Times New Roman" w:hAnsi="Times New Roman" w:cs="Times New Roman"/>
          <w:color w:val="000000" w:themeColor="text1"/>
        </w:rPr>
        <w:t>By measuring clonality, CDR3 length, and V gene mutation</w:t>
      </w:r>
      <w:r w:rsidR="00806BBC" w:rsidRPr="008A4B25">
        <w:rPr>
          <w:rFonts w:ascii="Times New Roman" w:hAnsi="Times New Roman" w:cs="Times New Roman"/>
          <w:color w:val="000000" w:themeColor="text1"/>
        </w:rPr>
        <w:t xml:space="preserve"> from germline</w:t>
      </w:r>
      <w:r w:rsidR="005429BF" w:rsidRPr="008A4B25">
        <w:rPr>
          <w:rFonts w:ascii="Times New Roman" w:hAnsi="Times New Roman" w:cs="Times New Roman"/>
          <w:color w:val="000000" w:themeColor="text1"/>
        </w:rPr>
        <w:t xml:space="preserve"> (</w:t>
      </w:r>
      <w:r w:rsidR="00A80D5F" w:rsidRPr="008A4B25">
        <w:rPr>
          <w:rFonts w:ascii="Times New Roman" w:hAnsi="Times New Roman" w:cs="Times New Roman"/>
          <w:color w:val="000000" w:themeColor="text1"/>
        </w:rPr>
        <w:t>Fig. 3</w:t>
      </w:r>
      <w:r w:rsidR="005429BF" w:rsidRPr="008A4B25">
        <w:rPr>
          <w:rFonts w:ascii="Times New Roman" w:hAnsi="Times New Roman" w:cs="Times New Roman"/>
          <w:color w:val="000000" w:themeColor="text1"/>
        </w:rPr>
        <w:t xml:space="preserve">), we show that B cell subsets </w:t>
      </w:r>
      <w:r w:rsidR="0045209E" w:rsidRPr="008A4B25">
        <w:rPr>
          <w:rFonts w:ascii="Times New Roman" w:hAnsi="Times New Roman" w:cs="Times New Roman"/>
          <w:color w:val="000000" w:themeColor="text1"/>
        </w:rPr>
        <w:t xml:space="preserve">appear to have a characteristic sequential pattern of global </w:t>
      </w:r>
      <w:r w:rsidR="008E3FDB" w:rsidRPr="008A4B25">
        <w:rPr>
          <w:rFonts w:ascii="Times New Roman" w:hAnsi="Times New Roman" w:cs="Times New Roman"/>
          <w:color w:val="000000" w:themeColor="text1"/>
        </w:rPr>
        <w:t>repertoire</w:t>
      </w:r>
      <w:r w:rsidR="0045209E" w:rsidRPr="008A4B25">
        <w:rPr>
          <w:rFonts w:ascii="Times New Roman" w:hAnsi="Times New Roman" w:cs="Times New Roman"/>
          <w:color w:val="000000" w:themeColor="text1"/>
        </w:rPr>
        <w:t xml:space="preserve"> properties in relation to</w:t>
      </w:r>
      <w:r w:rsidR="005429BF" w:rsidRPr="008A4B25">
        <w:rPr>
          <w:rFonts w:ascii="Times New Roman" w:hAnsi="Times New Roman" w:cs="Times New Roman"/>
          <w:color w:val="000000" w:themeColor="text1"/>
        </w:rPr>
        <w:t xml:space="preserve"> their maturation state (</w:t>
      </w:r>
      <w:r w:rsidR="00463CA0" w:rsidRPr="008A4B25">
        <w:rPr>
          <w:rFonts w:ascii="Times New Roman" w:hAnsi="Times New Roman" w:cs="Times New Roman"/>
          <w:color w:val="000000" w:themeColor="text1"/>
        </w:rPr>
        <w:t>n</w:t>
      </w:r>
      <w:r w:rsidR="00806BBC" w:rsidRPr="008A4B25">
        <w:rPr>
          <w:rFonts w:ascii="Times New Roman" w:hAnsi="Times New Roman" w:cs="Times New Roman"/>
          <w:color w:val="000000" w:themeColor="text1"/>
        </w:rPr>
        <w:t>aïve</w:t>
      </w:r>
      <w:r w:rsidR="005429BF" w:rsidRPr="008A4B25">
        <w:rPr>
          <w:rFonts w:ascii="Times New Roman" w:hAnsi="Times New Roman" w:cs="Times New Roman"/>
          <w:color w:val="000000" w:themeColor="text1"/>
        </w:rPr>
        <w:t xml:space="preserve"> </w:t>
      </w:r>
      <w:r w:rsidR="005429BF" w:rsidRPr="008A4B25">
        <w:rPr>
          <w:rFonts w:ascii="Times New Roman" w:hAnsi="Times New Roman" w:cs="Times New Roman"/>
          <w:color w:val="000000" w:themeColor="text1"/>
        </w:rPr>
        <w:sym w:font="Wingdings" w:char="F0E0"/>
      </w:r>
      <w:r w:rsidR="005429BF" w:rsidRPr="008A4B25">
        <w:rPr>
          <w:rFonts w:ascii="Times New Roman" w:hAnsi="Times New Roman" w:cs="Times New Roman"/>
          <w:color w:val="000000" w:themeColor="text1"/>
        </w:rPr>
        <w:t xml:space="preserve"> </w:t>
      </w:r>
      <w:r w:rsidR="00DF70E8" w:rsidRPr="008A4B25">
        <w:rPr>
          <w:rFonts w:ascii="Times New Roman" w:hAnsi="Times New Roman" w:cs="Times New Roman"/>
          <w:color w:val="000000" w:themeColor="text1"/>
        </w:rPr>
        <w:t>(</w:t>
      </w:r>
      <w:r w:rsidR="00791C14" w:rsidRPr="008A4B25">
        <w:rPr>
          <w:rFonts w:ascii="Times New Roman" w:hAnsi="Times New Roman" w:cs="Times New Roman"/>
          <w:color w:val="000000" w:themeColor="text1"/>
        </w:rPr>
        <w:t>MZ</w:t>
      </w:r>
      <w:r w:rsidR="00DF70E8" w:rsidRPr="008A4B25">
        <w:rPr>
          <w:rFonts w:ascii="Times New Roman" w:hAnsi="Times New Roman" w:cs="Times New Roman"/>
          <w:color w:val="000000" w:themeColor="text1"/>
        </w:rPr>
        <w:t>)</w:t>
      </w:r>
      <w:r w:rsidR="005429BF" w:rsidRPr="008A4B25">
        <w:rPr>
          <w:rFonts w:ascii="Times New Roman" w:hAnsi="Times New Roman" w:cs="Times New Roman"/>
          <w:color w:val="000000" w:themeColor="text1"/>
        </w:rPr>
        <w:t xml:space="preserve"> </w:t>
      </w:r>
      <w:r w:rsidR="005429BF" w:rsidRPr="008A4B25">
        <w:rPr>
          <w:rFonts w:ascii="Times New Roman" w:hAnsi="Times New Roman" w:cs="Times New Roman"/>
          <w:color w:val="000000" w:themeColor="text1"/>
        </w:rPr>
        <w:sym w:font="Wingdings" w:char="F0E0"/>
      </w:r>
      <w:r w:rsidR="005429BF" w:rsidRPr="008A4B25">
        <w:rPr>
          <w:rFonts w:ascii="Times New Roman" w:hAnsi="Times New Roman" w:cs="Times New Roman"/>
          <w:color w:val="000000" w:themeColor="text1"/>
        </w:rPr>
        <w:t xml:space="preserve"> IgM Memory </w:t>
      </w:r>
      <w:r w:rsidR="005429BF" w:rsidRPr="008A4B25">
        <w:rPr>
          <w:rFonts w:ascii="Times New Roman" w:hAnsi="Times New Roman" w:cs="Times New Roman"/>
          <w:color w:val="000000" w:themeColor="text1"/>
        </w:rPr>
        <w:sym w:font="Wingdings" w:char="F0E0"/>
      </w:r>
      <w:r w:rsidR="005429BF" w:rsidRPr="008A4B25">
        <w:rPr>
          <w:rFonts w:ascii="Times New Roman" w:hAnsi="Times New Roman" w:cs="Times New Roman"/>
          <w:color w:val="000000" w:themeColor="text1"/>
        </w:rPr>
        <w:t xml:space="preserve"> IgG Memory </w:t>
      </w:r>
      <w:r w:rsidR="005429BF" w:rsidRPr="008A4B25">
        <w:rPr>
          <w:rFonts w:ascii="Times New Roman" w:hAnsi="Times New Roman" w:cs="Times New Roman"/>
          <w:color w:val="000000" w:themeColor="text1"/>
        </w:rPr>
        <w:sym w:font="Wingdings" w:char="F0E0"/>
      </w:r>
      <w:r w:rsidR="005429BF" w:rsidRPr="008A4B25">
        <w:rPr>
          <w:rFonts w:ascii="Times New Roman" w:hAnsi="Times New Roman" w:cs="Times New Roman"/>
          <w:color w:val="000000" w:themeColor="text1"/>
        </w:rPr>
        <w:t xml:space="preserve"> </w:t>
      </w:r>
      <w:r w:rsidR="0033414C" w:rsidRPr="008A4B25">
        <w:rPr>
          <w:rFonts w:ascii="Times New Roman" w:hAnsi="Times New Roman" w:cs="Times New Roman"/>
          <w:color w:val="000000" w:themeColor="text1"/>
        </w:rPr>
        <w:t>PC</w:t>
      </w:r>
      <w:r w:rsidR="005429BF" w:rsidRPr="008A4B25">
        <w:rPr>
          <w:rFonts w:ascii="Times New Roman" w:hAnsi="Times New Roman" w:cs="Times New Roman"/>
          <w:color w:val="000000" w:themeColor="text1"/>
        </w:rPr>
        <w:t>s), with the more mature subsets tending towards increased clonality, shorter CDR3</w:t>
      </w:r>
      <w:r w:rsidR="00C31E03" w:rsidRPr="008A4B25">
        <w:rPr>
          <w:rFonts w:ascii="Times New Roman" w:hAnsi="Times New Roman" w:cs="Times New Roman"/>
          <w:color w:val="000000" w:themeColor="text1"/>
        </w:rPr>
        <w:t>’s</w:t>
      </w:r>
      <w:r w:rsidR="005429BF" w:rsidRPr="008A4B25">
        <w:rPr>
          <w:rFonts w:ascii="Times New Roman" w:hAnsi="Times New Roman" w:cs="Times New Roman"/>
          <w:color w:val="000000" w:themeColor="text1"/>
        </w:rPr>
        <w:t>, and more V gene mutation.</w:t>
      </w:r>
      <w:r w:rsidR="00DF70E8" w:rsidRPr="008A4B25">
        <w:rPr>
          <w:rFonts w:ascii="Times New Roman" w:hAnsi="Times New Roman" w:cs="Times New Roman"/>
          <w:color w:val="000000" w:themeColor="text1"/>
        </w:rPr>
        <w:t xml:space="preserve"> </w:t>
      </w:r>
      <w:r w:rsidR="00B9554F" w:rsidRPr="008A4B25">
        <w:rPr>
          <w:rFonts w:ascii="Times New Roman" w:hAnsi="Times New Roman" w:cs="Times New Roman"/>
          <w:color w:val="000000" w:themeColor="text1"/>
        </w:rPr>
        <w:t xml:space="preserve">The presence of the </w:t>
      </w:r>
      <w:r w:rsidR="008D7F00" w:rsidRPr="008A4B25">
        <w:rPr>
          <w:rFonts w:ascii="Times New Roman" w:hAnsi="Times New Roman" w:cs="Times New Roman"/>
          <w:color w:val="000000" w:themeColor="text1"/>
        </w:rPr>
        <w:t xml:space="preserve">circulating </w:t>
      </w:r>
      <w:r w:rsidR="00B9554F" w:rsidRPr="008A4B25">
        <w:rPr>
          <w:rFonts w:ascii="Times New Roman" w:hAnsi="Times New Roman" w:cs="Times New Roman"/>
          <w:color w:val="000000" w:themeColor="text1"/>
        </w:rPr>
        <w:t>MZ cells being a distinct grouping from memory cells, yet located between the naïve and IgM cells is interesting in light of recent work detailing the developmental pathway of MZ cells.</w:t>
      </w:r>
      <w:r w:rsidR="00B9554F"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"10.1038/nri3383", "ISBN" : "1474-1741 (Electronic)\\n1474-1733 (Linking)", "ISSN" : "1474-1741", "PMID" : "23348416", "abstract" : "Protective responses to microorganisms involve the nonspecific but rapid defence mechanisms of the innate immune system, followed by the specific but slow defence mechanisms of the adaptive immune system. Located as sentinels at the interface between the circulation and lymphoid tissue, splenic marginal zone B cells rapidly respond to blood-borne antigens by adopting 'crossover' defensive strategies that blur the conventional boundaries of innate and adaptive immunity. This Review discusses how marginal zone B cells function as innate-like lymphocytes that mount rapid antibody responses to both T cell-dependent and T cell-independent antigens. These responses require the integration of activation signals from germline-encoded and somatically recombined receptors for microorganisms with helper signals from effector cells of the innate and adaptive immune systems.", "author" : [ { "dropping-particle" : "", "family" : "Cerutti", "given" : "Andrea", "non-dropping-particle" : "", "parse-names" : false, "suffix" : "" }, { "dropping-particle" : "", "family" : "Cols", "given" : "Montserrat", "non-dropping-particle" : "", "parse-names" : false, "suffix" : "" }, { "dropping-particle" : "", "family" : "Puga", "given" : "Irene", "non-dropping-particle" : "", "parse-names" : false, "suffix" : "" } ], "container-title" : "Nature reviews. Immunology", "id" : "ITEM-1", "issue" : "2", "issued" : { "date-parts" : [ [ "2013" ] ] }, "page" : "118-32", "publisher" : "Nature Publishing Group", "title" : "Marginal zone B cells: virtues of innate-like antibody-producing lymphocytes.", "type" : "article-journal", "volume" : "13" }, "uris" : [ "http://www.mendeley.com/documents/?uuid=0a46cccc-e0f3-4318-9dfc-b9db384b8f8a" ] } ], "mendeley" : { "formattedCitation" : "&lt;sup&gt;22&lt;/sup&gt;", "plainTextFormattedCitation" : "22", "previouslyFormattedCitation" : "&lt;sup&gt;21&lt;/sup&gt;" }, "properties" : { "noteIndex" : 0 }, "schema" : "https://github.com/citation-style-language/schema/raw/master/csl-citation.json" }</w:instrText>
      </w:r>
      <w:r w:rsidR="00B9554F"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22</w:t>
      </w:r>
      <w:r w:rsidR="00B9554F" w:rsidRPr="008A4B25">
        <w:rPr>
          <w:rFonts w:ascii="Times New Roman" w:hAnsi="Times New Roman" w:cs="Times New Roman"/>
          <w:color w:val="000000" w:themeColor="text1"/>
        </w:rPr>
        <w:fldChar w:fldCharType="end"/>
      </w:r>
      <w:r w:rsidR="00B9554F" w:rsidRPr="008A4B25">
        <w:rPr>
          <w:rFonts w:ascii="Times New Roman" w:hAnsi="Times New Roman" w:cs="Times New Roman"/>
          <w:color w:val="000000" w:themeColor="text1"/>
        </w:rPr>
        <w:t xml:space="preserve"> It may be that MZ cells are a distinct cell subset arising from germinal center independent pathways, or alternatively that they are just in a transitional state between naïve and IgM memory cells.</w:t>
      </w:r>
      <w:r w:rsidR="00A95368"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"10.1182/blood-2011-04-345579", "author" : [ { "dropping-particle" : "", "family" : "Berkowska", "given" : "Magdalena", "non-dropping-particle" : "", "parse-names" : false, "suffix" : "" }, { "dropping-particle" : "", "family" : "Driessen", "given" : "Gertjan J", "non-dropping-particle" : "", "parse-names" : false, "suffix" : "" }, { "dropping-particle" : "", "family" : "Bikos", "given" : "Vasilis", "non-dropping-particle" : "", "parse-names" : false, "suffix" : "" }, { "dropping-particle" : "", "family" : "Grosserichter-wagener", "given" : "Christina", "non-dropping-particle" : "", "parse-names" : false, "suffix" : "" }, { "dropping-particle" : "", "family" : "Cerutti", "given" : "Andrea", "non-dropping-particle" : "", "parse-names" : false, "suffix" : "" }, { "dropping-particle" : "", "family" : "He", "given" : "Bing", "non-dropping-particle" : "", "parse-names" : false, "suffix" : "" }, { "dropping-particle" : "", "family" : "Biermann", "given" : "Katharina", "non-dropping-particle" : "", "parse-names" : false, "suffix" : "" }, { "dropping-particle" : "", "family" : "Lange", "given" : "Johan F", "non-dropping-particle" : "", "parse-names" : false, "suffix" : "" }, { "dropping-particle" : "Van Der", "family" : "Burg", "given" : "Mirjam", "non-dropping-particle" : "", "parse-names" : false, "suffix" : "" }, { "dropping-particle" : "", "family" : "Grosserichter-Wagener", "given" : "Christina", "non-dropping-particle" : "", "parse-names" : false, "suffix" : "" } ], "container-title" : "Blood", "id" : "ITEM-1", "issue" : "8", "issued" : { "date-parts" : [ [ "2011" ] ] }, "page" : "2150-2159", "title" : "Human memory B cells originate from three distinct germinal center-dependent and -independent maturation pathways", "type" : "article-journal", "volume" : "118" }, "uris" : [ "http://www.mendeley.com/documents/?uuid=2673355f-97e7-4259-a4a5-4dce5c0b1cd6" ] } ], "mendeley" : { "formattedCitation" : "&lt;sup&gt;23&lt;/sup&gt;", "plainTextFormattedCitation" : "23", "previouslyFormattedCitation" : "&lt;sup&gt;22&lt;/sup&gt;" }, "properties" : { "noteIndex" : 0 }, "schema" : "https://github.com/citation-style-language/schema/raw/master/csl-citation.json" }</w:instrText>
      </w:r>
      <w:r w:rsidR="00A95368"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23</w:t>
      </w:r>
      <w:r w:rsidR="00A95368" w:rsidRPr="008A4B25">
        <w:rPr>
          <w:rFonts w:ascii="Times New Roman" w:hAnsi="Times New Roman" w:cs="Times New Roman"/>
          <w:color w:val="000000" w:themeColor="text1"/>
        </w:rPr>
        <w:fldChar w:fldCharType="end"/>
      </w:r>
    </w:p>
    <w:p w14:paraId="26F62DA2" w14:textId="39783B53" w:rsidR="00E72E08" w:rsidRPr="008A4B25" w:rsidRDefault="00684991" w:rsidP="00E07175">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Increased clonality and mutation are expected during B cell maturation, due to the processes of antigen-driven selection and proliferation of naïve cells to the more mature states. </w:t>
      </w:r>
      <w:r w:rsidR="00F778B4" w:rsidRPr="008A4B25">
        <w:rPr>
          <w:rFonts w:ascii="Times New Roman" w:hAnsi="Times New Roman" w:cs="Times New Roman"/>
          <w:color w:val="000000" w:themeColor="text1"/>
        </w:rPr>
        <w:t>The observation of mature B cells having shorter CDR3’s than naïve cells has previously been reported</w:t>
      </w:r>
      <w:r w:rsidR="00FC28BA" w:rsidRPr="008A4B25">
        <w:rPr>
          <w:rFonts w:ascii="Times New Roman" w:hAnsi="Times New Roman" w:cs="Times New Roman"/>
          <w:color w:val="000000" w:themeColor="text1"/>
        </w:rPr>
        <w:t>,</w:t>
      </w:r>
      <w:r w:rsidR="00F778B4"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"10.1182/blood-2010-03-275859", "ISSN" : "1528-0020", "PMID" : "20457872", "abstract" : "B-cell receptor (BCR) diversity is achieved centrally by rearrangement of Variable, Diversity, and Joining genes, and peripherally by somatic hypermutation and class-switching of the rearranged genes. Peripheral B-cell populations are subject to both negative and positive selection events in the course of their development that have the potential to shape the BCR repertoire. The origin of IgM(+)IgD(+)CD27(+) (IgM memory) cells is controversial. It has been suggested that they may be a prediversified, antigen-independent, population of cells or that they are a population of cells that develop in response to T-independent antigens. Most recently, it was suggested that the majority of IgM memory cells are directly related to switched memory cells and are early emigrants from the germinal center reaction. Advances in sequencing technology have enabled us to undertake large scale IGH repertoire analysis of transitional, naive, IgM memory and switched memory B-cell populations. We find that the memory B-cell repertoires differ from the transitional and naive repertoires, and that the IgM memory repertoire is distinct from that of class-switched memory. Thus we conclude that a large proportion of IgM memory cells develop in response to different stimuli than for class-switched memory cell development.", "author" : [ { "dropping-particle" : "", "family" : "Wu", "given" : "Yu-Chang", "non-dropping-particle" : "", "parse-names" : false, "suffix" : "" }, { "dropping-particle" : "", "family" : "Kipling", "given" : "David", "non-dropping-particle" : "", "parse-names" : false, "suffix" : "" }, { "dropping-particle" : "", "family" : "Leong", "given" : "Hui Sun", "non-dropping-particle" : "", "parse-names" : false, "suffix" : "" }, { "dropping-particle" : "", "family" : "Martin", "given" : "Victoria", "non-dropping-particle" : "", "parse-names" : false, "suffix" : "" }, { "dropping-particle" : "", "family" : "Ademokun", "given" : "Alexander A", "non-dropping-particle" : "", "parse-names" : false, "suffix" : "" }, { "dropping-particle" : "", "family" : "Dunn-Walters", "given" : "Deborah K", "non-dropping-particle" : "", "parse-names" : false, "suffix" : "" } ], "container-title" : "Blood", "id" : "ITEM-1", "issue" : "7", "issued" : { "date-parts" : [ [ "2010", "8", "19" ] ] }, "page" : "1070-8", "title" : "High-throughput immunoglobulin repertoire analysis distinguishes between human IgM memory and switched memory B-cell populations", "type" : "article-journal", "volume" : "116" }, "uris" : [ "http://www.mendeley.com/documents/?uuid=0f20ff95-bb6e-4a4b-a60c-4dcac0e827c1" ] }, { "id" : "ITEM-2", "itemData" : { "DOI" : "10.3389/fimmu.2014.00096", "ISSN" : "1664-3224", "author" : [ { "dropping-particle" : "", "family" : "Mroczek", "given" : "Eva Szymanska", "non-dropping-particle" : "", "parse-names" : false, "suffix" : "" }, { "dropping-particle" : "", "family" : "Ippolito", "given" : "Gregory C.", "non-dropping-particle" : "", "parse-names" : false, "suffix" : "" }, { "dropping-particle" : "", "family" : "Rogosch", "given" : "Tobias", "non-dropping-particle" : "", "parse-names" : false, "suffix" : "" }, { "dropping-particle" : "", "family" : "Hoi", "given" : "Kam Hon", "non-dropping-particle" : "", "parse-names" : false, "suffix" : "" }, { "dropping-particle" : "", "family" : "Hwangpo", "given" : "Tracy A.", "non-dropping-particle" : "", "parse-names" : false, "suffix" : "" }, { "dropping-particle" : "", "family" : "Brand", "given" : "Marsha G.", "non-dropping-particle" : "", "parse-names" : false, "suffix" : "" }, { "dropping-particle" : "", "family" : "Zhuang", "given" : "Yingxin", "non-dropping-particle" : "", "parse-names" : false, "suffix" : "" }, { "dropping-particle" : "", "family" : "Liu", "given" : "Cun Ren", "non-dropping-particle" : "", "parse-names" : false, "suffix" : "" }, { "dropping-particle" : "", "family" : "Schneider", "given" : "David a.", "non-dropping-particle" : "", "parse-names" : false, "suffix" : "" }, { "dropping-particle" : "", "family" : "Zemlin", "given" : "Michael", "non-dropping-particle" : "", "parse-names" : false, "suffix" : "" }, { "dropping-particle" : "", "family" : "Brown", "given" : "Elizabeth E.", "non-dropping-particle" : "", "parse-names" : false, "suffix" : "" }, { "dropping-particle" : "", "family" : "Georgiou", "given" : "George", "non-dropping-particle" : "", "parse-names" : false, "suffix" : "" }, { "dropping-particle" : "", "family" : "Schroeder", "given" : "Harry W.", "non-dropping-particle" : "", "parse-names" : false, "suffix" : "" } ], "container-title" : "Frontiers in Immunology", "id" : "ITEM-2", "issue" : "March", "issued" : { "date-parts" : [ [ "2014", "3", "19" ] ] }, "page" : "1-14", "title" : "Differences in the Composition of the Human Antibody Repertoire by B Cell Subsets in the Blood", "type" : "article-journal", "volume" : "5" }, "uris" : [ "http://www.mendeley.com/documents/?uuid=15a96d41-3fcc-491e-8a7b-ec91fa6d0e45" ] } ], "mendeley" : { "formattedCitation" : "&lt;sup&gt;6,21&lt;/sup&gt;", "plainTextFormattedCitation" : "6,21", "previouslyFormattedCitation" : "&lt;sup&gt;6,20&lt;/sup&gt;" }, "properties" : { "noteIndex" : 0 }, "schema" : "https://github.com/citation-style-language/schema/raw/master/csl-citation.json" }</w:instrText>
      </w:r>
      <w:r w:rsidR="00F778B4"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6,21</w:t>
      </w:r>
      <w:r w:rsidR="00F778B4" w:rsidRPr="008A4B25">
        <w:rPr>
          <w:rFonts w:ascii="Times New Roman" w:hAnsi="Times New Roman" w:cs="Times New Roman"/>
          <w:color w:val="000000" w:themeColor="text1"/>
        </w:rPr>
        <w:fldChar w:fldCharType="end"/>
      </w:r>
      <w:r w:rsidR="00F778B4" w:rsidRPr="008A4B25">
        <w:rPr>
          <w:rFonts w:ascii="Times New Roman" w:hAnsi="Times New Roman" w:cs="Times New Roman"/>
          <w:color w:val="000000" w:themeColor="text1"/>
        </w:rPr>
        <w:t xml:space="preserve"> and as some autoreactive antibodies have long CDR3’s, this may be a </w:t>
      </w:r>
      <w:r w:rsidR="00D23346" w:rsidRPr="008A4B25">
        <w:rPr>
          <w:rFonts w:ascii="Times New Roman" w:hAnsi="Times New Roman" w:cs="Times New Roman"/>
          <w:color w:val="000000" w:themeColor="text1"/>
        </w:rPr>
        <w:t xml:space="preserve">side effect of a </w:t>
      </w:r>
      <w:r w:rsidR="00F778B4" w:rsidRPr="008A4B25">
        <w:rPr>
          <w:rFonts w:ascii="Times New Roman" w:hAnsi="Times New Roman" w:cs="Times New Roman"/>
          <w:color w:val="000000" w:themeColor="text1"/>
        </w:rPr>
        <w:t>mechanism to reduce autoreactivity</w:t>
      </w:r>
      <w:r w:rsidR="00FC28BA" w:rsidRPr="008A4B25">
        <w:rPr>
          <w:rFonts w:ascii="Times New Roman" w:hAnsi="Times New Roman" w:cs="Times New Roman"/>
          <w:color w:val="000000" w:themeColor="text1"/>
        </w:rPr>
        <w:t>.</w:t>
      </w:r>
      <w:r w:rsidR="00F778B4"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"ISSN" : "0019-2805", "PMID" : "11298825", "abstract" : "The heavy (H) and light (L) chain V-region sequences of eight human autoreactive immunoglobulin M (IgM) monoclonal antibodies (mAbs: BY-4, BY-7, BY-12, IRM-3, IRM-7, IRM-8, IRM-10 and CDC-1) were determined at the cDNA level. All VH and VL families were identified. Four different VH families were represented, VH3 being the most common as five of the mAbs (BY-7, BY-12, IRM-3, IRM-8 and CDC-1) used genetic elements of this family, whereas VH1, VH2 and VH4 were only present in IRM-7, BY-4 and IRM-10, respectively. BY-4, BY-7, BY-12, IRM-7 and IRM-10 reacted with a variety of self as well as non-self antigens, thus exhibiting polyreactive behaviour. Comparison of the gene segments utilized by these mAbs with their germline counterparts revealed that the gene segments were close to germline configuration. The length of H-CDR3 was found to be relatively long (27-60 nucleotides) among the polyreactive mAbs and the presence of Tyr and Trp residues in this region seems to be of vital importance for polyreactivity. We have analysed the utilization of gene elements and the presence of amino acid residues in regions particularly important for antigen binding, such as CDR. Common molecular features relating to the function of the mAbs are discussed.", "author" : [ { "dropping-particle" : "", "family" : "Aguilera", "given" : "I", "non-dropping-particle" : "", "parse-names" : false, "suffix" : "" }, { "dropping-particle" : "", "family" : "Melero", "given" : "J", "non-dropping-particle" : "", "parse-names" : false, "suffix" : "" }, { "dropping-particle" : "", "family" : "Nu\u00f1ez-Roldan", "given" : "A", "non-dropping-particle" : "", "parse-names" : false, "suffix" : "" }, { "dropping-particle" : "", "family" : "Sanchez", "given" : "B", "non-dropping-particle" : "", "parse-names" : false, "suffix" : "" } ], "container-title" : "Immunology", "id" : "ITEM-1", "issue" : "3", "issued" : { "date-parts" : [ [ "2001", "3" ] ] }, "page" : "273-80", "title" : "Molecular structure of eight human autoreactive monoclonal antibodies.", "type" : "article-journal", "volume" : "102" }, "uris" : [ "http://www.mendeley.com/documents/?uuid=337811a7-ca05-41f1-ba29-90068ffaa558" ] } ], "mendeley" : { "formattedCitation" : "&lt;sup&gt;24&lt;/sup&gt;", "plainTextFormattedCitation" : "24", "previouslyFormattedCitation" : "&lt;sup&gt;23&lt;/sup&gt;" }, "properties" : { "noteIndex" : 0 }, "schema" : "https://github.com/citation-style-language/schema/raw/master/csl-citation.json" }</w:instrText>
      </w:r>
      <w:r w:rsidR="00F778B4"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24</w:t>
      </w:r>
      <w:r w:rsidR="00F778B4" w:rsidRPr="008A4B25">
        <w:rPr>
          <w:rFonts w:ascii="Times New Roman" w:hAnsi="Times New Roman" w:cs="Times New Roman"/>
          <w:color w:val="000000" w:themeColor="text1"/>
        </w:rPr>
        <w:fldChar w:fldCharType="end"/>
      </w:r>
      <w:r w:rsidR="00F778B4" w:rsidRPr="008A4B25">
        <w:rPr>
          <w:rFonts w:ascii="Times New Roman" w:hAnsi="Times New Roman" w:cs="Times New Roman"/>
          <w:color w:val="000000" w:themeColor="text1"/>
        </w:rPr>
        <w:t xml:space="preserve"> </w:t>
      </w:r>
      <w:r w:rsidR="00F131B9" w:rsidRPr="008A4B25" w:rsidDel="00B05A61">
        <w:rPr>
          <w:rFonts w:ascii="Times New Roman" w:hAnsi="Times New Roman" w:cs="Times New Roman"/>
          <w:color w:val="000000" w:themeColor="text1"/>
        </w:rPr>
        <w:t>We</w:t>
      </w:r>
      <w:r w:rsidR="00FC28BA" w:rsidRPr="008A4B25">
        <w:rPr>
          <w:rFonts w:ascii="Times New Roman" w:hAnsi="Times New Roman" w:cs="Times New Roman"/>
          <w:color w:val="000000" w:themeColor="text1"/>
        </w:rPr>
        <w:t>,</w:t>
      </w:r>
      <w:r w:rsidR="008E3FDB"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"10.4049/jimmunol.1401405", "ISBN" : "0000000204187", "ISSN" : "1550-6606", "PMID" : "25392534", "abstract" : "High-throughput sequencing allows detailed study of the BCR repertoire postimmunization, but it remains unclear to what extent the de novo identification of Ag-specific sequences from the total BCR repertoire is possible. A conjugate vaccine containing Haemophilus influenzae type b (Hib) and group C meningococcal polysaccharides, as well as tetanus toxoid (TT), was used to investigate the BCR repertoire of adult humans following immunization and to test the hypothesis that public or convergent repertoire analysis could identify Ag-specific sequences. A number of Ag-specific BCR sequences have been reported for Hib and TT, which made a vaccine containing these two Ags an ideal immunological stimulus. Analysis of identical CDR3 amino acid sequences that were shared by individuals in the postvaccine repertoire identified a number of known Hib-specific sequences but only one previously described TT sequence. The extension of this analysis to nonidentical, but highly similar, CDR3 amino acid sequences revealed a number of other TT-related sequences. The anti-Hib avidity index postvaccination strongly correlated with the relative frequency of Hib-specific sequences, indicating that the postvaccination public BCR repertoire may be related to more conventional measures of immunogenicity correlating with disease protection. Analysis of public BCR repertoire provided evidence of convergent BCR evolution in individuals exposed to the same Ags. If this finding is confirmed, the public repertoire could be used for rapid and direct identification of protective Ag-specific BCR sequences from peripheral blood.", "author" : [ { "dropping-particle" : "", "family" : "Tr\u00fcck", "given" : "Johannes", "non-dropping-particle" : "", "parse-names" : false, "suffix" : "" }, { "dropping-particle" : "", "family" : "Ramasamy", "given" : "Maheshi N", "non-dropping-particle" : "", "parse-names" : false, "suffix" : "" }, { "dropping-particle" : "", "family" : "Galson", "given" : "Jacob D", "non-dropping-particle" : "", "parse-names" : false, "suffix" : "" }, { "dropping-particle" : "", "family" : "Rance", "given" : "Richard", "non-dropping-particle" : "", "parse-names" : false, "suffix" : "" }, { "dropping-particle" : "", "family" : "Parkhill", "given" : "Julian", "non-dropping-particle" : "", "parse-names" : false, "suffix" : "" }, { "dropping-particle" : "", "family" : "Lunter", "given" : "Gerton", "non-dropping-particle" : "", "parse-names" : false, "suffix" : "" }, { "dropping-particle" : "", "family" : "Pollard", "given" : "Andrew J", "non-dropping-particle" : "", "parse-names" : false, "suffix" : "" }, { "dropping-particle" : "", "family" : "Kelly", "given" : "Dominic F", "non-dropping-particle" : "", "parse-names" : false, "suffix" : "" } ], "container-title" : "Journal of immunology (Baltimore, Md. : 1950)", "id" : "ITEM-1", "issue" : "1", "issued" : { "date-parts" : [ [ "2014", "11", "12" ] ] }, "page" : "252-261", "title" : "Identification of Antigen-Specific B Cell Receptor Sequences Using Public Repertoire Analysis.", "type" : "article-journal", "volume" : "194" }, "uris" : [ "http://www.mendeley.com/documents/?uuid=f748dc03-858c-4fa5-8e02-25a146b3f52e" ] } ], "mendeley" : { "formattedCitation" : "&lt;sup&gt;25&lt;/sup&gt;", "plainTextFormattedCitation" : "25", "previouslyFormattedCitation" : "&lt;sup&gt;24&lt;/sup&gt;" }, "properties" : { "noteIndex" : 0 }, "schema" : "https://github.com/citation-style-language/schema/raw/master/csl-citation.json" }</w:instrText>
      </w:r>
      <w:r w:rsidR="008E3FDB"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25</w:t>
      </w:r>
      <w:r w:rsidR="008E3FDB" w:rsidRPr="008A4B25">
        <w:rPr>
          <w:rFonts w:ascii="Times New Roman" w:hAnsi="Times New Roman" w:cs="Times New Roman"/>
          <w:color w:val="000000" w:themeColor="text1"/>
        </w:rPr>
        <w:fldChar w:fldCharType="end"/>
      </w:r>
      <w:r w:rsidR="00F131B9" w:rsidRPr="008A4B25" w:rsidDel="00B05A61">
        <w:rPr>
          <w:rFonts w:ascii="Times New Roman" w:hAnsi="Times New Roman" w:cs="Times New Roman"/>
          <w:color w:val="000000" w:themeColor="text1"/>
        </w:rPr>
        <w:t xml:space="preserve"> and others</w:t>
      </w:r>
      <w:r w:rsidR="00FC28BA" w:rsidRPr="008A4B25">
        <w:rPr>
          <w:rFonts w:ascii="Times New Roman" w:hAnsi="Times New Roman" w:cs="Times New Roman"/>
          <w:color w:val="000000" w:themeColor="text1"/>
        </w:rPr>
        <w:t>,</w:t>
      </w:r>
      <w:r w:rsidR="00F131B9" w:rsidRPr="008A4B25" w:rsidDel="00B05A61">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"10.1016/j.chom.2013.05.008", "ISSN" : "19313128", "author" : [ { "dropping-particle" : "", "family" : "Parameswaran", "given" : "Poornima", "non-dropping-particle" : "", "parse-names" : false, "suffix" : "" }, { "dropping-particle" : "", "family" : "Liu", "given" : "Yi", "non-dropping-particle" : "", "parse-names" : false, "suffix" : "" }, { "dropping-particle" : "", "family" : "Roskin", "given" : "Krishna M.", "non-dropping-particle" : "", "parse-names" : false, "suffix" : "" }, { "dropping-particle" : "", "family" : "Jackson", "given" : "Katherine K.L.", "non-dropping-particle" : "", "parse-names" : false, "suffix" : "" }, { "dropping-particle" : "", "family" : "Dixit", "given" : "Vaishali P.", "non-dropping-particle" : "", "parse-names" : false, "suffix" : "" }, { "dropping-particle" : "", "family" : "Lee", "given" : "Ji-Yeun", "non-dropping-particle" : "", "parse-names" : false, "suffix" : "" }, { "dropping-particle" : "", "family" : "Artiles", "given" : "Karen L.", "non-dropping-particle" : "", "parse-names" : false, "suffix" : "" }, { "dropping-particle" : "", "family" : "Zompi", "given" : "Simona", "non-dropping-particle" : "", "parse-names" : false, "suffix" : "" }, { "dropping-particle" : "", "family" : "Vargas", "given" : "Maria Jos\u00e9", "non-dropping-particle" : "", "parse-names" : false, "suffix" : "" }, { "dropping-particle" : "", "family" : "Simen", "given" : "Birgitte B.", "non-dropping-particle" : "", "parse-names" : false, "suffix" : "" }, { "dropping-particle" : "", "family" : "Hanczaruk", "given" : "Bozena", "non-dropping-particle" : "", "parse-names" : false, "suffix" : "" }, { "dropping-particle" : "", "family" : "McGowan", "given" : "Kim R.", "non-dropping-particle" : "", "parse-names" : false, "suffix" : "" }, { "dropping-particle" : "", "family" : "Tariq", "given" : "Muhammad A.", "non-dropping-particle" : "", "parse-names" : false, "suffix" : "" }, { "dropping-particle" : "", "family" : "Pourmand", "given" : "Nader", "non-dropping-particle" : "", "parse-names" : false, "suffix" : "" }, { "dropping-particle" : "", "family" : "Koller", "given" : "Daphne", "non-dropping-particle" : "", "parse-names" : false, "suffix" : "" }, { "dropping-particle" : "", "family" : "Balmaseda", "given" : "Angel", "non-dropping-particle" : "", "parse-names" : false, "suffix" : "" }, { "dropping-particle" : "", "family" : "Boyd", "given" : "Scott D.", "non-dropping-particle" : "", "parse-names" : false, "suffix" : "" }, { "dropping-particle" : "", "family" : "Harris", "given" : "Eva", "non-dropping-particle" : "", "parse-names" : false, "suffix" : "" }, { "dropping-particle" : "", "family" : "Fire", "given" : "Andrew Z.", "non-dropping-particle" : "", "parse-names" : false, "suffix" : "" } ], "container-title" : "Cell Host Microbe", "id" : "ITEM-1", "issue" : "6", "issued" : { "date-parts" : [ [ "2013", "6" ] ] }, "page" : "691-700", "title" : "Convergent Antibody Signatures in Human Dengue", "type" : "article-journal", "volume" : "13" }, "uris" : [ "http://www.mendeley.com/documents/?uuid=bef5c5b7-4296-4e5e-9e1c-6195fb3dbe90" ] }, { "id" : "ITEM-2", "itemData" : { "DOI" : "10.1016/j.chom.2014.05.013", "ISSN" : "19313128", "author" : [ { "dropping-particle" : "", "family" : "Jackson", "given" : "Katherine J.L.", "non-dropping-particle" : "", "parse-names" : false, "suffix" : "" }, { "dropping-particle" : "", "family" : "Liu", "given" : "Yi", "non-dropping-particle" : "", "parse-names" : false, "suffix" : "" }, { "dropping-particle" : "", "family" : "Roskin", "given" : "Krishna M.", "non-dropping-particle" : "", "parse-names" : false, "suffix" : "" }, { "dropping-particle" : "", "family" : "Glanville", "given" : "Jacob", "non-dropping-particle" : "", "parse-names" : false, "suffix" : "" }, { "dropping-particle" : "", "family" : "Hoh", "given" : "Ramona A.", "non-dropping-particle" : "", "parse-names" : false, "suffix" : "" }, { "dropping-particle" : "", "family" : "Seo", "given" : "Katie", "non-dropping-particle" : "", "parse-names" : false, "suffix" : "" }, { "dropping-particle" : "", "family" : "Marshall", "given" : "Eleanor L.", "non-dropping-particle" : "", "parse-names" : false, "suffix" : "" }, { "dropping-particle" : "", "family" : "Gurley", "given" : "Thaddeus C.", "non-dropping-particle" : "", "parse-names" : false, "suffix" : "" }, { "dropping-particle" : "", "family" : "Moody", "given" : "M. Anthony", "non-dropping-particle" : "", "parse-names" : false, "suffix" : "" }, { "dropping-particle" : "", "family" : "Haynes", "given" : "Barton F.", "non-dropping-particle" : "", "parse-names" : false, "suffix" : "" }, { "dropping-particle" : "", "family" : "Walter", "given" : "Emmanuel B.", "non-dropping-particle" : "", "parse-names" : false, "suffix" : "" }, { "dropping-particle" : "", "family" : "Liao", "given" : "Hua-Xin", "non-dropping-particle" : "", "parse-names" : false, "suffix" : "" }, { "dropping-particle" : "", "family" : "Albrecht", "given" : "Randy A.", "non-dropping-particle" : "", "parse-names" : false, "suffix" : "" }, { "dropping-particle" : "", "family" : "Garc\u00eda-Sastre", "given" : "Adolfo", "non-dropping-particle" : "", "parse-names" : false, "suffix" : "" }, { "dropping-particle" : "", "family" : "Chaparro-Riggers", "given" : "Javier", "non-dropping-particle" : "", "parse-names" : false, "suffix" : "" }, { "dropping-particle" : "", "family" : "Rajpal", "given" : "Arvind", "non-dropping-particle" : "", "parse-names" : false, "suffix" : "" }, { "dropping-particle" : "", "family" : "Pons", "given" : "Jaume", "non-dropping-particle" : "", "parse-names" : false, "suffix" : "" }, { "dropping-particle" : "", "family" : "Simen", "given" : "Birgitte B.", "non-dropping-particle" : "", "parse-names" : false, "suffix" : "" }, { "dropping-particle" : "", "family" : "Hanczaruk", "given" : "Bozena", "non-dropping-particle" : "", "parse-names" : false, "suffix" : "" }, { "dropping-particle" : "", "family" : "Dekker", "given" : "Cornelia L.", "non-dropping-particle" : "", "parse-names" : false, "suffix" : "" }, { "dropping-particle" : "", "family" : "Laserson", "given" : "Jonathan", "non-dropping-particle" : "", "parse-names" : false, "suffix" : "" }, { "dropping-particle" : "", "family" : "Koller", "given" : "Daphne", "non-dropping-particle" : "", "parse-names" : false, "suffix" : "" }, { "dropping-particle" : "", "family" : "Davis", "given" : "Mark M.", "non-dropping-particle" : "", "parse-names" : false, "suffix" : "" }, { "dropping-particle" : "", "family" : "Fire", "given" : "Andrew Z.", "non-dropping-particle" : "", "parse-names" : false, "suffix" : "" }, { "dropping-particle" : "", "family" : "Boyd", "given" : "Scott D.", "non-dropping-particle" : "", "parse-names" : false, "suffix" : "" } ], "container-title" : "Cell Host &amp; Microbe", "id" : "ITEM-2", "issued" : { "date-parts" : [ [ "2014", "6" ] ] }, "page" : "1-10", "title" : "Human Responses to Influenza Vaccination Show Seroconversion Signatures and Convergent Antibody Rearrangements", "type" : "article-journal", "volume" : "16" }, "uris" : [ "http://www.mendeley.com/documents/?uuid=b9f866ee-9ce0-41e9-9b33-4b9a34b5f846" ] } ], "mendeley" : { "formattedCitation" : "&lt;sup&gt;26,27&lt;/sup&gt;", "plainTextFormattedCitation" : "26,27", "previouslyFormattedCitation" : "&lt;sup&gt;25,26&lt;/sup&gt;" }, "properties" : { "noteIndex" : 0 }, "schema" : "https://github.com/citation-style-language/schema/raw/master/csl-citation.json" }</w:instrText>
      </w:r>
      <w:r w:rsidR="00F131B9" w:rsidRPr="008A4B25" w:rsidDel="00B05A61">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26,27</w:t>
      </w:r>
      <w:r w:rsidR="00F131B9" w:rsidRPr="008A4B25" w:rsidDel="00B05A61">
        <w:rPr>
          <w:rFonts w:ascii="Times New Roman" w:hAnsi="Times New Roman" w:cs="Times New Roman"/>
          <w:color w:val="000000" w:themeColor="text1"/>
        </w:rPr>
        <w:fldChar w:fldCharType="end"/>
      </w:r>
      <w:r w:rsidR="00F131B9" w:rsidRPr="008A4B25" w:rsidDel="00B05A61">
        <w:rPr>
          <w:rFonts w:ascii="Times New Roman" w:hAnsi="Times New Roman" w:cs="Times New Roman"/>
          <w:color w:val="000000" w:themeColor="text1"/>
        </w:rPr>
        <w:t xml:space="preserve"> have previously shown that after </w:t>
      </w:r>
      <w:r w:rsidR="00F131B9" w:rsidRPr="008A4B25">
        <w:rPr>
          <w:rFonts w:ascii="Times New Roman" w:hAnsi="Times New Roman" w:cs="Times New Roman"/>
          <w:color w:val="000000" w:themeColor="text1"/>
        </w:rPr>
        <w:t>exposure to</w:t>
      </w:r>
      <w:r w:rsidR="00F131B9" w:rsidRPr="008A4B25" w:rsidDel="00B05A61">
        <w:rPr>
          <w:rFonts w:ascii="Times New Roman" w:hAnsi="Times New Roman" w:cs="Times New Roman"/>
          <w:color w:val="000000" w:themeColor="text1"/>
        </w:rPr>
        <w:t xml:space="preserve"> a common antigen, there is a degree of </w:t>
      </w:r>
      <w:r w:rsidR="00731063" w:rsidRPr="008A4B25">
        <w:rPr>
          <w:rFonts w:ascii="Times New Roman" w:hAnsi="Times New Roman" w:cs="Times New Roman"/>
          <w:color w:val="000000" w:themeColor="text1"/>
        </w:rPr>
        <w:t>CDR3</w:t>
      </w:r>
      <w:r w:rsidR="00731063" w:rsidRPr="008A4B25" w:rsidDel="00B05A61">
        <w:rPr>
          <w:rFonts w:ascii="Times New Roman" w:hAnsi="Times New Roman" w:cs="Times New Roman"/>
          <w:color w:val="000000" w:themeColor="text1"/>
        </w:rPr>
        <w:t xml:space="preserve"> </w:t>
      </w:r>
      <w:r w:rsidR="00F131B9" w:rsidRPr="008A4B25" w:rsidDel="00B05A61">
        <w:rPr>
          <w:rFonts w:ascii="Times New Roman" w:hAnsi="Times New Roman" w:cs="Times New Roman"/>
          <w:color w:val="000000" w:themeColor="text1"/>
        </w:rPr>
        <w:t>sequence convergence between different individuals, with convergent sequences likely to be antigen-specific</w:t>
      </w:r>
      <w:r w:rsidR="008C2374" w:rsidRPr="008A4B25">
        <w:rPr>
          <w:rFonts w:ascii="Times New Roman" w:hAnsi="Times New Roman" w:cs="Times New Roman"/>
          <w:color w:val="000000" w:themeColor="text1"/>
        </w:rPr>
        <w:t>;</w:t>
      </w:r>
      <w:r w:rsidR="00F131B9" w:rsidRPr="008A4B25">
        <w:rPr>
          <w:rFonts w:ascii="Times New Roman" w:hAnsi="Times New Roman" w:cs="Times New Roman"/>
          <w:color w:val="000000" w:themeColor="text1"/>
        </w:rPr>
        <w:t xml:space="preserve"> </w:t>
      </w:r>
      <w:r w:rsidR="008C2374" w:rsidRPr="008A4B25">
        <w:rPr>
          <w:rFonts w:ascii="Times New Roman" w:hAnsi="Times New Roman" w:cs="Times New Roman"/>
          <w:color w:val="000000" w:themeColor="text1"/>
        </w:rPr>
        <w:t>t</w:t>
      </w:r>
      <w:r w:rsidR="00F131B9" w:rsidRPr="008A4B25">
        <w:rPr>
          <w:rFonts w:ascii="Times New Roman" w:hAnsi="Times New Roman" w:cs="Times New Roman"/>
          <w:color w:val="000000" w:themeColor="text1"/>
        </w:rPr>
        <w:t xml:space="preserve">he demonstration here that the greatest degree of </w:t>
      </w:r>
      <w:r w:rsidR="003A39A3" w:rsidRPr="008A4B25">
        <w:rPr>
          <w:rFonts w:ascii="Times New Roman" w:hAnsi="Times New Roman" w:cs="Times New Roman"/>
          <w:color w:val="000000" w:themeColor="text1"/>
        </w:rPr>
        <w:t xml:space="preserve">CDR3 </w:t>
      </w:r>
      <w:r w:rsidR="00E11ACB" w:rsidRPr="008A4B25">
        <w:rPr>
          <w:rFonts w:ascii="Times New Roman" w:hAnsi="Times New Roman" w:cs="Times New Roman"/>
          <w:color w:val="000000" w:themeColor="text1"/>
        </w:rPr>
        <w:t>AA</w:t>
      </w:r>
      <w:r w:rsidR="003A39A3" w:rsidRPr="008A4B25">
        <w:rPr>
          <w:rFonts w:ascii="Times New Roman" w:hAnsi="Times New Roman" w:cs="Times New Roman"/>
          <w:color w:val="000000" w:themeColor="text1"/>
        </w:rPr>
        <w:t xml:space="preserve"> sequence </w:t>
      </w:r>
      <w:r w:rsidR="00F131B9" w:rsidRPr="008A4B25">
        <w:rPr>
          <w:rFonts w:ascii="Times New Roman" w:hAnsi="Times New Roman" w:cs="Times New Roman"/>
          <w:color w:val="000000" w:themeColor="text1"/>
        </w:rPr>
        <w:t xml:space="preserve">sharing was between the </w:t>
      </w:r>
      <w:r w:rsidR="0033414C" w:rsidRPr="008A4B25">
        <w:rPr>
          <w:rFonts w:ascii="Times New Roman" w:hAnsi="Times New Roman" w:cs="Times New Roman"/>
          <w:color w:val="000000" w:themeColor="text1"/>
        </w:rPr>
        <w:t>PC</w:t>
      </w:r>
      <w:r w:rsidR="00F131B9" w:rsidRPr="008A4B25">
        <w:rPr>
          <w:rFonts w:ascii="Times New Roman" w:hAnsi="Times New Roman" w:cs="Times New Roman"/>
          <w:color w:val="000000" w:themeColor="text1"/>
        </w:rPr>
        <w:t xml:space="preserve"> subsets further supports this hypothesis</w:t>
      </w:r>
      <w:r w:rsidR="001C412F" w:rsidRPr="008A4B25">
        <w:rPr>
          <w:rFonts w:ascii="Times New Roman" w:hAnsi="Times New Roman" w:cs="Times New Roman"/>
          <w:color w:val="000000" w:themeColor="text1"/>
        </w:rPr>
        <w:t xml:space="preserve">. The dichotomy between </w:t>
      </w:r>
      <w:r w:rsidR="0033414C" w:rsidRPr="008A4B25">
        <w:rPr>
          <w:rFonts w:ascii="Times New Roman" w:hAnsi="Times New Roman" w:cs="Times New Roman"/>
          <w:color w:val="000000" w:themeColor="text1"/>
        </w:rPr>
        <w:t>PC</w:t>
      </w:r>
      <w:r w:rsidR="001C412F" w:rsidRPr="008A4B25">
        <w:rPr>
          <w:rFonts w:ascii="Times New Roman" w:hAnsi="Times New Roman" w:cs="Times New Roman"/>
          <w:color w:val="000000" w:themeColor="text1"/>
        </w:rPr>
        <w:t xml:space="preserve">s being the most similar population between individuals at the sequence level, but most divergent in terms of </w:t>
      </w:r>
      <w:r w:rsidR="0001680A" w:rsidRPr="008A4B25">
        <w:rPr>
          <w:rFonts w:ascii="Times New Roman" w:hAnsi="Times New Roman" w:cs="Times New Roman"/>
          <w:color w:val="000000" w:themeColor="text1"/>
        </w:rPr>
        <w:t xml:space="preserve">their general </w:t>
      </w:r>
      <w:r w:rsidR="001C412F" w:rsidRPr="008A4B25">
        <w:rPr>
          <w:rFonts w:ascii="Times New Roman" w:hAnsi="Times New Roman" w:cs="Times New Roman"/>
          <w:color w:val="000000" w:themeColor="text1"/>
        </w:rPr>
        <w:t xml:space="preserve">repertoire properties </w:t>
      </w:r>
      <w:r w:rsidR="00731063" w:rsidRPr="008A4B25">
        <w:rPr>
          <w:rFonts w:ascii="Times New Roman" w:hAnsi="Times New Roman" w:cs="Times New Roman"/>
          <w:color w:val="000000" w:themeColor="text1"/>
        </w:rPr>
        <w:t>is</w:t>
      </w:r>
      <w:r w:rsidR="00837016" w:rsidRPr="008A4B25">
        <w:rPr>
          <w:rFonts w:ascii="Times New Roman" w:hAnsi="Times New Roman" w:cs="Times New Roman"/>
          <w:color w:val="000000" w:themeColor="text1"/>
        </w:rPr>
        <w:t xml:space="preserve"> consistent with</w:t>
      </w:r>
      <w:r w:rsidR="001C412F" w:rsidRPr="008A4B25">
        <w:rPr>
          <w:rFonts w:ascii="Times New Roman" w:hAnsi="Times New Roman" w:cs="Times New Roman"/>
          <w:color w:val="000000" w:themeColor="text1"/>
        </w:rPr>
        <w:t xml:space="preserve"> </w:t>
      </w:r>
      <w:r w:rsidR="00837016" w:rsidRPr="008A4B25">
        <w:rPr>
          <w:rFonts w:ascii="Times New Roman" w:hAnsi="Times New Roman" w:cs="Times New Roman"/>
          <w:color w:val="000000" w:themeColor="text1"/>
        </w:rPr>
        <w:t xml:space="preserve">the hypothesis that </w:t>
      </w:r>
      <w:r w:rsidR="00C426F3" w:rsidRPr="008A4B25">
        <w:rPr>
          <w:rFonts w:ascii="Times New Roman" w:hAnsi="Times New Roman" w:cs="Times New Roman"/>
          <w:color w:val="000000" w:themeColor="text1"/>
        </w:rPr>
        <w:t xml:space="preserve">a variety of </w:t>
      </w:r>
      <w:r w:rsidR="001C412F" w:rsidRPr="008A4B25">
        <w:rPr>
          <w:rFonts w:ascii="Times New Roman" w:hAnsi="Times New Roman" w:cs="Times New Roman"/>
          <w:color w:val="000000" w:themeColor="text1"/>
        </w:rPr>
        <w:t>precursor cells</w:t>
      </w:r>
      <w:r w:rsidR="0001680A" w:rsidRPr="008A4B25">
        <w:rPr>
          <w:rFonts w:ascii="Times New Roman" w:hAnsi="Times New Roman" w:cs="Times New Roman"/>
          <w:color w:val="000000" w:themeColor="text1"/>
        </w:rPr>
        <w:t xml:space="preserve"> belonging to different baseline B cell subsets are activated to</w:t>
      </w:r>
      <w:r w:rsidR="001C412F" w:rsidRPr="008A4B25">
        <w:rPr>
          <w:rFonts w:ascii="Times New Roman" w:hAnsi="Times New Roman" w:cs="Times New Roman"/>
          <w:color w:val="000000" w:themeColor="text1"/>
        </w:rPr>
        <w:t xml:space="preserve"> form the </w:t>
      </w:r>
      <w:r w:rsidR="0033414C" w:rsidRPr="008A4B25">
        <w:rPr>
          <w:rFonts w:ascii="Times New Roman" w:hAnsi="Times New Roman" w:cs="Times New Roman"/>
          <w:color w:val="000000" w:themeColor="text1"/>
        </w:rPr>
        <w:t>PC</w:t>
      </w:r>
      <w:r w:rsidR="001C412F" w:rsidRPr="008A4B25">
        <w:rPr>
          <w:rFonts w:ascii="Times New Roman" w:hAnsi="Times New Roman" w:cs="Times New Roman"/>
          <w:color w:val="000000" w:themeColor="text1"/>
        </w:rPr>
        <w:t xml:space="preserve">s </w:t>
      </w:r>
      <w:r w:rsidR="00C426F3" w:rsidRPr="008A4B25">
        <w:rPr>
          <w:rFonts w:ascii="Times New Roman" w:hAnsi="Times New Roman" w:cs="Times New Roman"/>
          <w:color w:val="000000" w:themeColor="text1"/>
        </w:rPr>
        <w:t>of</w:t>
      </w:r>
      <w:r w:rsidR="001C412F" w:rsidRPr="008A4B25">
        <w:rPr>
          <w:rFonts w:ascii="Times New Roman" w:hAnsi="Times New Roman" w:cs="Times New Roman"/>
          <w:color w:val="000000" w:themeColor="text1"/>
        </w:rPr>
        <w:t xml:space="preserve"> different individuals, but the process of affinity maturation then leads them to converge at the sequence level.</w:t>
      </w:r>
    </w:p>
    <w:p w14:paraId="098E907E" w14:textId="5FDA1E75" w:rsidR="008B0B6E" w:rsidRPr="008A4B25" w:rsidRDefault="00BB051A" w:rsidP="00690F1C">
      <w:pPr>
        <w:spacing w:line="480" w:lineRule="auto"/>
        <w:jc w:val="both"/>
        <w:rPr>
          <w:rFonts w:ascii="Times New Roman" w:hAnsi="Times New Roman" w:cs="Times New Roman"/>
          <w:color w:val="000000" w:themeColor="text1"/>
        </w:rPr>
      </w:pPr>
      <w:r w:rsidRPr="008A4B25">
        <w:rPr>
          <w:rFonts w:ascii="Times New Roman" w:hAnsi="Times New Roman" w:cs="Times New Roman"/>
          <w:color w:val="000000" w:themeColor="text1"/>
        </w:rPr>
        <w:tab/>
      </w:r>
      <w:r w:rsidR="00427505" w:rsidRPr="008A4B25">
        <w:rPr>
          <w:rFonts w:ascii="Times New Roman" w:hAnsi="Times New Roman" w:cs="Times New Roman"/>
          <w:color w:val="000000" w:themeColor="text1"/>
        </w:rPr>
        <w:t xml:space="preserve">The acquisition of sequence data from both baseline B cell subsets, as well as vaccine-activated </w:t>
      </w:r>
      <w:r w:rsidR="0033414C" w:rsidRPr="008A4B25">
        <w:rPr>
          <w:rFonts w:ascii="Times New Roman" w:hAnsi="Times New Roman" w:cs="Times New Roman"/>
          <w:color w:val="000000" w:themeColor="text1"/>
        </w:rPr>
        <w:t>PC</w:t>
      </w:r>
      <w:r w:rsidR="00427505" w:rsidRPr="008A4B25">
        <w:rPr>
          <w:rFonts w:ascii="Times New Roman" w:hAnsi="Times New Roman" w:cs="Times New Roman"/>
          <w:color w:val="000000" w:themeColor="text1"/>
        </w:rPr>
        <w:t xml:space="preserve">s, allowed us to determine whether baseline B cell subsets were related to the </w:t>
      </w:r>
      <w:r w:rsidR="0033414C" w:rsidRPr="008A4B25">
        <w:rPr>
          <w:rFonts w:ascii="Times New Roman" w:hAnsi="Times New Roman" w:cs="Times New Roman"/>
          <w:color w:val="000000" w:themeColor="text1"/>
        </w:rPr>
        <w:t>PC</w:t>
      </w:r>
      <w:r w:rsidR="00427505" w:rsidRPr="008A4B25">
        <w:rPr>
          <w:rFonts w:ascii="Times New Roman" w:hAnsi="Times New Roman" w:cs="Times New Roman"/>
          <w:color w:val="000000" w:themeColor="text1"/>
        </w:rPr>
        <w:t>s</w:t>
      </w:r>
      <w:r w:rsidR="005D40E6" w:rsidRPr="008A4B25">
        <w:rPr>
          <w:rFonts w:ascii="Times New Roman" w:hAnsi="Times New Roman" w:cs="Times New Roman"/>
          <w:color w:val="000000" w:themeColor="text1"/>
        </w:rPr>
        <w:t xml:space="preserve">, </w:t>
      </w:r>
      <w:r w:rsidR="00D85DD2" w:rsidRPr="008A4B25">
        <w:rPr>
          <w:rFonts w:ascii="Times New Roman" w:hAnsi="Times New Roman" w:cs="Times New Roman"/>
          <w:color w:val="000000" w:themeColor="text1"/>
        </w:rPr>
        <w:t>by measuring</w:t>
      </w:r>
      <w:r w:rsidR="00427505" w:rsidRPr="008A4B25">
        <w:rPr>
          <w:rFonts w:ascii="Times New Roman" w:hAnsi="Times New Roman" w:cs="Times New Roman"/>
          <w:color w:val="000000" w:themeColor="text1"/>
        </w:rPr>
        <w:t xml:space="preserve"> </w:t>
      </w:r>
      <w:r w:rsidR="001F4E5D" w:rsidRPr="008A4B25">
        <w:rPr>
          <w:rFonts w:ascii="Times New Roman" w:hAnsi="Times New Roman" w:cs="Times New Roman"/>
          <w:color w:val="000000" w:themeColor="text1"/>
        </w:rPr>
        <w:t>the</w:t>
      </w:r>
      <w:r w:rsidR="00053300" w:rsidRPr="008A4B25">
        <w:rPr>
          <w:rFonts w:ascii="Times New Roman" w:hAnsi="Times New Roman" w:cs="Times New Roman"/>
          <w:color w:val="000000" w:themeColor="text1"/>
        </w:rPr>
        <w:t xml:space="preserve"> </w:t>
      </w:r>
      <w:r w:rsidR="003C488A" w:rsidRPr="008A4B25">
        <w:rPr>
          <w:rFonts w:ascii="Times New Roman" w:hAnsi="Times New Roman" w:cs="Times New Roman"/>
          <w:color w:val="000000" w:themeColor="text1"/>
        </w:rPr>
        <w:t>probability of sequence sharing between them</w:t>
      </w:r>
      <w:r w:rsidR="001F4E5D" w:rsidRPr="008A4B25">
        <w:rPr>
          <w:rFonts w:ascii="Times New Roman" w:hAnsi="Times New Roman" w:cs="Times New Roman"/>
          <w:color w:val="000000" w:themeColor="text1"/>
        </w:rPr>
        <w:t>.</w:t>
      </w:r>
      <w:r w:rsidR="00254D56" w:rsidRPr="008A4B25">
        <w:rPr>
          <w:rFonts w:ascii="Times New Roman" w:hAnsi="Times New Roman" w:cs="Times New Roman"/>
          <w:color w:val="000000" w:themeColor="text1"/>
        </w:rPr>
        <w:t xml:space="preserve"> </w:t>
      </w:r>
      <w:r w:rsidR="005D40E6" w:rsidRPr="008A4B25">
        <w:rPr>
          <w:rFonts w:ascii="Times New Roman" w:hAnsi="Times New Roman" w:cs="Times New Roman"/>
          <w:color w:val="000000" w:themeColor="text1"/>
        </w:rPr>
        <w:t xml:space="preserve">Such sequence sharing can be used to indicate which baseline B cell subsets are stimulated to form </w:t>
      </w:r>
      <w:r w:rsidR="0033414C" w:rsidRPr="008A4B25">
        <w:rPr>
          <w:rFonts w:ascii="Times New Roman" w:hAnsi="Times New Roman" w:cs="Times New Roman"/>
          <w:color w:val="000000" w:themeColor="text1"/>
        </w:rPr>
        <w:t>PC</w:t>
      </w:r>
      <w:r w:rsidR="005D40E6" w:rsidRPr="008A4B25">
        <w:rPr>
          <w:rFonts w:ascii="Times New Roman" w:hAnsi="Times New Roman" w:cs="Times New Roman"/>
          <w:color w:val="000000" w:themeColor="text1"/>
        </w:rPr>
        <w:t xml:space="preserve">s by the vaccine. </w:t>
      </w:r>
      <w:r w:rsidR="00261141" w:rsidRPr="008A4B25">
        <w:rPr>
          <w:rFonts w:ascii="Times New Roman" w:hAnsi="Times New Roman" w:cs="Times New Roman"/>
          <w:color w:val="000000" w:themeColor="text1"/>
        </w:rPr>
        <w:t>Whil</w:t>
      </w:r>
      <w:r w:rsidR="00837016" w:rsidRPr="008A4B25">
        <w:rPr>
          <w:rFonts w:ascii="Times New Roman" w:hAnsi="Times New Roman" w:cs="Times New Roman"/>
          <w:color w:val="000000" w:themeColor="text1"/>
        </w:rPr>
        <w:t>st the current study</w:t>
      </w:r>
      <w:r w:rsidR="00261141" w:rsidRPr="008A4B25">
        <w:rPr>
          <w:rFonts w:ascii="Times New Roman" w:hAnsi="Times New Roman" w:cs="Times New Roman"/>
          <w:color w:val="000000" w:themeColor="text1"/>
        </w:rPr>
        <w:t xml:space="preserve"> </w:t>
      </w:r>
      <w:r w:rsidR="00837016" w:rsidRPr="008A4B25">
        <w:rPr>
          <w:rFonts w:ascii="Times New Roman" w:hAnsi="Times New Roman" w:cs="Times New Roman"/>
          <w:color w:val="000000" w:themeColor="text1"/>
        </w:rPr>
        <w:t>does not</w:t>
      </w:r>
      <w:r w:rsidR="00261141" w:rsidRPr="008A4B25">
        <w:rPr>
          <w:rFonts w:ascii="Times New Roman" w:hAnsi="Times New Roman" w:cs="Times New Roman"/>
          <w:color w:val="000000" w:themeColor="text1"/>
        </w:rPr>
        <w:t xml:space="preserve"> confirm the antigenic specificity of these PC</w:t>
      </w:r>
      <w:r w:rsidR="0001612C" w:rsidRPr="008A4B25">
        <w:rPr>
          <w:rFonts w:ascii="Times New Roman" w:hAnsi="Times New Roman" w:cs="Times New Roman"/>
          <w:color w:val="000000" w:themeColor="text1"/>
        </w:rPr>
        <w:t xml:space="preserve">s, </w:t>
      </w:r>
      <w:r w:rsidR="00837016" w:rsidRPr="008A4B25">
        <w:rPr>
          <w:rFonts w:ascii="Times New Roman" w:hAnsi="Times New Roman" w:cs="Times New Roman"/>
          <w:color w:val="000000" w:themeColor="text1"/>
        </w:rPr>
        <w:t xml:space="preserve">a </w:t>
      </w:r>
      <w:r w:rsidR="0045209E" w:rsidRPr="008A4B25">
        <w:rPr>
          <w:rFonts w:ascii="Times New Roman" w:hAnsi="Times New Roman" w:cs="Times New Roman"/>
          <w:color w:val="000000" w:themeColor="text1"/>
        </w:rPr>
        <w:t xml:space="preserve">previous </w:t>
      </w:r>
      <w:r w:rsidR="00837016" w:rsidRPr="008A4B25">
        <w:rPr>
          <w:rFonts w:ascii="Times New Roman" w:hAnsi="Times New Roman" w:cs="Times New Roman"/>
          <w:color w:val="000000" w:themeColor="text1"/>
        </w:rPr>
        <w:t xml:space="preserve">study using an identical vaccine </w:t>
      </w:r>
      <w:r w:rsidR="0045209E" w:rsidRPr="008A4B25">
        <w:rPr>
          <w:rFonts w:ascii="Times New Roman" w:hAnsi="Times New Roman" w:cs="Times New Roman"/>
          <w:color w:val="000000" w:themeColor="text1"/>
        </w:rPr>
        <w:t xml:space="preserve">has demonstrated that </w:t>
      </w:r>
      <w:r w:rsidR="006017CA" w:rsidRPr="008A4B25">
        <w:rPr>
          <w:rFonts w:ascii="Times New Roman" w:hAnsi="Times New Roman" w:cs="Times New Roman"/>
          <w:color w:val="000000" w:themeColor="text1"/>
        </w:rPr>
        <w:t>vaccine</w:t>
      </w:r>
      <w:r w:rsidR="0045209E" w:rsidRPr="008A4B25">
        <w:rPr>
          <w:rFonts w:ascii="Times New Roman" w:hAnsi="Times New Roman" w:cs="Times New Roman"/>
          <w:color w:val="000000" w:themeColor="text1"/>
        </w:rPr>
        <w:t xml:space="preserve">-specific </w:t>
      </w:r>
      <w:r w:rsidR="002E6930" w:rsidRPr="008A4B25">
        <w:rPr>
          <w:rFonts w:ascii="Times New Roman" w:hAnsi="Times New Roman" w:cs="Times New Roman"/>
          <w:color w:val="000000" w:themeColor="text1"/>
        </w:rPr>
        <w:t>PC</w:t>
      </w:r>
      <w:r w:rsidR="0045209E" w:rsidRPr="008A4B25">
        <w:rPr>
          <w:rFonts w:ascii="Times New Roman" w:hAnsi="Times New Roman" w:cs="Times New Roman"/>
          <w:color w:val="000000" w:themeColor="text1"/>
        </w:rPr>
        <w:t xml:space="preserve">s are detectable </w:t>
      </w:r>
      <w:r w:rsidR="006017CA" w:rsidRPr="008A4B25">
        <w:rPr>
          <w:rFonts w:ascii="Times New Roman" w:hAnsi="Times New Roman" w:cs="Times New Roman"/>
          <w:color w:val="000000" w:themeColor="text1"/>
        </w:rPr>
        <w:t>at high levels</w:t>
      </w:r>
      <w:r w:rsidR="0045209E" w:rsidRPr="008A4B25">
        <w:rPr>
          <w:rFonts w:ascii="Times New Roman" w:hAnsi="Times New Roman" w:cs="Times New Roman"/>
          <w:color w:val="000000" w:themeColor="text1"/>
        </w:rPr>
        <w:t xml:space="preserve"> 7 </w:t>
      </w:r>
      <w:r w:rsidR="006017CA" w:rsidRPr="008A4B25">
        <w:rPr>
          <w:rFonts w:ascii="Times New Roman" w:hAnsi="Times New Roman" w:cs="Times New Roman"/>
          <w:color w:val="000000" w:themeColor="text1"/>
        </w:rPr>
        <w:t xml:space="preserve">days </w:t>
      </w:r>
      <w:r w:rsidR="0045209E" w:rsidRPr="008A4B25">
        <w:rPr>
          <w:rFonts w:ascii="Times New Roman" w:hAnsi="Times New Roman" w:cs="Times New Roman"/>
          <w:color w:val="000000" w:themeColor="text1"/>
        </w:rPr>
        <w:t>following either the first dose or second dose of the ACWY vaccine</w:t>
      </w:r>
      <w:r w:rsidR="00837016" w:rsidRPr="008A4B25">
        <w:rPr>
          <w:rFonts w:ascii="Times New Roman" w:hAnsi="Times New Roman" w:cs="Times New Roman"/>
          <w:color w:val="000000" w:themeColor="text1"/>
        </w:rPr>
        <w:t>.</w:t>
      </w:r>
      <w:r w:rsidR="006017CA" w:rsidRPr="008A4B25">
        <w:rPr>
          <w:rFonts w:ascii="Times New Roman" w:hAnsi="Times New Roman" w:cs="Times New Roman"/>
          <w:color w:val="000000" w:themeColor="text1"/>
        </w:rPr>
        <w:t xml:space="preserve"> </w:t>
      </w:r>
      <w:r w:rsidR="00837016" w:rsidRPr="008A4B25">
        <w:rPr>
          <w:rFonts w:ascii="Times New Roman" w:hAnsi="Times New Roman" w:cs="Times New Roman"/>
          <w:color w:val="000000" w:themeColor="text1"/>
        </w:rPr>
        <w:t>Therefore</w:t>
      </w:r>
      <w:r w:rsidR="00731063" w:rsidRPr="008A4B25">
        <w:rPr>
          <w:rFonts w:ascii="Times New Roman" w:hAnsi="Times New Roman" w:cs="Times New Roman"/>
          <w:color w:val="000000" w:themeColor="text1"/>
        </w:rPr>
        <w:t>,</w:t>
      </w:r>
      <w:r w:rsidR="00837016" w:rsidRPr="008A4B25">
        <w:rPr>
          <w:rFonts w:ascii="Times New Roman" w:hAnsi="Times New Roman" w:cs="Times New Roman"/>
          <w:color w:val="000000" w:themeColor="text1"/>
        </w:rPr>
        <w:t xml:space="preserve"> the </w:t>
      </w:r>
      <w:r w:rsidR="006017CA" w:rsidRPr="008A4B25">
        <w:rPr>
          <w:rFonts w:ascii="Times New Roman" w:hAnsi="Times New Roman" w:cs="Times New Roman"/>
          <w:color w:val="000000" w:themeColor="text1"/>
        </w:rPr>
        <w:t>PC populations we sorted are likely to</w:t>
      </w:r>
      <w:r w:rsidR="00E93636" w:rsidRPr="008A4B25">
        <w:rPr>
          <w:rFonts w:ascii="Times New Roman" w:hAnsi="Times New Roman" w:cs="Times New Roman"/>
          <w:color w:val="000000" w:themeColor="text1"/>
        </w:rPr>
        <w:t xml:space="preserve"> be</w:t>
      </w:r>
      <w:r w:rsidR="00837016" w:rsidRPr="008A4B25">
        <w:rPr>
          <w:rFonts w:ascii="Times New Roman" w:hAnsi="Times New Roman" w:cs="Times New Roman"/>
          <w:color w:val="000000" w:themeColor="text1"/>
        </w:rPr>
        <w:t xml:space="preserve"> enriched for</w:t>
      </w:r>
      <w:r w:rsidR="006017CA" w:rsidRPr="008A4B25">
        <w:rPr>
          <w:rFonts w:ascii="Times New Roman" w:hAnsi="Times New Roman" w:cs="Times New Roman"/>
          <w:color w:val="000000" w:themeColor="text1"/>
        </w:rPr>
        <w:t xml:space="preserve"> vaccine-specific</w:t>
      </w:r>
      <w:r w:rsidR="00837016" w:rsidRPr="008A4B25">
        <w:rPr>
          <w:rFonts w:ascii="Times New Roman" w:hAnsi="Times New Roman" w:cs="Times New Roman"/>
          <w:color w:val="000000" w:themeColor="text1"/>
        </w:rPr>
        <w:t xml:space="preserve"> PCs</w:t>
      </w:r>
      <w:r w:rsidR="00FC28BA" w:rsidRPr="008A4B25">
        <w:rPr>
          <w:rFonts w:ascii="Times New Roman" w:hAnsi="Times New Roman" w:cs="Times New Roman"/>
          <w:color w:val="000000" w:themeColor="text1"/>
        </w:rPr>
        <w:t>.</w:t>
      </w:r>
      <w:r w:rsidR="0001612C" w:rsidRPr="008A4B25">
        <w:rPr>
          <w:rFonts w:ascii="Times New Roman" w:hAnsi="Times New Roman" w:cs="Times New Roman"/>
          <w:color w:val="000000" w:themeColor="text1"/>
        </w:rPr>
        <w:fldChar w:fldCharType="begin" w:fldLock="1"/>
      </w:r>
      <w:r w:rsidR="00AA78CC" w:rsidRPr="008A4B25">
        <w:rPr>
          <w:rFonts w:ascii="Times New Roman" w:hAnsi="Times New Roman" w:cs="Times New Roman"/>
          <w:color w:val="000000" w:themeColor="text1"/>
        </w:rPr>
        <w:instrText>ADDIN CSL_CITATION { "citationItems" : [ { "id" : "ITEM-1", "itemData" : { "author" : [ { "dropping-particle" : "", "family" : "Ramasamy", "given" : "Maheshi", "non-dropping-particle" : "", "parse-names" : false, "suffix" : "" } ], "container-title" : "PhD Thesis. University of Oxford, UK", "id" : "ITEM-1", "issued" : { "date-parts" : [ [ "2012" ] ] }, "title" : "B cell responses to conjugate and polysaccharide meningococcal vaccines", "type" : "article-journal" }, "uris" : [ "http://www.mendeley.com/documents/?uuid=ae21a340-7b49-4413-b7db-027a61536a19" ] } ], "mendeley" : { "formattedCitation" : "&lt;sup&gt;14&lt;/sup&gt;", "plainTextFormattedCitation" : "14", "previouslyFormattedCitation" : "&lt;sup&gt;14&lt;/sup&gt;" }, "properties" : { "noteIndex" : 0 }, "schema" : "https://github.com/citation-style-language/schema/raw/master/csl-citation.json" }</w:instrText>
      </w:r>
      <w:r w:rsidR="0001612C" w:rsidRPr="008A4B25">
        <w:rPr>
          <w:rFonts w:ascii="Times New Roman" w:hAnsi="Times New Roman" w:cs="Times New Roman"/>
          <w:color w:val="000000" w:themeColor="text1"/>
        </w:rPr>
        <w:fldChar w:fldCharType="separate"/>
      </w:r>
      <w:r w:rsidR="00E50F57" w:rsidRPr="008A4B25">
        <w:rPr>
          <w:rFonts w:ascii="Times New Roman" w:hAnsi="Times New Roman" w:cs="Times New Roman"/>
          <w:noProof/>
          <w:color w:val="000000" w:themeColor="text1"/>
          <w:vertAlign w:val="superscript"/>
        </w:rPr>
        <w:t>14</w:t>
      </w:r>
      <w:r w:rsidR="0001612C" w:rsidRPr="008A4B25">
        <w:rPr>
          <w:rFonts w:ascii="Times New Roman" w:hAnsi="Times New Roman" w:cs="Times New Roman"/>
          <w:color w:val="000000" w:themeColor="text1"/>
        </w:rPr>
        <w:fldChar w:fldCharType="end"/>
      </w:r>
      <w:r w:rsidR="00261141" w:rsidRPr="008A4B25">
        <w:rPr>
          <w:rFonts w:ascii="Times New Roman" w:hAnsi="Times New Roman" w:cs="Times New Roman"/>
          <w:color w:val="000000" w:themeColor="text1"/>
        </w:rPr>
        <w:t xml:space="preserve"> </w:t>
      </w:r>
      <w:r w:rsidR="00107E93" w:rsidRPr="008A4B25">
        <w:rPr>
          <w:rFonts w:ascii="Times New Roman" w:hAnsi="Times New Roman" w:cs="Times New Roman"/>
          <w:color w:val="000000" w:themeColor="text1"/>
        </w:rPr>
        <w:t xml:space="preserve">In addition, we focused our analysis on HLA-DR+ PCs, which are </w:t>
      </w:r>
      <w:r w:rsidR="00F1068A" w:rsidRPr="008A4B25">
        <w:rPr>
          <w:rFonts w:ascii="Times New Roman" w:hAnsi="Times New Roman" w:cs="Times New Roman"/>
          <w:color w:val="000000" w:themeColor="text1"/>
        </w:rPr>
        <w:t xml:space="preserve">considered to be </w:t>
      </w:r>
      <w:r w:rsidR="00DB2B23" w:rsidRPr="008A4B25">
        <w:rPr>
          <w:rFonts w:ascii="Times New Roman" w:hAnsi="Times New Roman" w:cs="Times New Roman"/>
          <w:color w:val="000000" w:themeColor="text1"/>
        </w:rPr>
        <w:t xml:space="preserve">a </w:t>
      </w:r>
      <w:r w:rsidR="00107E93" w:rsidRPr="008A4B25">
        <w:rPr>
          <w:rFonts w:ascii="Times New Roman" w:hAnsi="Times New Roman" w:cs="Times New Roman"/>
          <w:color w:val="000000" w:themeColor="text1"/>
        </w:rPr>
        <w:t xml:space="preserve">recently </w:t>
      </w:r>
      <w:r w:rsidR="006017CA" w:rsidRPr="008A4B25">
        <w:rPr>
          <w:rFonts w:ascii="Times New Roman" w:hAnsi="Times New Roman" w:cs="Times New Roman"/>
          <w:color w:val="000000" w:themeColor="text1"/>
        </w:rPr>
        <w:t>activated</w:t>
      </w:r>
      <w:r w:rsidR="00DB2B23" w:rsidRPr="008A4B25">
        <w:rPr>
          <w:rFonts w:ascii="Times New Roman" w:hAnsi="Times New Roman" w:cs="Times New Roman"/>
          <w:color w:val="000000" w:themeColor="text1"/>
        </w:rPr>
        <w:t xml:space="preserve"> </w:t>
      </w:r>
      <w:r w:rsidR="00107E93" w:rsidRPr="008A4B25">
        <w:rPr>
          <w:rFonts w:ascii="Times New Roman" w:hAnsi="Times New Roman" w:cs="Times New Roman"/>
          <w:color w:val="000000" w:themeColor="text1"/>
        </w:rPr>
        <w:t>population</w:t>
      </w:r>
      <w:r w:rsidR="006017CA" w:rsidRPr="008A4B25">
        <w:rPr>
          <w:rFonts w:ascii="Times New Roman" w:hAnsi="Times New Roman" w:cs="Times New Roman"/>
          <w:color w:val="000000" w:themeColor="text1"/>
        </w:rPr>
        <w:t xml:space="preserve">, and therefore likely to be </w:t>
      </w:r>
      <w:r w:rsidR="00F1068A" w:rsidRPr="008A4B25">
        <w:rPr>
          <w:rFonts w:ascii="Times New Roman" w:hAnsi="Times New Roman" w:cs="Times New Roman"/>
          <w:color w:val="000000" w:themeColor="text1"/>
        </w:rPr>
        <w:t xml:space="preserve">further </w:t>
      </w:r>
      <w:r w:rsidR="006017CA" w:rsidRPr="008A4B25">
        <w:rPr>
          <w:rFonts w:ascii="Times New Roman" w:hAnsi="Times New Roman" w:cs="Times New Roman"/>
          <w:color w:val="000000" w:themeColor="text1"/>
        </w:rPr>
        <w:t>enriched for vaccine-specificity</w:t>
      </w:r>
      <w:r w:rsidR="00107E93" w:rsidRPr="008A4B25">
        <w:rPr>
          <w:rFonts w:ascii="Times New Roman" w:hAnsi="Times New Roman" w:cs="Times New Roman"/>
          <w:color w:val="000000" w:themeColor="text1"/>
        </w:rPr>
        <w:t>.</w:t>
      </w:r>
      <w:r w:rsidR="00107E93" w:rsidRPr="008A4B25">
        <w:rPr>
          <w:rFonts w:ascii="Times New Roman" w:hAnsi="Times New Roman" w:cs="Times New Roman"/>
          <w:color w:val="000000" w:themeColor="text1"/>
        </w:rPr>
        <w:fldChar w:fldCharType="begin" w:fldLock="1"/>
      </w:r>
      <w:r w:rsidR="00AA78CC" w:rsidRPr="008A4B25">
        <w:rPr>
          <w:rFonts w:ascii="Times New Roman" w:hAnsi="Times New Roman" w:cs="Times New Roman"/>
          <w:color w:val="000000" w:themeColor="text1"/>
        </w:rPr>
        <w:instrText>ADDIN CSL_CITATION { "citationItems" : [ { "id" : "ITEM-1", "itemData" : { "DOI" : "10.1182/blood-2004-07-2507", "ISSN" : "0006-4971", "PMID" : "15507523", "abstract" : "Maintenance of protective humoral immunity depends on the generation and survival of antibody-secreting cells. The bone marrow provides niches for long-term survival of plasma cells generated in the course of systemic immune responses in secondary lymphoid organs. Here, we have analyzed migratory human plasma blasts and plasma cells after secondary vaccination with tetanus toxin. On days 6 and 7 after immunization, CD19(+)/CD27(high)/intracellular immunoglobulin G(high) (IgG(high))/HLA-DR(high)/CD38(high)/CD20(-)/CD95(+) tetanus toxin-specific antibody-secreting plasma blasts were released in large numbers from the secondary lymphoid organs into the blood. These cells show chemotactic responsiveness toward ligands for CXCR3 and CXCR4, probably guiding them to the bone marrow or inflamed tissue. At the same time, a population of CD19(+)/CD27(high)/intracellular IgG(high)/HLA-DR(low)/CD38(+)/CD20(-)/CD95(+) cells appeared in the blood in large numbers. These cells, with the phenotype of long-lived plasma cells, secreted antibodies of unknown specificity, not tetanus toxoid. The appearance of these plasma cells in the blood indicates successful competition for survival niches in the bone marrow between newly generated plasma blasts and resident plasma cells as a fundamental mechanism for the establishment of humoral memory and its plasticity.", "author" : [ { "dropping-particle" : "", "family" : "Odendahl", "given" : "Marcus", "non-dropping-particle" : "", "parse-names" : false, "suffix" : "" }, { "dropping-particle" : "", "family" : "Mei", "given" : "Henrik", "non-dropping-particle" : "", "parse-names" : false, "suffix" : "" }, { "dropping-particle" : "", "family" : "Hoyer", "given" : "Bimba F", "non-dropping-particle" : "", "parse-names" : false, "suffix" : "" }, { "dropping-particle" : "", "family" : "Jacobi", "given" : "Annett M", "non-dropping-particle" : "", "parse-names" : false, "suffix" : "" }, { "dropping-particle" : "", "family" : "Hansen", "given" : "Arne", "non-dropping-particle" : "", "parse-names" : false, "suffix" : "" }, { "dropping-particle" : "", "family" : "Muehlinghaus", "given" : "Gwendolin", "non-dropping-particle" : "", "parse-names" : false, "suffix" : "" }, { "dropping-particle" : "", "family" : "Berek", "given" : "Claudia", "non-dropping-particle" : "", "parse-names" : false, "suffix" : "" }, { "dropping-particle" : "", "family" : "Hiepe", "given" : "Falk", "non-dropping-particle" : "", "parse-names" : false, "suffix" : "" }, { "dropping-particle" : "", "family" : "Manz", "given" : "Rudi", "non-dropping-particle" : "", "parse-names" : false, "suffix" : "" }, { "dropping-particle" : "", "family" : "Radbruch", "given" : "Andreas", "non-dropping-particle" : "", "parse-names" : false, "suffix" : "" }, { "dropping-particle" : "", "family" : "D\u00f6rner", "given" : "Thomas", "non-dropping-particle" : "", "parse-names" : false, "suffix" : "" } ], "container-title" : "Blood", "id" : "ITEM-1", "issue" : "4", "issued" : { "date-parts" : [ [ "2005", "2", "15" ] ] }, "page" : "1614-21", "title" : "Generation of migratory antigen-specific plasma blasts and mobilization of resident plasma cells in a secondary immune response", "type" : "article-journal", "volume" : "105" }, "uris" : [ "http://www.mendeley.com/documents/?uuid=8ebf7aca-23ff-4835-9cdc-99d02f488358" ] } ], "mendeley" : { "formattedCitation" : "&lt;sup&gt;16&lt;/sup&gt;", "plainTextFormattedCitation" : "16", "previouslyFormattedCitation" : "&lt;sup&gt;16&lt;/sup&gt;" }, "properties" : { "noteIndex" : 0 }, "schema" : "https://github.com/citation-style-language/schema/raw/master/csl-citation.json" }</w:instrText>
      </w:r>
      <w:r w:rsidR="00107E93" w:rsidRPr="008A4B25">
        <w:rPr>
          <w:rFonts w:ascii="Times New Roman" w:hAnsi="Times New Roman" w:cs="Times New Roman"/>
          <w:color w:val="000000" w:themeColor="text1"/>
        </w:rPr>
        <w:fldChar w:fldCharType="separate"/>
      </w:r>
      <w:r w:rsidR="00E50F57" w:rsidRPr="008A4B25">
        <w:rPr>
          <w:rFonts w:ascii="Times New Roman" w:hAnsi="Times New Roman" w:cs="Times New Roman"/>
          <w:noProof/>
          <w:color w:val="000000" w:themeColor="text1"/>
          <w:vertAlign w:val="superscript"/>
        </w:rPr>
        <w:t>16</w:t>
      </w:r>
      <w:r w:rsidR="00107E93" w:rsidRPr="008A4B25">
        <w:rPr>
          <w:rFonts w:ascii="Times New Roman" w:hAnsi="Times New Roman" w:cs="Times New Roman"/>
          <w:color w:val="000000" w:themeColor="text1"/>
        </w:rPr>
        <w:fldChar w:fldCharType="end"/>
      </w:r>
      <w:r w:rsidR="00107E93" w:rsidRPr="008A4B25">
        <w:rPr>
          <w:rFonts w:ascii="Times New Roman" w:hAnsi="Times New Roman" w:cs="Times New Roman"/>
          <w:color w:val="000000" w:themeColor="text1"/>
        </w:rPr>
        <w:t xml:space="preserve"> </w:t>
      </w:r>
      <w:r w:rsidR="00254D56" w:rsidRPr="008A4B25">
        <w:rPr>
          <w:rFonts w:ascii="Times New Roman" w:hAnsi="Times New Roman" w:cs="Times New Roman"/>
          <w:color w:val="000000" w:themeColor="text1"/>
        </w:rPr>
        <w:t>Pre-</w:t>
      </w:r>
      <w:r w:rsidR="00B30EA3" w:rsidRPr="008A4B25">
        <w:rPr>
          <w:rFonts w:ascii="Times New Roman" w:hAnsi="Times New Roman" w:cs="Times New Roman"/>
          <w:color w:val="000000" w:themeColor="text1"/>
        </w:rPr>
        <w:t>existing</w:t>
      </w:r>
      <w:r w:rsidR="00254D56" w:rsidRPr="008A4B25">
        <w:rPr>
          <w:rFonts w:ascii="Times New Roman" w:hAnsi="Times New Roman" w:cs="Times New Roman"/>
          <w:color w:val="000000" w:themeColor="text1"/>
        </w:rPr>
        <w:t xml:space="preserve"> immunity to </w:t>
      </w:r>
      <w:r w:rsidR="00254D56" w:rsidRPr="008A4B25">
        <w:rPr>
          <w:rFonts w:ascii="Times New Roman" w:hAnsi="Times New Roman" w:cs="Times New Roman"/>
          <w:i/>
          <w:color w:val="000000" w:themeColor="text1"/>
        </w:rPr>
        <w:t>N</w:t>
      </w:r>
      <w:r w:rsidR="00254D56" w:rsidRPr="008A4B25">
        <w:rPr>
          <w:rFonts w:ascii="Times New Roman" w:hAnsi="Times New Roman" w:cs="Times New Roman"/>
          <w:color w:val="000000" w:themeColor="text1"/>
        </w:rPr>
        <w:t xml:space="preserve">. </w:t>
      </w:r>
      <w:r w:rsidR="00254D56" w:rsidRPr="008A4B25">
        <w:rPr>
          <w:rFonts w:ascii="Times New Roman" w:hAnsi="Times New Roman" w:cs="Times New Roman"/>
          <w:i/>
          <w:color w:val="000000" w:themeColor="text1"/>
        </w:rPr>
        <w:t>meningitid</w:t>
      </w:r>
      <w:r w:rsidR="00F1068A" w:rsidRPr="008A4B25">
        <w:rPr>
          <w:rFonts w:ascii="Times New Roman" w:hAnsi="Times New Roman" w:cs="Times New Roman"/>
          <w:i/>
          <w:color w:val="000000" w:themeColor="text1"/>
        </w:rPr>
        <w:t>i</w:t>
      </w:r>
      <w:r w:rsidR="00254D56" w:rsidRPr="008A4B25">
        <w:rPr>
          <w:rFonts w:ascii="Times New Roman" w:hAnsi="Times New Roman" w:cs="Times New Roman"/>
          <w:i/>
          <w:color w:val="000000" w:themeColor="text1"/>
        </w:rPr>
        <w:t>s</w:t>
      </w:r>
      <w:r w:rsidR="00254D56" w:rsidRPr="008A4B25">
        <w:rPr>
          <w:rFonts w:ascii="Times New Roman" w:hAnsi="Times New Roman" w:cs="Times New Roman"/>
          <w:color w:val="000000" w:themeColor="text1"/>
        </w:rPr>
        <w:t xml:space="preserve"> is common in adults, so the vaccinated individuals in this study are unlikely to mount naïve responses</w:t>
      </w:r>
      <w:r w:rsidR="00FC28BA" w:rsidRPr="008A4B25">
        <w:rPr>
          <w:rFonts w:ascii="Times New Roman" w:hAnsi="Times New Roman" w:cs="Times New Roman"/>
          <w:color w:val="000000" w:themeColor="text1"/>
        </w:rPr>
        <w:t>.</w:t>
      </w:r>
      <w:r w:rsidR="00B57B4E"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"10.1016/S1473-3099(10)70251-6", "ISSN" : "1474-4457", "PMID" : "21075057", "abstract" : "BACKGROUND: Neisseria meningitidis is an important cause of meningitis and septicaemia, but most infected individuals experience a period of asymptomatic carriage rather than disease. Previous studies have shown that carriage rates vary by age and setting; however, few have assessed carriage across all ages. We aimed to estimate the age-specific prevalence of meningococcal carriage.\n\nMETHODS: We searched Embase, Medline, Web of Science, the Cochrane Library, and grey literature for papers reporting carriage of N meningitidis in defined age groups in European countries or in countries with a similar epidemiological pattern (where disease caused by serogroups B and C predominates). We used mixed-effects logistic regression with a natural cubic spline to model carriage prevalence as a function of age for studies that were cross-sectional or serial cross-sectional. The model assessed population type, type of swab used, when swabs were plated, use of preheated plates, and time period (decade of study) as fixed effects, with country and study as nested random effects (random intercept).\n\nFINDINGS: Carriage prevalence increased through childhood from 4\u00b75% in infants to a peak of 23\u00b77% in 19-year olds and subsequently decreased in adulthood to 7\u00b78% in 50-year olds. The odds of testing positive for carriage decreased if swabs were not plated immediately after being taken compared with if swabs were plated immediately (odds ratio 0\u00b746, 95% CI 0\u00b731-0\u00b768; p = 0\u00b70001).\n\nINTERPRETATION: This study provides estimates of carriage prevalence across all ages, which is important for understanding the epidemiology and transmission dynamics of meningococcal infection.\n\nFUNDING: None.", "author" : [ { "dropping-particle" : "", "family" : "Christensen", "given" : "Hannah", "non-dropping-particle" : "", "parse-names" : false, "suffix" : "" }, { "dropping-particle" : "", "family" : "May", "given" : "Margaret", "non-dropping-particle" : "", "parse-names" : false, "suffix" : "" }, { "dropping-particle" : "", "family" : "Bowen", "given" : "Leah", "non-dropping-particle" : "", "parse-names" : false, "suffix" : "" }, { "dropping-particle" : "", "family" : "Hickman", "given" : "Matthew", "non-dropping-particle" : "", "parse-names" : false, "suffix" : "" }, { "dropping-particle" : "", "family" : "Trotter", "given" : "Caroline L", "non-dropping-particle" : "", "parse-names" : false, "suffix" : "" } ], "container-title" : "The Lancet infectious diseases", "id" : "ITEM-1", "issue" : "12", "issued" : { "date-parts" : [ [ "2010", "12" ] ] }, "page" : "853-61", "title" : "Meningococcal carriage by age: a systematic review and meta-analysis.", "type" : "article-journal", "volume" : "10" }, "uris" : [ "http://www.mendeley.com/documents/?uuid=83d9abbd-1a0c-4aa4-baa8-5810b8d682ce" ] } ], "mendeley" : { "formattedCitation" : "&lt;sup&gt;29&lt;/sup&gt;", "plainTextFormattedCitation" : "29", "previouslyFormattedCitation" : "&lt;sup&gt;28&lt;/sup&gt;" }, "properties" : { "noteIndex" : 0 }, "schema" : "https://github.com/citation-style-language/schema/raw/master/csl-citation.json" }</w:instrText>
      </w:r>
      <w:r w:rsidR="00B57B4E"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29</w:t>
      </w:r>
      <w:r w:rsidR="00B57B4E" w:rsidRPr="008A4B25">
        <w:rPr>
          <w:rFonts w:ascii="Times New Roman" w:hAnsi="Times New Roman" w:cs="Times New Roman"/>
          <w:color w:val="000000" w:themeColor="text1"/>
        </w:rPr>
        <w:fldChar w:fldCharType="end"/>
      </w:r>
      <w:r w:rsidR="00254D56" w:rsidRPr="008A4B25">
        <w:rPr>
          <w:rFonts w:ascii="Times New Roman" w:hAnsi="Times New Roman" w:cs="Times New Roman"/>
          <w:color w:val="000000" w:themeColor="text1"/>
        </w:rPr>
        <w:t xml:space="preserve"> </w:t>
      </w:r>
      <w:r w:rsidR="001F4E5D" w:rsidRPr="008A4B25">
        <w:rPr>
          <w:rFonts w:ascii="Times New Roman" w:hAnsi="Times New Roman" w:cs="Times New Roman"/>
          <w:color w:val="000000" w:themeColor="text1"/>
        </w:rPr>
        <w:t xml:space="preserve">The observation that the </w:t>
      </w:r>
      <w:r w:rsidR="00CC5EE9" w:rsidRPr="008A4B25">
        <w:rPr>
          <w:rFonts w:ascii="Times New Roman" w:hAnsi="Times New Roman" w:cs="Times New Roman"/>
          <w:color w:val="000000" w:themeColor="text1"/>
        </w:rPr>
        <w:t>lowest probability of sequence sharing was</w:t>
      </w:r>
      <w:r w:rsidR="001F4E5D" w:rsidRPr="008A4B25">
        <w:rPr>
          <w:rFonts w:ascii="Times New Roman" w:hAnsi="Times New Roman" w:cs="Times New Roman"/>
          <w:color w:val="000000" w:themeColor="text1"/>
        </w:rPr>
        <w:t xml:space="preserve"> between the naïve cells and the </w:t>
      </w:r>
      <w:r w:rsidR="0033414C" w:rsidRPr="008A4B25">
        <w:rPr>
          <w:rFonts w:ascii="Times New Roman" w:hAnsi="Times New Roman" w:cs="Times New Roman"/>
          <w:color w:val="000000" w:themeColor="text1"/>
        </w:rPr>
        <w:t>PC</w:t>
      </w:r>
      <w:r w:rsidR="001F4E5D" w:rsidRPr="008A4B25">
        <w:rPr>
          <w:rFonts w:ascii="Times New Roman" w:hAnsi="Times New Roman" w:cs="Times New Roman"/>
          <w:color w:val="000000" w:themeColor="text1"/>
        </w:rPr>
        <w:t xml:space="preserve">s </w:t>
      </w:r>
      <w:r w:rsidR="00B30EA3" w:rsidRPr="008A4B25">
        <w:rPr>
          <w:rFonts w:ascii="Times New Roman" w:hAnsi="Times New Roman" w:cs="Times New Roman"/>
          <w:color w:val="000000" w:themeColor="text1"/>
        </w:rPr>
        <w:t xml:space="preserve">in this study </w:t>
      </w:r>
      <w:r w:rsidR="005D40E6" w:rsidRPr="008A4B25">
        <w:rPr>
          <w:rFonts w:ascii="Times New Roman" w:hAnsi="Times New Roman" w:cs="Times New Roman"/>
          <w:color w:val="000000" w:themeColor="text1"/>
        </w:rPr>
        <w:t xml:space="preserve">therefore </w:t>
      </w:r>
      <w:r w:rsidR="00B30EA3" w:rsidRPr="008A4B25">
        <w:rPr>
          <w:rFonts w:ascii="Times New Roman" w:hAnsi="Times New Roman" w:cs="Times New Roman"/>
          <w:color w:val="000000" w:themeColor="text1"/>
        </w:rPr>
        <w:t xml:space="preserve">supports our approach for determining </w:t>
      </w:r>
      <w:r w:rsidR="005D40E6" w:rsidRPr="008A4B25">
        <w:rPr>
          <w:rFonts w:ascii="Times New Roman" w:hAnsi="Times New Roman" w:cs="Times New Roman"/>
          <w:color w:val="000000" w:themeColor="text1"/>
        </w:rPr>
        <w:t>B cell activation</w:t>
      </w:r>
      <w:r w:rsidR="00B30EA3" w:rsidRPr="008A4B25">
        <w:rPr>
          <w:rFonts w:ascii="Times New Roman" w:hAnsi="Times New Roman" w:cs="Times New Roman"/>
          <w:color w:val="000000" w:themeColor="text1"/>
        </w:rPr>
        <w:t xml:space="preserve"> by showing that such</w:t>
      </w:r>
      <w:r w:rsidR="001F4E5D" w:rsidRPr="008A4B25">
        <w:rPr>
          <w:rFonts w:ascii="Times New Roman" w:hAnsi="Times New Roman" w:cs="Times New Roman"/>
          <w:color w:val="000000" w:themeColor="text1"/>
        </w:rPr>
        <w:t xml:space="preserve"> sequence sharing is unlikely to occur by chance</w:t>
      </w:r>
      <w:r w:rsidR="003F6A06" w:rsidRPr="008A4B25">
        <w:rPr>
          <w:rFonts w:ascii="Times New Roman" w:hAnsi="Times New Roman" w:cs="Times New Roman"/>
          <w:color w:val="000000" w:themeColor="text1"/>
        </w:rPr>
        <w:t xml:space="preserve"> alone</w:t>
      </w:r>
      <w:r w:rsidR="001F4E5D" w:rsidRPr="008A4B25">
        <w:rPr>
          <w:rFonts w:ascii="Times New Roman" w:hAnsi="Times New Roman" w:cs="Times New Roman"/>
          <w:color w:val="000000" w:themeColor="text1"/>
        </w:rPr>
        <w:t xml:space="preserve">. </w:t>
      </w:r>
      <w:r w:rsidR="00EA712B" w:rsidRPr="008A4B25">
        <w:rPr>
          <w:rFonts w:ascii="Times New Roman" w:hAnsi="Times New Roman" w:cs="Times New Roman"/>
          <w:color w:val="000000" w:themeColor="text1"/>
        </w:rPr>
        <w:t xml:space="preserve">IgM </w:t>
      </w:r>
      <w:r w:rsidR="0033414C" w:rsidRPr="008A4B25">
        <w:rPr>
          <w:rFonts w:ascii="Times New Roman" w:hAnsi="Times New Roman" w:cs="Times New Roman"/>
          <w:color w:val="000000" w:themeColor="text1"/>
        </w:rPr>
        <w:t>PC</w:t>
      </w:r>
      <w:r w:rsidR="00EA712B" w:rsidRPr="008A4B25">
        <w:rPr>
          <w:rFonts w:ascii="Times New Roman" w:hAnsi="Times New Roman" w:cs="Times New Roman"/>
          <w:color w:val="000000" w:themeColor="text1"/>
        </w:rPr>
        <w:t xml:space="preserve">s </w:t>
      </w:r>
      <w:r w:rsidR="006A5AB8" w:rsidRPr="008A4B25">
        <w:rPr>
          <w:rFonts w:ascii="Times New Roman" w:hAnsi="Times New Roman" w:cs="Times New Roman"/>
          <w:color w:val="000000" w:themeColor="text1"/>
        </w:rPr>
        <w:t>appeared</w:t>
      </w:r>
      <w:r w:rsidR="00053300" w:rsidRPr="008A4B25">
        <w:rPr>
          <w:rFonts w:ascii="Times New Roman" w:hAnsi="Times New Roman" w:cs="Times New Roman"/>
          <w:color w:val="000000" w:themeColor="text1"/>
        </w:rPr>
        <w:t xml:space="preserve"> to be </w:t>
      </w:r>
      <w:r w:rsidR="006A5AB8" w:rsidRPr="008A4B25">
        <w:rPr>
          <w:rFonts w:ascii="Times New Roman" w:hAnsi="Times New Roman" w:cs="Times New Roman"/>
          <w:color w:val="000000" w:themeColor="text1"/>
        </w:rPr>
        <w:t xml:space="preserve">mainly </w:t>
      </w:r>
      <w:r w:rsidR="00053300" w:rsidRPr="008A4B25">
        <w:rPr>
          <w:rFonts w:ascii="Times New Roman" w:hAnsi="Times New Roman" w:cs="Times New Roman"/>
          <w:color w:val="000000" w:themeColor="text1"/>
        </w:rPr>
        <w:t>derived from the</w:t>
      </w:r>
      <w:r w:rsidR="00EA712B" w:rsidRPr="008A4B25">
        <w:rPr>
          <w:rFonts w:ascii="Times New Roman" w:hAnsi="Times New Roman" w:cs="Times New Roman"/>
          <w:color w:val="000000" w:themeColor="text1"/>
        </w:rPr>
        <w:t xml:space="preserve"> </w:t>
      </w:r>
      <w:r w:rsidR="00791C14" w:rsidRPr="008A4B25">
        <w:rPr>
          <w:rFonts w:ascii="Times New Roman" w:hAnsi="Times New Roman" w:cs="Times New Roman"/>
          <w:color w:val="000000" w:themeColor="text1"/>
        </w:rPr>
        <w:t>MZ</w:t>
      </w:r>
      <w:r w:rsidR="00EA712B" w:rsidRPr="008A4B25">
        <w:rPr>
          <w:rFonts w:ascii="Times New Roman" w:hAnsi="Times New Roman" w:cs="Times New Roman"/>
          <w:color w:val="000000" w:themeColor="text1"/>
        </w:rPr>
        <w:t>, or IgM memory cell</w:t>
      </w:r>
      <w:r w:rsidR="00053300" w:rsidRPr="008A4B25">
        <w:rPr>
          <w:rFonts w:ascii="Times New Roman" w:hAnsi="Times New Roman" w:cs="Times New Roman"/>
          <w:color w:val="000000" w:themeColor="text1"/>
        </w:rPr>
        <w:t>s</w:t>
      </w:r>
      <w:r w:rsidR="006A5AB8" w:rsidRPr="008A4B25">
        <w:rPr>
          <w:rFonts w:ascii="Times New Roman" w:hAnsi="Times New Roman" w:cs="Times New Roman"/>
          <w:color w:val="000000" w:themeColor="text1"/>
        </w:rPr>
        <w:t>, whereas the</w:t>
      </w:r>
      <w:r w:rsidR="00EA712B" w:rsidRPr="008A4B25">
        <w:rPr>
          <w:rFonts w:ascii="Times New Roman" w:hAnsi="Times New Roman" w:cs="Times New Roman"/>
          <w:color w:val="000000" w:themeColor="text1"/>
        </w:rPr>
        <w:t xml:space="preserve"> IgG </w:t>
      </w:r>
      <w:r w:rsidR="0033414C" w:rsidRPr="008A4B25">
        <w:rPr>
          <w:rFonts w:ascii="Times New Roman" w:hAnsi="Times New Roman" w:cs="Times New Roman"/>
          <w:color w:val="000000" w:themeColor="text1"/>
        </w:rPr>
        <w:t>PC</w:t>
      </w:r>
      <w:r w:rsidR="00EA712B" w:rsidRPr="008A4B25">
        <w:rPr>
          <w:rFonts w:ascii="Times New Roman" w:hAnsi="Times New Roman" w:cs="Times New Roman"/>
          <w:color w:val="000000" w:themeColor="text1"/>
        </w:rPr>
        <w:t xml:space="preserve">s </w:t>
      </w:r>
      <w:r w:rsidR="006A5AB8" w:rsidRPr="008A4B25">
        <w:rPr>
          <w:rFonts w:ascii="Times New Roman" w:hAnsi="Times New Roman" w:cs="Times New Roman"/>
          <w:color w:val="000000" w:themeColor="text1"/>
        </w:rPr>
        <w:t>appeared to be mainly derived from the</w:t>
      </w:r>
      <w:r w:rsidR="00EA712B" w:rsidRPr="008A4B25">
        <w:rPr>
          <w:rFonts w:ascii="Times New Roman" w:hAnsi="Times New Roman" w:cs="Times New Roman"/>
          <w:color w:val="000000" w:themeColor="text1"/>
        </w:rPr>
        <w:t xml:space="preserve"> IgG memory cells</w:t>
      </w:r>
      <w:r w:rsidR="00EA61AA" w:rsidRPr="008A4B25">
        <w:rPr>
          <w:rFonts w:ascii="Times New Roman" w:hAnsi="Times New Roman" w:cs="Times New Roman"/>
          <w:color w:val="000000" w:themeColor="text1"/>
        </w:rPr>
        <w:t>, suggesting that</w:t>
      </w:r>
      <w:r w:rsidR="007760D6" w:rsidRPr="008A4B25">
        <w:rPr>
          <w:rFonts w:ascii="Times New Roman" w:hAnsi="Times New Roman" w:cs="Times New Roman"/>
          <w:color w:val="000000" w:themeColor="text1"/>
        </w:rPr>
        <w:t xml:space="preserve"> </w:t>
      </w:r>
      <w:r w:rsidR="0033414C" w:rsidRPr="008A4B25">
        <w:rPr>
          <w:rFonts w:ascii="Times New Roman" w:hAnsi="Times New Roman" w:cs="Times New Roman"/>
          <w:color w:val="000000" w:themeColor="text1"/>
        </w:rPr>
        <w:t>PC</w:t>
      </w:r>
      <w:r w:rsidR="007760D6" w:rsidRPr="008A4B25">
        <w:rPr>
          <w:rFonts w:ascii="Times New Roman" w:hAnsi="Times New Roman" w:cs="Times New Roman"/>
          <w:color w:val="000000" w:themeColor="text1"/>
        </w:rPr>
        <w:t xml:space="preserve">s are mainly activated from memory cells </w:t>
      </w:r>
      <w:r w:rsidR="00F1068A" w:rsidRPr="008A4B25">
        <w:rPr>
          <w:rFonts w:ascii="Times New Roman" w:hAnsi="Times New Roman" w:cs="Times New Roman"/>
          <w:color w:val="000000" w:themeColor="text1"/>
        </w:rPr>
        <w:t>as part of a</w:t>
      </w:r>
      <w:r w:rsidR="007760D6" w:rsidRPr="008A4B25">
        <w:rPr>
          <w:rFonts w:ascii="Times New Roman" w:hAnsi="Times New Roman" w:cs="Times New Roman"/>
          <w:color w:val="000000" w:themeColor="text1"/>
        </w:rPr>
        <w:t xml:space="preserve"> recall response. </w:t>
      </w:r>
      <w:r w:rsidR="006A5AB8" w:rsidRPr="008A4B25">
        <w:rPr>
          <w:rFonts w:ascii="Times New Roman" w:hAnsi="Times New Roman" w:cs="Times New Roman"/>
          <w:color w:val="000000" w:themeColor="text1"/>
        </w:rPr>
        <w:t>Comparing the vaccine groups</w:t>
      </w:r>
      <w:r w:rsidR="00F1068A" w:rsidRPr="008A4B25">
        <w:rPr>
          <w:rFonts w:ascii="Times New Roman" w:hAnsi="Times New Roman" w:cs="Times New Roman"/>
          <w:color w:val="000000" w:themeColor="text1"/>
        </w:rPr>
        <w:t xml:space="preserve">, the </w:t>
      </w:r>
      <w:r w:rsidR="00CC5EE9" w:rsidRPr="008A4B25">
        <w:rPr>
          <w:rFonts w:ascii="Times New Roman" w:hAnsi="Times New Roman" w:cs="Times New Roman"/>
          <w:color w:val="000000" w:themeColor="text1"/>
        </w:rPr>
        <w:t xml:space="preserve">IgG </w:t>
      </w:r>
      <w:r w:rsidR="00F1068A" w:rsidRPr="008A4B25">
        <w:rPr>
          <w:rFonts w:ascii="Times New Roman" w:hAnsi="Times New Roman" w:cs="Times New Roman"/>
          <w:color w:val="000000" w:themeColor="text1"/>
        </w:rPr>
        <w:t xml:space="preserve">PCs after polysaccharide vaccine </w:t>
      </w:r>
      <w:r w:rsidR="00CC5EE9" w:rsidRPr="008A4B25">
        <w:rPr>
          <w:rFonts w:ascii="Times New Roman" w:hAnsi="Times New Roman" w:cs="Times New Roman"/>
          <w:color w:val="000000" w:themeColor="text1"/>
        </w:rPr>
        <w:t>are</w:t>
      </w:r>
      <w:r w:rsidR="00F1068A" w:rsidRPr="008A4B25">
        <w:rPr>
          <w:rFonts w:ascii="Times New Roman" w:hAnsi="Times New Roman" w:cs="Times New Roman"/>
          <w:color w:val="000000" w:themeColor="text1"/>
        </w:rPr>
        <w:t xml:space="preserve"> more likely to be related</w:t>
      </w:r>
      <w:r w:rsidR="006A5AB8" w:rsidRPr="008A4B25">
        <w:rPr>
          <w:rFonts w:ascii="Times New Roman" w:hAnsi="Times New Roman" w:cs="Times New Roman"/>
          <w:color w:val="000000" w:themeColor="text1"/>
        </w:rPr>
        <w:t xml:space="preserve"> </w:t>
      </w:r>
      <w:r w:rsidR="00F1068A" w:rsidRPr="008A4B25">
        <w:rPr>
          <w:rFonts w:ascii="Times New Roman" w:hAnsi="Times New Roman" w:cs="Times New Roman"/>
          <w:color w:val="000000" w:themeColor="text1"/>
        </w:rPr>
        <w:t>to</w:t>
      </w:r>
      <w:r w:rsidR="00EA712B" w:rsidRPr="008A4B25">
        <w:rPr>
          <w:rFonts w:ascii="Times New Roman" w:hAnsi="Times New Roman" w:cs="Times New Roman"/>
          <w:color w:val="000000" w:themeColor="text1"/>
        </w:rPr>
        <w:t xml:space="preserve"> </w:t>
      </w:r>
      <w:r w:rsidR="00791C14" w:rsidRPr="008A4B25">
        <w:rPr>
          <w:rFonts w:ascii="Times New Roman" w:hAnsi="Times New Roman" w:cs="Times New Roman"/>
          <w:color w:val="000000" w:themeColor="text1"/>
        </w:rPr>
        <w:t>MZ</w:t>
      </w:r>
      <w:r w:rsidR="009B07F7" w:rsidRPr="008A4B25">
        <w:rPr>
          <w:rFonts w:ascii="Times New Roman" w:hAnsi="Times New Roman" w:cs="Times New Roman"/>
          <w:color w:val="000000" w:themeColor="text1"/>
        </w:rPr>
        <w:t xml:space="preserve"> and IgM memory </w:t>
      </w:r>
      <w:r w:rsidR="00EA712B" w:rsidRPr="008A4B25">
        <w:rPr>
          <w:rFonts w:ascii="Times New Roman" w:hAnsi="Times New Roman" w:cs="Times New Roman"/>
          <w:color w:val="000000" w:themeColor="text1"/>
        </w:rPr>
        <w:t xml:space="preserve">cells, and </w:t>
      </w:r>
      <w:r w:rsidR="00F1068A" w:rsidRPr="008A4B25">
        <w:rPr>
          <w:rFonts w:ascii="Times New Roman" w:hAnsi="Times New Roman" w:cs="Times New Roman"/>
          <w:color w:val="000000" w:themeColor="text1"/>
        </w:rPr>
        <w:t xml:space="preserve">less likely to be related to </w:t>
      </w:r>
      <w:r w:rsidR="00EA712B" w:rsidRPr="008A4B25">
        <w:rPr>
          <w:rFonts w:ascii="Times New Roman" w:hAnsi="Times New Roman" w:cs="Times New Roman"/>
          <w:color w:val="000000" w:themeColor="text1"/>
        </w:rPr>
        <w:t xml:space="preserve">IgG memory cells </w:t>
      </w:r>
      <w:r w:rsidR="00F1068A" w:rsidRPr="008A4B25">
        <w:rPr>
          <w:rFonts w:ascii="Times New Roman" w:hAnsi="Times New Roman" w:cs="Times New Roman"/>
          <w:color w:val="000000" w:themeColor="text1"/>
        </w:rPr>
        <w:t xml:space="preserve">than </w:t>
      </w:r>
      <w:r w:rsidR="00EA712B" w:rsidRPr="008A4B25">
        <w:rPr>
          <w:rFonts w:ascii="Times New Roman" w:hAnsi="Times New Roman" w:cs="Times New Roman"/>
          <w:color w:val="000000" w:themeColor="text1"/>
        </w:rPr>
        <w:t xml:space="preserve">after </w:t>
      </w:r>
      <w:r w:rsidR="00932024" w:rsidRPr="008A4B25">
        <w:rPr>
          <w:rFonts w:ascii="Times New Roman" w:hAnsi="Times New Roman" w:cs="Times New Roman"/>
          <w:color w:val="000000" w:themeColor="text1"/>
        </w:rPr>
        <w:t>conjugate vaccine</w:t>
      </w:r>
      <w:r w:rsidR="00F1068A" w:rsidRPr="008A4B25">
        <w:rPr>
          <w:rFonts w:ascii="Times New Roman" w:hAnsi="Times New Roman" w:cs="Times New Roman"/>
          <w:color w:val="000000" w:themeColor="text1"/>
        </w:rPr>
        <w:t>. This</w:t>
      </w:r>
      <w:r w:rsidR="00CC5EE9" w:rsidRPr="008A4B25">
        <w:rPr>
          <w:rFonts w:ascii="Times New Roman" w:hAnsi="Times New Roman" w:cs="Times New Roman"/>
          <w:color w:val="000000" w:themeColor="text1"/>
        </w:rPr>
        <w:t xml:space="preserve"> </w:t>
      </w:r>
      <w:r w:rsidR="00932024" w:rsidRPr="008A4B25">
        <w:rPr>
          <w:rFonts w:ascii="Times New Roman" w:hAnsi="Times New Roman" w:cs="Times New Roman"/>
          <w:color w:val="000000" w:themeColor="text1"/>
        </w:rPr>
        <w:t>support</w:t>
      </w:r>
      <w:r w:rsidR="00CC5EE9" w:rsidRPr="008A4B25">
        <w:rPr>
          <w:rFonts w:ascii="Times New Roman" w:hAnsi="Times New Roman" w:cs="Times New Roman"/>
          <w:color w:val="000000" w:themeColor="text1"/>
        </w:rPr>
        <w:t>s</w:t>
      </w:r>
      <w:r w:rsidR="00932024" w:rsidRPr="008A4B25">
        <w:rPr>
          <w:rFonts w:ascii="Times New Roman" w:hAnsi="Times New Roman" w:cs="Times New Roman"/>
          <w:color w:val="000000" w:themeColor="text1"/>
        </w:rPr>
        <w:t xml:space="preserve"> the hypothesis that</w:t>
      </w:r>
      <w:r w:rsidR="00EA712B" w:rsidRPr="008A4B25">
        <w:rPr>
          <w:rFonts w:ascii="Times New Roman" w:hAnsi="Times New Roman" w:cs="Times New Roman"/>
          <w:color w:val="000000" w:themeColor="text1"/>
        </w:rPr>
        <w:t xml:space="preserve"> the polysaccharide vaccine stimulat</w:t>
      </w:r>
      <w:r w:rsidR="00C426F3" w:rsidRPr="008A4B25">
        <w:rPr>
          <w:rFonts w:ascii="Times New Roman" w:hAnsi="Times New Roman" w:cs="Times New Roman"/>
          <w:color w:val="000000" w:themeColor="text1"/>
        </w:rPr>
        <w:t>es</w:t>
      </w:r>
      <w:r w:rsidR="00EA712B" w:rsidRPr="008A4B25">
        <w:rPr>
          <w:rFonts w:ascii="Times New Roman" w:hAnsi="Times New Roman" w:cs="Times New Roman"/>
          <w:color w:val="000000" w:themeColor="text1"/>
        </w:rPr>
        <w:t xml:space="preserve"> a </w:t>
      </w:r>
      <w:r w:rsidR="00932024" w:rsidRPr="008A4B25">
        <w:rPr>
          <w:rFonts w:ascii="Times New Roman" w:hAnsi="Times New Roman" w:cs="Times New Roman"/>
          <w:color w:val="000000" w:themeColor="text1"/>
        </w:rPr>
        <w:t>more T-independent like response</w:t>
      </w:r>
      <w:r w:rsidR="00EA712B" w:rsidRPr="008A4B25">
        <w:rPr>
          <w:rFonts w:ascii="Times New Roman" w:hAnsi="Times New Roman" w:cs="Times New Roman"/>
          <w:color w:val="000000" w:themeColor="text1"/>
        </w:rPr>
        <w:t xml:space="preserve">, </w:t>
      </w:r>
      <w:r w:rsidR="00C426F3" w:rsidRPr="008A4B25">
        <w:rPr>
          <w:rFonts w:ascii="Times New Roman" w:hAnsi="Times New Roman" w:cs="Times New Roman"/>
          <w:color w:val="000000" w:themeColor="text1"/>
        </w:rPr>
        <w:t xml:space="preserve">while </w:t>
      </w:r>
      <w:r w:rsidR="00EA712B" w:rsidRPr="008A4B25">
        <w:rPr>
          <w:rFonts w:ascii="Times New Roman" w:hAnsi="Times New Roman" w:cs="Times New Roman"/>
          <w:color w:val="000000" w:themeColor="text1"/>
        </w:rPr>
        <w:t>the conjugate vaccine stimulat</w:t>
      </w:r>
      <w:r w:rsidR="00C426F3" w:rsidRPr="008A4B25">
        <w:rPr>
          <w:rFonts w:ascii="Times New Roman" w:hAnsi="Times New Roman" w:cs="Times New Roman"/>
          <w:color w:val="000000" w:themeColor="text1"/>
        </w:rPr>
        <w:t>es</w:t>
      </w:r>
      <w:r w:rsidR="00EA712B" w:rsidRPr="008A4B25">
        <w:rPr>
          <w:rFonts w:ascii="Times New Roman" w:hAnsi="Times New Roman" w:cs="Times New Roman"/>
          <w:color w:val="000000" w:themeColor="text1"/>
        </w:rPr>
        <w:t xml:space="preserve"> a </w:t>
      </w:r>
      <w:r w:rsidR="00932024" w:rsidRPr="008A4B25">
        <w:rPr>
          <w:rFonts w:ascii="Times New Roman" w:hAnsi="Times New Roman" w:cs="Times New Roman"/>
          <w:color w:val="000000" w:themeColor="text1"/>
        </w:rPr>
        <w:t>more T-dependent like</w:t>
      </w:r>
      <w:r w:rsidR="00EA712B" w:rsidRPr="008A4B25">
        <w:rPr>
          <w:rFonts w:ascii="Times New Roman" w:hAnsi="Times New Roman" w:cs="Times New Roman"/>
          <w:color w:val="000000" w:themeColor="text1"/>
        </w:rPr>
        <w:t xml:space="preserve"> response.</w:t>
      </w:r>
      <w:r w:rsidR="0033192B" w:rsidRPr="008A4B25">
        <w:rPr>
          <w:rFonts w:ascii="Times New Roman" w:hAnsi="Times New Roman" w:cs="Times New Roman"/>
          <w:color w:val="000000" w:themeColor="text1"/>
        </w:rPr>
        <w:t xml:space="preserve"> </w:t>
      </w:r>
      <w:r w:rsidR="00CC5EE9" w:rsidRPr="008A4B25">
        <w:rPr>
          <w:rFonts w:ascii="Times New Roman" w:hAnsi="Times New Roman" w:cs="Times New Roman"/>
          <w:color w:val="000000" w:themeColor="text1"/>
        </w:rPr>
        <w:t>However, t</w:t>
      </w:r>
      <w:r w:rsidR="00A22304" w:rsidRPr="008A4B25">
        <w:rPr>
          <w:rFonts w:ascii="Times New Roman" w:hAnsi="Times New Roman" w:cs="Times New Roman"/>
          <w:color w:val="000000" w:themeColor="text1"/>
        </w:rPr>
        <w:t xml:space="preserve">here </w:t>
      </w:r>
      <w:r w:rsidR="00CC5EE9" w:rsidRPr="008A4B25">
        <w:rPr>
          <w:rFonts w:ascii="Times New Roman" w:hAnsi="Times New Roman" w:cs="Times New Roman"/>
          <w:color w:val="000000" w:themeColor="text1"/>
        </w:rPr>
        <w:t>was</w:t>
      </w:r>
      <w:r w:rsidR="00A22304" w:rsidRPr="008A4B25">
        <w:rPr>
          <w:rFonts w:ascii="Times New Roman" w:hAnsi="Times New Roman" w:cs="Times New Roman"/>
          <w:color w:val="000000" w:themeColor="text1"/>
        </w:rPr>
        <w:t xml:space="preserve"> still </w:t>
      </w:r>
      <w:r w:rsidR="00CC5EE9" w:rsidRPr="008A4B25">
        <w:rPr>
          <w:rFonts w:ascii="Times New Roman" w:hAnsi="Times New Roman" w:cs="Times New Roman"/>
          <w:color w:val="000000" w:themeColor="text1"/>
        </w:rPr>
        <w:t xml:space="preserve">a high probability of IgG PCs being related to IgG memory cells even after </w:t>
      </w:r>
      <w:r w:rsidR="00A22304" w:rsidRPr="008A4B25">
        <w:rPr>
          <w:rFonts w:ascii="Times New Roman" w:hAnsi="Times New Roman" w:cs="Times New Roman"/>
          <w:color w:val="000000" w:themeColor="text1"/>
        </w:rPr>
        <w:t xml:space="preserve">polysaccharide vaccination, indicating that categorizing responses in this way is not clear-cut, and an antigen may activate both T-dependent and T-independent pathways. </w:t>
      </w:r>
      <w:r w:rsidR="008778D0" w:rsidRPr="008A4B25">
        <w:rPr>
          <w:rFonts w:ascii="Times New Roman" w:hAnsi="Times New Roman" w:cs="Times New Roman"/>
          <w:color w:val="000000" w:themeColor="text1"/>
        </w:rPr>
        <w:t xml:space="preserve">While B cell </w:t>
      </w:r>
      <w:r w:rsidR="006A5AB8" w:rsidRPr="008A4B25">
        <w:rPr>
          <w:rFonts w:ascii="Times New Roman" w:hAnsi="Times New Roman" w:cs="Times New Roman"/>
          <w:color w:val="000000" w:themeColor="text1"/>
        </w:rPr>
        <w:t xml:space="preserve">memory </w:t>
      </w:r>
      <w:r w:rsidR="008778D0" w:rsidRPr="008A4B25">
        <w:rPr>
          <w:rFonts w:ascii="Times New Roman" w:hAnsi="Times New Roman" w:cs="Times New Roman"/>
          <w:color w:val="000000" w:themeColor="text1"/>
        </w:rPr>
        <w:t>recall has previously been assessed by testing antibody affinity</w:t>
      </w:r>
      <w:r w:rsidR="00FC28BA" w:rsidRPr="008A4B25">
        <w:rPr>
          <w:rFonts w:ascii="Times New Roman" w:hAnsi="Times New Roman" w:cs="Times New Roman"/>
          <w:color w:val="000000" w:themeColor="text1"/>
        </w:rPr>
        <w:t>,</w:t>
      </w:r>
      <w:r w:rsidR="008778D0"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"10.1073/pnas.1118979109", "ISBN" : "1118979109", "ISSN" : "1091-6490", "PMID" : "22615367", "abstract" : "We have previously shown that broadly neutralizing antibodies reactive to the conserved stem region of the influenza virus hemagglutinin (HA) were generated in people infected with the 2009 pandemic H1N1 strain. Such antibodies are rarely seen in humans following infection or vaccination with seasonal influenza virus strains. However, the important question remained whether the inactivated 2009 pandemic H1N1 vaccine, like the infection, could also induce these broadly neutralizing antibodies. To address this question, we analyzed B-cell responses in 24 healthy adults immunized with the pandemic vaccine in 2009. In all cases, we found a rapid, predominantly IgG-producing vaccine-specific plasmablast response. Strikingly, the majority (25 of 28) of HA-specific monoclonal antibodies generated from the vaccine-specific plasmablasts neutralized more than one influenza strain and exhibited high levels of somatic hypermutation, suggesting they were derived from recall of B-cell memory. Indeed, memory B cells that recognized the 2009 pandemic H1N1 HA were detectable before vaccination not only in this cohort but also in samples obtained before the emergence of the pandemic strain. Three antibodies demonstrated extremely broad cross-reactivity and were found to bind the HA stem. Furthermore, one stem-reactive antibody recognized not only H1 and H5, but also H3 influenza viruses. This exceptional cross-reactivity indicates that antibodies capable of neutralizing most influenza subtypes might indeed be elicited by vaccination. The challenge now is to improve upon this result and design influenza vaccines that can elicit these broadly cross-reactive antibodies at sufficiently high levels to provide heterosubtypic protection.", "author" : [ { "dropping-particle" : "", "family" : "Li", "given" : "Gui-Mei", "non-dropping-particle" : "", "parse-names" : false, "suffix" : "" }, { "dropping-particle" : "", "family" : "Chiu", "given" : "Christopher", "non-dropping-particle" : "", "parse-names" : false, "suffix" : "" }, { "dropping-particle" : "", "family" : "Wrammert", "given" : "Jens", "non-dropping-particle" : "", "parse-names" : false, "suffix" : "" }, { "dropping-particle" : "", "family" : "McCausland", "given" : "Megan", "non-dropping-particle" : "", "parse-names" : false, "suffix" : "" }, { "dropping-particle" : "", "family" : "Andrews", "given" : "Sarah F", "non-dropping-particle" : "", "parse-names" : false, "suffix" : "" }, { "dropping-particle" : "", "family" : "Zheng", "given" : "Nai-Ying", "non-dropping-particle" : "", "parse-names" : false, "suffix" : "" }, { "dropping-particle" : "", "family" : "Lee", "given" : "Jane-Hwei", "non-dropping-particle" : "", "parse-names" : false, "suffix" : "" }, { "dropping-particle" : "", "family" : "Huang", "given" : "Min", "non-dropping-particle" : "", "parse-names" : false, "suffix" : "" }, { "dropping-particle" : "", "family" : "Qu", "given" : "Xinyan", "non-dropping-particle" : "", "parse-names" : false, "suffix" : "" }, { "dropping-particle" : "", "family" : "Edupuganti", "given" : "Srilatha", "non-dropping-particle" : "", "parse-names" : false, "suffix" : "" }, { "dropping-particle" : "", "family" : "Mulligan", "given" : "Mark", "non-dropping-particle" : "", "parse-names" : false, "suffix" : "" }, { "dropping-particle" : "", "family" : "Das", "given" : "Suman R", "non-dropping-particle" : "", "parse-names" : false, "suffix" : "" }, { "dropping-particle" : "", "family" : "Yewdell", "given" : "Jonathan W", "non-dropping-particle" : "", "parse-names" : false, "suffix" : "" }, { "dropping-particle" : "", "family" : "Mehta", "given" : "Aneesh K", "non-dropping-particle" : "", "parse-names" : false, "suffix" : "" }, { "dropping-particle" : "", "family" : "Wilson", "given" : "Patrick C", "non-dropping-particle" : "", "parse-names" : false, "suffix" : "" }, { "dropping-particle" : "", "family" : "Ahmed", "given" : "Rafi", "non-dropping-particle" : "", "parse-names" : false, "suffix" : "" } ], "container-title" : "Proceedings of the National Academy of Sciences of the United States of America", "id" : "ITEM-1", "issue" : "23", "issued" : { "date-parts" : [ [ "2012", "6", "5" ] ] }, "page" : "9047-52", "title" : "Pandemic H1N1 influenza vaccine induces a recall response in humans that favors broadly cross-reactive memory B cells.", "type" : "article-journal", "volume" : "109" }, "uris" : [ "http://www.mendeley.com/documents/?uuid=75fbf8b8-e5d5-4914-9091-f64721bcb72f" ] } ], "mendeley" : { "formattedCitation" : "&lt;sup&gt;30&lt;/sup&gt;", "plainTextFormattedCitation" : "30", "previouslyFormattedCitation" : "&lt;sup&gt;29&lt;/sup&gt;" }, "properties" : { "noteIndex" : 0 }, "schema" : "https://github.com/citation-style-language/schema/raw/master/csl-citation.json" }</w:instrText>
      </w:r>
      <w:r w:rsidR="008778D0"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30</w:t>
      </w:r>
      <w:r w:rsidR="008778D0" w:rsidRPr="008A4B25">
        <w:rPr>
          <w:rFonts w:ascii="Times New Roman" w:hAnsi="Times New Roman" w:cs="Times New Roman"/>
          <w:color w:val="000000" w:themeColor="text1"/>
        </w:rPr>
        <w:fldChar w:fldCharType="end"/>
      </w:r>
      <w:r w:rsidR="008778D0" w:rsidRPr="008A4B25">
        <w:rPr>
          <w:rFonts w:ascii="Times New Roman" w:hAnsi="Times New Roman" w:cs="Times New Roman"/>
          <w:color w:val="000000" w:themeColor="text1"/>
        </w:rPr>
        <w:t xml:space="preserve"> this method does not indicate </w:t>
      </w:r>
      <w:r w:rsidR="007760D6" w:rsidRPr="008A4B25">
        <w:rPr>
          <w:rFonts w:ascii="Times New Roman" w:hAnsi="Times New Roman" w:cs="Times New Roman"/>
          <w:color w:val="000000" w:themeColor="text1"/>
        </w:rPr>
        <w:t>which B cell subsets are activated</w:t>
      </w:r>
      <w:r w:rsidR="008778D0" w:rsidRPr="008A4B25">
        <w:rPr>
          <w:rFonts w:ascii="Times New Roman" w:hAnsi="Times New Roman" w:cs="Times New Roman"/>
          <w:color w:val="000000" w:themeColor="text1"/>
        </w:rPr>
        <w:t xml:space="preserve"> in the recall response. </w:t>
      </w:r>
      <w:r w:rsidR="006A5AB8" w:rsidRPr="008A4B25">
        <w:rPr>
          <w:rFonts w:ascii="Times New Roman" w:hAnsi="Times New Roman" w:cs="Times New Roman"/>
          <w:color w:val="000000" w:themeColor="text1"/>
        </w:rPr>
        <w:t xml:space="preserve">The technique presented here for </w:t>
      </w:r>
      <w:r w:rsidR="00E363EE" w:rsidRPr="008A4B25">
        <w:rPr>
          <w:rFonts w:ascii="Times New Roman" w:hAnsi="Times New Roman" w:cs="Times New Roman"/>
          <w:color w:val="000000" w:themeColor="text1"/>
        </w:rPr>
        <w:t>monitoring</w:t>
      </w:r>
      <w:r w:rsidR="006A5AB8" w:rsidRPr="008A4B25">
        <w:rPr>
          <w:rFonts w:ascii="Times New Roman" w:hAnsi="Times New Roman" w:cs="Times New Roman"/>
          <w:color w:val="000000" w:themeColor="text1"/>
        </w:rPr>
        <w:t xml:space="preserve"> memory recall </w:t>
      </w:r>
      <w:r w:rsidR="00E363EE" w:rsidRPr="008A4B25">
        <w:rPr>
          <w:rFonts w:ascii="Times New Roman" w:hAnsi="Times New Roman" w:cs="Times New Roman"/>
          <w:color w:val="000000" w:themeColor="text1"/>
        </w:rPr>
        <w:t xml:space="preserve">at the sequence level </w:t>
      </w:r>
      <w:r w:rsidR="006A5AB8" w:rsidRPr="008A4B25">
        <w:rPr>
          <w:rFonts w:ascii="Times New Roman" w:hAnsi="Times New Roman" w:cs="Times New Roman"/>
          <w:color w:val="000000" w:themeColor="text1"/>
        </w:rPr>
        <w:t>has clear application in vaccine development</w:t>
      </w:r>
      <w:r w:rsidR="00E363EE" w:rsidRPr="008A4B25">
        <w:rPr>
          <w:rFonts w:ascii="Times New Roman" w:hAnsi="Times New Roman" w:cs="Times New Roman"/>
          <w:color w:val="000000" w:themeColor="text1"/>
        </w:rPr>
        <w:t xml:space="preserve">, where long-term protection requires such memory formation. </w:t>
      </w:r>
    </w:p>
    <w:p w14:paraId="68284719" w14:textId="67E344AC" w:rsidR="00303F0D" w:rsidRPr="008A4B25" w:rsidRDefault="00CC5EE9" w:rsidP="008B0B6E">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K</w:t>
      </w:r>
      <w:r w:rsidR="0077133F" w:rsidRPr="008A4B25">
        <w:rPr>
          <w:rFonts w:ascii="Times New Roman" w:hAnsi="Times New Roman" w:cs="Times New Roman"/>
          <w:color w:val="000000" w:themeColor="text1"/>
        </w:rPr>
        <w:t>nowing the exact sequences of the recalled cells not only allow</w:t>
      </w:r>
      <w:r w:rsidR="007E167C" w:rsidRPr="008A4B25">
        <w:rPr>
          <w:rFonts w:ascii="Times New Roman" w:hAnsi="Times New Roman" w:cs="Times New Roman"/>
          <w:color w:val="000000" w:themeColor="text1"/>
        </w:rPr>
        <w:t>s</w:t>
      </w:r>
      <w:r w:rsidR="0077133F" w:rsidRPr="008A4B25">
        <w:rPr>
          <w:rFonts w:ascii="Times New Roman" w:hAnsi="Times New Roman" w:cs="Times New Roman"/>
          <w:color w:val="000000" w:themeColor="text1"/>
        </w:rPr>
        <w:t xml:space="preserve"> </w:t>
      </w:r>
      <w:r w:rsidR="00F1068A" w:rsidRPr="008A4B25">
        <w:rPr>
          <w:rFonts w:ascii="Times New Roman" w:hAnsi="Times New Roman" w:cs="Times New Roman"/>
          <w:color w:val="000000" w:themeColor="text1"/>
        </w:rPr>
        <w:t>relationships to</w:t>
      </w:r>
      <w:r w:rsidR="0077133F" w:rsidRPr="008A4B25">
        <w:rPr>
          <w:rFonts w:ascii="Times New Roman" w:hAnsi="Times New Roman" w:cs="Times New Roman"/>
          <w:color w:val="000000" w:themeColor="text1"/>
        </w:rPr>
        <w:t xml:space="preserve"> precursor memory cell subsets</w:t>
      </w:r>
      <w:r w:rsidR="00F1068A" w:rsidRPr="008A4B25">
        <w:rPr>
          <w:rFonts w:ascii="Times New Roman" w:hAnsi="Times New Roman" w:cs="Times New Roman"/>
          <w:color w:val="000000" w:themeColor="text1"/>
        </w:rPr>
        <w:t xml:space="preserve"> to be explored</w:t>
      </w:r>
      <w:r w:rsidR="0077133F" w:rsidRPr="008A4B25">
        <w:rPr>
          <w:rFonts w:ascii="Times New Roman" w:hAnsi="Times New Roman" w:cs="Times New Roman"/>
          <w:color w:val="000000" w:themeColor="text1"/>
        </w:rPr>
        <w:t>, but also allows identification of IgG subclass</w:t>
      </w:r>
      <w:r w:rsidR="008C2374" w:rsidRPr="008A4B25">
        <w:rPr>
          <w:rFonts w:ascii="Times New Roman" w:hAnsi="Times New Roman" w:cs="Times New Roman"/>
          <w:color w:val="000000" w:themeColor="text1"/>
        </w:rPr>
        <w:t xml:space="preserve"> and</w:t>
      </w:r>
      <w:r w:rsidR="0077133F" w:rsidRPr="008A4B25">
        <w:rPr>
          <w:rFonts w:ascii="Times New Roman" w:hAnsi="Times New Roman" w:cs="Times New Roman"/>
          <w:color w:val="000000" w:themeColor="text1"/>
        </w:rPr>
        <w:t xml:space="preserve"> mutation </w:t>
      </w:r>
      <w:r w:rsidR="00E363EE" w:rsidRPr="008A4B25">
        <w:rPr>
          <w:rFonts w:ascii="Times New Roman" w:hAnsi="Times New Roman" w:cs="Times New Roman"/>
          <w:color w:val="000000" w:themeColor="text1"/>
        </w:rPr>
        <w:t>levels</w:t>
      </w:r>
      <w:r w:rsidR="0077133F" w:rsidRPr="008A4B25">
        <w:rPr>
          <w:rFonts w:ascii="Times New Roman" w:hAnsi="Times New Roman" w:cs="Times New Roman"/>
          <w:color w:val="000000" w:themeColor="text1"/>
        </w:rPr>
        <w:t xml:space="preserve">, giving </w:t>
      </w:r>
      <w:r w:rsidR="00E363EE" w:rsidRPr="008A4B25">
        <w:rPr>
          <w:rFonts w:ascii="Times New Roman" w:hAnsi="Times New Roman" w:cs="Times New Roman"/>
          <w:color w:val="000000" w:themeColor="text1"/>
        </w:rPr>
        <w:t>further</w:t>
      </w:r>
      <w:r w:rsidR="0077133F" w:rsidRPr="008A4B25">
        <w:rPr>
          <w:rFonts w:ascii="Times New Roman" w:hAnsi="Times New Roman" w:cs="Times New Roman"/>
          <w:color w:val="000000" w:themeColor="text1"/>
        </w:rPr>
        <w:t xml:space="preserve"> insight into the vaccine response.</w:t>
      </w:r>
      <w:r w:rsidR="008B0B6E" w:rsidRPr="008A4B25">
        <w:rPr>
          <w:rFonts w:ascii="Times New Roman" w:hAnsi="Times New Roman" w:cs="Times New Roman"/>
          <w:color w:val="000000" w:themeColor="text1"/>
        </w:rPr>
        <w:t xml:space="preserve"> </w:t>
      </w:r>
      <w:r w:rsidR="00DB5BDF" w:rsidRPr="008A4B25">
        <w:rPr>
          <w:rFonts w:ascii="Times New Roman" w:hAnsi="Times New Roman" w:cs="Times New Roman"/>
          <w:color w:val="000000" w:themeColor="text1"/>
        </w:rPr>
        <w:t xml:space="preserve">Determination of IgG subclass is only possible when B cell heavy chain </w:t>
      </w:r>
      <w:r w:rsidR="001176AE" w:rsidRPr="008A4B25">
        <w:rPr>
          <w:rFonts w:ascii="Times New Roman" w:hAnsi="Times New Roman" w:cs="Times New Roman"/>
          <w:color w:val="000000" w:themeColor="text1"/>
        </w:rPr>
        <w:t xml:space="preserve">mRNA </w:t>
      </w:r>
      <w:r w:rsidR="00DB5BDF" w:rsidRPr="008A4B25">
        <w:rPr>
          <w:rFonts w:ascii="Times New Roman" w:hAnsi="Times New Roman" w:cs="Times New Roman"/>
          <w:color w:val="000000" w:themeColor="text1"/>
        </w:rPr>
        <w:t>transcripts are sequenced rather than genomic DNA</w:t>
      </w:r>
      <w:r w:rsidR="00BB7B87" w:rsidRPr="008A4B25">
        <w:rPr>
          <w:rFonts w:ascii="Times New Roman" w:hAnsi="Times New Roman" w:cs="Times New Roman"/>
          <w:color w:val="000000" w:themeColor="text1"/>
        </w:rPr>
        <w:t>,</w:t>
      </w:r>
      <w:r w:rsidR="00F1068A" w:rsidRPr="008A4B25">
        <w:rPr>
          <w:rFonts w:ascii="Times New Roman" w:hAnsi="Times New Roman" w:cs="Times New Roman"/>
          <w:color w:val="000000" w:themeColor="text1"/>
        </w:rPr>
        <w:t xml:space="preserve"> </w:t>
      </w:r>
      <w:r w:rsidR="00D27AD8" w:rsidRPr="008A4B25">
        <w:rPr>
          <w:rFonts w:ascii="Times New Roman" w:hAnsi="Times New Roman" w:cs="Times New Roman"/>
          <w:color w:val="000000" w:themeColor="text1"/>
        </w:rPr>
        <w:t>as</w:t>
      </w:r>
      <w:r w:rsidR="00BB7B87" w:rsidRPr="008A4B25">
        <w:rPr>
          <w:rFonts w:ascii="Times New Roman" w:hAnsi="Times New Roman" w:cs="Times New Roman"/>
          <w:color w:val="000000" w:themeColor="text1"/>
        </w:rPr>
        <w:t xml:space="preserve"> there is a large intron between the variable region gene segments, and the constant region gene segments</w:t>
      </w:r>
      <w:r w:rsidR="00D27AD8" w:rsidRPr="008A4B25">
        <w:rPr>
          <w:rFonts w:ascii="Times New Roman" w:hAnsi="Times New Roman" w:cs="Times New Roman"/>
          <w:color w:val="000000" w:themeColor="text1"/>
        </w:rPr>
        <w:t>.</w:t>
      </w:r>
      <w:r w:rsidR="00D27AD8"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"10.1084/jem.188.11.2151", "ISSN" : "0022-1007", "abstract" : "The complete nucleotide sequence of the 957-kb DNA of the human immunoglobulin heavy chain variable (VH) region locus was determined and 43 novel VH segments were identified. The region contains 123 VH segments classifiable into seven different families, of which 79 are pseudogenes. Of the 44 VH segments with an open reading frame, 39 are expressed as heavy chain proteins and 1 as mRNA, while the remaining 4 are not found in immunoglobulin cDNAs. Combinatorial diversity of VH region was calculated to be [~]6,000. Conservation of the promoter and recombination signal sequences was observed to be higher in functional VH segments than in pseudogenes. Phylogenetic analysis of 114 VH segments clearly showed clustering of the VH segments of each family. However, an independent branch in the tree contained a single VH, V4-44.1P, sharing similar levels of homology to human VH families and to those of other vertebrates. Comparison between different copies of homologous units that appear repeatedly across the locus clearly demonstrates that dynamic DNA reorganization of the locus took place at least eight times between 133 and 10 million years ago. One nonimmunoglobulin gene of unknown function was identified in the intergenic region.", "author" : [ { "dropping-particle" : "", "family" : "Matsuda", "given" : "F.", "non-dropping-particle" : "", "parse-names" : false, "suffix" : "" }, { "dropping-particle" : "", "family" : "Ishii", "given" : "K.", "non-dropping-particle" : "", "parse-names" : false, "suffix" : "" }, { "dropping-particle" : "", "family" : "Bourvagnet", "given" : "P.", "non-dropping-particle" : "", "parse-names" : false, "suffix" : "" }, { "dropping-particle" : "", "family" : "Kuma", "given" : "K.", "non-dropping-particle" : "", "parse-names" : false, "suffix" : "" }, { "dropping-particle" : "", "family" : "Hayashida", "given" : "H.", "non-dropping-particle" : "", "parse-names" : false, "suffix" : "" }, { "dropping-particle" : "", "family" : "Miyata", "given" : "T.", "non-dropping-particle" : "", "parse-names" : false, "suffix" : "" }, { "dropping-particle" : "", "family" : "Honjo", "given" : "T.", "non-dropping-particle" : "", "parse-names" : false, "suffix" : "" } ], "container-title" : "Journal of Experimental Medicine", "id" : "ITEM-1", "issue" : "11", "issued" : { "date-parts" : [ [ "1998", "12", "7" ] ] }, "page" : "2151-2162", "title" : "The Complete Nucleotide Sequence of the Human Immunoglobulin Heavy Chain Variable Region Locus", "type" : "article-journal", "volume" : "188" }, "uris" : [ "http://www.mendeley.com/documents/?uuid=e08d9a2d-db5f-4003-aca8-9dfec5048f85" ] } ], "mendeley" : { "formattedCitation" : "&lt;sup&gt;31&lt;/sup&gt;", "plainTextFormattedCitation" : "31", "previouslyFormattedCitation" : "&lt;sup&gt;30&lt;/sup&gt;" }, "properties" : { "noteIndex" : 0 }, "schema" : "https://github.com/citation-style-language/schema/raw/master/csl-citation.json" }</w:instrText>
      </w:r>
      <w:r w:rsidR="00D27AD8"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31</w:t>
      </w:r>
      <w:r w:rsidR="00D27AD8" w:rsidRPr="008A4B25">
        <w:rPr>
          <w:rFonts w:ascii="Times New Roman" w:hAnsi="Times New Roman" w:cs="Times New Roman"/>
          <w:color w:val="000000" w:themeColor="text1"/>
        </w:rPr>
        <w:fldChar w:fldCharType="end"/>
      </w:r>
      <w:r w:rsidR="00D27AD8" w:rsidRPr="008A4B25">
        <w:rPr>
          <w:rFonts w:ascii="Times New Roman" w:hAnsi="Times New Roman" w:cs="Times New Roman"/>
          <w:color w:val="000000" w:themeColor="text1"/>
        </w:rPr>
        <w:t xml:space="preserve"> </w:t>
      </w:r>
      <w:r w:rsidR="00DB5BDF" w:rsidRPr="008A4B25">
        <w:rPr>
          <w:rFonts w:ascii="Times New Roman" w:hAnsi="Times New Roman" w:cs="Times New Roman"/>
          <w:color w:val="000000" w:themeColor="text1"/>
        </w:rPr>
        <w:t xml:space="preserve">Since </w:t>
      </w:r>
      <w:r w:rsidR="00A566CB" w:rsidRPr="008A4B25">
        <w:rPr>
          <w:rFonts w:ascii="Times New Roman" w:hAnsi="Times New Roman" w:cs="Times New Roman"/>
          <w:color w:val="000000" w:themeColor="text1"/>
        </w:rPr>
        <w:t>the four</w:t>
      </w:r>
      <w:r w:rsidR="00DB5BDF" w:rsidRPr="008A4B25">
        <w:rPr>
          <w:rFonts w:ascii="Times New Roman" w:hAnsi="Times New Roman" w:cs="Times New Roman"/>
          <w:color w:val="000000" w:themeColor="text1"/>
        </w:rPr>
        <w:t xml:space="preserve"> IgG subclasses differ in their ability to activate compl</w:t>
      </w:r>
      <w:r w:rsidR="009A46F1" w:rsidRPr="008A4B25">
        <w:rPr>
          <w:rFonts w:ascii="Times New Roman" w:hAnsi="Times New Roman" w:cs="Times New Roman"/>
          <w:color w:val="000000" w:themeColor="text1"/>
        </w:rPr>
        <w:t>e</w:t>
      </w:r>
      <w:r w:rsidR="00DB5BDF" w:rsidRPr="008A4B25">
        <w:rPr>
          <w:rFonts w:ascii="Times New Roman" w:hAnsi="Times New Roman" w:cs="Times New Roman"/>
          <w:color w:val="000000" w:themeColor="text1"/>
        </w:rPr>
        <w:t>ment, and bactericidal activity in different antigenic contexts</w:t>
      </w:r>
      <w:r w:rsidR="00FC28BA" w:rsidRPr="008A4B25">
        <w:rPr>
          <w:rFonts w:ascii="Times New Roman" w:hAnsi="Times New Roman" w:cs="Times New Roman"/>
          <w:color w:val="000000" w:themeColor="text1"/>
        </w:rPr>
        <w:t>,</w:t>
      </w:r>
      <w:r w:rsidR="00DB5BDF"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"10.1002/eji.1830210103", "ISSN" : "0014-2980", "PMID" : "1703960", "abstract" : "The relative complement-mediated lytic capability of the IgG subclass isotypes was studied using a matched set of mouse-human chimeric anti-(4-hydroxy-3-nitrophenyl)acetyl (NP) antibodies. The subclass pattern was shown to be highly dependent on variations in antigen concentration and to lesser extent on variation in epitope patchiness, antibody binding affinity and complement concentration. In general, the IgG3 subclass was most effective in inducing cytolysis at the different conditions used and only at high antigen concentration did the IgG1 subclass mediated more efficient cytolysis than IgG3. The IgG2 isotype required a relative high antigen concentration to be cytolytic while the IgG4 isotype was not cytolytic at any of the conditions tested. These individual characters of each of the IgG subclasses makes it conceivable that a subtle system of immunoregulation exists among the subclasses.", "author" : [ { "dropping-particle" : "", "family" : "Michaelsen", "given" : "T E", "non-dropping-particle" : "", "parse-names" : false, "suffix" : "" }, { "dropping-particle" : "", "family" : "Garred", "given" : "P", "non-dropping-particle" : "", "parse-names" : false, "suffix" : "" }, { "dropping-particle" : "", "family" : "Aase", "given" : "A", "non-dropping-particle" : "", "parse-names" : false, "suffix" : "" } ], "container-title" : "European journal of immunology", "id" : "ITEM-1", "issue" : "1", "issued" : { "date-parts" : [ [ "1991", "1" ] ] }, "page" : "11-6", "title" : "Human IgG subclass pattern of inducing complement-mediated cytolysis depends on antigen concentration and to a lesser extent on epitope patchiness, antibody affinity and complement concentration.", "type" : "article-journal", "volume" : "21" }, "uris" : [ "http://www.mendeley.com/documents/?uuid=3dcedc8c-ba0d-4e3a-971e-64d2909446d8" ] } ], "mendeley" : { "formattedCitation" : "&lt;sup&gt;32&lt;/sup&gt;", "plainTextFormattedCitation" : "32", "previouslyFormattedCitation" : "&lt;sup&gt;31&lt;/sup&gt;" }, "properties" : { "noteIndex" : 0 }, "schema" : "https://github.com/citation-style-language/schema/raw/master/csl-citation.json" }</w:instrText>
      </w:r>
      <w:r w:rsidR="00DB5BDF"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32</w:t>
      </w:r>
      <w:r w:rsidR="00DB5BDF" w:rsidRPr="008A4B25">
        <w:rPr>
          <w:rFonts w:ascii="Times New Roman" w:hAnsi="Times New Roman" w:cs="Times New Roman"/>
          <w:color w:val="000000" w:themeColor="text1"/>
        </w:rPr>
        <w:fldChar w:fldCharType="end"/>
      </w:r>
      <w:r w:rsidR="00DB5BDF" w:rsidRPr="008A4B25">
        <w:rPr>
          <w:rFonts w:ascii="Times New Roman" w:hAnsi="Times New Roman" w:cs="Times New Roman"/>
          <w:color w:val="000000" w:themeColor="text1"/>
        </w:rPr>
        <w:t xml:space="preserve"> monitoring IgG subclass usage is useful. Normally,</w:t>
      </w:r>
      <w:r w:rsidR="00C36178" w:rsidRPr="008A4B25">
        <w:rPr>
          <w:rFonts w:ascii="Times New Roman" w:hAnsi="Times New Roman" w:cs="Times New Roman"/>
          <w:color w:val="000000" w:themeColor="text1"/>
        </w:rPr>
        <w:t xml:space="preserve"> IgG2 is </w:t>
      </w:r>
      <w:r w:rsidR="00932024" w:rsidRPr="008A4B25">
        <w:rPr>
          <w:rFonts w:ascii="Times New Roman" w:hAnsi="Times New Roman" w:cs="Times New Roman"/>
          <w:color w:val="000000" w:themeColor="text1"/>
        </w:rPr>
        <w:t>produced in response to</w:t>
      </w:r>
      <w:r w:rsidR="00F5786A" w:rsidRPr="008A4B25">
        <w:rPr>
          <w:rFonts w:ascii="Times New Roman" w:hAnsi="Times New Roman" w:cs="Times New Roman"/>
          <w:color w:val="000000" w:themeColor="text1"/>
        </w:rPr>
        <w:t xml:space="preserve"> </w:t>
      </w:r>
      <w:r w:rsidR="00690F1C" w:rsidRPr="008A4B25">
        <w:rPr>
          <w:rFonts w:ascii="Times New Roman" w:hAnsi="Times New Roman" w:cs="Times New Roman"/>
          <w:color w:val="000000" w:themeColor="text1"/>
        </w:rPr>
        <w:t xml:space="preserve">polysaccharide </w:t>
      </w:r>
      <w:r w:rsidR="00C36178" w:rsidRPr="008A4B25">
        <w:rPr>
          <w:rFonts w:ascii="Times New Roman" w:hAnsi="Times New Roman" w:cs="Times New Roman"/>
          <w:color w:val="000000" w:themeColor="text1"/>
        </w:rPr>
        <w:t>antigens, IgG1 and IgG3 produced in r</w:t>
      </w:r>
      <w:r w:rsidR="00932024" w:rsidRPr="008A4B25">
        <w:rPr>
          <w:rFonts w:ascii="Times New Roman" w:hAnsi="Times New Roman" w:cs="Times New Roman"/>
          <w:color w:val="000000" w:themeColor="text1"/>
        </w:rPr>
        <w:t>esponse to</w:t>
      </w:r>
      <w:r w:rsidR="00F5786A" w:rsidRPr="008A4B25">
        <w:rPr>
          <w:rFonts w:ascii="Times New Roman" w:hAnsi="Times New Roman" w:cs="Times New Roman"/>
          <w:color w:val="000000" w:themeColor="text1"/>
        </w:rPr>
        <w:t xml:space="preserve"> </w:t>
      </w:r>
      <w:r w:rsidR="00690F1C" w:rsidRPr="008A4B25">
        <w:rPr>
          <w:rFonts w:ascii="Times New Roman" w:hAnsi="Times New Roman" w:cs="Times New Roman"/>
          <w:color w:val="000000" w:themeColor="text1"/>
        </w:rPr>
        <w:t>protein antigens</w:t>
      </w:r>
      <w:r w:rsidR="00FC28BA" w:rsidRPr="008A4B25">
        <w:rPr>
          <w:rFonts w:ascii="Times New Roman" w:hAnsi="Times New Roman" w:cs="Times New Roman"/>
          <w:color w:val="000000" w:themeColor="text1"/>
        </w:rPr>
        <w:t>,</w:t>
      </w:r>
      <w:r w:rsidR="00690F1C"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"10.1111/2049-632X.12034", "ISSN" : "2049-632X", "PMID" : "23620184", "abstract" : "The levels of subclass-specific immunoglobulin G (IgG) antibodies to five microbial antigens in normal human sera were measured by enzyme-linked immunosorbent assays (ELISA). The aim was to compare the IgG subclass profiles of specific antibodies to diverse antigens originating from virus, intra- and extracellular bacteria. Serum samples from 162 Danish women were analyzed for IgG1, IgG2, IgG3, and IgG4 antibodies against a peptide of the major outer membrane protein (MOMP) of Chlamydia trachomatis, the native outer membrane proteins of Chlamydia pneumoniae, recombinant membrane proteins of Mycoplasma pneumoniae, recombinant parvovirus B19 capsomers (VP1 and VP2) and C-polysaccharide of Streptococcus pneumoniae (pneumococcus). Antibodies specific for viral and bacterial protein antigens belonged mainly to the subclasses IgG1 and IgG3 while the antibody profile specific for pneumococcal C-polysaccharide was dominated by the subclass IgG2. Antibodies to virus, intra- and extracellular bacteria entering the body via the respiratory tract were found primarily to elicit an IgG1 response. In contrast, antibodies specific for MOMP from C.\u00a0trachomatis, which infects the urogenital tract, were predominantly IgG3. Our results show that the nature of the antigen and/or the site of colonization or infection have impact on which type of IgG subclass a microorganism elicits.", "author" : [ { "dropping-particle" : "", "family" : "Hjelholt", "given" : "Astrid", "non-dropping-particle" : "", "parse-names" : false, "suffix" : "" }, { "dropping-particle" : "", "family" : "Christiansen", "given" : "Gunna", "non-dropping-particle" : "", "parse-names" : false, "suffix" : "" }, { "dropping-particle" : "", "family" : "S\u00f8rensen", "given" : "Uffe S", "non-dropping-particle" : "", "parse-names" : false, "suffix" : "" }, { "dropping-particle" : "", "family" : "Birkelund", "given" : "Svend", "non-dropping-particle" : "", "parse-names" : false, "suffix" : "" } ], "container-title" : "Pathogens and disease", "id" : "ITEM-1", "issue" : "3", "issued" : { "date-parts" : [ [ "2013", "4" ] ] }, "page" : "206-13", "title" : "IgG subclass profiles in normal human sera of antibodies specific to five kinds of microbial antigens.", "type" : "article-journal", "volume" : "67" }, "uris" : [ "http://www.mendeley.com/documents/?uuid=beaf13c8-df1a-4988-92ab-4768428d3d1a" ] } ], "mendeley" : { "formattedCitation" : "&lt;sup&gt;33&lt;/sup&gt;", "plainTextFormattedCitation" : "33", "previouslyFormattedCitation" : "&lt;sup&gt;32&lt;/sup&gt;" }, "properties" : { "noteIndex" : 0 }, "schema" : "https://github.com/citation-style-language/schema/raw/master/csl-citation.json" }</w:instrText>
      </w:r>
      <w:r w:rsidR="00690F1C"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33</w:t>
      </w:r>
      <w:r w:rsidR="00690F1C" w:rsidRPr="008A4B25">
        <w:rPr>
          <w:rFonts w:ascii="Times New Roman" w:hAnsi="Times New Roman" w:cs="Times New Roman"/>
          <w:color w:val="000000" w:themeColor="text1"/>
        </w:rPr>
        <w:fldChar w:fldCharType="end"/>
      </w:r>
      <w:r w:rsidR="00DB5BDF" w:rsidRPr="008A4B25">
        <w:rPr>
          <w:rFonts w:ascii="Times New Roman" w:hAnsi="Times New Roman" w:cs="Times New Roman"/>
          <w:color w:val="000000" w:themeColor="text1"/>
        </w:rPr>
        <w:t xml:space="preserve"> while</w:t>
      </w:r>
      <w:r w:rsidR="00C36178" w:rsidRPr="008A4B25">
        <w:rPr>
          <w:rFonts w:ascii="Times New Roman" w:hAnsi="Times New Roman" w:cs="Times New Roman"/>
          <w:color w:val="000000" w:themeColor="text1"/>
        </w:rPr>
        <w:t xml:space="preserve"> IgG4</w:t>
      </w:r>
      <w:r w:rsidR="00690F1C" w:rsidRPr="008A4B25">
        <w:rPr>
          <w:rFonts w:ascii="Times New Roman" w:hAnsi="Times New Roman" w:cs="Times New Roman"/>
          <w:color w:val="000000" w:themeColor="text1"/>
        </w:rPr>
        <w:t xml:space="preserve"> </w:t>
      </w:r>
      <w:r w:rsidR="00C36178" w:rsidRPr="008A4B25">
        <w:rPr>
          <w:rFonts w:ascii="Times New Roman" w:hAnsi="Times New Roman" w:cs="Times New Roman"/>
          <w:color w:val="000000" w:themeColor="text1"/>
        </w:rPr>
        <w:t>serve</w:t>
      </w:r>
      <w:r w:rsidR="00DB5BDF" w:rsidRPr="008A4B25">
        <w:rPr>
          <w:rFonts w:ascii="Times New Roman" w:hAnsi="Times New Roman" w:cs="Times New Roman"/>
          <w:color w:val="000000" w:themeColor="text1"/>
        </w:rPr>
        <w:t>s</w:t>
      </w:r>
      <w:r w:rsidR="00C36178" w:rsidRPr="008A4B25">
        <w:rPr>
          <w:rFonts w:ascii="Times New Roman" w:hAnsi="Times New Roman" w:cs="Times New Roman"/>
          <w:color w:val="000000" w:themeColor="text1"/>
        </w:rPr>
        <w:t xml:space="preserve"> a more regulatory function</w:t>
      </w:r>
      <w:r w:rsidR="00FC28BA" w:rsidRPr="008A4B25">
        <w:rPr>
          <w:rFonts w:ascii="Times New Roman" w:hAnsi="Times New Roman" w:cs="Times New Roman"/>
          <w:color w:val="000000" w:themeColor="text1"/>
        </w:rPr>
        <w:t>.</w:t>
      </w:r>
      <w:r w:rsidR="00690F1C"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"10.1111/j.1365-2222.2009.03207.x", "ISSN" : "1365-2222", "PMID" : "19222496", "abstract" : "Despite its well-known association with IgE-mediated allergy, IgG4 antibodies still have several poorly understood characteristics. IgG4 is a very dynamic antibody: the antibody is involved in a continuous process of half-molecules (i.e. a heavy and attached light-chain) exchange. This process, also referred to as 'Fab-arm exchange', results usually in asymmetric antibodies with two different antigen-combining sites. While these antibodies are hetero- bivalent, they will behave as monovalent antibodies in most situations. Another aspect of IgG4, still poorly understood, is its tendency to mimic IgG rheumatoid factor (RF) activity by interacting with IgG on a solid support. In contrast to conventional RF, which binds via its variable domains, the activity of IgG4 is located in its constant domains. This is potentially a source of false positives in IgG4 antibody assay results. Because regulation of IgG4 production is dependent on help by T-helper type 2 (Th2) cells, the IgG4 response is largely restricted to non-microbial antigens. This Th2-dependency associates the IgG4 and IgE responses. Another typical feature in the immune regulation of IgG4 is its tendency to appear only after prolonged immunization. In the context of IgE-mediated allergy, the appearance of IgG4 antibodies is usually associated with a decrease in symptoms. This is likely to be due, at least in part, to an allergen-blocking effect at the mast cell level and/or at the level of the antigen-presenting cell (preventing IgE-facilitated activation of T cells). In addition, the favourable association reflects the enhanced production of IL-10 and other anti-inflammatory cytokines, which drive the production of IgG4. While in general, IgG4 is being associated with non-activating characteristics, in some situations IgG4 antibodies have an association with pathology. Two striking examples are pemphigoid diseases and sclerosing diseases such as autoimmune pancreatitis. The mechanistic basis for the association of IgG4 with these diseases is still enigmatic. However, the association with sclerosing diseases may reflect an excessive production of anti-inflammatory cytokines triggering an overwhelming expansion of IgG4-producing plasma cells. The bottom line for allergy diagnosis: IgG4 by itself is unlikely to be a cause of allergic symptoms. In general, the presence of allergen-specific IgG4 indicates that anti-inflammatory, tolerance-inducing mechanisms have been activated. The existence of the I\u2026", "author" : [ { "dropping-particle" : "", "family" : "Aalberse", "given" : "R C", "non-dropping-particle" : "", "parse-names" : false, "suffix" : "" }, { "dropping-particle" : "", "family" : "Stapel", "given" : "S O", "non-dropping-particle" : "", "parse-names" : false, "suffix" : "" }, { "dropping-particle" : "", "family" : "Schuurman", "given" : "J", "non-dropping-particle" : "", "parse-names" : false, "suffix" : "" }, { "dropping-particle" : "", "family" : "Rispens", "given" : "T", "non-dropping-particle" : "", "parse-names" : false, "suffix" : "" } ], "container-title" : "Clinical and experimental allergy : journal of the British Society for Allergy and Clinical Immunology", "id" : "ITEM-1", "issue" : "4", "issued" : { "date-parts" : [ [ "2009", "4" ] ] }, "page" : "469-77", "title" : "Immunoglobulin G4: an odd antibody.", "type" : "article-journal", "volume" : "39" }, "uris" : [ "http://www.mendeley.com/documents/?uuid=54e81e57-ffc1-4712-904e-010e8cea0103" ] } ], "mendeley" : { "formattedCitation" : "&lt;sup&gt;34&lt;/sup&gt;", "plainTextFormattedCitation" : "34", "previouslyFormattedCitation" : "&lt;sup&gt;33&lt;/sup&gt;" }, "properties" : { "noteIndex" : 0 }, "schema" : "https://github.com/citation-style-language/schema/raw/master/csl-citation.json" }</w:instrText>
      </w:r>
      <w:r w:rsidR="00690F1C"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34</w:t>
      </w:r>
      <w:r w:rsidR="00690F1C" w:rsidRPr="008A4B25">
        <w:rPr>
          <w:rFonts w:ascii="Times New Roman" w:hAnsi="Times New Roman" w:cs="Times New Roman"/>
          <w:color w:val="000000" w:themeColor="text1"/>
        </w:rPr>
        <w:fldChar w:fldCharType="end"/>
      </w:r>
      <w:r w:rsidR="00DB5BDF" w:rsidRPr="008A4B25">
        <w:rPr>
          <w:rFonts w:ascii="Times New Roman" w:hAnsi="Times New Roman" w:cs="Times New Roman"/>
          <w:color w:val="000000" w:themeColor="text1"/>
        </w:rPr>
        <w:t xml:space="preserve"> The data here show that after</w:t>
      </w:r>
      <w:r w:rsidR="00580329" w:rsidRPr="008A4B25">
        <w:rPr>
          <w:rFonts w:ascii="Times New Roman" w:hAnsi="Times New Roman" w:cs="Times New Roman"/>
          <w:color w:val="000000" w:themeColor="text1"/>
        </w:rPr>
        <w:t xml:space="preserve"> </w:t>
      </w:r>
      <w:r w:rsidR="00AD0CA4" w:rsidRPr="008A4B25">
        <w:rPr>
          <w:rFonts w:ascii="Times New Roman" w:hAnsi="Times New Roman" w:cs="Times New Roman"/>
          <w:color w:val="000000" w:themeColor="text1"/>
        </w:rPr>
        <w:t xml:space="preserve">polysaccharide </w:t>
      </w:r>
      <w:r w:rsidR="00DB5BDF" w:rsidRPr="008A4B25">
        <w:rPr>
          <w:rFonts w:ascii="Times New Roman" w:hAnsi="Times New Roman" w:cs="Times New Roman"/>
          <w:color w:val="000000" w:themeColor="text1"/>
        </w:rPr>
        <w:t>vaccination</w:t>
      </w:r>
      <w:r w:rsidR="005B60CC" w:rsidRPr="008A4B25">
        <w:rPr>
          <w:rFonts w:ascii="Times New Roman" w:hAnsi="Times New Roman" w:cs="Times New Roman"/>
          <w:color w:val="000000" w:themeColor="text1"/>
        </w:rPr>
        <w:t>, IgG</w:t>
      </w:r>
      <w:r w:rsidR="00AD0CA4" w:rsidRPr="008A4B25">
        <w:rPr>
          <w:rFonts w:ascii="Times New Roman" w:hAnsi="Times New Roman" w:cs="Times New Roman"/>
          <w:color w:val="000000" w:themeColor="text1"/>
        </w:rPr>
        <w:t>2</w:t>
      </w:r>
      <w:r w:rsidR="005B60CC" w:rsidRPr="008A4B25">
        <w:rPr>
          <w:rFonts w:ascii="Times New Roman" w:hAnsi="Times New Roman" w:cs="Times New Roman"/>
          <w:color w:val="000000" w:themeColor="text1"/>
        </w:rPr>
        <w:t xml:space="preserve"> was the predominant subclass produced, but </w:t>
      </w:r>
      <w:r w:rsidR="00DB5BDF" w:rsidRPr="008A4B25">
        <w:rPr>
          <w:rFonts w:ascii="Times New Roman" w:hAnsi="Times New Roman" w:cs="Times New Roman"/>
          <w:color w:val="000000" w:themeColor="text1"/>
        </w:rPr>
        <w:t xml:space="preserve">after </w:t>
      </w:r>
      <w:r w:rsidR="00AD0CA4" w:rsidRPr="008A4B25">
        <w:rPr>
          <w:rFonts w:ascii="Times New Roman" w:hAnsi="Times New Roman" w:cs="Times New Roman"/>
          <w:color w:val="000000" w:themeColor="text1"/>
        </w:rPr>
        <w:t>conjugate</w:t>
      </w:r>
      <w:r w:rsidR="005B60CC" w:rsidRPr="008A4B25">
        <w:rPr>
          <w:rFonts w:ascii="Times New Roman" w:hAnsi="Times New Roman" w:cs="Times New Roman"/>
          <w:color w:val="000000" w:themeColor="text1"/>
        </w:rPr>
        <w:t xml:space="preserve"> </w:t>
      </w:r>
      <w:r w:rsidR="00DB5BDF" w:rsidRPr="008A4B25">
        <w:rPr>
          <w:rFonts w:ascii="Times New Roman" w:hAnsi="Times New Roman" w:cs="Times New Roman"/>
          <w:color w:val="000000" w:themeColor="text1"/>
        </w:rPr>
        <w:t>vaccination</w:t>
      </w:r>
      <w:r w:rsidR="005B60CC" w:rsidRPr="008A4B25">
        <w:rPr>
          <w:rFonts w:ascii="Times New Roman" w:hAnsi="Times New Roman" w:cs="Times New Roman"/>
          <w:color w:val="000000" w:themeColor="text1"/>
        </w:rPr>
        <w:t>, IgG</w:t>
      </w:r>
      <w:r w:rsidR="00AD0CA4" w:rsidRPr="008A4B25">
        <w:rPr>
          <w:rFonts w:ascii="Times New Roman" w:hAnsi="Times New Roman" w:cs="Times New Roman"/>
          <w:color w:val="000000" w:themeColor="text1"/>
        </w:rPr>
        <w:t>1</w:t>
      </w:r>
      <w:r w:rsidR="005B60CC" w:rsidRPr="008A4B25">
        <w:rPr>
          <w:rFonts w:ascii="Times New Roman" w:hAnsi="Times New Roman" w:cs="Times New Roman"/>
          <w:color w:val="000000" w:themeColor="text1"/>
        </w:rPr>
        <w:t xml:space="preserve"> was th</w:t>
      </w:r>
      <w:r w:rsidR="00932024" w:rsidRPr="008A4B25">
        <w:rPr>
          <w:rFonts w:ascii="Times New Roman" w:hAnsi="Times New Roman" w:cs="Times New Roman"/>
          <w:color w:val="000000" w:themeColor="text1"/>
        </w:rPr>
        <w:t>e predominant subclass produced</w:t>
      </w:r>
      <w:r w:rsidR="00AD0CA4" w:rsidRPr="008A4B25">
        <w:rPr>
          <w:rFonts w:ascii="Times New Roman" w:hAnsi="Times New Roman" w:cs="Times New Roman"/>
          <w:color w:val="000000" w:themeColor="text1"/>
        </w:rPr>
        <w:t xml:space="preserve"> (even </w:t>
      </w:r>
      <w:r w:rsidR="009A46F1" w:rsidRPr="008A4B25">
        <w:rPr>
          <w:rFonts w:ascii="Times New Roman" w:hAnsi="Times New Roman" w:cs="Times New Roman"/>
          <w:color w:val="000000" w:themeColor="text1"/>
        </w:rPr>
        <w:t xml:space="preserve">in individuals primed with </w:t>
      </w:r>
      <w:r w:rsidR="00AD0CA4" w:rsidRPr="008A4B25">
        <w:rPr>
          <w:rFonts w:ascii="Times New Roman" w:hAnsi="Times New Roman" w:cs="Times New Roman"/>
          <w:color w:val="000000" w:themeColor="text1"/>
        </w:rPr>
        <w:t>the polysaccharide vaccine)</w:t>
      </w:r>
      <w:r w:rsidR="005B60CC" w:rsidRPr="008A4B25">
        <w:rPr>
          <w:rFonts w:ascii="Times New Roman" w:hAnsi="Times New Roman" w:cs="Times New Roman"/>
          <w:color w:val="000000" w:themeColor="text1"/>
        </w:rPr>
        <w:t xml:space="preserve">. </w:t>
      </w:r>
      <w:r w:rsidR="00FF1BAC" w:rsidRPr="008A4B25">
        <w:rPr>
          <w:rFonts w:ascii="Times New Roman" w:hAnsi="Times New Roman" w:cs="Times New Roman"/>
          <w:color w:val="000000" w:themeColor="text1"/>
        </w:rPr>
        <w:t xml:space="preserve">The ability to detect these differences in isotype usage after the different vaccines suggests that we have significant enrichment of vaccine-specific PCs in the HLA-DR+ PC population, which are able to drive these differences. </w:t>
      </w:r>
      <w:r w:rsidR="00207346" w:rsidRPr="008A4B25">
        <w:rPr>
          <w:rFonts w:ascii="Times New Roman" w:hAnsi="Times New Roman" w:cs="Times New Roman"/>
          <w:color w:val="000000" w:themeColor="text1"/>
        </w:rPr>
        <w:t>As mut</w:t>
      </w:r>
      <w:r w:rsidR="00150A6A" w:rsidRPr="008A4B25">
        <w:rPr>
          <w:rFonts w:ascii="Times New Roman" w:hAnsi="Times New Roman" w:cs="Times New Roman"/>
          <w:color w:val="000000" w:themeColor="text1"/>
        </w:rPr>
        <w:t>ational levels are correlated with cellular proliferation in the germinal center,</w:t>
      </w:r>
      <w:r w:rsidR="00AA78CC"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"10.1038/nature13300", "ISSN" : "1476-4687", "PMID" : "24805232", "abstract" : "During immune responses, B lymphocytes clonally expand and undergo secondary diversification of their immunoglobulin genes in germinal centres (GCs). High-affinity B cells are expanded through iterative interzonal cycles of division and hypermutation in the GC dark zone followed by migration to the GC light zone, where they are selected on the basis of affinity to return to the dark zone. Here we combine a transgenic strategy to measure cell division and a photoactivatable fluorescent reporter to examine whether the extent of clonal expansion and hypermutation are regulated during interzonal GC cycles. We find that both cell division and hypermutation are directly proportional to the amount of antigen captured and presented by GC B cells to follicular helper T cells in the light zone. Our data explain how GC B cells with the highest affinity for antigen are selectively expanded and diversified.", "author" : [ { "dropping-particle" : "", "family" : "Gitlin", "given" : "Alexander D", "non-dropping-particle" : "", "parse-names" : false, "suffix" : "" }, { "dropping-particle" : "", "family" : "Shulman", "given" : "Ziv", "non-dropping-particle" : "", "parse-names" : false, "suffix" : "" }, { "dropping-particle" : "", "family" : "Nussenzweig", "given" : "Michel C", "non-dropping-particle" : "", "parse-names" : false, "suffix" : "" } ], "container-title" : "Nature", "id" : "ITEM-1", "issue" : "7502", "issued" : { "date-parts" : [ [ "2014" ] ] }, "page" : "637-40", "publisher" : "Nature Publishing Group", "title" : "Clonal selection in the germinal centre by regulated proliferation and hypermutation.", "type" : "article-journal", "volume" : "509" }, "uris" : [ "http://www.mendeley.com/documents/?uuid=8de45abd-c548-4469-822d-2e243f5122d5" ] } ], "mendeley" : { "formattedCitation" : "&lt;sup&gt;35&lt;/sup&gt;", "plainTextFormattedCitation" : "35", "previouslyFormattedCitation" : "&lt;sup&gt;34&lt;/sup&gt;" }, "properties" : { "noteIndex" : 0 }, "schema" : "https://github.com/citation-style-language/schema/raw/master/csl-citation.json" }</w:instrText>
      </w:r>
      <w:r w:rsidR="00AA78CC"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35</w:t>
      </w:r>
      <w:r w:rsidR="00AA78CC" w:rsidRPr="008A4B25">
        <w:rPr>
          <w:rFonts w:ascii="Times New Roman" w:hAnsi="Times New Roman" w:cs="Times New Roman"/>
          <w:color w:val="000000" w:themeColor="text1"/>
        </w:rPr>
        <w:fldChar w:fldCharType="end"/>
      </w:r>
      <w:r w:rsidR="00150A6A" w:rsidRPr="008A4B25">
        <w:rPr>
          <w:rFonts w:ascii="Times New Roman" w:hAnsi="Times New Roman" w:cs="Times New Roman"/>
          <w:color w:val="000000" w:themeColor="text1"/>
        </w:rPr>
        <w:t xml:space="preserve"> measuring </w:t>
      </w:r>
      <w:r w:rsidR="00DF15BD" w:rsidRPr="008A4B25">
        <w:rPr>
          <w:rFonts w:ascii="Times New Roman" w:hAnsi="Times New Roman" w:cs="Times New Roman"/>
          <w:color w:val="000000" w:themeColor="text1"/>
        </w:rPr>
        <w:t xml:space="preserve">changes in BCR sequence </w:t>
      </w:r>
      <w:r w:rsidR="00150A6A" w:rsidRPr="008A4B25">
        <w:rPr>
          <w:rFonts w:ascii="Times New Roman" w:hAnsi="Times New Roman" w:cs="Times New Roman"/>
          <w:color w:val="000000" w:themeColor="text1"/>
        </w:rPr>
        <w:t xml:space="preserve">mutation </w:t>
      </w:r>
      <w:r w:rsidR="00DF15BD" w:rsidRPr="008A4B25">
        <w:rPr>
          <w:rFonts w:ascii="Times New Roman" w:hAnsi="Times New Roman" w:cs="Times New Roman"/>
          <w:color w:val="000000" w:themeColor="text1"/>
        </w:rPr>
        <w:t>may be</w:t>
      </w:r>
      <w:r w:rsidR="00150A6A" w:rsidRPr="008A4B25">
        <w:rPr>
          <w:rFonts w:ascii="Times New Roman" w:hAnsi="Times New Roman" w:cs="Times New Roman"/>
          <w:color w:val="000000" w:themeColor="text1"/>
        </w:rPr>
        <w:t xml:space="preserve"> a proxy for </w:t>
      </w:r>
      <w:r w:rsidR="00AA78CC" w:rsidRPr="008A4B25">
        <w:rPr>
          <w:rFonts w:ascii="Times New Roman" w:hAnsi="Times New Roman" w:cs="Times New Roman"/>
          <w:color w:val="000000" w:themeColor="text1"/>
        </w:rPr>
        <w:t xml:space="preserve">the </w:t>
      </w:r>
      <w:r w:rsidR="00DF15BD" w:rsidRPr="008A4B25">
        <w:rPr>
          <w:rFonts w:ascii="Times New Roman" w:hAnsi="Times New Roman" w:cs="Times New Roman"/>
          <w:color w:val="000000" w:themeColor="text1"/>
        </w:rPr>
        <w:t>magnitude</w:t>
      </w:r>
      <w:r w:rsidR="00AA78CC" w:rsidRPr="008A4B25">
        <w:rPr>
          <w:rFonts w:ascii="Times New Roman" w:hAnsi="Times New Roman" w:cs="Times New Roman"/>
          <w:color w:val="000000" w:themeColor="text1"/>
        </w:rPr>
        <w:t xml:space="preserve"> of a </w:t>
      </w:r>
      <w:r w:rsidR="009C20A2" w:rsidRPr="008A4B25">
        <w:rPr>
          <w:rFonts w:ascii="Times New Roman" w:hAnsi="Times New Roman" w:cs="Times New Roman"/>
          <w:color w:val="000000" w:themeColor="text1"/>
        </w:rPr>
        <w:t>high affinity PC</w:t>
      </w:r>
      <w:r w:rsidR="00AA78CC" w:rsidRPr="008A4B25">
        <w:rPr>
          <w:rFonts w:ascii="Times New Roman" w:hAnsi="Times New Roman" w:cs="Times New Roman"/>
          <w:color w:val="000000" w:themeColor="text1"/>
        </w:rPr>
        <w:t xml:space="preserve"> response following vaccination. </w:t>
      </w:r>
      <w:r w:rsidR="00DF15BD" w:rsidRPr="008A4B25">
        <w:rPr>
          <w:rFonts w:ascii="Times New Roman" w:hAnsi="Times New Roman" w:cs="Times New Roman"/>
          <w:color w:val="000000" w:themeColor="text1"/>
        </w:rPr>
        <w:t>PC levels of</w:t>
      </w:r>
      <w:r w:rsidR="00AA78CC" w:rsidRPr="008A4B25">
        <w:rPr>
          <w:rFonts w:ascii="Times New Roman" w:hAnsi="Times New Roman" w:cs="Times New Roman"/>
          <w:color w:val="000000" w:themeColor="text1"/>
        </w:rPr>
        <w:t xml:space="preserve"> IgG1 mutation </w:t>
      </w:r>
      <w:r w:rsidR="001A7EC9" w:rsidRPr="008A4B25">
        <w:rPr>
          <w:rFonts w:ascii="Times New Roman" w:hAnsi="Times New Roman" w:cs="Times New Roman"/>
          <w:color w:val="000000" w:themeColor="text1"/>
        </w:rPr>
        <w:t>w</w:t>
      </w:r>
      <w:r w:rsidR="00DF15BD" w:rsidRPr="008A4B25">
        <w:rPr>
          <w:rFonts w:ascii="Times New Roman" w:hAnsi="Times New Roman" w:cs="Times New Roman"/>
          <w:color w:val="000000" w:themeColor="text1"/>
        </w:rPr>
        <w:t>ere</w:t>
      </w:r>
      <w:r w:rsidR="001A7EC9" w:rsidRPr="008A4B25">
        <w:rPr>
          <w:rFonts w:ascii="Times New Roman" w:hAnsi="Times New Roman" w:cs="Times New Roman"/>
          <w:color w:val="000000" w:themeColor="text1"/>
        </w:rPr>
        <w:t xml:space="preserve"> greater in the conjugate compared to the polysaccharide group after the first vaccine</w:t>
      </w:r>
      <w:r w:rsidR="0016077D" w:rsidRPr="008A4B25">
        <w:rPr>
          <w:rFonts w:ascii="Times New Roman" w:hAnsi="Times New Roman" w:cs="Times New Roman"/>
          <w:color w:val="000000" w:themeColor="text1"/>
        </w:rPr>
        <w:t>, which is</w:t>
      </w:r>
      <w:r w:rsidR="001A7EC9" w:rsidRPr="008A4B25">
        <w:rPr>
          <w:rFonts w:ascii="Times New Roman" w:hAnsi="Times New Roman" w:cs="Times New Roman"/>
          <w:color w:val="000000" w:themeColor="text1"/>
        </w:rPr>
        <w:t xml:space="preserve"> consistent with increased </w:t>
      </w:r>
      <w:r w:rsidR="00DF247F" w:rsidRPr="008A4B25">
        <w:rPr>
          <w:rFonts w:ascii="Times New Roman" w:hAnsi="Times New Roman" w:cs="Times New Roman"/>
          <w:color w:val="000000" w:themeColor="text1"/>
        </w:rPr>
        <w:t xml:space="preserve">germinal center activity and switching to IgG1 </w:t>
      </w:r>
      <w:r w:rsidR="001A7EC9" w:rsidRPr="008A4B25">
        <w:rPr>
          <w:rFonts w:ascii="Times New Roman" w:hAnsi="Times New Roman" w:cs="Times New Roman"/>
          <w:color w:val="000000" w:themeColor="text1"/>
        </w:rPr>
        <w:t>in the response to conjugate vaccination. The increase in</w:t>
      </w:r>
      <w:r w:rsidR="00CD7100" w:rsidRPr="008A4B25">
        <w:rPr>
          <w:rFonts w:ascii="Times New Roman" w:hAnsi="Times New Roman" w:cs="Times New Roman"/>
          <w:color w:val="000000" w:themeColor="text1"/>
        </w:rPr>
        <w:t xml:space="preserve"> frequency of</w:t>
      </w:r>
      <w:r w:rsidR="001A7EC9" w:rsidRPr="008A4B25">
        <w:rPr>
          <w:rFonts w:ascii="Times New Roman" w:hAnsi="Times New Roman" w:cs="Times New Roman"/>
          <w:color w:val="000000" w:themeColor="text1"/>
        </w:rPr>
        <w:t xml:space="preserve"> mutation</w:t>
      </w:r>
      <w:r w:rsidR="00CD7100" w:rsidRPr="008A4B25">
        <w:rPr>
          <w:rFonts w:ascii="Times New Roman" w:hAnsi="Times New Roman" w:cs="Times New Roman"/>
          <w:color w:val="000000" w:themeColor="text1"/>
        </w:rPr>
        <w:t>s</w:t>
      </w:r>
      <w:r w:rsidR="001A7EC9" w:rsidRPr="008A4B25">
        <w:rPr>
          <w:rFonts w:ascii="Times New Roman" w:hAnsi="Times New Roman" w:cs="Times New Roman"/>
          <w:color w:val="000000" w:themeColor="text1"/>
        </w:rPr>
        <w:t xml:space="preserve"> in all IgG subclasses between the first (polysaccharide) and second (conjugate) vaccines in the polysaccharide group </w:t>
      </w:r>
      <w:r w:rsidR="00DF247F" w:rsidRPr="008A4B25">
        <w:rPr>
          <w:rFonts w:ascii="Times New Roman" w:hAnsi="Times New Roman" w:cs="Times New Roman"/>
          <w:color w:val="000000" w:themeColor="text1"/>
        </w:rPr>
        <w:t xml:space="preserve">further </w:t>
      </w:r>
      <w:r w:rsidR="00DF15BD" w:rsidRPr="008A4B25">
        <w:rPr>
          <w:rFonts w:ascii="Times New Roman" w:hAnsi="Times New Roman" w:cs="Times New Roman"/>
          <w:color w:val="000000" w:themeColor="text1"/>
        </w:rPr>
        <w:t>suggests</w:t>
      </w:r>
      <w:r w:rsidR="001A7EC9" w:rsidRPr="008A4B25">
        <w:rPr>
          <w:rFonts w:ascii="Times New Roman" w:hAnsi="Times New Roman" w:cs="Times New Roman"/>
          <w:color w:val="000000" w:themeColor="text1"/>
        </w:rPr>
        <w:t xml:space="preserve"> that conjugate </w:t>
      </w:r>
      <w:r w:rsidR="00292D00" w:rsidRPr="008A4B25">
        <w:rPr>
          <w:rFonts w:ascii="Times New Roman" w:hAnsi="Times New Roman" w:cs="Times New Roman"/>
          <w:color w:val="000000" w:themeColor="text1"/>
        </w:rPr>
        <w:t>vaccination</w:t>
      </w:r>
      <w:r w:rsidR="001A7EC9" w:rsidRPr="008A4B25">
        <w:rPr>
          <w:rFonts w:ascii="Times New Roman" w:hAnsi="Times New Roman" w:cs="Times New Roman"/>
          <w:color w:val="000000" w:themeColor="text1"/>
        </w:rPr>
        <w:t xml:space="preserve"> </w:t>
      </w:r>
      <w:r w:rsidR="00DF15BD" w:rsidRPr="008A4B25">
        <w:rPr>
          <w:rFonts w:ascii="Times New Roman" w:hAnsi="Times New Roman" w:cs="Times New Roman"/>
          <w:color w:val="000000" w:themeColor="text1"/>
        </w:rPr>
        <w:t>may initiate a more marked</w:t>
      </w:r>
      <w:r w:rsidR="001A7EC9" w:rsidRPr="008A4B25">
        <w:rPr>
          <w:rFonts w:ascii="Times New Roman" w:hAnsi="Times New Roman" w:cs="Times New Roman"/>
          <w:color w:val="000000" w:themeColor="text1"/>
        </w:rPr>
        <w:t xml:space="preserve"> germinal center response than polysaccharide </w:t>
      </w:r>
      <w:r w:rsidR="00292D00" w:rsidRPr="008A4B25">
        <w:rPr>
          <w:rFonts w:ascii="Times New Roman" w:hAnsi="Times New Roman" w:cs="Times New Roman"/>
          <w:color w:val="000000" w:themeColor="text1"/>
        </w:rPr>
        <w:t>vaccination</w:t>
      </w:r>
      <w:r w:rsidR="001A7EC9" w:rsidRPr="008A4B25">
        <w:rPr>
          <w:rFonts w:ascii="Times New Roman" w:hAnsi="Times New Roman" w:cs="Times New Roman"/>
          <w:color w:val="000000" w:themeColor="text1"/>
        </w:rPr>
        <w:t xml:space="preserve">. In the conjugate group, only IgG4 sequences increased </w:t>
      </w:r>
      <w:r w:rsidR="00DF247F" w:rsidRPr="008A4B25">
        <w:rPr>
          <w:rFonts w:ascii="Times New Roman" w:hAnsi="Times New Roman" w:cs="Times New Roman"/>
          <w:color w:val="000000" w:themeColor="text1"/>
        </w:rPr>
        <w:t xml:space="preserve">in mutation </w:t>
      </w:r>
      <w:r w:rsidR="001A7EC9" w:rsidRPr="008A4B25">
        <w:rPr>
          <w:rFonts w:ascii="Times New Roman" w:hAnsi="Times New Roman" w:cs="Times New Roman"/>
          <w:color w:val="000000" w:themeColor="text1"/>
        </w:rPr>
        <w:t>after the second vaccine</w:t>
      </w:r>
      <w:r w:rsidR="008C4786" w:rsidRPr="008A4B25">
        <w:rPr>
          <w:rFonts w:ascii="Times New Roman" w:hAnsi="Times New Roman" w:cs="Times New Roman"/>
          <w:color w:val="000000" w:themeColor="text1"/>
        </w:rPr>
        <w:t>,</w:t>
      </w:r>
      <w:r w:rsidR="00D40D27" w:rsidRPr="008A4B25">
        <w:rPr>
          <w:rFonts w:ascii="Times New Roman" w:hAnsi="Times New Roman" w:cs="Times New Roman"/>
          <w:color w:val="000000" w:themeColor="text1"/>
        </w:rPr>
        <w:t xml:space="preserve"> indicating </w:t>
      </w:r>
      <w:r w:rsidR="00DF247F" w:rsidRPr="008A4B25">
        <w:rPr>
          <w:rFonts w:ascii="Times New Roman" w:hAnsi="Times New Roman" w:cs="Times New Roman"/>
          <w:color w:val="000000" w:themeColor="text1"/>
        </w:rPr>
        <w:t xml:space="preserve">that </w:t>
      </w:r>
      <w:r w:rsidR="00D40D27" w:rsidRPr="008A4B25">
        <w:rPr>
          <w:rFonts w:ascii="Times New Roman" w:hAnsi="Times New Roman" w:cs="Times New Roman"/>
          <w:color w:val="000000" w:themeColor="text1"/>
        </w:rPr>
        <w:t xml:space="preserve">after </w:t>
      </w:r>
      <w:r w:rsidR="00DF247F" w:rsidRPr="008A4B25">
        <w:rPr>
          <w:rFonts w:ascii="Times New Roman" w:hAnsi="Times New Roman" w:cs="Times New Roman"/>
          <w:color w:val="000000" w:themeColor="text1"/>
        </w:rPr>
        <w:t>repeat vaccination</w:t>
      </w:r>
      <w:r w:rsidR="008C4786" w:rsidRPr="008A4B25">
        <w:rPr>
          <w:rFonts w:ascii="Times New Roman" w:hAnsi="Times New Roman" w:cs="Times New Roman"/>
          <w:color w:val="000000" w:themeColor="text1"/>
        </w:rPr>
        <w:t xml:space="preserve"> with such a highly stimulating </w:t>
      </w:r>
      <w:r w:rsidR="00DF247F" w:rsidRPr="008A4B25">
        <w:rPr>
          <w:rFonts w:ascii="Times New Roman" w:hAnsi="Times New Roman" w:cs="Times New Roman"/>
          <w:color w:val="000000" w:themeColor="text1"/>
        </w:rPr>
        <w:t>T-dependent antigen</w:t>
      </w:r>
      <w:r w:rsidR="00D40D27" w:rsidRPr="008A4B25">
        <w:rPr>
          <w:rFonts w:ascii="Times New Roman" w:hAnsi="Times New Roman" w:cs="Times New Roman"/>
          <w:color w:val="000000" w:themeColor="text1"/>
        </w:rPr>
        <w:t>, IgG4 plays an active role in the response.</w:t>
      </w:r>
      <w:r w:rsidR="005851AE" w:rsidRPr="008A4B25">
        <w:rPr>
          <w:rFonts w:ascii="Times New Roman" w:hAnsi="Times New Roman" w:cs="Times New Roman"/>
          <w:color w:val="000000" w:themeColor="text1"/>
        </w:rPr>
        <w:t xml:space="preserve"> Considering IgG4 have unique structural and functional properties compared to the other IgG subclasses,</w:t>
      </w:r>
      <w:r w:rsidR="005851AE"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"10.1111/j.1365-2222.2009.03207.x", "ISSN" : "1365-2222", "PMID" : "19222496", "abstract" : "Despite its well-known association with IgE-mediated allergy, IgG4 antibodies still have several poorly understood characteristics. IgG4 is a very dynamic antibody: the antibody is involved in a continuous process of half-molecules (i.e. a heavy and attached light-chain) exchange. This process, also referred to as 'Fab-arm exchange', results usually in asymmetric antibodies with two different antigen-combining sites. While these antibodies are hetero- bivalent, they will behave as monovalent antibodies in most situations. Another aspect of IgG4, still poorly understood, is its tendency to mimic IgG rheumatoid factor (RF) activity by interacting with IgG on a solid support. In contrast to conventional RF, which binds via its variable domains, the activity of IgG4 is located in its constant domains. This is potentially a source of false positives in IgG4 antibody assay results. Because regulation of IgG4 production is dependent on help by T-helper type 2 (Th2) cells, the IgG4 response is largely restricted to non-microbial antigens. This Th2-dependency associates the IgG4 and IgE responses. Another typical feature in the immune regulation of IgG4 is its tendency to appear only after prolonged immunization. In the context of IgE-mediated allergy, the appearance of IgG4 antibodies is usually associated with a decrease in symptoms. This is likely to be due, at least in part, to an allergen-blocking effect at the mast cell level and/or at the level of the antigen-presenting cell (preventing IgE-facilitated activation of T cells). In addition, the favourable association reflects the enhanced production of IL-10 and other anti-inflammatory cytokines, which drive the production of IgG4. While in general, IgG4 is being associated with non-activating characteristics, in some situations IgG4 antibodies have an association with pathology. Two striking examples are pemphigoid diseases and sclerosing diseases such as autoimmune pancreatitis. The mechanistic basis for the association of IgG4 with these diseases is still enigmatic. However, the association with sclerosing diseases may reflect an excessive production of anti-inflammatory cytokines triggering an overwhelming expansion of IgG4-producing plasma cells. The bottom line for allergy diagnosis: IgG4 by itself is unlikely to be a cause of allergic symptoms. In general, the presence of allergen-specific IgG4 indicates that anti-inflammatory, tolerance-inducing mechanisms have been activated. The existence of the I\u2026", "author" : [ { "dropping-particle" : "", "family" : "Aalberse", "given" : "R C", "non-dropping-particle" : "", "parse-names" : false, "suffix" : "" }, { "dropping-particle" : "", "family" : "Stapel", "given" : "S O", "non-dropping-particle" : "", "parse-names" : false, "suffix" : "" }, { "dropping-particle" : "", "family" : "Schuurman", "given" : "J", "non-dropping-particle" : "", "parse-names" : false, "suffix" : "" }, { "dropping-particle" : "", "family" : "Rispens", "given" : "T", "non-dropping-particle" : "", "parse-names" : false, "suffix" : "" } ], "container-title" : "Clinical and experimental allergy : journal of the British Society for Allergy and Clinical Immunology", "id" : "ITEM-1", "issue" : "4", "issued" : { "date-parts" : [ [ "2009", "4" ] ] }, "page" : "469-77", "title" : "Immunoglobulin G4: an odd antibody.", "type" : "article-journal", "volume" : "39" }, "uris" : [ "http://www.mendeley.com/documents/?uuid=54e81e57-ffc1-4712-904e-010e8cea0103" ] } ], "mendeley" : { "formattedCitation" : "&lt;sup&gt;34&lt;/sup&gt;", "plainTextFormattedCitation" : "34", "previouslyFormattedCitation" : "&lt;sup&gt;33&lt;/sup&gt;" }, "properties" : { "noteIndex" : 0 }, "schema" : "https://github.com/citation-style-language/schema/raw/master/csl-citation.json" }</w:instrText>
      </w:r>
      <w:r w:rsidR="005851AE"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34</w:t>
      </w:r>
      <w:r w:rsidR="005851AE" w:rsidRPr="008A4B25">
        <w:rPr>
          <w:rFonts w:ascii="Times New Roman" w:hAnsi="Times New Roman" w:cs="Times New Roman"/>
          <w:color w:val="000000" w:themeColor="text1"/>
        </w:rPr>
        <w:fldChar w:fldCharType="end"/>
      </w:r>
      <w:r w:rsidR="005851AE" w:rsidRPr="008A4B25">
        <w:rPr>
          <w:rFonts w:ascii="Times New Roman" w:hAnsi="Times New Roman" w:cs="Times New Roman"/>
          <w:color w:val="000000" w:themeColor="text1"/>
        </w:rPr>
        <w:t xml:space="preserve"> the precise role of IgG4 in terms of regulating the response following antigen administration would be interesting to explore further.</w:t>
      </w:r>
      <w:r w:rsidR="007E2E09" w:rsidRPr="008A4B25">
        <w:rPr>
          <w:rFonts w:ascii="Times New Roman" w:hAnsi="Times New Roman" w:cs="Times New Roman"/>
          <w:color w:val="000000" w:themeColor="text1"/>
        </w:rPr>
        <w:t xml:space="preserve"> It has previously been suggested that B cells have a predictable sequential pattern of IgG class-switching while in the germinal center, going from IgG3 to IgG1 to IgG2 to IgG4.</w:t>
      </w:r>
      <w:r w:rsidR="00933D9D"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"10.3389/fimmu.2013.00235", "ISSN" : "1664-3224", "PMID" : "23950757", "abstract" : "The diversity of the human antibody repertoire that is generated by V(D)J gene rearrangement is extended by nine constant region genes that give antibodies their complex array of effector functions. The application of high throughput sequencing to the study of V(D)J gene rearrangements has led to significant recent advances in our understanding of the antigen-binding repertoire. In contrast, our understanding of antibody function has changed little, and mystery still surrounds the existence of four distinctive IgG subclasses. Recent observations from murine models and from human studies of VDJ somatic point mutations suggest that the timing of emergence of cells from the germinal center may vary as a consequence of class switching. This should lead to predictable differences in affinity between isotypes. These differences, and varying abilities of the isotypes to fix complement and bind FcRs, could help coordinate the humoral defenses over the time course of a response. We therefore propose a Temporal Model of human IgE and IgG function in which early emergence of IgE sensitizes sentinel mast cells while switching to IgG3 recruits Fc\u03b3R-mediated functions to the early response. IgG1 then emerges as the major effector of antigen clearance, and subsequently IgG2 competes with IgG1 to produce immune complexes that slow the inflammatory drive. Persisting antigen may finally stimulate high affinity IgG4 that outcompetes other isotypes and can terminate IgG1/Fc\u03b3R-mediated activation via the inhibitory Fc\u03b3RIIB. In this way, IgG antibodies of different subclasses, at different concentrations and with sometimes opposing functions deliver cohesive, protective immune function.", "author" : [ { "dropping-particle" : "", "family" : "Collins", "given" : "Andrew M", "non-dropping-particle" : "", "parse-names" : false, "suffix" : "" }, { "dropping-particle" : "", "family" : "Jackson", "given" : "Katherine J L", "non-dropping-particle" : "", "parse-names" : false, "suffix" : "" } ], "container-title" : "Frontiers in immunology", "id" : "ITEM-1", "issue" : "August", "issued" : { "date-parts" : [ [ "2013", "1" ] ] }, "page" : "235", "title" : "A Temporal Model of Human IgE and IgG Antibody Function.", "type" : "article-journal", "volume" : "4" }, "uris" : [ "http://www.mendeley.com/documents/?uuid=1f0ab5c6-c2cc-4cf0-a140-d126f38296be" ] } ], "mendeley" : { "formattedCitation" : "&lt;sup&gt;36&lt;/sup&gt;", "plainTextFormattedCitation" : "36", "previouslyFormattedCitation" : "&lt;sup&gt;35&lt;/sup&gt;" }, "properties" : { "noteIndex" : 0 }, "schema" : "https://github.com/citation-style-language/schema/raw/master/csl-citation.json" }</w:instrText>
      </w:r>
      <w:r w:rsidR="00933D9D"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36</w:t>
      </w:r>
      <w:r w:rsidR="00933D9D" w:rsidRPr="008A4B25">
        <w:rPr>
          <w:rFonts w:ascii="Times New Roman" w:hAnsi="Times New Roman" w:cs="Times New Roman"/>
          <w:color w:val="000000" w:themeColor="text1"/>
        </w:rPr>
        <w:fldChar w:fldCharType="end"/>
      </w:r>
      <w:r w:rsidR="007E2E09" w:rsidRPr="008A4B25">
        <w:rPr>
          <w:rFonts w:ascii="Times New Roman" w:hAnsi="Times New Roman" w:cs="Times New Roman"/>
          <w:color w:val="000000" w:themeColor="text1"/>
        </w:rPr>
        <w:t xml:space="preserve"> </w:t>
      </w:r>
      <w:r w:rsidR="00540D2B" w:rsidRPr="008A4B25">
        <w:rPr>
          <w:rFonts w:ascii="Times New Roman" w:hAnsi="Times New Roman" w:cs="Times New Roman"/>
          <w:color w:val="000000" w:themeColor="text1"/>
        </w:rPr>
        <w:t xml:space="preserve">Our data support this hypothesis in that we see increasing levels of mutation in the IgG subclasses </w:t>
      </w:r>
      <w:r w:rsidR="007F4952" w:rsidRPr="008A4B25">
        <w:rPr>
          <w:rFonts w:ascii="Times New Roman" w:hAnsi="Times New Roman" w:cs="Times New Roman"/>
          <w:color w:val="000000" w:themeColor="text1"/>
        </w:rPr>
        <w:t xml:space="preserve">in the IgG memory cells going </w:t>
      </w:r>
      <w:r w:rsidR="00540D2B" w:rsidRPr="008A4B25">
        <w:rPr>
          <w:rFonts w:ascii="Times New Roman" w:hAnsi="Times New Roman" w:cs="Times New Roman"/>
          <w:color w:val="000000" w:themeColor="text1"/>
        </w:rPr>
        <w:t>fro</w:t>
      </w:r>
      <w:r w:rsidR="007F4952" w:rsidRPr="008A4B25">
        <w:rPr>
          <w:rFonts w:ascii="Times New Roman" w:hAnsi="Times New Roman" w:cs="Times New Roman"/>
          <w:color w:val="000000" w:themeColor="text1"/>
        </w:rPr>
        <w:t xml:space="preserve">m IgG3 to IgG1 to IgG2 to IgG4 (Fig. S7), indicative of </w:t>
      </w:r>
      <w:r w:rsidR="00F25D74" w:rsidRPr="008A4B25">
        <w:rPr>
          <w:rFonts w:ascii="Times New Roman" w:hAnsi="Times New Roman" w:cs="Times New Roman"/>
          <w:color w:val="000000" w:themeColor="text1"/>
        </w:rPr>
        <w:t>proliferation followed by subclass switching occurring in the same order.</w:t>
      </w:r>
      <w:r w:rsidR="00933D9D"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"10.1038/icb.2014.44", "ISSN" : "1440-1711", "PMID" : "24913324", "abstract" : "Somatic point mutations provide glimpses into B-cell histories, and mutation numbers generally correlate with antibody affinity. We recently proposed a model of human isotype function, based in part on mutation analysis, in which the dominant pathway of isotype switching involves B cells moving sequentially through the four immunoglobulin (Ig) G subclasses. This should result in predictable differences in affinity between isotypes, and this helps explain how different isotypes work together. The model built on analysis of rearranged immunoglobulin heavy chain sequences amplified from Papua New Guinean villagers, which showed highly significant differences in the mean number of V-REGION mutations in sequences, associated with the different IgG subclasses. To determine whether this relationship between mutation levels and isotypes is a more general phenomenon, the present study was conducted in healthy, urban residents of Sydney, Australia. VDJ sequences were generated from eight individuals, using 454 pyrosequencing, from cells expressing all isotypes except IgD and IgE. This resulted in 35 118 unique, productive VDJ sequences for the study. The data confirm that VDJ genes associated with progressively more 3' Ig heavy chain gamma (IGHG) constant region genes show increasing levels of point mutation. Mean V-REGION mutations in IgA1 and IgA2 sequences were similar. Patterns of mutations also differed between isotypes. Despite their association with T-independent responses, IgG2 sequences showed significantly more mutational evidence of antigen selection than other IgG isotypes. Antigen selection was also significantly higher in IgA2 than in IgA1 sequences, raising the possibility of a preferential switch pathway from IGHG2 to IGHA2.Immunology and Cell Biology advance online publication, 10 June 2014; doi:10.1038/icb.2014.44.", "author" : [ { "dropping-particle" : "", "family" : "Jackson", "given" : "Katherine J L", "non-dropping-particle" : "", "parse-names" : false, "suffix" : "" }, { "dropping-particle" : "", "family" : "Wang", "given" : "Yan", "non-dropping-particle" : "", "parse-names" : false, "suffix" : "" }, { "dropping-particle" : "", "family" : "Collins", "given" : "Andrew M", "non-dropping-particle" : "", "parse-names" : false, "suffix" : "" } ], "container-title" : "Immunology and cell biology", "id" : "ITEM-1", "issue" : "April", "issued" : { "date-parts" : [ [ "2014", "6", "10" ] ] }, "page" : "1-5", "publisher" : "Nature Publishing Group", "title" : "Human immunoglobulin classes and subclasses show variability in VDJ gene mutation levels.", "type" : "article-journal" }, "uris" : [ "http://www.mendeley.com/documents/?uuid=b147c38b-900f-49b2-a4ec-bc56f226dcda" ] } ], "mendeley" : { "formattedCitation" : "&lt;sup&gt;37&lt;/sup&gt;", "plainTextFormattedCitation" : "37", "previouslyFormattedCitation" : "&lt;sup&gt;36&lt;/sup&gt;" }, "properties" : { "noteIndex" : 0 }, "schema" : "https://github.com/citation-style-language/schema/raw/master/csl-citation.json" }</w:instrText>
      </w:r>
      <w:r w:rsidR="00933D9D"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37</w:t>
      </w:r>
      <w:r w:rsidR="00933D9D" w:rsidRPr="008A4B25">
        <w:rPr>
          <w:rFonts w:ascii="Times New Roman" w:hAnsi="Times New Roman" w:cs="Times New Roman"/>
          <w:color w:val="000000" w:themeColor="text1"/>
        </w:rPr>
        <w:fldChar w:fldCharType="end"/>
      </w:r>
      <w:r w:rsidR="00F25D74" w:rsidRPr="008A4B25">
        <w:rPr>
          <w:rFonts w:ascii="Times New Roman" w:hAnsi="Times New Roman" w:cs="Times New Roman"/>
          <w:color w:val="000000" w:themeColor="text1"/>
        </w:rPr>
        <w:t xml:space="preserve"> This would suggest that </w:t>
      </w:r>
      <w:r w:rsidR="007F5F9F" w:rsidRPr="008A4B25">
        <w:rPr>
          <w:rFonts w:ascii="Times New Roman" w:hAnsi="Times New Roman" w:cs="Times New Roman"/>
          <w:color w:val="000000" w:themeColor="text1"/>
        </w:rPr>
        <w:t>although there appears to be less PC proliferation following polysaccharide vaccine, there is a greater rate of subclass switching than following conjugate vaccine.</w:t>
      </w:r>
      <w:r w:rsidR="00F25D74" w:rsidRPr="008A4B25">
        <w:rPr>
          <w:rFonts w:ascii="Times New Roman" w:hAnsi="Times New Roman" w:cs="Times New Roman"/>
          <w:color w:val="000000" w:themeColor="text1"/>
        </w:rPr>
        <w:t xml:space="preserve"> However, </w:t>
      </w:r>
      <w:r w:rsidR="00933D9D" w:rsidRPr="008A4B25">
        <w:rPr>
          <w:rFonts w:ascii="Times New Roman" w:hAnsi="Times New Roman" w:cs="Times New Roman"/>
          <w:color w:val="000000" w:themeColor="text1"/>
        </w:rPr>
        <w:t>it is interesting to note that when administered the conjugate vaccine following the polysaccharide vaccine, there is a decrease in IgG2 and an increase in IgG1 PCs</w:t>
      </w:r>
      <w:r w:rsidR="00BF361A" w:rsidRPr="008A4B25">
        <w:rPr>
          <w:rFonts w:ascii="Times New Roman" w:hAnsi="Times New Roman" w:cs="Times New Roman"/>
          <w:color w:val="000000" w:themeColor="text1"/>
        </w:rPr>
        <w:t xml:space="preserve"> after the conjugate vaccine compared to the polysaccharide vaccine</w:t>
      </w:r>
      <w:r w:rsidR="00933D9D" w:rsidRPr="008A4B25">
        <w:rPr>
          <w:rFonts w:ascii="Times New Roman" w:hAnsi="Times New Roman" w:cs="Times New Roman"/>
          <w:color w:val="000000" w:themeColor="text1"/>
        </w:rPr>
        <w:t xml:space="preserve">, which is hard to reconcile with the sequential switching </w:t>
      </w:r>
      <w:r w:rsidR="00BF361A" w:rsidRPr="008A4B25">
        <w:rPr>
          <w:rFonts w:ascii="Times New Roman" w:hAnsi="Times New Roman" w:cs="Times New Roman"/>
          <w:color w:val="000000" w:themeColor="text1"/>
        </w:rPr>
        <w:t>hypothesis</w:t>
      </w:r>
      <w:r w:rsidR="00933D9D" w:rsidRPr="008A4B25">
        <w:rPr>
          <w:rFonts w:ascii="Times New Roman" w:hAnsi="Times New Roman" w:cs="Times New Roman"/>
          <w:color w:val="000000" w:themeColor="text1"/>
        </w:rPr>
        <w:t>.</w:t>
      </w:r>
      <w:r w:rsidR="00F25D74" w:rsidRPr="008A4B25">
        <w:rPr>
          <w:rFonts w:ascii="Times New Roman" w:hAnsi="Times New Roman" w:cs="Times New Roman"/>
          <w:color w:val="000000" w:themeColor="text1"/>
        </w:rPr>
        <w:t xml:space="preserve"> </w:t>
      </w:r>
    </w:p>
    <w:p w14:paraId="10C0B99B" w14:textId="4ACF35A0" w:rsidR="006B5D7F" w:rsidRPr="008A4B25" w:rsidRDefault="007F2200" w:rsidP="0030363E">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The sequence analysis presented here requires </w:t>
      </w:r>
      <w:r w:rsidR="00ED303C" w:rsidRPr="008A4B25">
        <w:rPr>
          <w:rFonts w:ascii="Times New Roman" w:hAnsi="Times New Roman" w:cs="Times New Roman"/>
          <w:color w:val="000000" w:themeColor="text1"/>
        </w:rPr>
        <w:t xml:space="preserve">sequencing an enriched population of </w:t>
      </w:r>
      <w:r w:rsidRPr="008A4B25">
        <w:rPr>
          <w:rFonts w:ascii="Times New Roman" w:hAnsi="Times New Roman" w:cs="Times New Roman"/>
          <w:color w:val="000000" w:themeColor="text1"/>
        </w:rPr>
        <w:t xml:space="preserve">vaccine-specific </w:t>
      </w:r>
      <w:r w:rsidR="0033414C" w:rsidRPr="008A4B25">
        <w:rPr>
          <w:rFonts w:ascii="Times New Roman" w:hAnsi="Times New Roman" w:cs="Times New Roman"/>
          <w:color w:val="000000" w:themeColor="text1"/>
        </w:rPr>
        <w:t>PC</w:t>
      </w:r>
      <w:r w:rsidRPr="008A4B25">
        <w:rPr>
          <w:rFonts w:ascii="Times New Roman" w:hAnsi="Times New Roman" w:cs="Times New Roman"/>
          <w:color w:val="000000" w:themeColor="text1"/>
        </w:rPr>
        <w:t>s</w:t>
      </w:r>
      <w:r w:rsidR="00EA0365" w:rsidRPr="008A4B25">
        <w:rPr>
          <w:rFonts w:ascii="Times New Roman" w:hAnsi="Times New Roman" w:cs="Times New Roman"/>
          <w:color w:val="000000" w:themeColor="text1"/>
        </w:rPr>
        <w:t>, and in this light we focused our analysis on HLA-DR+ PCs</w:t>
      </w:r>
      <w:r w:rsidR="00D80A0E" w:rsidRPr="008A4B25">
        <w:rPr>
          <w:rFonts w:ascii="Times New Roman" w:hAnsi="Times New Roman" w:cs="Times New Roman"/>
          <w:color w:val="000000" w:themeColor="text1"/>
        </w:rPr>
        <w:t>.</w:t>
      </w:r>
      <w:r w:rsidRPr="008A4B25">
        <w:rPr>
          <w:rFonts w:ascii="Times New Roman" w:hAnsi="Times New Roman" w:cs="Times New Roman"/>
          <w:color w:val="000000" w:themeColor="text1"/>
        </w:rPr>
        <w:t xml:space="preserve"> </w:t>
      </w:r>
      <w:r w:rsidR="00DF15BD" w:rsidRPr="008A4B25">
        <w:rPr>
          <w:rFonts w:ascii="Times New Roman" w:hAnsi="Times New Roman" w:cs="Times New Roman"/>
          <w:color w:val="000000" w:themeColor="text1"/>
        </w:rPr>
        <w:t>Previous work has demonstrated that PCs show a gradient of HLA-DR expression from high levels in lymphoid tissue (tonsils) through to lower levels in blood and lowest expression in bone-marrow.</w:t>
      </w:r>
      <w:r w:rsidR="006B5D7F"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"10.1189/0507279", "ISBN" : "0741-5400 (Print)\\r0741-5400 (Linking)", "ISSN" : "0741-5400", "PMID" : "17827343", "abstract" : "Human plasma cells (PC) are present in cell suspensions obtained from the tonsil by mechanical disaggregation (PC(MECH)). The present study shows that a collagenase treatment of tonsillar debris remaining after mechanical disaggregation yielded similar proportions of PC (PC(COLL)). Moreover, PC(MECH) were present in suspensions highly enriched in germinal center cells whereas PC(COLL) contained most of the IgA-secreting cells, suggesting their predominant location in follicular and parafollicular areas and connective tissue-rich zones such as tonsil subepithelium, respectively. Tonsil PC(MECH) and PC(COLL) shared the phenotype CD38(high) CD19(+) CD20(low) CD45(high), expressed equivalent amounts of PRDI BF1/Blimp-1 transcription factor, and carried similarly mutated IgVH6 genes. However, they differed in several features. 1) PC(MECH) still expressed the early B cell transcription factor BSAP and were HLA-DR(high); in contrast, PC(COLL) were BSAP(-)and HLA-DR(low). 2) PC(MECH) were CD95(+) and Bcl-2(+/-) whereas PC(COLL) showed CD95(+/-) and Bcl-2(+) expression; in addition, PC(MECH) exhibited increased spontaneous apoptosis. 3) The two PC subsets exhibited distinctive adhesion molecule profiles, since PC(COLL) expressed higher levels of CD31, CD44, and CD49d, but a lower level of CD11a than PC(MECH). These results suggest that PC(MECH) are recently generated, short-living PC, and PC(COLL) constitutes a subset with higher maturity and survival, which resides in connective tissue-rich areas.", "author" : [ { "dropping-particle" : "", "family" : "Medina", "given" : "Francisco", "non-dropping-particle" : "", "parse-names" : false, "suffix" : "" }, { "dropping-particle" : "", "family" : "Segundo", "given" : "Carmen", "non-dropping-particle" : "", "parse-names" : false, "suffix" : "" }, { "dropping-particle" : "", "family" : "Jim\u00e9nez-G\u00f3mez", "given" : "Gema", "non-dropping-particle" : "", "parse-names" : false, "suffix" : "" }, { "dropping-particle" : "", "family" : "Gonz\u00e1lez-Garc\u00eda", "given" : "In\u00e9s", "non-dropping-particle" : "", "parse-names" : false, "suffix" : "" }, { "dropping-particle" : "", "family" : "Campos-Caro", "given" : "Antonio", "non-dropping-particle" : "", "parse-names" : false, "suffix" : "" }, { "dropping-particle" : "", "family" : "Brieva", "given" : "Jos\u00e9 a", "non-dropping-particle" : "", "parse-names" : false, "suffix" : "" } ], "container-title" : "Journal of leukocyte biology", "id" : "ITEM-1", "issued" : { "date-parts" : [ [ "2007" ] ] }, "page" : "1430-1436", "title" : "Higher maturity and connective tissue association distinguish resident from recently generated human tonsil plasma cells.", "type" : "article-journal", "volume" : "82" }, "uris" : [ "http://www.mendeley.com/documents/?uuid=09e6a502-463f-4e2b-b3da-2cb8b9f234bf" ] } ], "mendeley" : { "formattedCitation" : "&lt;sup&gt;38&lt;/sup&gt;", "plainTextFormattedCitation" : "38", "previouslyFormattedCitation" : "&lt;sup&gt;37&lt;/sup&gt;" }, "properties" : { "noteIndex" : 0 }, "schema" : "https://github.com/citation-style-language/schema/raw/master/csl-citation.json" }</w:instrText>
      </w:r>
      <w:r w:rsidR="006B5D7F"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38</w:t>
      </w:r>
      <w:r w:rsidR="006B5D7F" w:rsidRPr="008A4B25">
        <w:rPr>
          <w:rFonts w:ascii="Times New Roman" w:hAnsi="Times New Roman" w:cs="Times New Roman"/>
          <w:color w:val="000000" w:themeColor="text1"/>
        </w:rPr>
        <w:fldChar w:fldCharType="end"/>
      </w:r>
      <w:r w:rsidR="00DF15BD" w:rsidRPr="008A4B25">
        <w:rPr>
          <w:rFonts w:ascii="Times New Roman" w:hAnsi="Times New Roman" w:cs="Times New Roman"/>
          <w:color w:val="000000" w:themeColor="text1"/>
        </w:rPr>
        <w:t xml:space="preserve"> This is thought to correlate with maturation towards more long-lived PCs in </w:t>
      </w:r>
      <w:r w:rsidR="00FD2A04" w:rsidRPr="008A4B25">
        <w:rPr>
          <w:rFonts w:ascii="Times New Roman" w:hAnsi="Times New Roman" w:cs="Times New Roman"/>
          <w:color w:val="000000" w:themeColor="text1"/>
        </w:rPr>
        <w:t xml:space="preserve">the </w:t>
      </w:r>
      <w:r w:rsidR="00DF15BD" w:rsidRPr="008A4B25">
        <w:rPr>
          <w:rFonts w:ascii="Times New Roman" w:hAnsi="Times New Roman" w:cs="Times New Roman"/>
          <w:color w:val="000000" w:themeColor="text1"/>
        </w:rPr>
        <w:t>bone marrow. Studies of tetanus</w:t>
      </w:r>
      <w:r w:rsidR="006B5D7F" w:rsidRPr="008A4B25">
        <w:rPr>
          <w:rFonts w:ascii="Times New Roman" w:hAnsi="Times New Roman" w:cs="Times New Roman"/>
          <w:color w:val="000000" w:themeColor="text1"/>
        </w:rPr>
        <w:t>-</w:t>
      </w:r>
      <w:r w:rsidR="00DF15BD" w:rsidRPr="008A4B25">
        <w:rPr>
          <w:rFonts w:ascii="Times New Roman" w:hAnsi="Times New Roman" w:cs="Times New Roman"/>
          <w:color w:val="000000" w:themeColor="text1"/>
        </w:rPr>
        <w:t xml:space="preserve">specific PCs </w:t>
      </w:r>
      <w:r w:rsidR="002B0621" w:rsidRPr="008A4B25">
        <w:rPr>
          <w:rFonts w:ascii="Times New Roman" w:hAnsi="Times New Roman" w:cs="Times New Roman"/>
          <w:color w:val="000000" w:themeColor="text1"/>
        </w:rPr>
        <w:t xml:space="preserve">6 days </w:t>
      </w:r>
      <w:r w:rsidR="00DF15BD" w:rsidRPr="008A4B25">
        <w:rPr>
          <w:rFonts w:ascii="Times New Roman" w:hAnsi="Times New Roman" w:cs="Times New Roman"/>
          <w:color w:val="000000" w:themeColor="text1"/>
        </w:rPr>
        <w:t xml:space="preserve">following tetanus immunization suggested that </w:t>
      </w:r>
      <w:r w:rsidR="00FD73F5" w:rsidRPr="008A4B25">
        <w:rPr>
          <w:rFonts w:ascii="Times New Roman" w:hAnsi="Times New Roman" w:cs="Times New Roman"/>
          <w:color w:val="000000" w:themeColor="text1"/>
        </w:rPr>
        <w:t xml:space="preserve">the vaccine antigen-specific population were </w:t>
      </w:r>
      <w:r w:rsidR="00DF15BD" w:rsidRPr="008A4B25">
        <w:rPr>
          <w:rFonts w:ascii="Times New Roman" w:hAnsi="Times New Roman" w:cs="Times New Roman"/>
          <w:color w:val="000000" w:themeColor="text1"/>
        </w:rPr>
        <w:t>HLA-DR</w:t>
      </w:r>
      <w:r w:rsidR="002B0621" w:rsidRPr="008A4B25">
        <w:rPr>
          <w:rFonts w:ascii="Times New Roman" w:hAnsi="Times New Roman" w:cs="Times New Roman"/>
          <w:color w:val="000000" w:themeColor="text1"/>
        </w:rPr>
        <w:t>+</w:t>
      </w:r>
      <w:r w:rsidR="00FD73F5" w:rsidRPr="008A4B25">
        <w:rPr>
          <w:rFonts w:ascii="Times New Roman" w:hAnsi="Times New Roman" w:cs="Times New Roman"/>
          <w:color w:val="000000" w:themeColor="text1"/>
        </w:rPr>
        <w:t xml:space="preserve"> and constituted a significant proportion of</w:t>
      </w:r>
      <w:r w:rsidR="002B0621" w:rsidRPr="008A4B25">
        <w:rPr>
          <w:rFonts w:ascii="Times New Roman" w:hAnsi="Times New Roman" w:cs="Times New Roman"/>
          <w:color w:val="000000" w:themeColor="text1"/>
        </w:rPr>
        <w:t xml:space="preserve"> total</w:t>
      </w:r>
      <w:r w:rsidR="00FD73F5" w:rsidRPr="008A4B25">
        <w:rPr>
          <w:rFonts w:ascii="Times New Roman" w:hAnsi="Times New Roman" w:cs="Times New Roman"/>
          <w:color w:val="000000" w:themeColor="text1"/>
        </w:rPr>
        <w:t xml:space="preserve"> HLA-DR+ PCs at that time point.</w:t>
      </w:r>
      <w:r w:rsidR="002B0621" w:rsidRPr="008A4B25">
        <w:rPr>
          <w:rFonts w:ascii="Times New Roman" w:hAnsi="Times New Roman" w:cs="Times New Roman"/>
          <w:color w:val="000000" w:themeColor="text1"/>
        </w:rPr>
        <w:fldChar w:fldCharType="begin" w:fldLock="1"/>
      </w:r>
      <w:r w:rsidR="004C4159" w:rsidRPr="008A4B25">
        <w:rPr>
          <w:rFonts w:ascii="Times New Roman" w:hAnsi="Times New Roman" w:cs="Times New Roman"/>
          <w:color w:val="000000" w:themeColor="text1"/>
        </w:rPr>
        <w:instrText>ADDIN CSL_CITATION { "citationItems" : [ { "id" : "ITEM-1", "itemData" : { "DOI" : "10.1182/blood-2004-07-2507", "ISSN" : "0006-4971", "PMID" : "15507523", "abstract" : "Maintenance of protective humoral immunity depends on the generation and survival of antibody-secreting cells. The bone marrow provides niches for long-term survival of plasma cells generated in the course of systemic immune responses in secondary lymphoid organs. Here, we have analyzed migratory human plasma blasts and plasma cells after secondary vaccination with tetanus toxin. On days 6 and 7 after immunization, CD19(+)/CD27(high)/intracellular immunoglobulin G(high) (IgG(high))/HLA-DR(high)/CD38(high)/CD20(-)/CD95(+) tetanus toxin-specific antibody-secreting plasma blasts were released in large numbers from the secondary lymphoid organs into the blood. These cells show chemotactic responsiveness toward ligands for CXCR3 and CXCR4, probably guiding them to the bone marrow or inflamed tissue. At the same time, a population of CD19(+)/CD27(high)/intracellular IgG(high)/HLA-DR(low)/CD38(+)/CD20(-)/CD95(+) cells appeared in the blood in large numbers. These cells, with the phenotype of long-lived plasma cells, secreted antibodies of unknown specificity, not tetanus toxoid. The appearance of these plasma cells in the blood indicates successful competition for survival niches in the bone marrow between newly generated plasma blasts and resident plasma cells as a fundamental mechanism for the establishment of humoral memory and its plasticity.", "author" : [ { "dropping-particle" : "", "family" : "Odendahl", "given" : "Marcus", "non-dropping-particle" : "", "parse-names" : false, "suffix" : "" }, { "dropping-particle" : "", "family" : "Mei", "given" : "Henrik", "non-dropping-particle" : "", "parse-names" : false, "suffix" : "" }, { "dropping-particle" : "", "family" : "Hoyer", "given" : "Bimba F", "non-dropping-particle" : "", "parse-names" : false, "suffix" : "" }, { "dropping-particle" : "", "family" : "Jacobi", "given" : "Annett M", "non-dropping-particle" : "", "parse-names" : false, "suffix" : "" }, { "dropping-particle" : "", "family" : "Hansen", "given" : "Arne", "non-dropping-particle" : "", "parse-names" : false, "suffix" : "" }, { "dropping-particle" : "", "family" : "Muehlinghaus", "given" : "Gwendolin", "non-dropping-particle" : "", "parse-names" : false, "suffix" : "" }, { "dropping-particle" : "", "family" : "Berek", "given" : "Claudia", "non-dropping-particle" : "", "parse-names" : false, "suffix" : "" }, { "dropping-particle" : "", "family" : "Hiepe", "given" : "Falk", "non-dropping-particle" : "", "parse-names" : false, "suffix" : "" }, { "dropping-particle" : "", "family" : "Manz", "given" : "Rudi", "non-dropping-particle" : "", "parse-names" : false, "suffix" : "" }, { "dropping-particle" : "", "family" : "Radbruch", "given" : "Andreas", "non-dropping-particle" : "", "parse-names" : false, "suffix" : "" }, { "dropping-particle" : "", "family" : "D\u00f6rner", "given" : "Thomas", "non-dropping-particle" : "", "parse-names" : false, "suffix" : "" } ], "container-title" : "Blood", "id" : "ITEM-1", "issue" : "4", "issued" : { "date-parts" : [ [ "2005", "2", "15" ] ] }, "page" : "1614-21", "title" : "Generation of migratory antigen-specific plasma blasts and mobilization of resident plasma cells in a secondary immune response", "type" : "article-journal", "volume" : "105" }, "uris" : [ "http://www.mendeley.com/documents/?uuid=8ebf7aca-23ff-4835-9cdc-99d02f488358" ] } ], "mendeley" : { "formattedCitation" : "&lt;sup&gt;16&lt;/sup&gt;", "plainTextFormattedCitation" : "16", "previouslyFormattedCitation" : "&lt;sup&gt;16&lt;/sup&gt;" }, "properties" : { "noteIndex" : 0 }, "schema" : "https://github.com/citation-style-language/schema/raw/master/csl-citation.json" }</w:instrText>
      </w:r>
      <w:r w:rsidR="002B0621" w:rsidRPr="008A4B25">
        <w:rPr>
          <w:rFonts w:ascii="Times New Roman" w:hAnsi="Times New Roman" w:cs="Times New Roman"/>
          <w:color w:val="000000" w:themeColor="text1"/>
        </w:rPr>
        <w:fldChar w:fldCharType="separate"/>
      </w:r>
      <w:r w:rsidR="002B0621" w:rsidRPr="008A4B25">
        <w:rPr>
          <w:rFonts w:ascii="Times New Roman" w:hAnsi="Times New Roman" w:cs="Times New Roman"/>
          <w:noProof/>
          <w:color w:val="000000" w:themeColor="text1"/>
          <w:vertAlign w:val="superscript"/>
        </w:rPr>
        <w:t>16</w:t>
      </w:r>
      <w:r w:rsidR="002B0621" w:rsidRPr="008A4B25">
        <w:rPr>
          <w:rFonts w:ascii="Times New Roman" w:hAnsi="Times New Roman" w:cs="Times New Roman"/>
          <w:color w:val="000000" w:themeColor="text1"/>
        </w:rPr>
        <w:fldChar w:fldCharType="end"/>
      </w:r>
      <w:r w:rsidR="00DF15BD" w:rsidRPr="008A4B25">
        <w:rPr>
          <w:rFonts w:ascii="Times New Roman" w:hAnsi="Times New Roman" w:cs="Times New Roman"/>
          <w:color w:val="000000" w:themeColor="text1"/>
        </w:rPr>
        <w:t xml:space="preserve"> HLA-DR-</w:t>
      </w:r>
      <w:r w:rsidR="00FD73F5" w:rsidRPr="008A4B25">
        <w:rPr>
          <w:rFonts w:ascii="Times New Roman" w:hAnsi="Times New Roman" w:cs="Times New Roman"/>
          <w:color w:val="000000" w:themeColor="text1"/>
        </w:rPr>
        <w:t xml:space="preserve"> </w:t>
      </w:r>
      <w:r w:rsidR="002B0621" w:rsidRPr="008A4B25">
        <w:rPr>
          <w:rFonts w:ascii="Times New Roman" w:hAnsi="Times New Roman" w:cs="Times New Roman"/>
          <w:color w:val="000000" w:themeColor="text1"/>
        </w:rPr>
        <w:t>PCs</w:t>
      </w:r>
      <w:r w:rsidR="00FD73F5" w:rsidRPr="008A4B25">
        <w:rPr>
          <w:rFonts w:ascii="Times New Roman" w:hAnsi="Times New Roman" w:cs="Times New Roman"/>
          <w:color w:val="000000" w:themeColor="text1"/>
        </w:rPr>
        <w:t xml:space="preserve"> </w:t>
      </w:r>
      <w:r w:rsidR="00E93636" w:rsidRPr="008A4B25">
        <w:rPr>
          <w:rFonts w:ascii="Times New Roman" w:hAnsi="Times New Roman" w:cs="Times New Roman"/>
          <w:color w:val="000000" w:themeColor="text1"/>
        </w:rPr>
        <w:t xml:space="preserve">at day 6 </w:t>
      </w:r>
      <w:r w:rsidR="00FD73F5" w:rsidRPr="008A4B25">
        <w:rPr>
          <w:rFonts w:ascii="Times New Roman" w:hAnsi="Times New Roman" w:cs="Times New Roman"/>
          <w:color w:val="000000" w:themeColor="text1"/>
        </w:rPr>
        <w:t>were not vaccine antigen</w:t>
      </w:r>
      <w:r w:rsidR="00EA0365" w:rsidRPr="008A4B25">
        <w:rPr>
          <w:rFonts w:ascii="Times New Roman" w:hAnsi="Times New Roman" w:cs="Times New Roman"/>
          <w:color w:val="000000" w:themeColor="text1"/>
        </w:rPr>
        <w:t>-</w:t>
      </w:r>
      <w:r w:rsidR="00FD73F5" w:rsidRPr="008A4B25">
        <w:rPr>
          <w:rFonts w:ascii="Times New Roman" w:hAnsi="Times New Roman" w:cs="Times New Roman"/>
          <w:color w:val="000000" w:themeColor="text1"/>
        </w:rPr>
        <w:t xml:space="preserve">specific and were </w:t>
      </w:r>
      <w:r w:rsidR="0030363E" w:rsidRPr="008A4B25">
        <w:rPr>
          <w:rFonts w:ascii="Times New Roman" w:hAnsi="Times New Roman" w:cs="Times New Roman"/>
          <w:color w:val="000000" w:themeColor="text1"/>
        </w:rPr>
        <w:t xml:space="preserve">thought </w:t>
      </w:r>
      <w:r w:rsidR="00DF15BD" w:rsidRPr="008A4B25">
        <w:rPr>
          <w:rFonts w:ascii="Times New Roman" w:hAnsi="Times New Roman" w:cs="Times New Roman"/>
          <w:color w:val="000000" w:themeColor="text1"/>
        </w:rPr>
        <w:t xml:space="preserve">to have been displaced from </w:t>
      </w:r>
      <w:r w:rsidR="00EA0365" w:rsidRPr="008A4B25">
        <w:rPr>
          <w:rFonts w:ascii="Times New Roman" w:hAnsi="Times New Roman" w:cs="Times New Roman"/>
          <w:color w:val="000000" w:themeColor="text1"/>
        </w:rPr>
        <w:t xml:space="preserve">their </w:t>
      </w:r>
      <w:r w:rsidR="00DF15BD" w:rsidRPr="008A4B25">
        <w:rPr>
          <w:rFonts w:ascii="Times New Roman" w:hAnsi="Times New Roman" w:cs="Times New Roman"/>
          <w:color w:val="000000" w:themeColor="text1"/>
        </w:rPr>
        <w:t xml:space="preserve">residence in </w:t>
      </w:r>
      <w:r w:rsidR="00EA0365" w:rsidRPr="008A4B25">
        <w:rPr>
          <w:rFonts w:ascii="Times New Roman" w:hAnsi="Times New Roman" w:cs="Times New Roman"/>
          <w:color w:val="000000" w:themeColor="text1"/>
        </w:rPr>
        <w:t xml:space="preserve">the </w:t>
      </w:r>
      <w:r w:rsidR="00DF15BD" w:rsidRPr="008A4B25">
        <w:rPr>
          <w:rFonts w:ascii="Times New Roman" w:hAnsi="Times New Roman" w:cs="Times New Roman"/>
          <w:color w:val="000000" w:themeColor="text1"/>
        </w:rPr>
        <w:t>bone</w:t>
      </w:r>
      <w:r w:rsidR="006B5D7F" w:rsidRPr="008A4B25">
        <w:rPr>
          <w:rFonts w:ascii="Times New Roman" w:hAnsi="Times New Roman" w:cs="Times New Roman"/>
          <w:color w:val="000000" w:themeColor="text1"/>
        </w:rPr>
        <w:t xml:space="preserve"> </w:t>
      </w:r>
      <w:r w:rsidR="00DF15BD" w:rsidRPr="008A4B25">
        <w:rPr>
          <w:rFonts w:ascii="Times New Roman" w:hAnsi="Times New Roman" w:cs="Times New Roman"/>
          <w:color w:val="000000" w:themeColor="text1"/>
        </w:rPr>
        <w:t>marrow by the vaccine generated PCs.</w:t>
      </w:r>
      <w:r w:rsidR="00FB0EAD" w:rsidRPr="008A4B25">
        <w:rPr>
          <w:rFonts w:ascii="Times New Roman" w:hAnsi="Times New Roman" w:cs="Times New Roman"/>
          <w:color w:val="000000" w:themeColor="text1"/>
        </w:rPr>
        <w:t xml:space="preserve"> </w:t>
      </w:r>
      <w:r w:rsidR="006E4451" w:rsidRPr="008A4B25">
        <w:rPr>
          <w:rFonts w:ascii="Times New Roman" w:hAnsi="Times New Roman" w:cs="Times New Roman"/>
          <w:color w:val="000000" w:themeColor="text1"/>
        </w:rPr>
        <w:t>In our study</w:t>
      </w:r>
      <w:r w:rsidR="006B5D7F" w:rsidRPr="008A4B25">
        <w:rPr>
          <w:rFonts w:ascii="Times New Roman" w:hAnsi="Times New Roman" w:cs="Times New Roman"/>
          <w:color w:val="000000" w:themeColor="text1"/>
        </w:rPr>
        <w:t xml:space="preserve">, </w:t>
      </w:r>
      <w:r w:rsidR="00D80A0E" w:rsidRPr="008A4B25">
        <w:rPr>
          <w:rFonts w:ascii="Times New Roman" w:hAnsi="Times New Roman" w:cs="Times New Roman"/>
          <w:color w:val="000000" w:themeColor="text1"/>
        </w:rPr>
        <w:t xml:space="preserve">the acquisition of data from both </w:t>
      </w:r>
      <w:r w:rsidR="00EA0365" w:rsidRPr="008A4B25">
        <w:rPr>
          <w:rFonts w:ascii="Times New Roman" w:hAnsi="Times New Roman" w:cs="Times New Roman"/>
          <w:color w:val="000000" w:themeColor="text1"/>
        </w:rPr>
        <w:t xml:space="preserve">HLA-DR+ and HLA-DR- PC </w:t>
      </w:r>
      <w:r w:rsidR="00D80A0E" w:rsidRPr="008A4B25">
        <w:rPr>
          <w:rFonts w:ascii="Times New Roman" w:hAnsi="Times New Roman" w:cs="Times New Roman"/>
          <w:color w:val="000000" w:themeColor="text1"/>
        </w:rPr>
        <w:t xml:space="preserve">populations </w:t>
      </w:r>
      <w:r w:rsidR="00C14541" w:rsidRPr="008A4B25">
        <w:rPr>
          <w:rFonts w:ascii="Times New Roman" w:hAnsi="Times New Roman" w:cs="Times New Roman"/>
          <w:color w:val="000000" w:themeColor="text1"/>
        </w:rPr>
        <w:t xml:space="preserve">gave us </w:t>
      </w:r>
      <w:r w:rsidR="006E4451" w:rsidRPr="008A4B25">
        <w:rPr>
          <w:rFonts w:ascii="Times New Roman" w:hAnsi="Times New Roman" w:cs="Times New Roman"/>
          <w:color w:val="000000" w:themeColor="text1"/>
        </w:rPr>
        <w:t xml:space="preserve">an opportunity to compare the properties of the BCR repertoire in </w:t>
      </w:r>
      <w:r w:rsidR="00EA0365" w:rsidRPr="008A4B25">
        <w:rPr>
          <w:rFonts w:ascii="Times New Roman" w:hAnsi="Times New Roman" w:cs="Times New Roman"/>
          <w:color w:val="000000" w:themeColor="text1"/>
        </w:rPr>
        <w:t xml:space="preserve">these </w:t>
      </w:r>
      <w:r w:rsidR="0030363E" w:rsidRPr="008A4B25">
        <w:rPr>
          <w:rFonts w:ascii="Times New Roman" w:hAnsi="Times New Roman" w:cs="Times New Roman"/>
          <w:color w:val="000000" w:themeColor="text1"/>
        </w:rPr>
        <w:t xml:space="preserve">two </w:t>
      </w:r>
      <w:r w:rsidR="006E4451" w:rsidRPr="008A4B25">
        <w:rPr>
          <w:rFonts w:ascii="Times New Roman" w:hAnsi="Times New Roman" w:cs="Times New Roman"/>
          <w:color w:val="000000" w:themeColor="text1"/>
        </w:rPr>
        <w:t>populations thought to be from divergent origins</w:t>
      </w:r>
      <w:r w:rsidR="00D00F78" w:rsidRPr="008A4B25">
        <w:rPr>
          <w:rFonts w:ascii="Times New Roman" w:hAnsi="Times New Roman" w:cs="Times New Roman"/>
          <w:color w:val="000000" w:themeColor="text1"/>
        </w:rPr>
        <w:t>.</w:t>
      </w:r>
      <w:r w:rsidR="00A21FF8" w:rsidRPr="008A4B25">
        <w:rPr>
          <w:rFonts w:ascii="Times New Roman" w:hAnsi="Times New Roman" w:cs="Times New Roman"/>
          <w:color w:val="000000" w:themeColor="text1"/>
        </w:rPr>
        <w:t xml:space="preserve"> </w:t>
      </w:r>
      <w:r w:rsidR="00246064" w:rsidRPr="008A4B25">
        <w:rPr>
          <w:rFonts w:ascii="Times New Roman" w:hAnsi="Times New Roman" w:cs="Times New Roman"/>
          <w:color w:val="000000" w:themeColor="text1"/>
        </w:rPr>
        <w:t>W</w:t>
      </w:r>
      <w:r w:rsidR="00550EB3" w:rsidRPr="008A4B25">
        <w:rPr>
          <w:rFonts w:ascii="Times New Roman" w:hAnsi="Times New Roman" w:cs="Times New Roman"/>
          <w:color w:val="000000" w:themeColor="text1"/>
        </w:rPr>
        <w:t xml:space="preserve">e saw no differences in clonality, V gene mutation or CDR3 length </w:t>
      </w:r>
      <w:r w:rsidR="00246064" w:rsidRPr="008A4B25">
        <w:rPr>
          <w:rFonts w:ascii="Times New Roman" w:hAnsi="Times New Roman" w:cs="Times New Roman"/>
          <w:color w:val="000000" w:themeColor="text1"/>
        </w:rPr>
        <w:t>between HLA-DR+ and HLA-DR- PCs</w:t>
      </w:r>
      <w:r w:rsidR="000179E5" w:rsidRPr="008A4B25">
        <w:rPr>
          <w:rFonts w:ascii="Times New Roman" w:hAnsi="Times New Roman" w:cs="Times New Roman"/>
          <w:color w:val="000000" w:themeColor="text1"/>
        </w:rPr>
        <w:t>, which</w:t>
      </w:r>
      <w:r w:rsidR="00246064" w:rsidRPr="008A4B25">
        <w:rPr>
          <w:rFonts w:ascii="Times New Roman" w:hAnsi="Times New Roman" w:cs="Times New Roman"/>
          <w:color w:val="000000" w:themeColor="text1"/>
        </w:rPr>
        <w:t xml:space="preserve"> </w:t>
      </w:r>
      <w:r w:rsidR="00CD7100" w:rsidRPr="008A4B25">
        <w:rPr>
          <w:rFonts w:ascii="Times New Roman" w:hAnsi="Times New Roman" w:cs="Times New Roman"/>
          <w:color w:val="000000" w:themeColor="text1"/>
        </w:rPr>
        <w:t>might</w:t>
      </w:r>
      <w:r w:rsidR="00550EB3" w:rsidRPr="008A4B25">
        <w:rPr>
          <w:rFonts w:ascii="Times New Roman" w:hAnsi="Times New Roman" w:cs="Times New Roman"/>
          <w:color w:val="000000" w:themeColor="text1"/>
        </w:rPr>
        <w:t xml:space="preserve"> be expected considering that high clonality, increased mutation and short CDR3s </w:t>
      </w:r>
      <w:r w:rsidR="00246064" w:rsidRPr="008A4B25">
        <w:rPr>
          <w:rFonts w:ascii="Times New Roman" w:hAnsi="Times New Roman" w:cs="Times New Roman"/>
          <w:color w:val="000000" w:themeColor="text1"/>
        </w:rPr>
        <w:t>appear to be</w:t>
      </w:r>
      <w:r w:rsidR="00550EB3" w:rsidRPr="008A4B25">
        <w:rPr>
          <w:rFonts w:ascii="Times New Roman" w:hAnsi="Times New Roman" w:cs="Times New Roman"/>
          <w:color w:val="000000" w:themeColor="text1"/>
        </w:rPr>
        <w:t xml:space="preserve"> features of all mature B cells regardless of antigen-specificity.</w:t>
      </w:r>
      <w:r w:rsidR="00B96C98"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"10.4049/jimmunol.1401405", "ISBN" : "0000000204187", "ISSN" : "1550-6606", "PMID" : "25392534", "abstract" : "High-throughput sequencing allows detailed study of the BCR repertoire postimmunization, but it remains unclear to what extent the de novo identification of Ag-specific sequences from the total BCR repertoire is possible. A conjugate vaccine containing Haemophilus influenzae type b (Hib) and group C meningococcal polysaccharides, as well as tetanus toxoid (TT), was used to investigate the BCR repertoire of adult humans following immunization and to test the hypothesis that public or convergent repertoire analysis could identify Ag-specific sequences. A number of Ag-specific BCR sequences have been reported for Hib and TT, which made a vaccine containing these two Ags an ideal immunological stimulus. Analysis of identical CDR3 amino acid sequences that were shared by individuals in the postvaccine repertoire identified a number of known Hib-specific sequences but only one previously described TT sequence. The extension of this analysis to nonidentical, but highly similar, CDR3 amino acid sequences revealed a number of other TT-related sequences. The anti-Hib avidity index postvaccination strongly correlated with the relative frequency of Hib-specific sequences, indicating that the postvaccination public BCR repertoire may be related to more conventional measures of immunogenicity correlating with disease protection. Analysis of public BCR repertoire provided evidence of convergent BCR evolution in individuals exposed to the same Ags. If this finding is confirmed, the public repertoire could be used for rapid and direct identification of protective Ag-specific BCR sequences from peripheral blood.", "author" : [ { "dropping-particle" : "", "family" : "Tr\u00fcck", "given" : "Johannes", "non-dropping-particle" : "", "parse-names" : false, "suffix" : "" }, { "dropping-particle" : "", "family" : "Ramasamy", "given" : "Maheshi N", "non-dropping-particle" : "", "parse-names" : false, "suffix" : "" }, { "dropping-particle" : "", "family" : "Galson", "given" : "Jacob D", "non-dropping-particle" : "", "parse-names" : false, "suffix" : "" }, { "dropping-particle" : "", "family" : "Rance", "given" : "Richard", "non-dropping-particle" : "", "parse-names" : false, "suffix" : "" }, { "dropping-particle" : "", "family" : "Parkhill", "given" : "Julian", "non-dropping-particle" : "", "parse-names" : false, "suffix" : "" }, { "dropping-particle" : "", "family" : "Lunter", "given" : "Gerton", "non-dropping-particle" : "", "parse-names" : false, "suffix" : "" }, { "dropping-particle" : "", "family" : "Pollard", "given" : "Andrew J", "non-dropping-particle" : "", "parse-names" : false, "suffix" : "" }, { "dropping-particle" : "", "family" : "Kelly", "given" : "Dominic F", "non-dropping-particle" : "", "parse-names" : false, "suffix" : "" } ], "container-title" : "Journal of immunology (Baltimore, Md. : 1950)", "id" : "ITEM-1", "issue" : "1", "issued" : { "date-parts" : [ [ "2014", "11", "12" ] ] }, "page" : "252-261", "title" : "Identification of Antigen-Specific B Cell Receptor Sequences Using Public Repertoire Analysis.", "type" : "article-journal", "volume" : "194" }, "uris" : [ "http://www.mendeley.com/documents/?uuid=f748dc03-858c-4fa5-8e02-25a146b3f52e" ] } ], "mendeley" : { "formattedCitation" : "&lt;sup&gt;25&lt;/sup&gt;", "plainTextFormattedCitation" : "25", "previouslyFormattedCitation" : "&lt;sup&gt;24&lt;/sup&gt;" }, "properties" : { "noteIndex" : 0 }, "schema" : "https://github.com/citation-style-language/schema/raw/master/csl-citation.json" }</w:instrText>
      </w:r>
      <w:r w:rsidR="00B96C98"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25</w:t>
      </w:r>
      <w:r w:rsidR="00B96C98" w:rsidRPr="008A4B25">
        <w:rPr>
          <w:rFonts w:ascii="Times New Roman" w:hAnsi="Times New Roman" w:cs="Times New Roman"/>
          <w:color w:val="000000" w:themeColor="text1"/>
        </w:rPr>
        <w:fldChar w:fldCharType="end"/>
      </w:r>
      <w:r w:rsidR="00550EB3" w:rsidRPr="008A4B25">
        <w:rPr>
          <w:rFonts w:ascii="Times New Roman" w:hAnsi="Times New Roman" w:cs="Times New Roman"/>
          <w:color w:val="000000" w:themeColor="text1"/>
        </w:rPr>
        <w:t xml:space="preserve"> </w:t>
      </w:r>
      <w:r w:rsidR="005C2C32" w:rsidRPr="008A4B25">
        <w:rPr>
          <w:rFonts w:ascii="Times New Roman" w:hAnsi="Times New Roman" w:cs="Times New Roman"/>
          <w:color w:val="000000" w:themeColor="text1"/>
        </w:rPr>
        <w:t>In addition, there were limited differences observed in V, D and J gene usage between the two PC populations that were conserved between individuals.</w:t>
      </w:r>
      <w:r w:rsidR="00A21FF8" w:rsidRPr="008A4B25" w:rsidDel="00A21FF8">
        <w:rPr>
          <w:rStyle w:val="CommentReference"/>
          <w:rFonts w:ascii="Cambria" w:eastAsia="MS ??" w:hAnsi="Cambria"/>
          <w:color w:val="000000" w:themeColor="text1"/>
        </w:rPr>
        <w:t xml:space="preserve"> </w:t>
      </w:r>
      <w:r w:rsidR="00A21FF8" w:rsidRPr="008A4B25">
        <w:rPr>
          <w:rFonts w:ascii="Times New Roman" w:hAnsi="Times New Roman" w:cs="Times New Roman"/>
          <w:color w:val="000000" w:themeColor="text1"/>
        </w:rPr>
        <w:t>Re</w:t>
      </w:r>
      <w:r w:rsidR="00E72E08" w:rsidRPr="008A4B25">
        <w:rPr>
          <w:rFonts w:ascii="Times New Roman" w:hAnsi="Times New Roman" w:cs="Times New Roman"/>
          <w:color w:val="000000" w:themeColor="text1"/>
        </w:rPr>
        <w:t xml:space="preserve">cently activated </w:t>
      </w:r>
      <w:r w:rsidR="0033414C" w:rsidRPr="008A4B25">
        <w:rPr>
          <w:rFonts w:ascii="Times New Roman" w:hAnsi="Times New Roman" w:cs="Times New Roman"/>
          <w:color w:val="000000" w:themeColor="text1"/>
        </w:rPr>
        <w:t>PC</w:t>
      </w:r>
      <w:r w:rsidR="00E72E08" w:rsidRPr="008A4B25">
        <w:rPr>
          <w:rFonts w:ascii="Times New Roman" w:hAnsi="Times New Roman" w:cs="Times New Roman"/>
          <w:color w:val="000000" w:themeColor="text1"/>
        </w:rPr>
        <w:t xml:space="preserve">s have a limited stimulus (vaccine antigens), whereas previously generated </w:t>
      </w:r>
      <w:r w:rsidR="0033414C" w:rsidRPr="008A4B25">
        <w:rPr>
          <w:rFonts w:ascii="Times New Roman" w:hAnsi="Times New Roman" w:cs="Times New Roman"/>
          <w:color w:val="000000" w:themeColor="text1"/>
        </w:rPr>
        <w:t>PC</w:t>
      </w:r>
      <w:r w:rsidR="00E72E08" w:rsidRPr="008A4B25">
        <w:rPr>
          <w:rFonts w:ascii="Times New Roman" w:hAnsi="Times New Roman" w:cs="Times New Roman"/>
          <w:color w:val="000000" w:themeColor="text1"/>
        </w:rPr>
        <w:t xml:space="preserve">s could potentially have been activated by </w:t>
      </w:r>
      <w:r w:rsidR="00B130F6" w:rsidRPr="008A4B25">
        <w:rPr>
          <w:rFonts w:ascii="Times New Roman" w:hAnsi="Times New Roman" w:cs="Times New Roman"/>
          <w:color w:val="000000" w:themeColor="text1"/>
        </w:rPr>
        <w:t>a lifetime of different antigenic stimuli</w:t>
      </w:r>
      <w:r w:rsidR="007A337C" w:rsidRPr="008A4B25">
        <w:rPr>
          <w:rFonts w:ascii="Times New Roman" w:hAnsi="Times New Roman" w:cs="Times New Roman"/>
          <w:color w:val="000000" w:themeColor="text1"/>
        </w:rPr>
        <w:t xml:space="preserve">, so one </w:t>
      </w:r>
      <w:r w:rsidR="00550EB3" w:rsidRPr="008A4B25">
        <w:rPr>
          <w:rFonts w:ascii="Times New Roman" w:hAnsi="Times New Roman" w:cs="Times New Roman"/>
          <w:color w:val="000000" w:themeColor="text1"/>
        </w:rPr>
        <w:t xml:space="preserve">may </w:t>
      </w:r>
      <w:r w:rsidR="007A337C" w:rsidRPr="008A4B25">
        <w:rPr>
          <w:rFonts w:ascii="Times New Roman" w:hAnsi="Times New Roman" w:cs="Times New Roman"/>
          <w:color w:val="000000" w:themeColor="text1"/>
        </w:rPr>
        <w:t xml:space="preserve">expect </w:t>
      </w:r>
      <w:r w:rsidR="00550EB3" w:rsidRPr="008A4B25">
        <w:rPr>
          <w:rFonts w:ascii="Times New Roman" w:hAnsi="Times New Roman" w:cs="Times New Roman"/>
          <w:color w:val="000000" w:themeColor="text1"/>
        </w:rPr>
        <w:t>the HLA-DR+ PCs</w:t>
      </w:r>
      <w:r w:rsidR="002154A7" w:rsidRPr="008A4B25">
        <w:rPr>
          <w:rFonts w:ascii="Times New Roman" w:hAnsi="Times New Roman" w:cs="Times New Roman"/>
          <w:color w:val="000000" w:themeColor="text1"/>
        </w:rPr>
        <w:t xml:space="preserve"> to show the greatest similarity between individuals</w:t>
      </w:r>
      <w:r w:rsidR="00E72E08" w:rsidRPr="008A4B25">
        <w:rPr>
          <w:rFonts w:ascii="Times New Roman" w:hAnsi="Times New Roman" w:cs="Times New Roman"/>
          <w:color w:val="000000" w:themeColor="text1"/>
        </w:rPr>
        <w:t>.</w:t>
      </w:r>
      <w:r w:rsidR="00B20E6E" w:rsidRPr="008A4B25">
        <w:rPr>
          <w:rFonts w:ascii="Times New Roman" w:hAnsi="Times New Roman" w:cs="Times New Roman"/>
          <w:color w:val="000000" w:themeColor="text1"/>
        </w:rPr>
        <w:t xml:space="preserve"> </w:t>
      </w:r>
      <w:r w:rsidR="00E72E08" w:rsidRPr="008A4B25">
        <w:rPr>
          <w:rFonts w:ascii="Times New Roman" w:hAnsi="Times New Roman" w:cs="Times New Roman"/>
          <w:color w:val="000000" w:themeColor="text1"/>
        </w:rPr>
        <w:t>In</w:t>
      </w:r>
      <w:r w:rsidR="002154A7" w:rsidRPr="008A4B25">
        <w:rPr>
          <w:rFonts w:ascii="Times New Roman" w:hAnsi="Times New Roman" w:cs="Times New Roman"/>
          <w:color w:val="000000" w:themeColor="text1"/>
        </w:rPr>
        <w:t>triguingly</w:t>
      </w:r>
      <w:r w:rsidR="00E72E08" w:rsidRPr="008A4B25">
        <w:rPr>
          <w:rFonts w:ascii="Times New Roman" w:hAnsi="Times New Roman" w:cs="Times New Roman"/>
          <w:color w:val="000000" w:themeColor="text1"/>
        </w:rPr>
        <w:t xml:space="preserve">, </w:t>
      </w:r>
      <w:r w:rsidR="000179E5" w:rsidRPr="008A4B25">
        <w:rPr>
          <w:rFonts w:ascii="Times New Roman" w:hAnsi="Times New Roman" w:cs="Times New Roman"/>
          <w:color w:val="000000" w:themeColor="text1"/>
        </w:rPr>
        <w:t xml:space="preserve">we saw more similarity between individuals both at the level of CDR3 AA sequence, and V gene usage, for the HLA-DR- than </w:t>
      </w:r>
      <w:r w:rsidR="00E72E08" w:rsidRPr="008A4B25">
        <w:rPr>
          <w:rFonts w:ascii="Times New Roman" w:hAnsi="Times New Roman" w:cs="Times New Roman"/>
          <w:color w:val="000000" w:themeColor="text1"/>
        </w:rPr>
        <w:t>the HLA-DR</w:t>
      </w:r>
      <w:r w:rsidR="000179E5" w:rsidRPr="008A4B25">
        <w:rPr>
          <w:rFonts w:ascii="Times New Roman" w:hAnsi="Times New Roman" w:cs="Times New Roman"/>
          <w:color w:val="000000" w:themeColor="text1"/>
        </w:rPr>
        <w:t>+</w:t>
      </w:r>
      <w:r w:rsidR="00E72E08" w:rsidRPr="008A4B25">
        <w:rPr>
          <w:rFonts w:ascii="Times New Roman" w:hAnsi="Times New Roman" w:cs="Times New Roman"/>
          <w:color w:val="000000" w:themeColor="text1"/>
        </w:rPr>
        <w:t xml:space="preserve"> population.</w:t>
      </w:r>
      <w:r w:rsidR="000179E5" w:rsidRPr="008A4B25">
        <w:rPr>
          <w:rFonts w:ascii="Times New Roman" w:hAnsi="Times New Roman" w:cs="Times New Roman"/>
          <w:color w:val="000000" w:themeColor="text1"/>
        </w:rPr>
        <w:t xml:space="preserve"> </w:t>
      </w:r>
      <w:r w:rsidR="00385E34" w:rsidRPr="008A4B25">
        <w:rPr>
          <w:rFonts w:ascii="Times New Roman" w:hAnsi="Times New Roman" w:cs="Times New Roman"/>
          <w:color w:val="000000" w:themeColor="text1"/>
        </w:rPr>
        <w:t xml:space="preserve">It therefore appears that either there is a degree of selection for incorporation into the HLA-DR- compartment, or </w:t>
      </w:r>
      <w:r w:rsidR="006017CA" w:rsidRPr="008A4B25">
        <w:rPr>
          <w:rFonts w:ascii="Times New Roman" w:hAnsi="Times New Roman" w:cs="Times New Roman"/>
          <w:color w:val="000000" w:themeColor="text1"/>
        </w:rPr>
        <w:t>that there are</w:t>
      </w:r>
      <w:r w:rsidR="00060CF0" w:rsidRPr="008A4B25">
        <w:rPr>
          <w:rFonts w:ascii="Times New Roman" w:hAnsi="Times New Roman" w:cs="Times New Roman"/>
          <w:color w:val="000000" w:themeColor="text1"/>
        </w:rPr>
        <w:t xml:space="preserve"> certain common antigens that all individuals are exposed to during the course of their </w:t>
      </w:r>
      <w:r w:rsidR="009C52B1" w:rsidRPr="008A4B25">
        <w:rPr>
          <w:rFonts w:ascii="Times New Roman" w:hAnsi="Times New Roman" w:cs="Times New Roman"/>
          <w:color w:val="000000" w:themeColor="text1"/>
        </w:rPr>
        <w:t>lifetime</w:t>
      </w:r>
      <w:r w:rsidR="00060CF0" w:rsidRPr="008A4B25">
        <w:rPr>
          <w:rFonts w:ascii="Times New Roman" w:hAnsi="Times New Roman" w:cs="Times New Roman"/>
          <w:color w:val="000000" w:themeColor="text1"/>
        </w:rPr>
        <w:t xml:space="preserve"> and sequences against these common antigens dominate the HLA-DR- compartment.</w:t>
      </w:r>
      <w:r w:rsidR="00CD7100" w:rsidRPr="008A4B25">
        <w:rPr>
          <w:rFonts w:ascii="Times New Roman" w:hAnsi="Times New Roman" w:cs="Times New Roman"/>
          <w:color w:val="000000" w:themeColor="text1"/>
        </w:rPr>
        <w:t xml:space="preserve"> Another possibility is that </w:t>
      </w:r>
      <w:r w:rsidR="00A21FF8" w:rsidRPr="008A4B25">
        <w:rPr>
          <w:rFonts w:ascii="Times New Roman" w:hAnsi="Times New Roman" w:cs="Times New Roman"/>
          <w:color w:val="000000" w:themeColor="text1"/>
        </w:rPr>
        <w:t>in addition to vaccine-specific PCs</w:t>
      </w:r>
      <w:r w:rsidR="008D584D" w:rsidRPr="008A4B25">
        <w:rPr>
          <w:rFonts w:ascii="Times New Roman" w:hAnsi="Times New Roman" w:cs="Times New Roman"/>
          <w:color w:val="000000" w:themeColor="text1"/>
        </w:rPr>
        <w:t xml:space="preserve"> in</w:t>
      </w:r>
      <w:r w:rsidR="00A21FF8" w:rsidRPr="008A4B25">
        <w:rPr>
          <w:rFonts w:ascii="Times New Roman" w:hAnsi="Times New Roman" w:cs="Times New Roman"/>
          <w:color w:val="000000" w:themeColor="text1"/>
        </w:rPr>
        <w:t xml:space="preserve"> the</w:t>
      </w:r>
      <w:r w:rsidR="00CD7100" w:rsidRPr="008A4B25">
        <w:rPr>
          <w:rFonts w:ascii="Times New Roman" w:hAnsi="Times New Roman" w:cs="Times New Roman"/>
          <w:color w:val="000000" w:themeColor="text1"/>
        </w:rPr>
        <w:t xml:space="preserve"> HLA-DR+ </w:t>
      </w:r>
      <w:r w:rsidR="00A21FF8" w:rsidRPr="008A4B25">
        <w:rPr>
          <w:rFonts w:ascii="Times New Roman" w:hAnsi="Times New Roman" w:cs="Times New Roman"/>
          <w:color w:val="000000" w:themeColor="text1"/>
        </w:rPr>
        <w:t xml:space="preserve">population, </w:t>
      </w:r>
      <w:r w:rsidR="008D584D" w:rsidRPr="008A4B25">
        <w:rPr>
          <w:rFonts w:ascii="Times New Roman" w:hAnsi="Times New Roman" w:cs="Times New Roman"/>
          <w:color w:val="000000" w:themeColor="text1"/>
        </w:rPr>
        <w:t>additional inter-individual arises from</w:t>
      </w:r>
      <w:r w:rsidR="00A21FF8" w:rsidRPr="008A4B25">
        <w:rPr>
          <w:rFonts w:ascii="Times New Roman" w:hAnsi="Times New Roman" w:cs="Times New Roman"/>
          <w:color w:val="000000" w:themeColor="text1"/>
        </w:rPr>
        <w:t xml:space="preserve"> </w:t>
      </w:r>
      <w:r w:rsidR="0032676A" w:rsidRPr="008A4B25">
        <w:rPr>
          <w:rFonts w:ascii="Times New Roman" w:hAnsi="Times New Roman" w:cs="Times New Roman"/>
          <w:color w:val="000000" w:themeColor="text1"/>
        </w:rPr>
        <w:t xml:space="preserve">the presence of PCs generated in incidental responses </w:t>
      </w:r>
      <w:r w:rsidR="00CD7100" w:rsidRPr="008A4B25">
        <w:rPr>
          <w:rFonts w:ascii="Times New Roman" w:hAnsi="Times New Roman" w:cs="Times New Roman"/>
          <w:color w:val="000000" w:themeColor="text1"/>
        </w:rPr>
        <w:t xml:space="preserve">against </w:t>
      </w:r>
      <w:r w:rsidR="00A21FF8" w:rsidRPr="008A4B25">
        <w:rPr>
          <w:rFonts w:ascii="Times New Roman" w:hAnsi="Times New Roman" w:cs="Times New Roman"/>
          <w:color w:val="000000" w:themeColor="text1"/>
        </w:rPr>
        <w:t>non-vaccine</w:t>
      </w:r>
      <w:r w:rsidR="00CD7100" w:rsidRPr="008A4B25">
        <w:rPr>
          <w:rFonts w:ascii="Times New Roman" w:hAnsi="Times New Roman" w:cs="Times New Roman"/>
          <w:color w:val="000000" w:themeColor="text1"/>
        </w:rPr>
        <w:t xml:space="preserve"> antigens or due to </w:t>
      </w:r>
      <w:r w:rsidR="00FD73F5" w:rsidRPr="008A4B25">
        <w:rPr>
          <w:rFonts w:ascii="Times New Roman" w:hAnsi="Times New Roman" w:cs="Times New Roman"/>
          <w:color w:val="000000" w:themeColor="text1"/>
        </w:rPr>
        <w:t>‘</w:t>
      </w:r>
      <w:r w:rsidR="00CD7100" w:rsidRPr="008A4B25">
        <w:rPr>
          <w:rFonts w:ascii="Times New Roman" w:hAnsi="Times New Roman" w:cs="Times New Roman"/>
          <w:color w:val="000000" w:themeColor="text1"/>
        </w:rPr>
        <w:t>bystander stimulation</w:t>
      </w:r>
      <w:r w:rsidR="00FD73F5" w:rsidRPr="008A4B25">
        <w:rPr>
          <w:rFonts w:ascii="Times New Roman" w:hAnsi="Times New Roman" w:cs="Times New Roman"/>
          <w:color w:val="000000" w:themeColor="text1"/>
        </w:rPr>
        <w:t>’</w:t>
      </w:r>
      <w:r w:rsidR="00CD7100" w:rsidRPr="008A4B25">
        <w:rPr>
          <w:rFonts w:ascii="Times New Roman" w:hAnsi="Times New Roman" w:cs="Times New Roman"/>
          <w:color w:val="000000" w:themeColor="text1"/>
        </w:rPr>
        <w:t>.</w:t>
      </w:r>
      <w:r w:rsidR="004C4159"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"10.1002/(SICI)1098-2825(1996)10:4&lt;220::AID-JCLA8&gt;3.0.CO;2-D", "ISSN" : "0887-8013", "PMID" : "8811466", "abstract" : "A hyperimmune rabbit antiserum against group C Neisseria meningitidis agglutinated and lysed Trypanosoma cruzi metacyclic trypomastigotes in a complement-mediated reaction. Immunization of rabbits with the purified polysaccharide C from N. meningitidis and of human volunteers with the AC-polysaccharide vaccine against meningitis also resulted in antibody production cross-reactive with T. cruzi infective forms. The rabbit antibodies bound to parasites, lysed metacyclic forms, and recognized several components from lysates of cell-derived trypomastigotes. The sera from six human volunteers reacted with cell-cultured trypomastigotes in vitro, lysed these forms, and recognized glycoconjugates migrating diffusely on the top of immunoblots. One serum also reacted with the isolated mucin-like glycoconjugate carrying the Ssp-3 epitope from cell-derived trypomastigotes, but treatment with sialidase did not abolish this reactivity. The anti-AC human antiserum also protected against HeLa cell infection and markedly decreased the number of parasites liberated after cell burst. The polyclonal response that resulted from human immunization with N. meningitidis polysaccharides A and C comprised trypanolytic antibodies that recognized nonsialylated epitopes expressed on infective forms of the parasite. It is suggested that human AC vaccination could be potentially helpful as an adjuvant to a specific immunotherapy of Chagas disease, developed with native or recombinant antigens of the parasite.", "author" : [ { "dropping-particle" : "", "family" : "Oliveira", "given" : "T G", "non-dropping-particle" : "", "parse-names" : false, "suffix" : "" }, { "dropping-particle" : "", "family" : "Milani", "given" : "S R", "non-dropping-particle" : "", "parse-names" : false, "suffix" : "" }, { "dropping-particle" : "", "family" : "Travassos", "given" : "L R", "non-dropping-particle" : "", "parse-names" : false, "suffix" : "" } ], "container-title" : "Journal of clinical laboratory analysis", "id" : "ITEM-1", "issue" : "4", "issued" : { "date-parts" : [ [ "1996", "1" ] ] }, "page" : "220-8", "title" : "Polyclonal B-cell activation by Neisseria meningitidis capsular polysaccharides elicit antibodies protective against Trypanosoma cruzi infection in vitro.", "type" : "article-journal", "volume" : "10" }, "uris" : [ "http://www.mendeley.com/documents/?uuid=f011cbb7-84c7-4d4d-923e-092b7a706a00" ] } ], "mendeley" : { "formattedCitation" : "&lt;sup&gt;39&lt;/sup&gt;", "plainTextFormattedCitation" : "39", "previouslyFormattedCitation" : "&lt;sup&gt;38&lt;/sup&gt;" }, "properties" : { "noteIndex" : 0 }, "schema" : "https://github.com/citation-style-language/schema/raw/master/csl-citation.json" }</w:instrText>
      </w:r>
      <w:r w:rsidR="004C4159"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39</w:t>
      </w:r>
      <w:r w:rsidR="004C4159" w:rsidRPr="008A4B25">
        <w:rPr>
          <w:rFonts w:ascii="Times New Roman" w:hAnsi="Times New Roman" w:cs="Times New Roman"/>
          <w:color w:val="000000" w:themeColor="text1"/>
        </w:rPr>
        <w:fldChar w:fldCharType="end"/>
      </w:r>
      <w:r w:rsidR="002F08E0" w:rsidRPr="008A4B25">
        <w:rPr>
          <w:rFonts w:ascii="Times New Roman" w:hAnsi="Times New Roman" w:cs="Times New Roman"/>
          <w:color w:val="000000" w:themeColor="text1"/>
        </w:rPr>
        <w:t xml:space="preserve"> </w:t>
      </w:r>
      <w:r w:rsidR="00862413" w:rsidRPr="008A4B25">
        <w:rPr>
          <w:rFonts w:ascii="Times New Roman" w:hAnsi="Times New Roman" w:cs="Times New Roman"/>
          <w:color w:val="000000" w:themeColor="text1"/>
        </w:rPr>
        <w:t xml:space="preserve">Perhaps the most compelling evidence we have of the HLA-DR+ and HLA-DR- PCs comprising distinct populations is that when analyzing which baseline B cell subsets are activated to produce the IgG PCs, we see differences between the vaccine groups for the HLA-DR+, but not the HLA-DR- PCs. This indicates that the HLA-DR+ population is enriched for vaccine-specificity, allowing us to detect these differences, but the HLA-DR- population is not. </w:t>
      </w:r>
      <w:r w:rsidR="002F08E0" w:rsidRPr="008A4B25">
        <w:rPr>
          <w:rFonts w:ascii="Times New Roman" w:hAnsi="Times New Roman" w:cs="Times New Roman"/>
          <w:color w:val="000000" w:themeColor="text1"/>
        </w:rPr>
        <w:t xml:space="preserve">Further work would </w:t>
      </w:r>
      <w:r w:rsidR="00E72E08" w:rsidRPr="008A4B25">
        <w:rPr>
          <w:rFonts w:ascii="Times New Roman" w:hAnsi="Times New Roman" w:cs="Times New Roman"/>
          <w:color w:val="000000" w:themeColor="text1"/>
        </w:rPr>
        <w:t xml:space="preserve">be beneficial to elucidate the </w:t>
      </w:r>
      <w:r w:rsidR="00862413" w:rsidRPr="008A4B25">
        <w:rPr>
          <w:rFonts w:ascii="Times New Roman" w:hAnsi="Times New Roman" w:cs="Times New Roman"/>
          <w:color w:val="000000" w:themeColor="text1"/>
        </w:rPr>
        <w:t xml:space="preserve">exact </w:t>
      </w:r>
      <w:r w:rsidR="0001751F" w:rsidRPr="008A4B25">
        <w:rPr>
          <w:rFonts w:ascii="Times New Roman" w:hAnsi="Times New Roman" w:cs="Times New Roman"/>
          <w:color w:val="000000" w:themeColor="text1"/>
        </w:rPr>
        <w:t>antigenic-</w:t>
      </w:r>
      <w:r w:rsidR="00E72E08" w:rsidRPr="008A4B25">
        <w:rPr>
          <w:rFonts w:ascii="Times New Roman" w:hAnsi="Times New Roman" w:cs="Times New Roman"/>
          <w:color w:val="000000" w:themeColor="text1"/>
        </w:rPr>
        <w:t xml:space="preserve">specificity of </w:t>
      </w:r>
      <w:r w:rsidR="006574F3" w:rsidRPr="008A4B25">
        <w:rPr>
          <w:rFonts w:ascii="Times New Roman" w:hAnsi="Times New Roman" w:cs="Times New Roman"/>
          <w:color w:val="000000" w:themeColor="text1"/>
        </w:rPr>
        <w:t xml:space="preserve">the </w:t>
      </w:r>
      <w:r w:rsidR="00E72E08" w:rsidRPr="008A4B25">
        <w:rPr>
          <w:rFonts w:ascii="Times New Roman" w:hAnsi="Times New Roman" w:cs="Times New Roman"/>
          <w:color w:val="000000" w:themeColor="text1"/>
        </w:rPr>
        <w:t xml:space="preserve">HLA-DR+ and HLA-DR- </w:t>
      </w:r>
      <w:r w:rsidR="003F1298" w:rsidRPr="008A4B25">
        <w:rPr>
          <w:rFonts w:ascii="Times New Roman" w:hAnsi="Times New Roman" w:cs="Times New Roman"/>
          <w:color w:val="000000" w:themeColor="text1"/>
        </w:rPr>
        <w:t>sequences</w:t>
      </w:r>
      <w:r w:rsidR="006574F3" w:rsidRPr="008A4B25">
        <w:rPr>
          <w:rFonts w:ascii="Times New Roman" w:hAnsi="Times New Roman" w:cs="Times New Roman"/>
          <w:color w:val="000000" w:themeColor="text1"/>
        </w:rPr>
        <w:t xml:space="preserve"> by generating monoclonal antibodies </w:t>
      </w:r>
      <w:r w:rsidR="003562C9" w:rsidRPr="008A4B25">
        <w:rPr>
          <w:rFonts w:ascii="Times New Roman" w:hAnsi="Times New Roman" w:cs="Times New Roman"/>
          <w:color w:val="000000" w:themeColor="text1"/>
        </w:rPr>
        <w:t>for characterization</w:t>
      </w:r>
      <w:r w:rsidR="006574F3" w:rsidRPr="008A4B25">
        <w:rPr>
          <w:rFonts w:ascii="Times New Roman" w:hAnsi="Times New Roman" w:cs="Times New Roman"/>
          <w:color w:val="000000" w:themeColor="text1"/>
        </w:rPr>
        <w:t>. As we only sequenced the BCR heavy chain, this is not currently possible, but advances in heavy-light chain pairing technology mean that this may be possible in the future.</w:t>
      </w:r>
      <w:r w:rsidR="006574F3" w:rsidRPr="008A4B25">
        <w:rPr>
          <w:rFonts w:ascii="Times New Roman" w:hAnsi="Times New Roman" w:cs="Times New Roman"/>
          <w:color w:val="000000" w:themeColor="text1"/>
        </w:rPr>
        <w:fldChar w:fldCharType="begin" w:fldLock="1"/>
      </w:r>
      <w:r w:rsidR="00BC1372" w:rsidRPr="008A4B25">
        <w:rPr>
          <w:rFonts w:ascii="Times New Roman" w:hAnsi="Times New Roman" w:cs="Times New Roman"/>
          <w:color w:val="000000" w:themeColor="text1"/>
        </w:rPr>
        <w:instrText>ADDIN CSL_CITATION { "citationItems" : [ { "id" : "ITEM-1", "itemData" : { "DOI" : "10.1038/nm.3743", "ISSN" : "1078-8956", "author" : [ { "dropping-particle" : "", "family" : "DeKosky", "given" : "Brandon J", "non-dropping-particle" : "", "parse-names" : false, "suffix" : "" }, { "dropping-particle" : "", "family" : "Kojima", "given" : "Takaaki", "non-dropping-particle" : "", "parse-names" : false, "suffix" : "" }, { "dropping-particle" : "", "family" : "Rodin", "given" : "Alexa", "non-dropping-particle" : "", "parse-names" : false, "suffix" : "" }, { "dropping-particle" : "", "family" : "Charab", "given" : "Wissam", "non-dropping-particle" : "", "parse-names" : false, "suffix" : "" }, { "dropping-particle" : "", "family" : "Ippolito", "given" : "Gregory C", "non-dropping-particle" : "", "parse-names" : false, "suffix" : "" }, { "dropping-particle" : "", "family" : "Ellington", "given" : "Andrew D", "non-dropping-particle" : "", "parse-names" : false, "suffix" : "" }, { "dropping-particle" : "", "family" : "Georgiou", "given" : "George", "non-dropping-particle" : "", "parse-names" : false, "suffix" : "" } ], "container-title" : "Nature Medicine", "id" : "ITEM-1", "issued" : { "date-parts" : [ [ "2015", "12", "15" ] ] }, "page" : "86-91", "publisher" : "Nature Publishing Group", "title" : "In-depth determination and analysis of the human paired heavy- and light-chain antibody repertoire", "type" : "article-journal", "volume" : "21" }, "uris" : [ "http://www.mendeley.com/documents/?uuid=7981f32a-66c0-4e24-9f6d-7c38612248bf" ] } ], "mendeley" : { "formattedCitation" : "&lt;sup&gt;40&lt;/sup&gt;", "plainTextFormattedCitation" : "40", "previouslyFormattedCitation" : "&lt;sup&gt;39&lt;/sup&gt;" }, "properties" : { "noteIndex" : 0 }, "schema" : "https://github.com/citation-style-language/schema/raw/master/csl-citation.json" }</w:instrText>
      </w:r>
      <w:r w:rsidR="006574F3" w:rsidRPr="008A4B25">
        <w:rPr>
          <w:rFonts w:ascii="Times New Roman" w:hAnsi="Times New Roman" w:cs="Times New Roman"/>
          <w:color w:val="000000" w:themeColor="text1"/>
        </w:rPr>
        <w:fldChar w:fldCharType="separate"/>
      </w:r>
      <w:r w:rsidR="00BC1372" w:rsidRPr="008A4B25">
        <w:rPr>
          <w:rFonts w:ascii="Times New Roman" w:hAnsi="Times New Roman" w:cs="Times New Roman"/>
          <w:noProof/>
          <w:color w:val="000000" w:themeColor="text1"/>
          <w:vertAlign w:val="superscript"/>
        </w:rPr>
        <w:t>40</w:t>
      </w:r>
      <w:r w:rsidR="006574F3" w:rsidRPr="008A4B25">
        <w:rPr>
          <w:rFonts w:ascii="Times New Roman" w:hAnsi="Times New Roman" w:cs="Times New Roman"/>
          <w:color w:val="000000" w:themeColor="text1"/>
        </w:rPr>
        <w:fldChar w:fldCharType="end"/>
      </w:r>
    </w:p>
    <w:p w14:paraId="1F7D1CB9" w14:textId="0D97A0EA" w:rsidR="000B7BD4" w:rsidRPr="008A4B25" w:rsidRDefault="00204B6E" w:rsidP="00EA7417">
      <w:pPr>
        <w:spacing w:line="480" w:lineRule="auto"/>
        <w:ind w:firstLine="720"/>
        <w:jc w:val="both"/>
        <w:rPr>
          <w:rFonts w:ascii="Times New Roman" w:hAnsi="Times New Roman" w:cs="Times New Roman"/>
          <w:color w:val="000000" w:themeColor="text1"/>
        </w:rPr>
      </w:pPr>
      <w:r w:rsidRPr="008A4B25">
        <w:rPr>
          <w:rFonts w:ascii="Times New Roman" w:hAnsi="Times New Roman" w:cs="Times New Roman"/>
          <w:color w:val="000000" w:themeColor="text1"/>
        </w:rPr>
        <w:t xml:space="preserve">Cell sorting is a technically challenging process, and failures meant that for some participants, baseline subsets had to be sorted 28 days post-vaccination instead of pre-vaccination. </w:t>
      </w:r>
      <w:r w:rsidR="0001762A" w:rsidRPr="008A4B25">
        <w:rPr>
          <w:rFonts w:ascii="Times New Roman" w:hAnsi="Times New Roman" w:cs="Times New Roman"/>
          <w:color w:val="000000" w:themeColor="text1"/>
        </w:rPr>
        <w:t>There were</w:t>
      </w:r>
      <w:r w:rsidRPr="008A4B25">
        <w:rPr>
          <w:rFonts w:ascii="Times New Roman" w:hAnsi="Times New Roman" w:cs="Times New Roman"/>
          <w:color w:val="000000" w:themeColor="text1"/>
        </w:rPr>
        <w:t xml:space="preserve"> no difference</w:t>
      </w:r>
      <w:r w:rsidR="0001762A" w:rsidRPr="008A4B25">
        <w:rPr>
          <w:rFonts w:ascii="Times New Roman" w:hAnsi="Times New Roman" w:cs="Times New Roman"/>
          <w:color w:val="000000" w:themeColor="text1"/>
        </w:rPr>
        <w:t>s</w:t>
      </w:r>
      <w:r w:rsidRPr="008A4B25">
        <w:rPr>
          <w:rFonts w:ascii="Times New Roman" w:hAnsi="Times New Roman" w:cs="Times New Roman"/>
          <w:color w:val="000000" w:themeColor="text1"/>
        </w:rPr>
        <w:t xml:space="preserve"> in </w:t>
      </w:r>
      <w:r w:rsidR="0001762A" w:rsidRPr="008A4B25">
        <w:rPr>
          <w:rFonts w:ascii="Times New Roman" w:hAnsi="Times New Roman" w:cs="Times New Roman"/>
          <w:color w:val="000000" w:themeColor="text1"/>
        </w:rPr>
        <w:t>the</w:t>
      </w:r>
      <w:r w:rsidRPr="008A4B25">
        <w:rPr>
          <w:rFonts w:ascii="Times New Roman" w:hAnsi="Times New Roman" w:cs="Times New Roman"/>
          <w:color w:val="000000" w:themeColor="text1"/>
        </w:rPr>
        <w:t xml:space="preserve"> baseline repertoire properties depending on which timepoints they were taken</w:t>
      </w:r>
      <w:r w:rsidR="00FD02E3" w:rsidRPr="008A4B25">
        <w:rPr>
          <w:rFonts w:ascii="Times New Roman" w:hAnsi="Times New Roman" w:cs="Times New Roman"/>
          <w:color w:val="000000" w:themeColor="text1"/>
        </w:rPr>
        <w:t xml:space="preserve"> (Fig. S2 &amp; Fig. S5)</w:t>
      </w:r>
      <w:r w:rsidRPr="008A4B25">
        <w:rPr>
          <w:rFonts w:ascii="Times New Roman" w:hAnsi="Times New Roman" w:cs="Times New Roman"/>
          <w:color w:val="000000" w:themeColor="text1"/>
        </w:rPr>
        <w:t xml:space="preserve">, </w:t>
      </w:r>
      <w:r w:rsidR="007C64D6" w:rsidRPr="008A4B25">
        <w:rPr>
          <w:rFonts w:ascii="Times New Roman" w:hAnsi="Times New Roman" w:cs="Times New Roman"/>
          <w:color w:val="000000" w:themeColor="text1"/>
        </w:rPr>
        <w:t xml:space="preserve">and data from our laboratory suggests that by 28 days post-vaccination, the repertoire returns to a pre-vaccination state (Galson </w:t>
      </w:r>
      <w:r w:rsidR="007C64D6" w:rsidRPr="008A4B25">
        <w:rPr>
          <w:rFonts w:ascii="Times New Roman" w:hAnsi="Times New Roman" w:cs="Times New Roman"/>
          <w:i/>
          <w:color w:val="000000" w:themeColor="text1"/>
        </w:rPr>
        <w:t xml:space="preserve">et al. </w:t>
      </w:r>
      <w:r w:rsidR="007C64D6" w:rsidRPr="008A4B25">
        <w:rPr>
          <w:rFonts w:ascii="Times New Roman" w:hAnsi="Times New Roman" w:cs="Times New Roman"/>
          <w:color w:val="000000" w:themeColor="text1"/>
        </w:rPr>
        <w:t xml:space="preserve">unpublished), </w:t>
      </w:r>
      <w:r w:rsidR="008512BE" w:rsidRPr="008A4B25">
        <w:rPr>
          <w:rFonts w:ascii="Times New Roman" w:hAnsi="Times New Roman" w:cs="Times New Roman"/>
          <w:color w:val="000000" w:themeColor="text1"/>
        </w:rPr>
        <w:t xml:space="preserve">so </w:t>
      </w:r>
      <w:r w:rsidRPr="008A4B25">
        <w:rPr>
          <w:rFonts w:ascii="Times New Roman" w:hAnsi="Times New Roman" w:cs="Times New Roman"/>
          <w:color w:val="000000" w:themeColor="text1"/>
        </w:rPr>
        <w:t xml:space="preserve">these </w:t>
      </w:r>
      <w:r w:rsidR="007C64D6" w:rsidRPr="008A4B25">
        <w:rPr>
          <w:rFonts w:ascii="Times New Roman" w:hAnsi="Times New Roman" w:cs="Times New Roman"/>
          <w:color w:val="000000" w:themeColor="text1"/>
        </w:rPr>
        <w:t>cell-sorting</w:t>
      </w:r>
      <w:r w:rsidRPr="008A4B25">
        <w:rPr>
          <w:rFonts w:ascii="Times New Roman" w:hAnsi="Times New Roman" w:cs="Times New Roman"/>
          <w:color w:val="000000" w:themeColor="text1"/>
        </w:rPr>
        <w:t xml:space="preserve"> failures are unlikely to have affected our results. Nevertheless, </w:t>
      </w:r>
      <w:r w:rsidR="008768EE" w:rsidRPr="008A4B25">
        <w:rPr>
          <w:rFonts w:ascii="Times New Roman" w:hAnsi="Times New Roman" w:cs="Times New Roman"/>
          <w:color w:val="000000" w:themeColor="text1"/>
        </w:rPr>
        <w:t>developing</w:t>
      </w:r>
      <w:r w:rsidRPr="008A4B25">
        <w:rPr>
          <w:rFonts w:ascii="Times New Roman" w:hAnsi="Times New Roman" w:cs="Times New Roman"/>
          <w:color w:val="000000" w:themeColor="text1"/>
        </w:rPr>
        <w:t xml:space="preserve"> a process for in-silico cell sorting of bulk sequence data from peripheral blood </w:t>
      </w:r>
      <w:r w:rsidR="00765E35" w:rsidRPr="008A4B25">
        <w:rPr>
          <w:rFonts w:ascii="Times New Roman" w:hAnsi="Times New Roman" w:cs="Times New Roman"/>
          <w:color w:val="000000" w:themeColor="text1"/>
        </w:rPr>
        <w:t>would improve the accessibility and ease of our methods for determining subset-specific memory recall</w:t>
      </w:r>
      <w:r w:rsidR="00375B57" w:rsidRPr="008A4B25">
        <w:rPr>
          <w:rFonts w:ascii="Times New Roman" w:hAnsi="Times New Roman" w:cs="Times New Roman"/>
          <w:color w:val="000000" w:themeColor="text1"/>
        </w:rPr>
        <w:t>, and characterizing vaccine responses at the sequence level</w:t>
      </w:r>
      <w:r w:rsidR="00765E35" w:rsidRPr="008A4B25">
        <w:rPr>
          <w:rFonts w:ascii="Times New Roman" w:hAnsi="Times New Roman" w:cs="Times New Roman"/>
          <w:color w:val="000000" w:themeColor="text1"/>
        </w:rPr>
        <w:t xml:space="preserve">. The </w:t>
      </w:r>
      <w:r w:rsidR="00375B57" w:rsidRPr="008A4B25">
        <w:rPr>
          <w:rFonts w:ascii="Times New Roman" w:hAnsi="Times New Roman" w:cs="Times New Roman"/>
          <w:color w:val="000000" w:themeColor="text1"/>
        </w:rPr>
        <w:t xml:space="preserve">differences we found in the sequence composition of the different </w:t>
      </w:r>
      <w:r w:rsidR="00765E35" w:rsidRPr="008A4B25">
        <w:rPr>
          <w:rFonts w:ascii="Times New Roman" w:hAnsi="Times New Roman" w:cs="Times New Roman"/>
          <w:color w:val="000000" w:themeColor="text1"/>
        </w:rPr>
        <w:t>cell subsets should aid the development of such methods.</w:t>
      </w:r>
      <w:r w:rsidR="00EA7417" w:rsidRPr="008A4B25">
        <w:rPr>
          <w:rFonts w:ascii="Times New Roman" w:hAnsi="Times New Roman" w:cs="Times New Roman"/>
          <w:color w:val="000000" w:themeColor="text1"/>
        </w:rPr>
        <w:t xml:space="preserve"> Furthermore, a</w:t>
      </w:r>
      <w:r w:rsidR="00FF1BAC" w:rsidRPr="008A4B25">
        <w:rPr>
          <w:rFonts w:ascii="Times New Roman" w:hAnsi="Times New Roman" w:cs="Times New Roman"/>
          <w:color w:val="000000" w:themeColor="text1"/>
        </w:rPr>
        <w:t>lthough the vaccine-specific patterns of IgG isotype usage seen suggest we already have significant enrichment of vaccine-specific sequences</w:t>
      </w:r>
      <w:r w:rsidR="00EA7417" w:rsidRPr="008A4B25">
        <w:rPr>
          <w:rFonts w:ascii="Times New Roman" w:hAnsi="Times New Roman" w:cs="Times New Roman"/>
          <w:color w:val="000000" w:themeColor="text1"/>
        </w:rPr>
        <w:t xml:space="preserve"> in the HLA-DR+ PC population</w:t>
      </w:r>
      <w:r w:rsidR="00FF1BAC" w:rsidRPr="008A4B25">
        <w:rPr>
          <w:rFonts w:ascii="Times New Roman" w:hAnsi="Times New Roman" w:cs="Times New Roman"/>
          <w:color w:val="000000" w:themeColor="text1"/>
        </w:rPr>
        <w:t xml:space="preserve">, further enrichment </w:t>
      </w:r>
      <w:r w:rsidR="00EA7417" w:rsidRPr="008A4B25">
        <w:rPr>
          <w:rFonts w:ascii="Times New Roman" w:hAnsi="Times New Roman" w:cs="Times New Roman"/>
          <w:color w:val="000000" w:themeColor="text1"/>
        </w:rPr>
        <w:t xml:space="preserve">for sequences with known vaccine-specificity </w:t>
      </w:r>
      <w:r w:rsidR="00FF1BAC" w:rsidRPr="008A4B25">
        <w:rPr>
          <w:rFonts w:ascii="Times New Roman" w:hAnsi="Times New Roman" w:cs="Times New Roman"/>
          <w:color w:val="000000" w:themeColor="text1"/>
        </w:rPr>
        <w:t>either by antigen-specific cell sorting, or in-silico cell sorting would increase the validity of our results.</w:t>
      </w:r>
      <w:r w:rsidR="00EA7417" w:rsidRPr="008A4B25">
        <w:rPr>
          <w:rFonts w:ascii="Times New Roman" w:hAnsi="Times New Roman" w:cs="Times New Roman"/>
          <w:color w:val="000000" w:themeColor="text1"/>
        </w:rPr>
        <w:t xml:space="preserve"> </w:t>
      </w:r>
      <w:r w:rsidR="003F0027" w:rsidRPr="008A4B25">
        <w:rPr>
          <w:rFonts w:ascii="Times New Roman" w:hAnsi="Times New Roman" w:cs="Times New Roman"/>
          <w:color w:val="000000" w:themeColor="text1"/>
        </w:rPr>
        <w:t>We were limited to just 9 participants in our study, but were nevertheless able to find a number of significant differences between the two vaccine groups. Using in-silico cell sorting would also allow such work to be carried out more easily in larger cohorts, and likely shed further light on the different effects of conjugate and polysaccharide vaccines on the immune response. S</w:t>
      </w:r>
      <w:r w:rsidR="00765E35" w:rsidRPr="008A4B25">
        <w:rPr>
          <w:rFonts w:ascii="Times New Roman" w:hAnsi="Times New Roman" w:cs="Times New Roman"/>
          <w:color w:val="000000" w:themeColor="text1"/>
        </w:rPr>
        <w:t xml:space="preserve">ince conducting this study, improved methods to account for PCR error in </w:t>
      </w:r>
      <w:r w:rsidR="00375B57" w:rsidRPr="008A4B25">
        <w:rPr>
          <w:rFonts w:ascii="Times New Roman" w:hAnsi="Times New Roman" w:cs="Times New Roman"/>
          <w:color w:val="000000" w:themeColor="text1"/>
        </w:rPr>
        <w:t>B cell</w:t>
      </w:r>
      <w:r w:rsidR="00765E35" w:rsidRPr="008A4B25">
        <w:rPr>
          <w:rFonts w:ascii="Times New Roman" w:hAnsi="Times New Roman" w:cs="Times New Roman"/>
          <w:color w:val="000000" w:themeColor="text1"/>
        </w:rPr>
        <w:t xml:space="preserve"> repertoire data have been developed</w:t>
      </w:r>
      <w:r w:rsidR="00262E50" w:rsidRPr="008A4B25">
        <w:rPr>
          <w:rFonts w:ascii="Times New Roman" w:hAnsi="Times New Roman" w:cs="Times New Roman"/>
          <w:color w:val="000000" w:themeColor="text1"/>
        </w:rPr>
        <w:t>.</w:t>
      </w:r>
      <w:r w:rsidR="00765E35" w:rsidRPr="008A4B25">
        <w:rPr>
          <w:rFonts w:ascii="Times New Roman" w:hAnsi="Times New Roman" w:cs="Times New Roman"/>
          <w:color w:val="000000" w:themeColor="text1"/>
        </w:rPr>
        <w:fldChar w:fldCharType="begin" w:fldLock="1"/>
      </w:r>
      <w:r w:rsidR="00545CC1" w:rsidRPr="008A4B25">
        <w:rPr>
          <w:rFonts w:ascii="Times New Roman" w:hAnsi="Times New Roman" w:cs="Times New Roman"/>
          <w:color w:val="000000" w:themeColor="text1"/>
        </w:rPr>
        <w:instrText>ADDIN CSL_CITATION { "citationItems" : [ { "id" : "ITEM-1", "itemData" : { "ISSN" : "1091-6490", "PMID" : "23898164", "abstract" : "Annual influenza vaccinations aim to protect against seasonal infections, and vaccine strain compositions are updated every year. This protection is based on antibodies that are produced by either newly activated or memory B cells recalled from previous encounters with influenza vaccination or infection. The extent to which the B-cell repertoire responds to vaccination and recalls antibodies has so far not been analyzed at a genetic level-which is to say, at the level of antibody sequences. Here, we developed a consensus read sequencing approach that incorporates unique barcode labels on each starting RNA molecule. These labels allow one to combine multiple sequencing reads covering the same RNA molecule to reduce the error rate to a desired level, and they also enable accurate quantification of RNA and isotype levels. We validated this approach and analyzed the differential response of the antibody repertoire to live-attenuated or trivalent-inactivated influenza vaccination. Additionally, we analyzed the antibody repertoire in response to repeated yearly vaccinations with trivalent-inactivated influenza vaccination. We found antibody sequences that were present in both years, providing a direct genetic measurement of B-cell recall.", "author" : [ { "dropping-particle" : "", "family" : "Vollmers", "given" : "Christopher", "non-dropping-particle" : "", "parse-names" : false, "suffix" : "" }, { "dropping-particle" : "", "family" : "Sit", "given" : "RV", "non-dropping-particle" : "", "parse-names" : false, "suffix" : "" }, { "dropping-particle" : "", "family" : "Weinstein", "given" : "Joshua A", "non-dropping-particle" : "", "parse-names" : false, "suffix" : "" }, { "dropping-particle" : "", "family" : "Dekker", "given" : "Cornelia L", "non-dropping-particle" : "", "parse-names" : false, "suffix" : "" }, { "dropping-particle" : "", "family" : "Quake", "given" : "Stephen R", "non-dropping-particle" : "", "parse-names" : false, "suffix" : "" } ], "container-title" : "Proc. Natl. Acad. Sci. U.S.A.", "id" : "ITEM-1", "issue" : "33", "issued" : { "date-parts" : [ [ "2013", "7", "29" ] ] }, "page" : "13463-8", "title" : "Genetic measurement of memory B-cell recall using antibody repertoire sequencing", "type" : "article-journal", "volume" : "110" }, "uris" : [ "http://www.mendeley.com/documents/?uuid=959fe7d4-4272-4797-be90-a82ae706027c" ] } ], "mendeley" : { "formattedCitation" : "&lt;sup&gt;3&lt;/sup&gt;", "plainTextFormattedCitation" : "3", "previouslyFormattedCitation" : "&lt;sup&gt;3&lt;/sup&gt;" }, "properties" : { "noteIndex" : 0 }, "schema" : "https://github.com/citation-style-language/schema/raw/master/csl-citation.json" }</w:instrText>
      </w:r>
      <w:r w:rsidR="00765E35" w:rsidRPr="008A4B25">
        <w:rPr>
          <w:rFonts w:ascii="Times New Roman" w:hAnsi="Times New Roman" w:cs="Times New Roman"/>
          <w:color w:val="000000" w:themeColor="text1"/>
        </w:rPr>
        <w:fldChar w:fldCharType="separate"/>
      </w:r>
      <w:r w:rsidR="00545CC1" w:rsidRPr="008A4B25">
        <w:rPr>
          <w:rFonts w:ascii="Times New Roman" w:hAnsi="Times New Roman" w:cs="Times New Roman"/>
          <w:noProof/>
          <w:color w:val="000000" w:themeColor="text1"/>
          <w:vertAlign w:val="superscript"/>
        </w:rPr>
        <w:t>3</w:t>
      </w:r>
      <w:r w:rsidR="00765E35" w:rsidRPr="008A4B25">
        <w:rPr>
          <w:rFonts w:ascii="Times New Roman" w:hAnsi="Times New Roman" w:cs="Times New Roman"/>
          <w:color w:val="000000" w:themeColor="text1"/>
        </w:rPr>
        <w:fldChar w:fldCharType="end"/>
      </w:r>
      <w:r w:rsidR="005348F8" w:rsidRPr="008A4B25">
        <w:rPr>
          <w:rFonts w:ascii="Times New Roman" w:hAnsi="Times New Roman" w:cs="Times New Roman"/>
          <w:color w:val="000000" w:themeColor="text1"/>
        </w:rPr>
        <w:t xml:space="preserve"> While the clustering method used can account for PCR and sequencing error to an extent</w:t>
      </w:r>
      <w:r w:rsidR="001258B1" w:rsidRPr="008A4B25">
        <w:rPr>
          <w:rFonts w:ascii="Times New Roman" w:hAnsi="Times New Roman" w:cs="Times New Roman"/>
          <w:color w:val="000000" w:themeColor="text1"/>
        </w:rPr>
        <w:t>, it may also erroneously cluster together sequences that arise from distinct, but clonally related cells. U</w:t>
      </w:r>
      <w:r w:rsidR="00765E35" w:rsidRPr="008A4B25">
        <w:rPr>
          <w:rFonts w:ascii="Times New Roman" w:hAnsi="Times New Roman" w:cs="Times New Roman"/>
          <w:color w:val="000000" w:themeColor="text1"/>
        </w:rPr>
        <w:t xml:space="preserve">se of these </w:t>
      </w:r>
      <w:r w:rsidR="001258B1" w:rsidRPr="008A4B25">
        <w:rPr>
          <w:rFonts w:ascii="Times New Roman" w:hAnsi="Times New Roman" w:cs="Times New Roman"/>
          <w:color w:val="000000" w:themeColor="text1"/>
        </w:rPr>
        <w:t xml:space="preserve">new methods would </w:t>
      </w:r>
      <w:r w:rsidR="00765E35" w:rsidRPr="008A4B25">
        <w:rPr>
          <w:rFonts w:ascii="Times New Roman" w:hAnsi="Times New Roman" w:cs="Times New Roman"/>
          <w:color w:val="000000" w:themeColor="text1"/>
        </w:rPr>
        <w:t xml:space="preserve">improve the </w:t>
      </w:r>
      <w:r w:rsidR="001258B1" w:rsidRPr="008A4B25">
        <w:rPr>
          <w:rFonts w:ascii="Times New Roman" w:hAnsi="Times New Roman" w:cs="Times New Roman"/>
          <w:color w:val="000000" w:themeColor="text1"/>
        </w:rPr>
        <w:t xml:space="preserve">specificity </w:t>
      </w:r>
      <w:r w:rsidR="00765E35" w:rsidRPr="008A4B25">
        <w:rPr>
          <w:rFonts w:ascii="Times New Roman" w:hAnsi="Times New Roman" w:cs="Times New Roman"/>
          <w:color w:val="000000" w:themeColor="text1"/>
        </w:rPr>
        <w:t>of measuring memory recall.</w:t>
      </w:r>
    </w:p>
    <w:p w14:paraId="1EC5F400" w14:textId="502C5768" w:rsidR="000B7BD4" w:rsidRDefault="00EA61AA" w:rsidP="002B25D3">
      <w:pPr>
        <w:spacing w:line="480" w:lineRule="auto"/>
        <w:ind w:firstLine="720"/>
        <w:jc w:val="both"/>
      </w:pPr>
      <w:r w:rsidRPr="008A4B25">
        <w:rPr>
          <w:rFonts w:ascii="Times New Roman" w:hAnsi="Times New Roman" w:cs="Times New Roman"/>
          <w:color w:val="000000" w:themeColor="text1"/>
        </w:rPr>
        <w:t>Our study shows that</w:t>
      </w:r>
      <w:r w:rsidR="00765E35" w:rsidRPr="008A4B25">
        <w:rPr>
          <w:rFonts w:ascii="Times New Roman" w:hAnsi="Times New Roman" w:cs="Times New Roman"/>
          <w:color w:val="000000" w:themeColor="text1"/>
        </w:rPr>
        <w:t xml:space="preserve"> </w:t>
      </w:r>
      <w:r w:rsidR="00F66277" w:rsidRPr="008A4B25">
        <w:rPr>
          <w:rFonts w:ascii="Times New Roman" w:hAnsi="Times New Roman" w:cs="Times New Roman"/>
          <w:color w:val="000000" w:themeColor="text1"/>
        </w:rPr>
        <w:t>B cell repertoire sequencing opens a novel window onto vaccine responses</w:t>
      </w:r>
      <w:r w:rsidR="00375B57" w:rsidRPr="008A4B25">
        <w:rPr>
          <w:rFonts w:ascii="Times New Roman" w:hAnsi="Times New Roman" w:cs="Times New Roman"/>
          <w:color w:val="000000" w:themeColor="text1"/>
        </w:rPr>
        <w:t>, not possible through conventional immunological measures</w:t>
      </w:r>
      <w:r w:rsidR="00F66277" w:rsidRPr="008A4B25">
        <w:rPr>
          <w:rFonts w:ascii="Times New Roman" w:hAnsi="Times New Roman" w:cs="Times New Roman"/>
          <w:color w:val="000000" w:themeColor="text1"/>
        </w:rPr>
        <w:t xml:space="preserve">. When combined with samples taken at different time points and from different B cell subsets, individual B cell </w:t>
      </w:r>
      <w:r w:rsidR="000034A8" w:rsidRPr="008A4B25">
        <w:rPr>
          <w:rFonts w:ascii="Times New Roman" w:hAnsi="Times New Roman" w:cs="Times New Roman"/>
          <w:color w:val="000000" w:themeColor="text1"/>
        </w:rPr>
        <w:t xml:space="preserve">clones </w:t>
      </w:r>
      <w:r w:rsidR="00F66277" w:rsidRPr="008A4B25">
        <w:rPr>
          <w:rFonts w:ascii="Times New Roman" w:hAnsi="Times New Roman" w:cs="Times New Roman"/>
          <w:color w:val="000000" w:themeColor="text1"/>
        </w:rPr>
        <w:t xml:space="preserve">can be tracked </w:t>
      </w:r>
      <w:r w:rsidR="000034A8" w:rsidRPr="008A4B25">
        <w:rPr>
          <w:rFonts w:ascii="Times New Roman" w:hAnsi="Times New Roman" w:cs="Times New Roman"/>
          <w:color w:val="000000" w:themeColor="text1"/>
        </w:rPr>
        <w:t>to determine activation and memory recall</w:t>
      </w:r>
      <w:r w:rsidR="00F66277" w:rsidRPr="008A4B25">
        <w:rPr>
          <w:rFonts w:ascii="Times New Roman" w:hAnsi="Times New Roman" w:cs="Times New Roman"/>
          <w:color w:val="000000" w:themeColor="text1"/>
        </w:rPr>
        <w:t xml:space="preserve">. </w:t>
      </w:r>
      <w:r w:rsidR="004D1F53" w:rsidRPr="008A4B25">
        <w:rPr>
          <w:rFonts w:ascii="Times New Roman" w:hAnsi="Times New Roman" w:cs="Times New Roman"/>
          <w:color w:val="000000" w:themeColor="text1"/>
        </w:rPr>
        <w:t xml:space="preserve">Accumulating </w:t>
      </w:r>
      <w:r w:rsidR="00A901D3" w:rsidRPr="008A4B25">
        <w:rPr>
          <w:rFonts w:ascii="Times New Roman" w:hAnsi="Times New Roman" w:cs="Times New Roman"/>
          <w:color w:val="000000" w:themeColor="text1"/>
        </w:rPr>
        <w:t>such data in vaccine development programs can be used to show which B cell subsets (or even specific B cell sequences known to produce protective antibodies) are activated by the vaccine, so that the vaccine can then be altered to drive generation of optimal responses</w:t>
      </w:r>
      <w:r w:rsidR="00A901D3" w:rsidRPr="008A4B25">
        <w:rPr>
          <w:color w:val="000000" w:themeColor="text1"/>
        </w:rPr>
        <w:t>.</w:t>
      </w:r>
      <w:r w:rsidR="000B7BD4">
        <w:br w:type="page"/>
      </w:r>
    </w:p>
    <w:p w14:paraId="75D06BB5" w14:textId="77777777" w:rsidR="000B7BD4" w:rsidRDefault="000B7BD4" w:rsidP="002B25D3">
      <w:pPr>
        <w:spacing w:line="480" w:lineRule="auto"/>
        <w:ind w:firstLine="720"/>
        <w:jc w:val="both"/>
      </w:pPr>
    </w:p>
    <w:p w14:paraId="1D2395A7" w14:textId="5FF66155" w:rsidR="000B7BD4" w:rsidRPr="00F36532" w:rsidRDefault="000B7BD4" w:rsidP="000B7BD4">
      <w:pPr>
        <w:pStyle w:val="Heading1"/>
      </w:pPr>
      <w:r w:rsidRPr="000B7BD4">
        <w:t xml:space="preserve"> </w:t>
      </w:r>
      <w:r w:rsidRPr="00F36532">
        <w:t>Methods</w:t>
      </w:r>
    </w:p>
    <w:p w14:paraId="7930F285" w14:textId="77777777" w:rsidR="000B7BD4" w:rsidRPr="00F36532" w:rsidRDefault="000B7BD4" w:rsidP="000B7BD4">
      <w:pPr>
        <w:pStyle w:val="Heading2"/>
        <w:rPr>
          <w:rFonts w:ascii="Times New Roman" w:hAnsi="Times New Roman"/>
        </w:rPr>
      </w:pPr>
      <w:r w:rsidRPr="00F36532">
        <w:rPr>
          <w:rFonts w:ascii="Times New Roman" w:hAnsi="Times New Roman"/>
        </w:rPr>
        <w:t>Participants and vaccinations</w:t>
      </w:r>
    </w:p>
    <w:p w14:paraId="65D4C3C3" w14:textId="77777777" w:rsidR="000B7BD4" w:rsidRPr="00F36532" w:rsidRDefault="000B7BD4" w:rsidP="000B7BD4">
      <w:pPr>
        <w:spacing w:line="480" w:lineRule="auto"/>
        <w:jc w:val="both"/>
        <w:rPr>
          <w:rFonts w:ascii="Times New Roman" w:hAnsi="Times New Roman" w:cs="Times New Roman"/>
        </w:rPr>
      </w:pPr>
      <w:r w:rsidRPr="00F36532">
        <w:rPr>
          <w:rFonts w:ascii="Times New Roman" w:hAnsi="Times New Roman" w:cs="Times New Roman"/>
        </w:rPr>
        <w:t>This study was approved by the Oxfordshire Research Ethics Committee (OXREC reference number: 12/SC/0275) with informed consent obtained from participants before enrolment in accordance with the Declaration of Helsinki. Nine healthy volunteers (aged 30-70 years), with no meningococcal vaccine history, were recruited to receive two doses of meningococcal serotypes A, C, W and Y vaccine. Following a first dose of either ACWY polysaccharide vaccine (MenACWY-PS, ACWYVax®, GSK) given to 5 individuals, or ACWY conjugate vaccine (MenACWY-CRM</w:t>
      </w:r>
      <w:r w:rsidRPr="00F36532">
        <w:rPr>
          <w:rFonts w:ascii="Times New Roman" w:hAnsi="Times New Roman" w:cs="Times New Roman"/>
          <w:vertAlign w:val="subscript"/>
        </w:rPr>
        <w:t>197</w:t>
      </w:r>
      <w:r w:rsidRPr="00F36532">
        <w:rPr>
          <w:rFonts w:ascii="Times New Roman" w:hAnsi="Times New Roman" w:cs="Times New Roman"/>
        </w:rPr>
        <w:t>, Menveo®, Novartis) given to 4 individuals (Fig. 1), all individuals received a dose of MenACWY-CRM</w:t>
      </w:r>
      <w:r w:rsidRPr="00F36532">
        <w:rPr>
          <w:rFonts w:ascii="Times New Roman" w:hAnsi="Times New Roman" w:cs="Times New Roman"/>
          <w:vertAlign w:val="subscript"/>
        </w:rPr>
        <w:t>197</w:t>
      </w:r>
      <w:r w:rsidRPr="00F36532">
        <w:rPr>
          <w:rFonts w:ascii="Times New Roman" w:hAnsi="Times New Roman" w:cs="Times New Roman"/>
        </w:rPr>
        <w:t xml:space="preserve"> at day 28. All vaccines were administered as intramuscular injections. A sample of 50 ml peripheral blood was taken from participants on the day of the first vaccine (Visit 1), 7 days after the first vaccine (Visit 2), 28 days after the first vaccine (Visit 3) and 7 days after the second vaccine (Visit 4), and transferred to a heparinized tube for processing within 4 hours of collection.</w:t>
      </w:r>
    </w:p>
    <w:p w14:paraId="2E66FBF6" w14:textId="77777777" w:rsidR="000B7BD4" w:rsidRPr="00F36532" w:rsidRDefault="000B7BD4" w:rsidP="000B7BD4">
      <w:pPr>
        <w:pStyle w:val="Heading2"/>
        <w:rPr>
          <w:rFonts w:ascii="Times New Roman" w:hAnsi="Times New Roman"/>
        </w:rPr>
      </w:pPr>
      <w:r w:rsidRPr="00F36532">
        <w:rPr>
          <w:rFonts w:ascii="Times New Roman" w:hAnsi="Times New Roman"/>
        </w:rPr>
        <w:t>Cell sorting</w:t>
      </w:r>
    </w:p>
    <w:p w14:paraId="3FDCEA54" w14:textId="78BBA4F8" w:rsidR="000B7BD4" w:rsidRPr="00F36532" w:rsidRDefault="000B7BD4" w:rsidP="000B7BD4">
      <w:pPr>
        <w:spacing w:line="480" w:lineRule="auto"/>
        <w:jc w:val="both"/>
        <w:rPr>
          <w:rFonts w:ascii="Times New Roman" w:hAnsi="Times New Roman" w:cs="Times New Roman"/>
        </w:rPr>
      </w:pPr>
      <w:r w:rsidRPr="00F36532">
        <w:rPr>
          <w:rFonts w:ascii="Times New Roman" w:hAnsi="Times New Roman" w:cs="Times New Roman"/>
        </w:rPr>
        <w:t xml:space="preserve">Peripheral blood mononuclear cells were isolated by density gradient centrifugation over lymphoprep (Axis-Shield Diagnostics). CD19+ B cells were then enriched using CD19 microbeads (Miltenyi Biotec), and the AutoMACS magnetic cell separator. On Visit 1, and Visit 3, cells were stained for isolation of </w:t>
      </w:r>
      <w:r w:rsidR="00463CA0">
        <w:rPr>
          <w:rFonts w:ascii="Times New Roman" w:hAnsi="Times New Roman" w:cs="Times New Roman"/>
        </w:rPr>
        <w:t>naïve</w:t>
      </w:r>
      <w:r w:rsidRPr="00F36532">
        <w:rPr>
          <w:rFonts w:ascii="Times New Roman" w:hAnsi="Times New Roman" w:cs="Times New Roman"/>
        </w:rPr>
        <w:t xml:space="preserve"> (viable, CD19+, CD27-, IgM+, IgD+), </w:t>
      </w:r>
      <w:r>
        <w:rPr>
          <w:rFonts w:ascii="Times New Roman" w:hAnsi="Times New Roman" w:cs="Times New Roman"/>
        </w:rPr>
        <w:t>MZ</w:t>
      </w:r>
      <w:r w:rsidRPr="00F36532">
        <w:rPr>
          <w:rFonts w:ascii="Times New Roman" w:hAnsi="Times New Roman" w:cs="Times New Roman"/>
        </w:rPr>
        <w:t xml:space="preserve"> (viable, CD19+, CD27+, IgM+, IgD+), IgM memory (viable, CD19+, CD27+, IgM+, IgD-) and IgG memory (viable, CD19+, CD27+, IgM-, IgD-) B cell subsets (Fig. S1). On Visit 2 and Visit 4, cells were stained for isolation of recently activated PCs (viable, CD19+, CD20-, CD27+, CD38+, HLA-DR+), and bystander PCs (viable, CD19+, CD20-, CD27+, CD38+, HLA-DR-) (Fig. S1). Cell sorting was performed on a MoFlo (Beckman Coulter) cell sorter; sorted cells were re-suspended in RLT buffer (Qiagen), and frozen at -80 </w:t>
      </w:r>
      <w:r w:rsidRPr="00F36532">
        <w:rPr>
          <w:rFonts w:ascii="Times New Roman" w:hAnsi="Times New Roman" w:cs="Times New Roman"/>
          <w:vertAlign w:val="superscript"/>
        </w:rPr>
        <w:t>o</w:t>
      </w:r>
      <w:r w:rsidRPr="00F36532">
        <w:rPr>
          <w:rFonts w:ascii="Times New Roman" w:hAnsi="Times New Roman" w:cs="Times New Roman"/>
        </w:rPr>
        <w:t>C.</w:t>
      </w:r>
    </w:p>
    <w:p w14:paraId="191669D1" w14:textId="77777777" w:rsidR="000B7BD4" w:rsidRPr="00F36532" w:rsidRDefault="000B7BD4" w:rsidP="000B7BD4">
      <w:pPr>
        <w:pStyle w:val="Heading2"/>
        <w:rPr>
          <w:rFonts w:ascii="Times New Roman" w:hAnsi="Times New Roman"/>
        </w:rPr>
      </w:pPr>
      <w:r w:rsidRPr="00F36532">
        <w:rPr>
          <w:rFonts w:ascii="Times New Roman" w:hAnsi="Times New Roman"/>
        </w:rPr>
        <w:t>Repertoire sequencing</w:t>
      </w:r>
    </w:p>
    <w:p w14:paraId="0BE62D7A" w14:textId="2494F484" w:rsidR="000B7BD4" w:rsidRPr="00F36532" w:rsidRDefault="000B7BD4" w:rsidP="000B7BD4">
      <w:pPr>
        <w:spacing w:line="480" w:lineRule="auto"/>
        <w:jc w:val="both"/>
        <w:rPr>
          <w:rFonts w:ascii="Times New Roman" w:hAnsi="Times New Roman" w:cs="Times New Roman"/>
        </w:rPr>
      </w:pPr>
      <w:r w:rsidRPr="00F36532">
        <w:rPr>
          <w:rFonts w:ascii="Times New Roman" w:hAnsi="Times New Roman" w:cs="Times New Roman"/>
        </w:rPr>
        <w:t>Sorted cells were defrosted, and total RNA extracted using the RNeasy Mini Kit (Qiagen). cDNA synthesis was performed using the SuperScript III reverse transcriptase system (Invitrogen), with random hexamer primers (Applied Biosciences). Reverse transcription was performed at 42°C for 60 min and 95°C for 10 min. VH genes were amplified from cDNA using Multiplex PCR MasterMix (Qiagen) containing 200 nM each VH-family specific forward primers, and either IgM or IgG-specific reverse primers depending on the cell population</w:t>
      </w:r>
      <w:r w:rsidR="00262E50">
        <w:rPr>
          <w:rFonts w:ascii="Times New Roman" w:hAnsi="Times New Roman" w:cs="Times New Roman"/>
        </w:rPr>
        <w:t>.</w:t>
      </w:r>
      <w:r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"DOI" : "10.1182/blood-2010-03-275859", "ISSN" : "1528-0020", "PMID" : "20457872", "abstract" : "B-cell receptor (BCR) diversity is achieved centrally by rearrangement of Variable, Diversity, and Joining genes, and peripherally by somatic hypermutation and class-switching of the rearranged genes. Peripheral B-cell populations are subject to both negative and positive selection events in the course of their development that have the potential to shape the BCR repertoire. The origin of IgM(+)IgD(+)CD27(+) (IgM memory) cells is controversial. It has been suggested that they may be a prediversified, antigen-independent, population of cells or that they are a population of cells that develop in response to T-independent antigens. Most recently, it was suggested that the majority of IgM memory cells are directly related to switched memory cells and are early emigrants from the germinal center reaction. Advances in sequencing technology have enabled us to undertake large scale IGH repertoire analysis of transitional, naive, IgM memory and switched memory B-cell populations. We find that the memory B-cell repertoires differ from the transitional and naive repertoires, and that the IgM memory repertoire is distinct from that of class-switched memory. Thus we conclude that a large proportion of IgM memory cells develop in response to different stimuli than for class-switched memory cell development.", "author" : [ { "dropping-particle" : "", "family" : "Wu", "given" : "Yu-Chang", "non-dropping-particle" : "", "parse-names" : false, "suffix" : "" }, { "dropping-particle" : "", "family" : "Kipling", "given" : "David", "non-dropping-particle" : "", "parse-names" : false, "suffix" : "" }, { "dropping-particle" : "", "family" : "Leong", "given" : "Hui Sun", "non-dropping-particle" : "", "parse-names" : false, "suffix" : "" }, { "dropping-particle" : "", "family" : "Martin", "given" : "Victoria", "non-dropping-particle" : "", "parse-names" : false, "suffix" : "" }, { "dropping-particle" : "", "family" : "Ademokun", "given" : "Alexander A", "non-dropping-particle" : "", "parse-names" : false, "suffix" : "" }, { "dropping-particle" : "", "family" : "Dunn-Walters", "given" : "Deborah K", "non-dropping-particle" : "", "parse-names" : false, "suffix" : "" } ], "container-title" : "Blood", "id" : "ITEM-1", "issue" : "7", "issued" : { "date-parts" : [ [ "2010", "8", "19" ] ] }, "page" : "1070-8", "title" : "High-throughput immunoglobulin repertoire analysis distinguishes between human IgM memory and switched memory B-cell populations", "type" : "article-journal", "volume" : "116" }, "uris" : [ "http://www.mendeley.com/documents/?uuid=0f20ff95-bb6e-4a4b-a60c-4dcac0e827c1" ] } ], "mendeley" : { "formattedCitation" : "&lt;sup&gt;21&lt;/sup&gt;", "plainTextFormattedCitation" : "21", "previouslyFormattedCitation" : "&lt;sup&gt;20&lt;/sup&gt;" }, "properties" : { "noteIndex" : 0 }, "schema" : "https://github.com/citation-style-language/schema/raw/master/csl-citation.json" }</w:instrText>
      </w:r>
      <w:r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21</w:t>
      </w:r>
      <w:r w:rsidRPr="0098329B">
        <w:rPr>
          <w:rFonts w:ascii="Times New Roman" w:hAnsi="Times New Roman" w:cs="Times New Roman"/>
        </w:rPr>
        <w:fldChar w:fldCharType="end"/>
      </w:r>
      <w:r w:rsidRPr="0098329B">
        <w:rPr>
          <w:rFonts w:ascii="Times New Roman" w:hAnsi="Times New Roman" w:cs="Times New Roman"/>
        </w:rPr>
        <w:t xml:space="preserve"> PCR conditions were 94 </w:t>
      </w:r>
      <w:r w:rsidRPr="0098329B">
        <w:rPr>
          <w:rFonts w:ascii="Times New Roman" w:hAnsi="Times New Roman" w:cs="Times New Roman"/>
          <w:vertAlign w:val="superscript"/>
        </w:rPr>
        <w:t>o</w:t>
      </w:r>
      <w:r w:rsidRPr="0098329B">
        <w:rPr>
          <w:rFonts w:ascii="Times New Roman" w:hAnsi="Times New Roman" w:cs="Times New Roman"/>
        </w:rPr>
        <w:t>C for 15 min, 33 cycles of 9</w:t>
      </w:r>
      <w:r w:rsidRPr="00354432">
        <w:rPr>
          <w:rFonts w:ascii="Times New Roman" w:hAnsi="Times New Roman" w:cs="Times New Roman"/>
        </w:rPr>
        <w:t xml:space="preserve">4 </w:t>
      </w:r>
      <w:r w:rsidRPr="00354432">
        <w:rPr>
          <w:rFonts w:ascii="Times New Roman" w:hAnsi="Times New Roman" w:cs="Times New Roman"/>
          <w:vertAlign w:val="superscript"/>
        </w:rPr>
        <w:t>o</w:t>
      </w:r>
      <w:r w:rsidRPr="00354432">
        <w:rPr>
          <w:rFonts w:ascii="Times New Roman" w:hAnsi="Times New Roman" w:cs="Times New Roman"/>
        </w:rPr>
        <w:t xml:space="preserve">C for 30 s, 58 </w:t>
      </w:r>
      <w:r w:rsidRPr="00354432">
        <w:rPr>
          <w:rFonts w:ascii="Times New Roman" w:hAnsi="Times New Roman" w:cs="Times New Roman"/>
          <w:vertAlign w:val="superscript"/>
        </w:rPr>
        <w:t>o</w:t>
      </w:r>
      <w:r w:rsidRPr="00354432">
        <w:rPr>
          <w:rFonts w:ascii="Times New Roman" w:hAnsi="Times New Roman" w:cs="Times New Roman"/>
        </w:rPr>
        <w:t xml:space="preserve">C for 90 s and 72 </w:t>
      </w:r>
      <w:r w:rsidRPr="00354432">
        <w:rPr>
          <w:rFonts w:ascii="Times New Roman" w:hAnsi="Times New Roman" w:cs="Times New Roman"/>
          <w:vertAlign w:val="superscript"/>
        </w:rPr>
        <w:t>o</w:t>
      </w:r>
      <w:r w:rsidRPr="00354432">
        <w:rPr>
          <w:rFonts w:ascii="Times New Roman" w:hAnsi="Times New Roman" w:cs="Times New Roman"/>
        </w:rPr>
        <w:t xml:space="preserve">C for 30 s, and 72 </w:t>
      </w:r>
      <w:r w:rsidRPr="00354432">
        <w:rPr>
          <w:rFonts w:ascii="Times New Roman" w:hAnsi="Times New Roman" w:cs="Times New Roman"/>
          <w:vertAlign w:val="superscript"/>
        </w:rPr>
        <w:t>o</w:t>
      </w:r>
      <w:r w:rsidRPr="00C04382">
        <w:rPr>
          <w:rFonts w:ascii="Times New Roman" w:hAnsi="Times New Roman" w:cs="Times New Roman"/>
        </w:rPr>
        <w:t xml:space="preserve">C for 10 minutes. The PCR product was gel-extracted, purified, and quantified using a Qubit fluorometer (Invitrogen, Grand Island, NY, USA) prior to library preparation. The 80 samples obtained were </w:t>
      </w:r>
      <w:r w:rsidRPr="00F36532">
        <w:rPr>
          <w:rFonts w:ascii="Times New Roman" w:hAnsi="Times New Roman" w:cs="Times New Roman"/>
        </w:rPr>
        <w:t>end-repaired, A-tailed and adaptor ligated prior to size-selection and amplification. All samples were multiplexed, and sequenced using one 2x250 bp MiSeq run (Illumina, San Diego, CA).</w:t>
      </w:r>
    </w:p>
    <w:p w14:paraId="186B5DCA" w14:textId="77777777" w:rsidR="000B7BD4" w:rsidRPr="00F36532" w:rsidRDefault="000B7BD4" w:rsidP="000B7BD4">
      <w:pPr>
        <w:pStyle w:val="Heading2"/>
        <w:rPr>
          <w:rFonts w:ascii="Times New Roman" w:hAnsi="Times New Roman"/>
        </w:rPr>
      </w:pPr>
      <w:r w:rsidRPr="00F36532">
        <w:rPr>
          <w:rFonts w:ascii="Times New Roman" w:hAnsi="Times New Roman"/>
        </w:rPr>
        <w:t>Sequence processing</w:t>
      </w:r>
    </w:p>
    <w:p w14:paraId="69F9D843" w14:textId="081312C5" w:rsidR="000B7BD4" w:rsidRDefault="000B7BD4" w:rsidP="000B7BD4">
      <w:pPr>
        <w:spacing w:line="480" w:lineRule="auto"/>
        <w:jc w:val="both"/>
        <w:rPr>
          <w:rFonts w:ascii="Times New Roman" w:hAnsi="Times New Roman" w:cs="Times New Roman"/>
        </w:rPr>
      </w:pPr>
      <w:r w:rsidRPr="00F36532">
        <w:rPr>
          <w:rFonts w:ascii="Times New Roman" w:hAnsi="Times New Roman" w:cs="Times New Roman"/>
        </w:rPr>
        <w:t>Raw reads were de-multiplexed, and paired-ends joined using fastq-join (ea-utils) based on a minimum overlap of 6 bp, and 8% maximum mismatches, to give one continuous read that spanned from framework region 1 to 53 bp or 126 bp inside the constant region for IgM and IgG sequences respectively. Joined reads were filtered for a minimum Phred quality of 30 over 75% of bases and then submitted to IMGT/HighV-Quest for mapping to germline VDJ genes, and annotation</w:t>
      </w:r>
      <w:r w:rsidR="00262E50">
        <w:rPr>
          <w:rFonts w:ascii="Times New Roman" w:hAnsi="Times New Roman" w:cs="Times New Roman"/>
        </w:rPr>
        <w:t>.</w:t>
      </w:r>
      <w:r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"DOI" : "10.1093/nar/gkn316", "ISSN" : "1362-4962", "PMID" : "18503082", "abstract" : "IMGT/V-QUEST is the highly customized and integrated system for the standardized analysis of the immunoglobulin (IG) and T cell receptor (TR) rearranged nucleotide sequences. IMGT/V-QUEST identifies the variable (V), diversity (D) and joining (J) genes and alleles by alignment with the germline IG and TR gene and allele sequences of the IMGT reference directory. New functionalities were added through a complete rewrite in Java. IMGT/V-QUEST analyses batches of sequences (up to 50) in a single run. IMGT/V-QUEST describes the V-REGION mutations and identifies the hot spot positions in the closest germline V gene. IMGT/V-QUEST can detect insertions and deletions in the submitted sequences by reference to the IMGT unique numbering. IMGT/V-QUEST integrates IMGT/JunctionAnalysis for a detailed analysis of the V-J and V-D-J junctions, and IMGT/Automat for a full V-J- and V-D-J-REGION annotation. IMGT/V-QUEST displays, in 'Detailed view', the results and alignments for each submitted sequence individually and, in 'Synthesis view', the alignments of the sequences that, in a given run, express the same V gene and allele. The 'Advanced parameters' allow to modify default parameters used by IMGT/V-QUEST and IMGT/JunctionAnalysis according to the users' interest. IMGT/V-QUEST is freely available for academic research at http://imgt.cines.fr.", "author" : [ { "dropping-particle" : "", "family" : "Brochet", "given" : "Xavier", "non-dropping-particle" : "", "parse-names" : false, "suffix" : "" }, { "dropping-particle" : "", "family" : "Lefranc", "given" : "Marie-Paule", "non-dropping-particle" : "", "parse-names" : false, "suffix" : "" }, { "dropping-particle" : "", "family" : "Giudicelli", "given" : "V\u00e9ronique", "non-dropping-particle" : "", "parse-names" : false, "suffix" : "" } ], "container-title" : "Nucleic acids research", "id" : "ITEM-1", "issue" : "Web Server issue", "issued" : { "date-parts" : [ [ "2008", "7", "1" ] ] }, "page" : "W503-8", "title" : "IMGT/V-QUEST: the highly customized and integrated system for IG and TR standardized V-J and V-D-J sequence analysis.", "type" : "article-journal", "volume" : "36" }, "uris" : [ "http://www.mendeley.com/documents/?uuid=dc4b80b1-bc3c-4abc-a9ef-ab3da1052128" ] } ], "mendeley" : { "formattedCitation" : "&lt;sup&gt;41&lt;/sup&gt;", "plainTextFormattedCitation" : "41", "previouslyFormattedCitation" : "&lt;sup&gt;40&lt;/sup&gt;" }, "properties" : { "noteIndex" : 0 }, "schema" : "https://github.com/citation-style-language/schema/raw/master/csl-citation.json" }</w:instrText>
      </w:r>
      <w:r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41</w:t>
      </w:r>
      <w:r w:rsidRPr="0098329B">
        <w:rPr>
          <w:rFonts w:ascii="Times New Roman" w:hAnsi="Times New Roman" w:cs="Times New Roman"/>
        </w:rPr>
        <w:fldChar w:fldCharType="end"/>
      </w:r>
      <w:r w:rsidRPr="0098329B">
        <w:rPr>
          <w:rFonts w:ascii="Times New Roman" w:hAnsi="Times New Roman" w:cs="Times New Roman"/>
        </w:rPr>
        <w:t xml:space="preserve"> Only reads defined as ‘productive’ by IMGT were considered for further analysis. To obtain isotype subclass information, constant region sequences (as defined by IMGT) were mapped using Stampy</w:t>
      </w:r>
      <w:r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"DOI" : "10.1101/gr.111120.110", "ISSN" : "1549-5469", "PMID" : "20980556", "abstract" : "High-volume sequencing of DNA and RNA is now within reach of any research laboratory and is quickly becoming established as a key research tool. In many workflows, each of the short sequences (\"reads\") resulting from a sequencing run are first \"mapped\" (aligned) to a reference sequence to infer the read from which the genomic location derived, a challenging task because of the high data volumes and often large genomes. Existing read mapping software excel in either speed (e.g., BWA, Bowtie, ELAND) or sensitivity (e.g., Novoalign), but not in both. In addition, performance often deteriorates in the presence of sequence variation, particularly so for short insertions and deletions (indels). Here, we present a read mapper, Stampy, which uses a hybrid mapping algorithm and a detailed statistical model to achieve both speed and sensitivity, particularly when reads include sequence variation. This results in a higher useable sequence yield and improved accuracy compared to that of existing software.", "author" : [ { "dropping-particle" : "", "family" : "Lunter", "given" : "Gerton", "non-dropping-particle" : "", "parse-names" : false, "suffix" : "" }, { "dropping-particle" : "", "family" : "Goodson", "given" : "Martin", "non-dropping-particle" : "", "parse-names" : false, "suffix" : "" } ], "container-title" : "Genome research", "id" : "ITEM-1", "issue" : "6", "issued" : { "date-parts" : [ [ "2011", "6" ] ] }, "page" : "936-9", "title" : "Stampy: a statistical algorithm for sensitive and fast mapping of Illumina sequence reads.", "type" : "article-journal", "volume" : "21" }, "uris" : [ "http://www.mendeley.com/documents/?uuid=20ff2346-8f76-4bcd-9a0a-a3ccfeb6ea4d" ] } ], "mendeley" : { "formattedCitation" : "&lt;sup&gt;42&lt;/sup&gt;", "plainTextFormattedCitation" : "42", "previouslyFormattedCitation" : "&lt;sup&gt;41&lt;/sup&gt;" }, "properties" : { "noteIndex" : 0 }, "schema" : "https://github.com/citation-style-language/schema/raw/master/csl-citation.json" }</w:instrText>
      </w:r>
      <w:r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42</w:t>
      </w:r>
      <w:r w:rsidRPr="0098329B">
        <w:rPr>
          <w:rFonts w:ascii="Times New Roman" w:hAnsi="Times New Roman" w:cs="Times New Roman"/>
        </w:rPr>
        <w:fldChar w:fldCharType="end"/>
      </w:r>
      <w:r w:rsidRPr="0098329B">
        <w:rPr>
          <w:rFonts w:ascii="Times New Roman" w:hAnsi="Times New Roman" w:cs="Times New Roman"/>
        </w:rPr>
        <w:t xml:space="preserve"> to a reference table of constant region sequences obtained from the VEGA database</w:t>
      </w:r>
      <w:r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"DOI" : "10.1093/nar/gkm987", "ISSN" : "1362-4962", "PMID" : "18003653", "abstract" : "The Vertebrate Genome Annotation (Vega) database (http://vega.sanger.ac.uk) was first made public in 2004 and has been designed to view manual annotation of human, mouse and zebrafish genomic sequences produced at the Wellcome Trust Sanger Institute. Since its initial release, the number of human annotated loci has more than doubled to close to 33 000 and now contains comprehensive annotation on 20 of the 24 human chromosomes, four whole mouse chromosomes and around 40% of the zebrafish Danio rerio genome. In addition, we offer manual annotation of a number of haplotype regions in mouse and human and regions of comparative interest in pig and dog that are unique to Vega.", "author" : [ { "dropping-particle" : "", "family" : "Wilming", "given" : "L G", "non-dropping-particle" : "", "parse-names" : false, "suffix" : "" }, { "dropping-particle" : "", "family" : "Gilbert", "given" : "J G R", "non-dropping-particle" : "", "parse-names" : false, "suffix" : "" }, { "dropping-particle" : "", "family" : "Howe", "given" : "K", "non-dropping-particle" : "", "parse-names" : false, "suffix" : "" }, { "dropping-particle" : "", "family" : "Trevanion", "given" : "S", "non-dropping-particle" : "", "parse-names" : false, "suffix" : "" }, { "dropping-particle" : "", "family" : "Hubbard", "given" : "T", "non-dropping-particle" : "", "parse-names" : false, "suffix" : "" }, { "dropping-particle" : "", "family" : "Harrow", "given" : "J L", "non-dropping-particle" : "", "parse-names" : false, "suffix" : "" } ], "container-title" : "Nucleic acids research", "id" : "ITEM-1", "issue" : "Database issue", "issued" : { "date-parts" : [ [ "2008", "1" ] ] }, "page" : "D753-60", "title" : "The vertebrate genome annotation (Vega) database.", "type" : "article-journal", "volume" : "36" }, "uris" : [ "http://www.mendeley.com/documents/?uuid=867a2973-43c3-42f4-93a9-28fbb94cae3a" ] } ], "mendeley" : { "formattedCitation" : "&lt;sup&gt;43&lt;/sup&gt;", "plainTextFormattedCitation" : "43", "previouslyFormattedCitation" : "&lt;sup&gt;42&lt;/sup&gt;" }, "properties" : { "noteIndex" : 0 }, "schema" : "https://github.com/citation-style-language/schema/raw/master/csl-citation.json" }</w:instrText>
      </w:r>
      <w:r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43</w:t>
      </w:r>
      <w:r w:rsidRPr="0098329B">
        <w:rPr>
          <w:rFonts w:ascii="Times New Roman" w:hAnsi="Times New Roman" w:cs="Times New Roman"/>
        </w:rPr>
        <w:fldChar w:fldCharType="end"/>
      </w:r>
      <w:r w:rsidRPr="0098329B">
        <w:rPr>
          <w:rFonts w:ascii="Times New Roman" w:hAnsi="Times New Roman" w:cs="Times New Roman"/>
        </w:rPr>
        <w:t>.</w:t>
      </w:r>
      <w:r w:rsidR="00B15226">
        <w:rPr>
          <w:rFonts w:ascii="Times New Roman" w:hAnsi="Times New Roman" w:cs="Times New Roman"/>
        </w:rPr>
        <w:t xml:space="preserve"> PCR and sequencing error rates were estimated from the number of nucleotide mismatches in the constant region, as these regions are not subject to somatic hypermutation.</w:t>
      </w:r>
      <w:r w:rsidR="00B15226">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"DOI" : "10.1084/jem.20051604", "ISBN" : "0022-1007 (Print) 0022-1007 (Linking)", "ISSN" : "0022-1007", "PMID" : "16301749", "abstract" : "Somatic hypermutation (SHM) is restricted to VDJ regions and their adjacent flanks in immunoglobulin (Ig) genes, whereas constant regions are spared. Mutations occur after about 100 nucleotides downstream of the promoter and extend to 1-2 kb. We have asked why the very 5' and most of the 3' region of Ig genes are unmutated. Does the activation-induced cytosine deaminase (AID) that initiates SHM not gain access to these regions, or does AID gain access, but the resulting uracils are repaired error-free because error-prone repair does not gain access? The distribution of mutations was compared between uracil DNA glycosylase (Ung)-deficient and wild-type mice in endogenous Ig genes and in an Ig transgene. If AID gains access to the 5' and 3' regions that are unmutated in wild-type mice, one would expect an \"AID footprint,\" namely transition mutations from C and G in Ung-deficient mice in the regions normally devoid of SHM. We find that the distribution of total mutations and transitions from C and G is indistinguishable in wild-type and Ung-deficient mice. Thus, AID does not gain access to the 5' and constant regions of Ig genes. The implications for the role of transcription and Ung in SHM are discussed.", "author" : [ { "dropping-particle" : "", "family" : "Longerich", "given" : "Simonne", "non-dropping-particle" : "", "parse-names" : false, "suffix" : "" }, { "dropping-particle" : "", "family" : "Tanaka", "given" : "Atsushi", "non-dropping-particle" : "", "parse-names" : false, "suffix" : "" }, { "dropping-particle" : "", "family" : "Bozek", "given" : "Grazyna", "non-dropping-particle" : "", "parse-names" : false, "suffix" : "" }, { "dropping-particle" : "", "family" : "Nicolae", "given" : "Dan", "non-dropping-particle" : "", "parse-names" : false, "suffix" : "" }, { "dropping-particle" : "", "family" : "Storb", "given" : "Ursula", "non-dropping-particle" : "", "parse-names" : false, "suffix" : "" } ], "container-title" : "The Journal of experimental medicine", "id" : "ITEM-1", "issue" : "10", "issued" : { "date-parts" : [ [ "2005" ] ] }, "page" : "1443-1454", "title" : "The very 5' end and the constant region of Ig genes are spared from somatic mutation because AID does not access these regions.", "type" : "article-journal", "volume" : "202" }, "uris" : [ "http://www.mendeley.com/documents/?uuid=fa32583b-b0bf-4f05-b017-0dc446952b12" ] } ], "mendeley" : { "formattedCitation" : "&lt;sup&gt;44&lt;/sup&gt;", "plainTextFormattedCitation" : "44", "previouslyFormattedCitation" : "&lt;sup&gt;43&lt;/sup&gt;" }, "properties" : { "noteIndex" : 0 }, "schema" : "https://github.com/citation-style-language/schema/raw/master/csl-citation.json" }</w:instrText>
      </w:r>
      <w:r w:rsidR="00B15226">
        <w:rPr>
          <w:rFonts w:ascii="Times New Roman" w:hAnsi="Times New Roman" w:cs="Times New Roman"/>
        </w:rPr>
        <w:fldChar w:fldCharType="separate"/>
      </w:r>
      <w:r w:rsidR="00BC1372" w:rsidRPr="00BC1372">
        <w:rPr>
          <w:rFonts w:ascii="Times New Roman" w:hAnsi="Times New Roman" w:cs="Times New Roman"/>
          <w:noProof/>
          <w:vertAlign w:val="superscript"/>
        </w:rPr>
        <w:t>44</w:t>
      </w:r>
      <w:r w:rsidR="00B15226">
        <w:rPr>
          <w:rFonts w:ascii="Times New Roman" w:hAnsi="Times New Roman" w:cs="Times New Roman"/>
        </w:rPr>
        <w:fldChar w:fldCharType="end"/>
      </w:r>
      <w:r w:rsidRPr="0098329B">
        <w:rPr>
          <w:rFonts w:ascii="Times New Roman" w:hAnsi="Times New Roman" w:cs="Times New Roman"/>
        </w:rPr>
        <w:t xml:space="preserve"> Percent V gene mutation was calculated based on the number of V gene nucleotide mismatches determined by IMGT, and the length of the V gene that was sequenced. </w:t>
      </w:r>
      <w:r>
        <w:rPr>
          <w:rFonts w:ascii="Times New Roman" w:hAnsi="Times New Roman" w:cs="Times New Roman"/>
        </w:rPr>
        <w:t xml:space="preserve">For each read, CDR3 AA distance to </w:t>
      </w:r>
      <w:r w:rsidR="00EA7417">
        <w:rPr>
          <w:rFonts w:ascii="Times New Roman" w:hAnsi="Times New Roman" w:cs="Times New Roman"/>
        </w:rPr>
        <w:t>its</w:t>
      </w:r>
      <w:r>
        <w:rPr>
          <w:rFonts w:ascii="Times New Roman" w:hAnsi="Times New Roman" w:cs="Times New Roman"/>
        </w:rPr>
        <w:t xml:space="preserve"> nearest </w:t>
      </w:r>
      <w:r w:rsidR="00560AA5">
        <w:rPr>
          <w:rFonts w:ascii="Times New Roman" w:hAnsi="Times New Roman" w:cs="Times New Roman"/>
        </w:rPr>
        <w:t>neighbor</w:t>
      </w:r>
      <w:r>
        <w:rPr>
          <w:rFonts w:ascii="Times New Roman" w:hAnsi="Times New Roman" w:cs="Times New Roman"/>
        </w:rPr>
        <w:t xml:space="preserve"> was calculated by comparing it to all other reads from the same sample with the same CDR3 length. The read with the fewest AA mismatches in the CDR3 region is termed the nearest </w:t>
      </w:r>
      <w:r w:rsidR="00560AA5">
        <w:rPr>
          <w:rFonts w:ascii="Times New Roman" w:hAnsi="Times New Roman" w:cs="Times New Roman"/>
        </w:rPr>
        <w:t>neighbor</w:t>
      </w:r>
      <w:r>
        <w:rPr>
          <w:rFonts w:ascii="Times New Roman" w:hAnsi="Times New Roman" w:cs="Times New Roman"/>
        </w:rPr>
        <w:t>, and the distance is the number of AA differences in the CDR3.</w:t>
      </w:r>
    </w:p>
    <w:p w14:paraId="30EA5FED" w14:textId="77777777" w:rsidR="000B7BD4" w:rsidRPr="00F36532" w:rsidRDefault="000B7BD4" w:rsidP="000B7BD4">
      <w:pPr>
        <w:pStyle w:val="Heading2"/>
        <w:rPr>
          <w:rFonts w:ascii="Times New Roman" w:hAnsi="Times New Roman"/>
        </w:rPr>
      </w:pPr>
      <w:r>
        <w:rPr>
          <w:rFonts w:ascii="Times New Roman" w:hAnsi="Times New Roman"/>
        </w:rPr>
        <w:t>Clustering</w:t>
      </w:r>
    </w:p>
    <w:p w14:paraId="2A6EDBEB" w14:textId="23AE9B06" w:rsidR="000B7BD4" w:rsidRDefault="000B7BD4" w:rsidP="000B7BD4">
      <w:pPr>
        <w:spacing w:line="480" w:lineRule="auto"/>
        <w:jc w:val="both"/>
        <w:rPr>
          <w:rFonts w:ascii="Times New Roman" w:hAnsi="Times New Roman" w:cs="Times New Roman"/>
        </w:rPr>
      </w:pPr>
      <w:r>
        <w:rPr>
          <w:rFonts w:ascii="Times New Roman" w:hAnsi="Times New Roman" w:cs="Times New Roman"/>
        </w:rPr>
        <w:t xml:space="preserve">Related reads from each sample were clustered using parameters that best clustered together reads </w:t>
      </w:r>
      <w:r w:rsidRPr="007C5D8B">
        <w:rPr>
          <w:rFonts w:ascii="Times New Roman" w:hAnsi="Times New Roman" w:cs="Times New Roman"/>
          <w:color w:val="000000" w:themeColor="text1"/>
        </w:rPr>
        <w:t xml:space="preserve">arising from the same cell. To be considered part of the same cluster, </w:t>
      </w:r>
      <w:r w:rsidR="007B6864" w:rsidRPr="007C5D8B">
        <w:rPr>
          <w:rFonts w:ascii="Times New Roman" w:hAnsi="Times New Roman" w:cs="Times New Roman"/>
          <w:color w:val="000000" w:themeColor="text1"/>
        </w:rPr>
        <w:t xml:space="preserve">reads </w:t>
      </w:r>
      <w:r w:rsidRPr="007C5D8B">
        <w:rPr>
          <w:rFonts w:ascii="Times New Roman" w:hAnsi="Times New Roman" w:cs="Times New Roman"/>
          <w:color w:val="000000" w:themeColor="text1"/>
        </w:rPr>
        <w:t xml:space="preserve">were required to have the same </w:t>
      </w:r>
      <w:r w:rsidR="007B6864" w:rsidRPr="007C5D8B">
        <w:rPr>
          <w:rFonts w:ascii="Times New Roman" w:hAnsi="Times New Roman" w:cs="Times New Roman"/>
          <w:color w:val="000000" w:themeColor="text1"/>
        </w:rPr>
        <w:t xml:space="preserve">V and J gene annotation, the same </w:t>
      </w:r>
      <w:r w:rsidRPr="007C5D8B">
        <w:rPr>
          <w:rFonts w:ascii="Times New Roman" w:hAnsi="Times New Roman" w:cs="Times New Roman"/>
          <w:color w:val="000000" w:themeColor="text1"/>
        </w:rPr>
        <w:t xml:space="preserve">length CDR3, </w:t>
      </w:r>
      <w:r w:rsidR="007B6864" w:rsidRPr="007C5D8B">
        <w:rPr>
          <w:rFonts w:ascii="Times New Roman" w:hAnsi="Times New Roman" w:cs="Times New Roman"/>
          <w:color w:val="000000" w:themeColor="text1"/>
        </w:rPr>
        <w:t xml:space="preserve">and a similar CDR3 AA sequence, </w:t>
      </w:r>
      <w:r w:rsidR="009126B4" w:rsidRPr="007C5D8B">
        <w:rPr>
          <w:rFonts w:ascii="Times New Roman" w:hAnsi="Times New Roman" w:cs="Times New Roman"/>
          <w:color w:val="000000" w:themeColor="text1"/>
        </w:rPr>
        <w:t>with</w:t>
      </w:r>
      <w:r w:rsidR="007B6864" w:rsidRPr="007C5D8B">
        <w:rPr>
          <w:rFonts w:ascii="Times New Roman" w:hAnsi="Times New Roman" w:cs="Times New Roman"/>
          <w:color w:val="000000" w:themeColor="text1"/>
        </w:rPr>
        <w:t xml:space="preserve"> </w:t>
      </w:r>
      <w:r w:rsidRPr="007C5D8B">
        <w:rPr>
          <w:rFonts w:ascii="Times New Roman" w:hAnsi="Times New Roman" w:cs="Times New Roman"/>
          <w:color w:val="000000" w:themeColor="text1"/>
        </w:rPr>
        <w:t xml:space="preserve">one AA </w:t>
      </w:r>
      <w:r w:rsidR="009126B4" w:rsidRPr="007C5D8B">
        <w:rPr>
          <w:rFonts w:ascii="Times New Roman" w:hAnsi="Times New Roman" w:cs="Times New Roman"/>
          <w:color w:val="000000" w:themeColor="text1"/>
        </w:rPr>
        <w:t xml:space="preserve">mismatch </w:t>
      </w:r>
      <w:r w:rsidRPr="007C5D8B">
        <w:rPr>
          <w:rFonts w:ascii="Times New Roman" w:hAnsi="Times New Roman" w:cs="Times New Roman"/>
          <w:color w:val="000000" w:themeColor="text1"/>
        </w:rPr>
        <w:t>per 12 AAs</w:t>
      </w:r>
      <w:r w:rsidR="009126B4" w:rsidRPr="007C5D8B">
        <w:rPr>
          <w:rFonts w:ascii="Times New Roman" w:hAnsi="Times New Roman" w:cs="Times New Roman"/>
          <w:color w:val="000000" w:themeColor="text1"/>
        </w:rPr>
        <w:t xml:space="preserve"> allowed</w:t>
      </w:r>
      <w:r w:rsidR="00A5191D" w:rsidRPr="007C5D8B">
        <w:rPr>
          <w:rFonts w:ascii="Times New Roman" w:hAnsi="Times New Roman" w:cs="Times New Roman"/>
          <w:color w:val="000000" w:themeColor="text1"/>
        </w:rPr>
        <w:t xml:space="preserve"> (length &lt; 12 AA = 1 mismatch, 12 AA &lt;= length &lt; 24 AA = 2 mismatches, etc)</w:t>
      </w:r>
      <w:r w:rsidRPr="007C5D8B">
        <w:rPr>
          <w:rFonts w:ascii="Times New Roman" w:hAnsi="Times New Roman" w:cs="Times New Roman"/>
          <w:color w:val="000000" w:themeColor="text1"/>
        </w:rPr>
        <w:t xml:space="preserve">. </w:t>
      </w:r>
      <w:r w:rsidR="00824414" w:rsidRPr="007C5D8B">
        <w:rPr>
          <w:rFonts w:ascii="Times New Roman" w:hAnsi="Times New Roman" w:cs="Times New Roman"/>
          <w:color w:val="000000" w:themeColor="text1"/>
        </w:rPr>
        <w:t xml:space="preserve">The same D gene annotation was not required for inclusion in the same cluster, as somatic hypermutation in this region makes accurate assignment of a gene segment difficult. </w:t>
      </w:r>
      <w:r w:rsidR="00E02659" w:rsidRPr="007C5D8B">
        <w:rPr>
          <w:rFonts w:ascii="Times New Roman" w:hAnsi="Times New Roman" w:cs="Times New Roman"/>
          <w:color w:val="000000" w:themeColor="text1"/>
        </w:rPr>
        <w:t>We focused on the CDR3 region of the sequence, as it is highly variable, and has the dominant role in determining antigenic specificity of the sequence</w:t>
      </w:r>
      <w:r w:rsidR="00A5191D" w:rsidRPr="007C5D8B">
        <w:rPr>
          <w:rFonts w:ascii="Times New Roman" w:hAnsi="Times New Roman" w:cs="Times New Roman"/>
          <w:color w:val="000000" w:themeColor="text1"/>
        </w:rPr>
        <w:t>.</w:t>
      </w:r>
      <w:r w:rsidR="00E02659" w:rsidRPr="007C5D8B">
        <w:rPr>
          <w:rFonts w:ascii="Times New Roman" w:hAnsi="Times New Roman" w:cs="Times New Roman"/>
          <w:color w:val="000000" w:themeColor="text1"/>
        </w:rPr>
        <w:fldChar w:fldCharType="begin" w:fldLock="1"/>
      </w:r>
      <w:r w:rsidR="00BC1372" w:rsidRPr="007C5D8B">
        <w:rPr>
          <w:rFonts w:ascii="Times New Roman" w:hAnsi="Times New Roman" w:cs="Times New Roman"/>
          <w:color w:val="000000" w:themeColor="text1"/>
        </w:rPr>
        <w:instrText>ADDIN CSL_CITATION { "citationItems" : [ { "id" : "ITEM-1", "itemData" : { "DOI" : "10.1016/S1074-7613(00)00006-6", "ISBN" : "1074-7613", "ISSN" : "10747613", "PMID" : "10933393", "abstract" : "All rearranging antigen receptor genes have one or two highly diverse complementarity determining regions (CDRs) among the six that typically form the ligand binding surface. We report here that, in the case of antibodies, diversity at one of these regions, CDR3 of the V(H) domain, is sufficient to permit otherwise identical IgM molecules to distinguish between a variety of hapten and protein antigens. Furthermore, we find that somatic mutation can allow such antibodies to achieve surprisingly high affinities. These results are consistent with a model in which the highly diverse CDR3 loops are the key determinant of specificity in antigen recognition in both T cell receptors (TCR) and antibodies, whereas the germline-encoded CDR1 and CDR2 sequences are much more cross-reactive.", "author" : [ { "dropping-particle" : "", "family" : "Xu", "given" : "J L", "non-dropping-particle" : "", "parse-names" : false, "suffix" : "" }, { "dropping-particle" : "", "family" : "Davis", "given" : "M M", "non-dropping-particle" : "", "parse-names" : false, "suffix" : "" } ], "container-title" : "Immunity", "id" : "ITEM-1", "issued" : { "date-parts" : [ [ "2000" ] ] }, "page" : "37-45", "title" : "Diversity in the CDR3 region of V(H) is sufficient for most antibody specificities.", "type" : "article-journal", "volume" : "13" }, "uris" : [ "http://www.mendeley.com/documents/?uuid=a004c9ad-a5d1-4a30-8c7a-4ef903fad031" ] } ], "mendeley" : { "formattedCitation" : "&lt;sup&gt;18&lt;/sup&gt;", "plainTextFormattedCitation" : "18", "previouslyFormattedCitation" : "&lt;sup&gt;17&lt;/sup&gt;" }, "properties" : { "noteIndex" : 0 }, "schema" : "https://github.com/citation-style-language/schema/raw/master/csl-citation.json" }</w:instrText>
      </w:r>
      <w:r w:rsidR="00E02659" w:rsidRPr="007C5D8B">
        <w:rPr>
          <w:rFonts w:ascii="Times New Roman" w:hAnsi="Times New Roman" w:cs="Times New Roman"/>
          <w:color w:val="000000" w:themeColor="text1"/>
        </w:rPr>
        <w:fldChar w:fldCharType="separate"/>
      </w:r>
      <w:r w:rsidR="00BC1372" w:rsidRPr="007C5D8B">
        <w:rPr>
          <w:rFonts w:ascii="Times New Roman" w:hAnsi="Times New Roman" w:cs="Times New Roman"/>
          <w:noProof/>
          <w:color w:val="000000" w:themeColor="text1"/>
          <w:vertAlign w:val="superscript"/>
        </w:rPr>
        <w:t>18</w:t>
      </w:r>
      <w:r w:rsidR="00E02659" w:rsidRPr="007C5D8B">
        <w:rPr>
          <w:rFonts w:ascii="Times New Roman" w:hAnsi="Times New Roman" w:cs="Times New Roman"/>
          <w:color w:val="000000" w:themeColor="text1"/>
        </w:rPr>
        <w:fldChar w:fldCharType="end"/>
      </w:r>
      <w:r w:rsidR="00E02659" w:rsidRPr="007C5D8B">
        <w:rPr>
          <w:rFonts w:ascii="Times New Roman" w:hAnsi="Times New Roman" w:cs="Times New Roman"/>
          <w:color w:val="000000" w:themeColor="text1"/>
        </w:rPr>
        <w:t xml:space="preserve"> </w:t>
      </w:r>
      <w:r w:rsidRPr="007C5D8B">
        <w:rPr>
          <w:rFonts w:ascii="Times New Roman" w:hAnsi="Times New Roman" w:cs="Times New Roman"/>
          <w:color w:val="000000" w:themeColor="text1"/>
        </w:rPr>
        <w:t>Clusters were iteratively defined using an approach to identify cluster centers that gave the largest possible clusters. Briefly, clustering started with a set of unique sequences of the same length U(L) and an empty</w:t>
      </w:r>
      <w:r w:rsidRPr="00A16755">
        <w:rPr>
          <w:rFonts w:ascii="Times New Roman" w:hAnsi="Times New Roman" w:cs="Times New Roman"/>
        </w:rPr>
        <w:t xml:space="preserve"> set of clusters C(L). The first cluster center is defined as the sequence x</w:t>
      </w:r>
      <w:r w:rsidRPr="00A16755">
        <w:rPr>
          <w:rFonts w:ascii="Libian SC Regular" w:hAnsi="Libian SC Regular" w:cs="Libian SC Regular"/>
        </w:rPr>
        <w:t>∈</w:t>
      </w:r>
      <w:r w:rsidRPr="00A16755">
        <w:rPr>
          <w:rFonts w:ascii="Times New Roman" w:hAnsi="Times New Roman" w:cs="Times New Roman"/>
        </w:rPr>
        <w:t xml:space="preserve">U(L) that had the most </w:t>
      </w:r>
      <w:r w:rsidR="00560AA5">
        <w:rPr>
          <w:rFonts w:ascii="Times New Roman" w:hAnsi="Times New Roman" w:cs="Times New Roman"/>
        </w:rPr>
        <w:t>neighbor</w:t>
      </w:r>
      <w:r w:rsidRPr="00A16755">
        <w:rPr>
          <w:rFonts w:ascii="Times New Roman" w:hAnsi="Times New Roman" w:cs="Times New Roman"/>
        </w:rPr>
        <w:t>’s |N(x)|; the set N(x) is then added to C(L), with cluster center x. N(x) is then removed from U(L), and the process repeated until U(L) is empty and C(L) is full.</w:t>
      </w:r>
      <w:r>
        <w:rPr>
          <w:rFonts w:ascii="Times New Roman" w:hAnsi="Times New Roman" w:cs="Times New Roman"/>
        </w:rPr>
        <w:t xml:space="preserve"> Clusters were then collapsed into single reads, with each cluster represented by its cluster center sequence, V D and J gene usage, isotype subclass, and average V gene mutation.</w:t>
      </w:r>
      <w:r w:rsidR="007B6864">
        <w:rPr>
          <w:rFonts w:ascii="Times New Roman" w:hAnsi="Times New Roman" w:cs="Times New Roman"/>
        </w:rPr>
        <w:t xml:space="preserve"> Where a single cluster contained multiple reads with different isotype subclass or D gene usage, the most frequent usage within the cluster was used for cluster annotation. </w:t>
      </w:r>
      <w:r w:rsidR="00B11D0A">
        <w:rPr>
          <w:rFonts w:ascii="Times New Roman" w:hAnsi="Times New Roman" w:cs="Times New Roman"/>
        </w:rPr>
        <w:t>These collapsed clusters were used in all subsequent analysis, and defined as “sequences”.</w:t>
      </w:r>
    </w:p>
    <w:p w14:paraId="79F79185" w14:textId="77777777" w:rsidR="000B7BD4" w:rsidRPr="00354432" w:rsidRDefault="000B7BD4" w:rsidP="000B7BD4">
      <w:pPr>
        <w:pStyle w:val="Heading2"/>
        <w:rPr>
          <w:rFonts w:ascii="Times New Roman" w:hAnsi="Times New Roman"/>
        </w:rPr>
      </w:pPr>
      <w:r>
        <w:rPr>
          <w:rFonts w:ascii="Times New Roman" w:hAnsi="Times New Roman"/>
        </w:rPr>
        <w:t>Statistical analysis and graphing</w:t>
      </w:r>
    </w:p>
    <w:p w14:paraId="2996A2A3" w14:textId="1AFE386B" w:rsidR="000B7BD4" w:rsidRPr="007C5D8B" w:rsidRDefault="000B7BD4" w:rsidP="000B7BD4">
      <w:pPr>
        <w:spacing w:line="480" w:lineRule="auto"/>
        <w:jc w:val="both"/>
        <w:rPr>
          <w:rFonts w:ascii="Times New Roman" w:hAnsi="Times New Roman" w:cs="Times New Roman"/>
          <w:color w:val="000000" w:themeColor="text1"/>
        </w:rPr>
      </w:pPr>
      <w:r w:rsidRPr="00C04382">
        <w:rPr>
          <w:rFonts w:ascii="Times New Roman" w:hAnsi="Times New Roman" w:cs="Times New Roman"/>
        </w:rPr>
        <w:t>Statistical analysis was pe</w:t>
      </w:r>
      <w:r w:rsidRPr="00F36532">
        <w:rPr>
          <w:rFonts w:ascii="Times New Roman" w:hAnsi="Times New Roman" w:cs="Times New Roman"/>
        </w:rPr>
        <w:t>rformed using R</w:t>
      </w:r>
      <w:r w:rsidR="00262E50">
        <w:rPr>
          <w:rFonts w:ascii="Times New Roman" w:hAnsi="Times New Roman" w:cs="Times New Roman"/>
        </w:rPr>
        <w:t>.</w:t>
      </w:r>
      <w:r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"author" : [ { "dropping-particle" : "", "family" : "Team", "given" : "R Development Core", "non-dropping-particle" : "", "parse-names" : false, "suffix" : "" } ], "container-title" : "R Foundation for Statistical Computing, Vienna, Austria", "id" : "ITEM-1", "issued" : { "date-parts" : [ [ "2008" ] ] }, "title" : "R: A language and environment for statistical computing", "type" : "article-journal" }, "uris" : [ "http://www.mendeley.com/documents/?uuid=3ec25ed1-31e7-4d43-97e4-b3a8ca2c17a4" ] } ], "mendeley" : { "formattedCitation" : "&lt;sup&gt;45&lt;/sup&gt;", "plainTextFormattedCitation" : "45", "previouslyFormattedCitation" : "&lt;sup&gt;44&lt;/sup&gt;" }, "properties" : { "noteIndex" : 0 }, "schema" : "https://github.com/citation-style-language/schema/raw/master/csl-citation.json" }</w:instrText>
      </w:r>
      <w:r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45</w:t>
      </w:r>
      <w:r w:rsidRPr="0098329B">
        <w:rPr>
          <w:rFonts w:ascii="Times New Roman" w:hAnsi="Times New Roman" w:cs="Times New Roman"/>
        </w:rPr>
        <w:fldChar w:fldCharType="end"/>
      </w:r>
      <w:r>
        <w:rPr>
          <w:rFonts w:ascii="Times New Roman" w:hAnsi="Times New Roman" w:cs="Times New Roman"/>
        </w:rPr>
        <w:t xml:space="preserve"> </w:t>
      </w:r>
      <w:r w:rsidR="006E207D">
        <w:rPr>
          <w:rFonts w:ascii="Times New Roman" w:hAnsi="Times New Roman" w:cs="Times New Roman"/>
        </w:rPr>
        <w:t>T</w:t>
      </w:r>
      <w:r w:rsidR="006E207D" w:rsidRPr="0098329B">
        <w:rPr>
          <w:rFonts w:ascii="Times New Roman" w:hAnsi="Times New Roman" w:cs="Times New Roman"/>
        </w:rPr>
        <w:t>he ggplot2</w:t>
      </w:r>
      <w:r w:rsidR="006E207D" w:rsidRPr="0098329B">
        <w:rPr>
          <w:rFonts w:ascii="Times New Roman" w:hAnsi="Times New Roman" w:cs="Times New Roman"/>
        </w:rPr>
        <w:fldChar w:fldCharType="begin" w:fldLock="1"/>
      </w:r>
      <w:r w:rsidR="00BC1372">
        <w:rPr>
          <w:rFonts w:ascii="Times New Roman" w:hAnsi="Times New Roman" w:cs="Times New Roman"/>
        </w:rPr>
        <w:instrText>ADDIN CSL_CITATION { "citationItems" : [ { "id" : "ITEM-1", "itemData" : { "ISBN" : "0387981403", "author" : [ { "dropping-particle" : "", "family" : "Wickham", "given" : "Hadley", "non-dropping-particle" : "", "parse-names" : false, "suffix" : "" } ], "id" : "ITEM-1", "issued" : { "date-parts" : [ [ "2009" ] ] }, "publisher" : "Springer; 1st ed. 2009. Corr. 3rd printing 2010 edition", "title" : "ggplot2: Elegant Graphics for Data Analysis", "type" : "book" }, "uris" : [ "http://www.mendeley.com/documents/?uuid=0c94b8c3-8e32-4fb8-9e88-009262d6e2dd" ] } ], "mendeley" : { "formattedCitation" : "&lt;sup&gt;46&lt;/sup&gt;", "plainTextFormattedCitation" : "46", "previouslyFormattedCitation" : "&lt;sup&gt;45&lt;/sup&gt;" }, "properties" : { "noteIndex" : 0 }, "schema" : "https://github.com/citation-style-language/schema/raw/master/csl-citation.json" }</w:instrText>
      </w:r>
      <w:r w:rsidR="006E207D" w:rsidRPr="0098329B">
        <w:rPr>
          <w:rFonts w:ascii="Times New Roman" w:hAnsi="Times New Roman" w:cs="Times New Roman"/>
        </w:rPr>
        <w:fldChar w:fldCharType="separate"/>
      </w:r>
      <w:r w:rsidR="00BC1372" w:rsidRPr="00BC1372">
        <w:rPr>
          <w:rFonts w:ascii="Times New Roman" w:hAnsi="Times New Roman" w:cs="Times New Roman"/>
          <w:noProof/>
          <w:vertAlign w:val="superscript"/>
        </w:rPr>
        <w:t>46</w:t>
      </w:r>
      <w:r w:rsidR="006E207D" w:rsidRPr="0098329B">
        <w:rPr>
          <w:rFonts w:ascii="Times New Roman" w:hAnsi="Times New Roman" w:cs="Times New Roman"/>
        </w:rPr>
        <w:fldChar w:fldCharType="end"/>
      </w:r>
      <w:r w:rsidR="006E207D">
        <w:rPr>
          <w:rFonts w:ascii="Times New Roman" w:hAnsi="Times New Roman" w:cs="Times New Roman"/>
        </w:rPr>
        <w:t xml:space="preserve"> package for R was </w:t>
      </w:r>
      <w:r w:rsidR="006E207D" w:rsidRPr="0098329B">
        <w:rPr>
          <w:rFonts w:ascii="Times New Roman" w:hAnsi="Times New Roman" w:cs="Times New Roman"/>
        </w:rPr>
        <w:t>used for constructing graphs. Circos plots were created using circos software (</w:t>
      </w:r>
      <w:r w:rsidR="006E207D" w:rsidRPr="00132907">
        <w:rPr>
          <w:rFonts w:ascii="Times New Roman" w:hAnsi="Times New Roman" w:cs="Times New Roman"/>
        </w:rPr>
        <w:t>http://www.cirocs.ca</w:t>
      </w:r>
      <w:r w:rsidR="006E207D" w:rsidRPr="0098329B">
        <w:rPr>
          <w:rFonts w:ascii="Times New Roman" w:hAnsi="Times New Roman" w:cs="Times New Roman"/>
        </w:rPr>
        <w:t xml:space="preserve">). </w:t>
      </w:r>
      <w:r>
        <w:rPr>
          <w:rFonts w:ascii="Times New Roman" w:hAnsi="Times New Roman" w:cs="Times New Roman"/>
        </w:rPr>
        <w:t xml:space="preserve">To calculate the clonality of each sample, </w:t>
      </w:r>
      <w:r w:rsidR="00624EE8">
        <w:rPr>
          <w:rFonts w:ascii="Times New Roman" w:hAnsi="Times New Roman" w:cs="Times New Roman"/>
        </w:rPr>
        <w:t>s</w:t>
      </w:r>
      <w:r>
        <w:rPr>
          <w:rFonts w:ascii="Times New Roman" w:hAnsi="Times New Roman" w:cs="Times New Roman"/>
        </w:rPr>
        <w:t xml:space="preserve">imilar clones were defined as having identical </w:t>
      </w:r>
      <w:r w:rsidR="00624EE8">
        <w:rPr>
          <w:rFonts w:ascii="Times New Roman" w:hAnsi="Times New Roman" w:cs="Times New Roman"/>
        </w:rPr>
        <w:t>CDR3 AA sequences</w:t>
      </w:r>
      <w:r>
        <w:rPr>
          <w:rFonts w:ascii="Times New Roman" w:hAnsi="Times New Roman" w:cs="Times New Roman"/>
        </w:rPr>
        <w:t>, and clonality was calculated using a modified version of the Simpson index (λ), where clonality equals 1-</w:t>
      </w:r>
      <w:r w:rsidRPr="000419BF">
        <w:rPr>
          <w:rFonts w:ascii="Times New Roman" w:hAnsi="Times New Roman" w:cs="Times New Roman"/>
        </w:rPr>
        <w:t xml:space="preserve"> </w:t>
      </w:r>
      <w:r>
        <w:rPr>
          <w:rFonts w:ascii="Times New Roman" w:hAnsi="Times New Roman" w:cs="Times New Roman"/>
        </w:rPr>
        <w:t xml:space="preserve">λ. </w:t>
      </w:r>
      <w:r w:rsidRPr="0098329B">
        <w:rPr>
          <w:rFonts w:ascii="Times New Roman" w:hAnsi="Times New Roman" w:cs="Times New Roman"/>
        </w:rPr>
        <w:t>Principal component analysis was performed using the prcomp function in the stats R package</w:t>
      </w:r>
      <w:r>
        <w:rPr>
          <w:rFonts w:ascii="Times New Roman" w:hAnsi="Times New Roman" w:cs="Times New Roman"/>
        </w:rPr>
        <w:t xml:space="preserve"> based on </w:t>
      </w:r>
      <w:r w:rsidRPr="007C5D8B">
        <w:rPr>
          <w:rFonts w:ascii="Times New Roman" w:hAnsi="Times New Roman" w:cs="Times New Roman"/>
          <w:color w:val="000000" w:themeColor="text1"/>
        </w:rPr>
        <w:t xml:space="preserve">clonality, average CDR3 length, and mutation for each sample. </w:t>
      </w:r>
    </w:p>
    <w:p w14:paraId="2ADD19FB" w14:textId="3BB29D8E" w:rsidR="00CF3E71" w:rsidRPr="007C5D8B" w:rsidRDefault="000B7BD4" w:rsidP="000B7BD4">
      <w:pPr>
        <w:spacing w:line="480" w:lineRule="auto"/>
        <w:jc w:val="both"/>
        <w:rPr>
          <w:rFonts w:ascii="Times New Roman" w:hAnsi="Times New Roman" w:cs="Times New Roman"/>
          <w:color w:val="000000" w:themeColor="text1"/>
        </w:rPr>
      </w:pPr>
      <w:r w:rsidRPr="007C5D8B">
        <w:rPr>
          <w:rFonts w:ascii="Times New Roman" w:hAnsi="Times New Roman" w:cs="Times New Roman"/>
          <w:color w:val="000000" w:themeColor="text1"/>
        </w:rPr>
        <w:tab/>
        <w:t xml:space="preserve">For analysis of shared sequences, we </w:t>
      </w:r>
      <w:r w:rsidR="00B11D0A" w:rsidRPr="007C5D8B">
        <w:rPr>
          <w:rFonts w:ascii="Times New Roman" w:hAnsi="Times New Roman" w:cs="Times New Roman"/>
          <w:color w:val="000000" w:themeColor="text1"/>
        </w:rPr>
        <w:t xml:space="preserve">used two different definitions for sequence sharing: exact CDR3 AA sequence matches, </w:t>
      </w:r>
      <w:r w:rsidR="006E207D" w:rsidRPr="007C5D8B">
        <w:rPr>
          <w:rFonts w:ascii="Times New Roman" w:hAnsi="Times New Roman" w:cs="Times New Roman"/>
          <w:color w:val="000000" w:themeColor="text1"/>
        </w:rPr>
        <w:t>or</w:t>
      </w:r>
      <w:r w:rsidR="00B11D0A" w:rsidRPr="007C5D8B">
        <w:rPr>
          <w:rFonts w:ascii="Times New Roman" w:hAnsi="Times New Roman" w:cs="Times New Roman"/>
          <w:color w:val="000000" w:themeColor="text1"/>
        </w:rPr>
        <w:t xml:space="preserve"> exact CDR3 AA sequence matches plus exact V and J gene usage. </w:t>
      </w:r>
      <w:r w:rsidR="00944A38" w:rsidRPr="007C5D8B">
        <w:rPr>
          <w:rFonts w:ascii="Times New Roman" w:hAnsi="Times New Roman" w:cs="Times New Roman"/>
          <w:color w:val="000000" w:themeColor="text1"/>
        </w:rPr>
        <w:t xml:space="preserve">The reason for doing this is to distinguish sequences that are shared due to a common </w:t>
      </w:r>
      <w:r w:rsidR="00944A38" w:rsidRPr="003F091B">
        <w:rPr>
          <w:rFonts w:ascii="Times New Roman" w:hAnsi="Times New Roman" w:cs="Times New Roman"/>
          <w:color w:val="000000" w:themeColor="text1"/>
        </w:rPr>
        <w:t xml:space="preserve">antigenic-specificity (shared CDR3 only), and sequences that are shared due to common ancestry (shared CDR3 and VJ). </w:t>
      </w:r>
      <w:r w:rsidR="00FC7FAB" w:rsidRPr="003F091B">
        <w:rPr>
          <w:rFonts w:ascii="Times New Roman" w:hAnsi="Times New Roman" w:cs="Times New Roman"/>
          <w:color w:val="000000" w:themeColor="text1"/>
        </w:rPr>
        <w:t xml:space="preserve">Requiring identical V and J gene segment usage for the identification of shared sequences will also ensure that chimeric sequences formed during PCR (where the CDR3 is the same, but either the V or J gene annotation may differ), do not artificially increase the number of shared sequences we find. </w:t>
      </w:r>
      <w:r w:rsidR="00826500" w:rsidRPr="003F091B">
        <w:rPr>
          <w:rFonts w:ascii="Times New Roman" w:hAnsi="Times New Roman" w:cs="Times New Roman"/>
          <w:color w:val="000000" w:themeColor="text1"/>
        </w:rPr>
        <w:t xml:space="preserve">The definition used for specific figures is noted in the legend. We </w:t>
      </w:r>
      <w:r w:rsidRPr="003F091B">
        <w:rPr>
          <w:rFonts w:ascii="Times New Roman" w:hAnsi="Times New Roman" w:cs="Times New Roman"/>
          <w:color w:val="000000" w:themeColor="text1"/>
        </w:rPr>
        <w:t xml:space="preserve">searched for </w:t>
      </w:r>
      <w:r w:rsidR="00826500" w:rsidRPr="003F091B">
        <w:rPr>
          <w:rFonts w:ascii="Times New Roman" w:hAnsi="Times New Roman" w:cs="Times New Roman"/>
          <w:color w:val="000000" w:themeColor="text1"/>
        </w:rPr>
        <w:t>shared sequences</w:t>
      </w:r>
      <w:r w:rsidRPr="007C5D8B">
        <w:rPr>
          <w:rFonts w:ascii="Times New Roman" w:hAnsi="Times New Roman" w:cs="Times New Roman"/>
          <w:color w:val="000000" w:themeColor="text1"/>
        </w:rPr>
        <w:t xml:space="preserve"> between all samples individually, and also between samples grouped by vaccine group. </w:t>
      </w:r>
    </w:p>
    <w:p w14:paraId="12EA22DB" w14:textId="5CE35DB3" w:rsidR="000B7BD4" w:rsidRDefault="00CF3E71" w:rsidP="000E5A7B">
      <w:pPr>
        <w:spacing w:line="480" w:lineRule="auto"/>
        <w:ind w:firstLine="720"/>
        <w:jc w:val="both"/>
        <w:rPr>
          <w:rFonts w:ascii="Times New Roman" w:hAnsi="Times New Roman" w:cs="Times New Roman"/>
        </w:rPr>
      </w:pPr>
      <w:r w:rsidRPr="007C5D8B">
        <w:rPr>
          <w:rFonts w:ascii="Times New Roman" w:hAnsi="Times New Roman" w:cs="Times New Roman"/>
          <w:color w:val="000000" w:themeColor="text1"/>
        </w:rPr>
        <w:t>T</w:t>
      </w:r>
      <w:r w:rsidR="000B7BD4" w:rsidRPr="007C5D8B">
        <w:rPr>
          <w:rFonts w:ascii="Times New Roman" w:hAnsi="Times New Roman" w:cs="Times New Roman"/>
          <w:color w:val="000000" w:themeColor="text1"/>
        </w:rPr>
        <w:t>he probability of PC sequences being related to sequences from each baseline subsets was calculated separately for each participant and each PC subset. PC sequences that were shared with any baseline</w:t>
      </w:r>
      <w:r w:rsidR="000B7BD4">
        <w:rPr>
          <w:rFonts w:ascii="Times New Roman" w:hAnsi="Times New Roman" w:cs="Times New Roman"/>
        </w:rPr>
        <w:t xml:space="preserve"> subset were </w:t>
      </w:r>
      <w:r w:rsidR="000B7BD4" w:rsidRPr="00233478">
        <w:rPr>
          <w:rFonts w:ascii="Times New Roman" w:hAnsi="Times New Roman" w:cs="Times New Roman"/>
        </w:rPr>
        <w:t>found,</w:t>
      </w:r>
      <w:r w:rsidR="000B7BD4">
        <w:rPr>
          <w:rFonts w:ascii="Times New Roman" w:hAnsi="Times New Roman" w:cs="Times New Roman"/>
        </w:rPr>
        <w:t xml:space="preserve"> and the proportion of these sequences that mapped to each baseline subset was then determined (proportion shared PC shared with baseline subset = P</w:t>
      </w:r>
      <w:r w:rsidR="000B7BD4">
        <w:rPr>
          <w:rFonts w:ascii="Times New Roman" w:hAnsi="Times New Roman" w:cs="Times New Roman"/>
          <w:vertAlign w:val="subscript"/>
        </w:rPr>
        <w:t>SHARED</w:t>
      </w:r>
      <w:r w:rsidR="000B7BD4">
        <w:rPr>
          <w:rFonts w:ascii="Times New Roman" w:hAnsi="Times New Roman" w:cs="Times New Roman"/>
        </w:rPr>
        <w:t>). To account for the different representation of baseline subsets, the proportion of each baseline subset of the total baseline sequence pool was calculated (proportion baseline subset of total baseline = P</w:t>
      </w:r>
      <w:r w:rsidR="000B7BD4">
        <w:rPr>
          <w:rFonts w:ascii="Times New Roman" w:hAnsi="Times New Roman" w:cs="Times New Roman"/>
          <w:vertAlign w:val="subscript"/>
        </w:rPr>
        <w:t>BL</w:t>
      </w:r>
      <w:r w:rsidR="000B7BD4">
        <w:rPr>
          <w:rFonts w:ascii="Times New Roman" w:hAnsi="Times New Roman" w:cs="Times New Roman"/>
        </w:rPr>
        <w:t>). The probability of PC’s being related to a specific baseline subset was then determined as P</w:t>
      </w:r>
      <w:r w:rsidR="000B7BD4">
        <w:rPr>
          <w:rFonts w:ascii="Times New Roman" w:hAnsi="Times New Roman" w:cs="Times New Roman"/>
          <w:vertAlign w:val="subscript"/>
        </w:rPr>
        <w:t xml:space="preserve">SHARED </w:t>
      </w:r>
      <w:r w:rsidR="000B7BD4">
        <w:rPr>
          <w:rFonts w:ascii="Times New Roman" w:hAnsi="Times New Roman" w:cs="Times New Roman"/>
        </w:rPr>
        <w:t>/ P</w:t>
      </w:r>
      <w:r w:rsidR="000B7BD4">
        <w:rPr>
          <w:rFonts w:ascii="Times New Roman" w:hAnsi="Times New Roman" w:cs="Times New Roman"/>
          <w:vertAlign w:val="subscript"/>
        </w:rPr>
        <w:t xml:space="preserve">BL. </w:t>
      </w:r>
      <w:r w:rsidR="000B7BD4">
        <w:rPr>
          <w:rFonts w:ascii="Times New Roman" w:hAnsi="Times New Roman" w:cs="Times New Roman"/>
        </w:rPr>
        <w:t xml:space="preserve">The resulting value was normalized so that the sum of the probabilities of being related to each baseline subset was equal to 1. </w:t>
      </w:r>
    </w:p>
    <w:p w14:paraId="061D8E5C" w14:textId="4E6C39A6" w:rsidR="00281374" w:rsidRPr="00F36532" w:rsidRDefault="00281374" w:rsidP="000B7BD4">
      <w:pPr>
        <w:spacing w:line="480" w:lineRule="auto"/>
        <w:ind w:firstLine="720"/>
        <w:jc w:val="both"/>
        <w:rPr>
          <w:rFonts w:ascii="Times New Roman" w:hAnsi="Times New Roman" w:cs="Times New Roman"/>
        </w:rPr>
      </w:pPr>
      <w:r w:rsidRPr="00F36532">
        <w:rPr>
          <w:rFonts w:ascii="Times New Roman" w:hAnsi="Times New Roman" w:cs="Times New Roman"/>
        </w:rPr>
        <w:br w:type="page"/>
      </w:r>
    </w:p>
    <w:p w14:paraId="3FC053FF" w14:textId="50633CCC" w:rsidR="0090620F" w:rsidRDefault="0090620F" w:rsidP="00994A56">
      <w:pPr>
        <w:pStyle w:val="Heading1"/>
      </w:pPr>
      <w:r>
        <w:t>Conflict of Interest</w:t>
      </w:r>
    </w:p>
    <w:p w14:paraId="0A202BD0" w14:textId="1F826A80" w:rsidR="0090620F" w:rsidRPr="0090620F" w:rsidRDefault="0090620F" w:rsidP="0090620F">
      <w:pPr>
        <w:spacing w:line="480" w:lineRule="auto"/>
      </w:pPr>
      <w:r w:rsidRPr="00354432">
        <w:rPr>
          <w:rFonts w:ascii="Times New Roman" w:hAnsi="Times New Roman" w:cs="Times New Roman"/>
        </w:rPr>
        <w:t xml:space="preserve">The </w:t>
      </w:r>
      <w:r>
        <w:rPr>
          <w:rFonts w:ascii="Times New Roman" w:hAnsi="Times New Roman" w:cs="Times New Roman"/>
        </w:rPr>
        <w:t>authors declare no conflict of interest.</w:t>
      </w:r>
    </w:p>
    <w:p w14:paraId="739CF413" w14:textId="697DAFF6" w:rsidR="00994A56" w:rsidRPr="00F36532" w:rsidRDefault="00F3151E" w:rsidP="00994A56">
      <w:pPr>
        <w:pStyle w:val="Heading1"/>
      </w:pPr>
      <w:r w:rsidRPr="00F36532">
        <w:t>Acknowledgements</w:t>
      </w:r>
    </w:p>
    <w:p w14:paraId="30A78744" w14:textId="7FF7FA3A" w:rsidR="000B7BD4" w:rsidRDefault="000B7BD4" w:rsidP="00281374">
      <w:pPr>
        <w:spacing w:line="480" w:lineRule="auto"/>
        <w:jc w:val="both"/>
        <w:rPr>
          <w:rFonts w:ascii="Times New Roman" w:hAnsi="Times New Roman" w:cs="Times New Roman"/>
        </w:rPr>
      </w:pPr>
      <w:r w:rsidRPr="00354432">
        <w:rPr>
          <w:rFonts w:ascii="Times New Roman" w:hAnsi="Times New Roman" w:cs="Times New Roman"/>
        </w:rPr>
        <w:t xml:space="preserve">The NIHR Oxford Biomedical Research Centre provided study funding. </w:t>
      </w:r>
      <w:r w:rsidR="00055B79">
        <w:rPr>
          <w:rFonts w:ascii="Times New Roman" w:hAnsi="Times New Roman" w:cs="Times New Roman"/>
        </w:rPr>
        <w:t xml:space="preserve">The Nuffield Department of Medicine and Wellcome Trust Centre for Human Genetics provided funding for sequencing through their Audacious Experiment fund. </w:t>
      </w:r>
      <w:r w:rsidRPr="00354432">
        <w:rPr>
          <w:rFonts w:ascii="Times New Roman" w:hAnsi="Times New Roman" w:cs="Times New Roman"/>
        </w:rPr>
        <w:t xml:space="preserve">Sequence data </w:t>
      </w:r>
      <w:r>
        <w:rPr>
          <w:rFonts w:ascii="Times New Roman" w:hAnsi="Times New Roman" w:cs="Times New Roman"/>
        </w:rPr>
        <w:t xml:space="preserve">was </w:t>
      </w:r>
      <w:r w:rsidRPr="00354432">
        <w:rPr>
          <w:rFonts w:ascii="Times New Roman" w:hAnsi="Times New Roman" w:cs="Times New Roman"/>
        </w:rPr>
        <w:t>generat</w:t>
      </w:r>
      <w:r>
        <w:rPr>
          <w:rFonts w:ascii="Times New Roman" w:hAnsi="Times New Roman" w:cs="Times New Roman"/>
        </w:rPr>
        <w:t xml:space="preserve">ed by the High Throughput </w:t>
      </w:r>
      <w:r w:rsidRPr="00F36532">
        <w:rPr>
          <w:rFonts w:ascii="Times New Roman" w:hAnsi="Times New Roman" w:cs="Times New Roman"/>
        </w:rPr>
        <w:t>Genomics Group at the Wellcome Trust Centre for Human Genetics</w:t>
      </w:r>
      <w:r>
        <w:rPr>
          <w:rFonts w:ascii="Times New Roman" w:hAnsi="Times New Roman" w:cs="Times New Roman"/>
        </w:rPr>
        <w:t>, which is</w:t>
      </w:r>
      <w:r w:rsidRPr="00354432">
        <w:rPr>
          <w:rFonts w:ascii="Times New Roman" w:hAnsi="Times New Roman" w:cs="Times New Roman"/>
        </w:rPr>
        <w:t xml:space="preserve"> subsidized by Wellcome trust grant reference 090532/Z/09/Z. A.J.P. is a Jenner Investigator and James Martin Senior Fellow. J.D.G. receives funding from the BBSRC and GlaxoSmithKline in the form of an iCASE studentship. V.C. is funded by the Medical Research Council</w:t>
      </w:r>
      <w:r w:rsidRPr="00F36532">
        <w:rPr>
          <w:rFonts w:ascii="Times New Roman" w:hAnsi="Times New Roman" w:cs="Times New Roman"/>
        </w:rPr>
        <w:t>. D.F.K. receives salary support from the NIHR Oxford Biomedical Research Centre.</w:t>
      </w:r>
    </w:p>
    <w:p w14:paraId="0FDD2754" w14:textId="1C9BA7AB" w:rsidR="00FD7361" w:rsidRDefault="00365EBE" w:rsidP="002B25D3">
      <w:pPr>
        <w:spacing w:line="480" w:lineRule="auto"/>
        <w:ind w:firstLine="720"/>
        <w:jc w:val="both"/>
        <w:rPr>
          <w:rFonts w:ascii="Times New Roman" w:hAnsi="Times New Roman" w:cs="Times New Roman"/>
        </w:rPr>
      </w:pPr>
      <w:r w:rsidRPr="00F36532">
        <w:rPr>
          <w:rFonts w:ascii="Times New Roman" w:hAnsi="Times New Roman" w:cs="Times New Roman"/>
        </w:rPr>
        <w:t xml:space="preserve">The authors are grateful to all the study participants, </w:t>
      </w:r>
      <w:r w:rsidR="00FD0354" w:rsidRPr="00F36532">
        <w:rPr>
          <w:rFonts w:ascii="Times New Roman" w:hAnsi="Times New Roman" w:cs="Times New Roman"/>
        </w:rPr>
        <w:t xml:space="preserve">and </w:t>
      </w:r>
      <w:r w:rsidRPr="00F36532">
        <w:rPr>
          <w:rFonts w:ascii="Times New Roman" w:hAnsi="Times New Roman" w:cs="Times New Roman"/>
        </w:rPr>
        <w:t xml:space="preserve">to </w:t>
      </w:r>
      <w:r w:rsidR="009A46F1" w:rsidRPr="00F36532">
        <w:rPr>
          <w:rFonts w:ascii="Times New Roman" w:hAnsi="Times New Roman" w:cs="Times New Roman"/>
        </w:rPr>
        <w:t xml:space="preserve">Dr. Alastair MacGregor </w:t>
      </w:r>
      <w:r w:rsidR="00436999" w:rsidRPr="00F36532">
        <w:rPr>
          <w:rFonts w:ascii="Times New Roman" w:hAnsi="Times New Roman" w:cs="Times New Roman"/>
        </w:rPr>
        <w:t xml:space="preserve">for assisting with </w:t>
      </w:r>
      <w:r w:rsidR="002C4550" w:rsidRPr="00F36532">
        <w:rPr>
          <w:rFonts w:ascii="Times New Roman" w:hAnsi="Times New Roman" w:cs="Times New Roman"/>
        </w:rPr>
        <w:t>sample collection</w:t>
      </w:r>
      <w:r w:rsidR="00436999" w:rsidRPr="00F36532">
        <w:rPr>
          <w:rFonts w:ascii="Times New Roman" w:hAnsi="Times New Roman" w:cs="Times New Roman"/>
        </w:rPr>
        <w:t xml:space="preserve"> at </w:t>
      </w:r>
      <w:r w:rsidRPr="00F36532">
        <w:rPr>
          <w:rFonts w:ascii="Times New Roman" w:hAnsi="Times New Roman" w:cs="Times New Roman"/>
        </w:rPr>
        <w:t>the Oxford Vaccine Group</w:t>
      </w:r>
      <w:r w:rsidR="006714FF" w:rsidRPr="00F36532">
        <w:rPr>
          <w:rFonts w:ascii="Times New Roman" w:hAnsi="Times New Roman" w:cs="Times New Roman"/>
        </w:rPr>
        <w:t>. The authors also thank Craig Waugh (Weatherall Institute for Molecular Medicine, Oxford) for help with cell sorting</w:t>
      </w:r>
      <w:r w:rsidR="000B7BD4">
        <w:rPr>
          <w:rFonts w:ascii="Times New Roman" w:hAnsi="Times New Roman" w:cs="Times New Roman"/>
        </w:rPr>
        <w:t>.</w:t>
      </w:r>
      <w:r w:rsidR="006714FF" w:rsidRPr="00F36532">
        <w:rPr>
          <w:rFonts w:ascii="Times New Roman" w:hAnsi="Times New Roman" w:cs="Times New Roman"/>
        </w:rPr>
        <w:t xml:space="preserve"> </w:t>
      </w:r>
      <w:r w:rsidR="00FD0354" w:rsidRPr="00F36532">
        <w:rPr>
          <w:rFonts w:ascii="Times New Roman" w:hAnsi="Times New Roman" w:cs="Times New Roman"/>
        </w:rPr>
        <w:t>The authors acknowledge the support of the National Institute for Health Research Clinical Research Network.</w:t>
      </w:r>
    </w:p>
    <w:p w14:paraId="33C2EAD4" w14:textId="77777777" w:rsidR="00FD7361" w:rsidRDefault="00FD7361">
      <w:pPr>
        <w:rPr>
          <w:rFonts w:ascii="Times" w:eastAsiaTheme="majorEastAsia" w:hAnsi="Times" w:cstheme="majorBidi"/>
          <w:b/>
          <w:bCs/>
          <w:color w:val="1F497D" w:themeColor="text2"/>
          <w:sz w:val="32"/>
          <w:szCs w:val="32"/>
        </w:rPr>
      </w:pPr>
      <w:r>
        <w:br w:type="page"/>
      </w:r>
    </w:p>
    <w:p w14:paraId="1222A371" w14:textId="77777777" w:rsidR="00F3151E" w:rsidRPr="00F36532" w:rsidRDefault="00F3151E" w:rsidP="006714FF">
      <w:pPr>
        <w:pStyle w:val="Heading1"/>
      </w:pPr>
      <w:r w:rsidRPr="00F36532">
        <w:t xml:space="preserve">References  </w:t>
      </w:r>
    </w:p>
    <w:p w14:paraId="06AC0D01" w14:textId="35F159E3" w:rsidR="00BC1372" w:rsidRPr="00BC1372" w:rsidRDefault="00036C56">
      <w:pPr>
        <w:pStyle w:val="NormalWeb"/>
        <w:ind w:left="640" w:hanging="640"/>
        <w:divId w:val="633758756"/>
        <w:rPr>
          <w:rFonts w:ascii="Times New Roman" w:hAnsi="Times New Roman"/>
          <w:noProof/>
          <w:sz w:val="24"/>
        </w:rPr>
      </w:pPr>
      <w:r w:rsidRPr="00F36532">
        <w:rPr>
          <w:rFonts w:ascii="Times New Roman" w:hAnsi="Times New Roman"/>
          <w:sz w:val="24"/>
          <w:szCs w:val="24"/>
          <w:lang w:val="en-US"/>
        </w:rPr>
        <w:fldChar w:fldCharType="begin" w:fldLock="1"/>
      </w:r>
      <w:r w:rsidRPr="00F36532">
        <w:rPr>
          <w:rFonts w:ascii="Times New Roman" w:hAnsi="Times New Roman"/>
          <w:sz w:val="24"/>
          <w:szCs w:val="24"/>
          <w:lang w:val="en-US"/>
        </w:rPr>
        <w:instrText xml:space="preserve">ADDIN Mendeley Bibliography CSL_BIBLIOGRAPHY </w:instrText>
      </w:r>
      <w:r w:rsidRPr="00F36532">
        <w:rPr>
          <w:rFonts w:ascii="Times New Roman" w:hAnsi="Times New Roman"/>
          <w:sz w:val="24"/>
          <w:szCs w:val="24"/>
          <w:lang w:val="en-US"/>
        </w:rPr>
        <w:fldChar w:fldCharType="separate"/>
      </w:r>
      <w:r w:rsidR="00BC1372" w:rsidRPr="00BC1372">
        <w:rPr>
          <w:rFonts w:ascii="Times New Roman" w:hAnsi="Times New Roman"/>
          <w:noProof/>
          <w:sz w:val="24"/>
        </w:rPr>
        <w:t xml:space="preserve">1 </w:t>
      </w:r>
      <w:r w:rsidR="00BC1372" w:rsidRPr="00BC1372">
        <w:rPr>
          <w:rFonts w:ascii="Times New Roman" w:hAnsi="Times New Roman"/>
          <w:noProof/>
          <w:sz w:val="24"/>
        </w:rPr>
        <w:tab/>
        <w:t xml:space="preserve">Galson JD, Pollard AJ, Trück J, Kelly DF. Studying the antibody repertoire after vaccination: practical applications. </w:t>
      </w:r>
      <w:r w:rsidR="00BC1372" w:rsidRPr="00BC1372">
        <w:rPr>
          <w:rFonts w:ascii="Times New Roman" w:hAnsi="Times New Roman"/>
          <w:i/>
          <w:iCs/>
          <w:noProof/>
          <w:sz w:val="24"/>
        </w:rPr>
        <w:t>Trends Immunol</w:t>
      </w:r>
      <w:r w:rsidR="00BC1372" w:rsidRPr="00BC1372">
        <w:rPr>
          <w:rFonts w:ascii="Times New Roman" w:hAnsi="Times New Roman"/>
          <w:noProof/>
          <w:sz w:val="24"/>
        </w:rPr>
        <w:t xml:space="preserve"> 2014; </w:t>
      </w:r>
      <w:r w:rsidR="00BC1372" w:rsidRPr="00BC1372">
        <w:rPr>
          <w:rFonts w:ascii="Times New Roman" w:hAnsi="Times New Roman"/>
          <w:b/>
          <w:bCs/>
          <w:noProof/>
          <w:sz w:val="24"/>
        </w:rPr>
        <w:t>35</w:t>
      </w:r>
      <w:r w:rsidR="00BC1372" w:rsidRPr="00BC1372">
        <w:rPr>
          <w:rFonts w:ascii="Times New Roman" w:hAnsi="Times New Roman"/>
          <w:noProof/>
          <w:sz w:val="24"/>
        </w:rPr>
        <w:t>: 319–331.</w:t>
      </w:r>
    </w:p>
    <w:p w14:paraId="117B8EDF"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 </w:t>
      </w:r>
      <w:r w:rsidRPr="00BC1372">
        <w:rPr>
          <w:rFonts w:ascii="Times New Roman" w:hAnsi="Times New Roman"/>
          <w:noProof/>
          <w:sz w:val="24"/>
        </w:rPr>
        <w:tab/>
        <w:t xml:space="preserve">Jiang N, He J, Weinstein JA, Penland L, Sasaki S, He X-S </w:t>
      </w:r>
      <w:r w:rsidRPr="00BC1372">
        <w:rPr>
          <w:rFonts w:ascii="Times New Roman" w:hAnsi="Times New Roman"/>
          <w:i/>
          <w:iCs/>
          <w:noProof/>
          <w:sz w:val="24"/>
        </w:rPr>
        <w:t>et al.</w:t>
      </w:r>
      <w:r w:rsidRPr="00BC1372">
        <w:rPr>
          <w:rFonts w:ascii="Times New Roman" w:hAnsi="Times New Roman"/>
          <w:noProof/>
          <w:sz w:val="24"/>
        </w:rPr>
        <w:t xml:space="preserve"> Lineage structure of the human antibody repertoire in response to influenza vaccination. </w:t>
      </w:r>
      <w:r w:rsidRPr="00BC1372">
        <w:rPr>
          <w:rFonts w:ascii="Times New Roman" w:hAnsi="Times New Roman"/>
          <w:i/>
          <w:iCs/>
          <w:noProof/>
          <w:sz w:val="24"/>
        </w:rPr>
        <w:t>Sci Transl Med</w:t>
      </w:r>
      <w:r w:rsidRPr="00BC1372">
        <w:rPr>
          <w:rFonts w:ascii="Times New Roman" w:hAnsi="Times New Roman"/>
          <w:noProof/>
          <w:sz w:val="24"/>
        </w:rPr>
        <w:t xml:space="preserve"> 2013; </w:t>
      </w:r>
      <w:r w:rsidRPr="00BC1372">
        <w:rPr>
          <w:rFonts w:ascii="Times New Roman" w:hAnsi="Times New Roman"/>
          <w:b/>
          <w:bCs/>
          <w:noProof/>
          <w:sz w:val="24"/>
        </w:rPr>
        <w:t>5</w:t>
      </w:r>
      <w:r w:rsidRPr="00BC1372">
        <w:rPr>
          <w:rFonts w:ascii="Times New Roman" w:hAnsi="Times New Roman"/>
          <w:noProof/>
          <w:sz w:val="24"/>
        </w:rPr>
        <w:t>: 171ra19.</w:t>
      </w:r>
    </w:p>
    <w:p w14:paraId="4C24BAA2"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 </w:t>
      </w:r>
      <w:r w:rsidRPr="00BC1372">
        <w:rPr>
          <w:rFonts w:ascii="Times New Roman" w:hAnsi="Times New Roman"/>
          <w:noProof/>
          <w:sz w:val="24"/>
        </w:rPr>
        <w:tab/>
        <w:t xml:space="preserve">Vollmers C, Sit R, Weinstein JA, Dekker CL, Quake SR. Genetic measurement of memory B-cell recall using antibody repertoire sequencing. </w:t>
      </w:r>
      <w:r w:rsidRPr="00BC1372">
        <w:rPr>
          <w:rFonts w:ascii="Times New Roman" w:hAnsi="Times New Roman"/>
          <w:i/>
          <w:iCs/>
          <w:noProof/>
          <w:sz w:val="24"/>
        </w:rPr>
        <w:t>Proc Natl Acad Sci USA</w:t>
      </w:r>
      <w:r w:rsidRPr="00BC1372">
        <w:rPr>
          <w:rFonts w:ascii="Times New Roman" w:hAnsi="Times New Roman"/>
          <w:noProof/>
          <w:sz w:val="24"/>
        </w:rPr>
        <w:t xml:space="preserve"> 2013; </w:t>
      </w:r>
      <w:r w:rsidRPr="00BC1372">
        <w:rPr>
          <w:rFonts w:ascii="Times New Roman" w:hAnsi="Times New Roman"/>
          <w:b/>
          <w:bCs/>
          <w:noProof/>
          <w:sz w:val="24"/>
        </w:rPr>
        <w:t>110</w:t>
      </w:r>
      <w:r w:rsidRPr="00BC1372">
        <w:rPr>
          <w:rFonts w:ascii="Times New Roman" w:hAnsi="Times New Roman"/>
          <w:noProof/>
          <w:sz w:val="24"/>
        </w:rPr>
        <w:t>: 13463–8.</w:t>
      </w:r>
    </w:p>
    <w:p w14:paraId="3818A67A"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 </w:t>
      </w:r>
      <w:r w:rsidRPr="00BC1372">
        <w:rPr>
          <w:rFonts w:ascii="Times New Roman" w:hAnsi="Times New Roman"/>
          <w:noProof/>
          <w:sz w:val="24"/>
        </w:rPr>
        <w:tab/>
        <w:t xml:space="preserve">Ademokun A, Wu Y-C, Martin V, Mitra R, Sack U, Baxendale H </w:t>
      </w:r>
      <w:r w:rsidRPr="00BC1372">
        <w:rPr>
          <w:rFonts w:ascii="Times New Roman" w:hAnsi="Times New Roman"/>
          <w:i/>
          <w:iCs/>
          <w:noProof/>
          <w:sz w:val="24"/>
        </w:rPr>
        <w:t>et al.</w:t>
      </w:r>
      <w:r w:rsidRPr="00BC1372">
        <w:rPr>
          <w:rFonts w:ascii="Times New Roman" w:hAnsi="Times New Roman"/>
          <w:noProof/>
          <w:sz w:val="24"/>
        </w:rPr>
        <w:t xml:space="preserve"> Vaccination-induced changes in human B-cell repertoire and pneumococcal IgM and IgA antibody at different ages. </w:t>
      </w:r>
      <w:r w:rsidRPr="00BC1372">
        <w:rPr>
          <w:rFonts w:ascii="Times New Roman" w:hAnsi="Times New Roman"/>
          <w:i/>
          <w:iCs/>
          <w:noProof/>
          <w:sz w:val="24"/>
        </w:rPr>
        <w:t>Aging Cell</w:t>
      </w:r>
      <w:r w:rsidRPr="00BC1372">
        <w:rPr>
          <w:rFonts w:ascii="Times New Roman" w:hAnsi="Times New Roman"/>
          <w:noProof/>
          <w:sz w:val="24"/>
        </w:rPr>
        <w:t xml:space="preserve"> 2011; </w:t>
      </w:r>
      <w:r w:rsidRPr="00BC1372">
        <w:rPr>
          <w:rFonts w:ascii="Times New Roman" w:hAnsi="Times New Roman"/>
          <w:b/>
          <w:bCs/>
          <w:noProof/>
          <w:sz w:val="24"/>
        </w:rPr>
        <w:t>10</w:t>
      </w:r>
      <w:r w:rsidRPr="00BC1372">
        <w:rPr>
          <w:rFonts w:ascii="Times New Roman" w:hAnsi="Times New Roman"/>
          <w:noProof/>
          <w:sz w:val="24"/>
        </w:rPr>
        <w:t>: 922–30.</w:t>
      </w:r>
    </w:p>
    <w:p w14:paraId="24B7770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5 </w:t>
      </w:r>
      <w:r w:rsidRPr="00BC1372">
        <w:rPr>
          <w:rFonts w:ascii="Times New Roman" w:hAnsi="Times New Roman"/>
          <w:noProof/>
          <w:sz w:val="24"/>
        </w:rPr>
        <w:tab/>
        <w:t xml:space="preserve">Laserson U, Vigneault F, Gadala-Maria D, Yaari G, Uduman M, Vander Heiden JA </w:t>
      </w:r>
      <w:r w:rsidRPr="00BC1372">
        <w:rPr>
          <w:rFonts w:ascii="Times New Roman" w:hAnsi="Times New Roman"/>
          <w:i/>
          <w:iCs/>
          <w:noProof/>
          <w:sz w:val="24"/>
        </w:rPr>
        <w:t>et al.</w:t>
      </w:r>
      <w:r w:rsidRPr="00BC1372">
        <w:rPr>
          <w:rFonts w:ascii="Times New Roman" w:hAnsi="Times New Roman"/>
          <w:noProof/>
          <w:sz w:val="24"/>
        </w:rPr>
        <w:t xml:space="preserve"> High-resolution antibody dynamics of vaccine-induced immune responses. </w:t>
      </w:r>
      <w:r w:rsidRPr="00BC1372">
        <w:rPr>
          <w:rFonts w:ascii="Times New Roman" w:hAnsi="Times New Roman"/>
          <w:i/>
          <w:iCs/>
          <w:noProof/>
          <w:sz w:val="24"/>
        </w:rPr>
        <w:t>Proc Natl Acad Sci U S A</w:t>
      </w:r>
      <w:r w:rsidRPr="00BC1372">
        <w:rPr>
          <w:rFonts w:ascii="Times New Roman" w:hAnsi="Times New Roman"/>
          <w:noProof/>
          <w:sz w:val="24"/>
        </w:rPr>
        <w:t xml:space="preserve"> 2014; </w:t>
      </w:r>
      <w:r w:rsidRPr="00BC1372">
        <w:rPr>
          <w:rFonts w:ascii="Times New Roman" w:hAnsi="Times New Roman"/>
          <w:b/>
          <w:bCs/>
          <w:noProof/>
          <w:sz w:val="24"/>
        </w:rPr>
        <w:t>111</w:t>
      </w:r>
      <w:r w:rsidRPr="00BC1372">
        <w:rPr>
          <w:rFonts w:ascii="Times New Roman" w:hAnsi="Times New Roman"/>
          <w:noProof/>
          <w:sz w:val="24"/>
        </w:rPr>
        <w:t>: 4928–33.</w:t>
      </w:r>
    </w:p>
    <w:p w14:paraId="2D5F1AAB"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6 </w:t>
      </w:r>
      <w:r w:rsidRPr="00BC1372">
        <w:rPr>
          <w:rFonts w:ascii="Times New Roman" w:hAnsi="Times New Roman"/>
          <w:noProof/>
          <w:sz w:val="24"/>
        </w:rPr>
        <w:tab/>
        <w:t xml:space="preserve">Mroczek ES, Ippolito GC, Rogosch T, Hoi KH, Hwangpo TA, Brand MG </w:t>
      </w:r>
      <w:r w:rsidRPr="00BC1372">
        <w:rPr>
          <w:rFonts w:ascii="Times New Roman" w:hAnsi="Times New Roman"/>
          <w:i/>
          <w:iCs/>
          <w:noProof/>
          <w:sz w:val="24"/>
        </w:rPr>
        <w:t>et al.</w:t>
      </w:r>
      <w:r w:rsidRPr="00BC1372">
        <w:rPr>
          <w:rFonts w:ascii="Times New Roman" w:hAnsi="Times New Roman"/>
          <w:noProof/>
          <w:sz w:val="24"/>
        </w:rPr>
        <w:t xml:space="preserve"> Differences in the Composition of the Human Antibody Repertoire by B Cell Subsets in the Blood. </w:t>
      </w:r>
      <w:r w:rsidRPr="00BC1372">
        <w:rPr>
          <w:rFonts w:ascii="Times New Roman" w:hAnsi="Times New Roman"/>
          <w:i/>
          <w:iCs/>
          <w:noProof/>
          <w:sz w:val="24"/>
        </w:rPr>
        <w:t>Front Immunol</w:t>
      </w:r>
      <w:r w:rsidRPr="00BC1372">
        <w:rPr>
          <w:rFonts w:ascii="Times New Roman" w:hAnsi="Times New Roman"/>
          <w:noProof/>
          <w:sz w:val="24"/>
        </w:rPr>
        <w:t xml:space="preserve"> 2014; </w:t>
      </w:r>
      <w:r w:rsidRPr="00BC1372">
        <w:rPr>
          <w:rFonts w:ascii="Times New Roman" w:hAnsi="Times New Roman"/>
          <w:b/>
          <w:bCs/>
          <w:noProof/>
          <w:sz w:val="24"/>
        </w:rPr>
        <w:t>5</w:t>
      </w:r>
      <w:r w:rsidRPr="00BC1372">
        <w:rPr>
          <w:rFonts w:ascii="Times New Roman" w:hAnsi="Times New Roman"/>
          <w:noProof/>
          <w:sz w:val="24"/>
        </w:rPr>
        <w:t>: 1–14.</w:t>
      </w:r>
    </w:p>
    <w:p w14:paraId="348EF002"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7 </w:t>
      </w:r>
      <w:r w:rsidRPr="00BC1372">
        <w:rPr>
          <w:rFonts w:ascii="Times New Roman" w:hAnsi="Times New Roman"/>
          <w:noProof/>
          <w:sz w:val="24"/>
        </w:rPr>
        <w:tab/>
        <w:t xml:space="preserve">Kaplinsky J, Li A, Sun A, Coffre M, Koralov SB, Arnaout R. Antibody repertoire deep sequencing reveals antigen-independent selection in maturing B cells. </w:t>
      </w:r>
      <w:r w:rsidRPr="00BC1372">
        <w:rPr>
          <w:rFonts w:ascii="Times New Roman" w:hAnsi="Times New Roman"/>
          <w:i/>
          <w:iCs/>
          <w:noProof/>
          <w:sz w:val="24"/>
        </w:rPr>
        <w:t>Proc Natl Acad Sci</w:t>
      </w:r>
      <w:r w:rsidRPr="00BC1372">
        <w:rPr>
          <w:rFonts w:ascii="Times New Roman" w:hAnsi="Times New Roman"/>
          <w:noProof/>
          <w:sz w:val="24"/>
        </w:rPr>
        <w:t xml:space="preserve"> 2014; </w:t>
      </w:r>
      <w:r w:rsidRPr="00BC1372">
        <w:rPr>
          <w:rFonts w:ascii="Times New Roman" w:hAnsi="Times New Roman"/>
          <w:b/>
          <w:bCs/>
          <w:noProof/>
          <w:sz w:val="24"/>
        </w:rPr>
        <w:t>111</w:t>
      </w:r>
      <w:r w:rsidRPr="00BC1372">
        <w:rPr>
          <w:rFonts w:ascii="Times New Roman" w:hAnsi="Times New Roman"/>
          <w:noProof/>
          <w:sz w:val="24"/>
        </w:rPr>
        <w:t>: 2622–9.</w:t>
      </w:r>
    </w:p>
    <w:p w14:paraId="6A9A470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8 </w:t>
      </w:r>
      <w:r w:rsidRPr="00BC1372">
        <w:rPr>
          <w:rFonts w:ascii="Times New Roman" w:hAnsi="Times New Roman"/>
          <w:noProof/>
          <w:sz w:val="24"/>
        </w:rPr>
        <w:tab/>
        <w:t xml:space="preserve">Gold R, Lepow ML, Goldschneider I, Draper TL, Gotschlich EC. Clinical evaluation of group A and group C meningococcal polysaccharide vaccines in infants. </w:t>
      </w:r>
      <w:r w:rsidRPr="00BC1372">
        <w:rPr>
          <w:rFonts w:ascii="Times New Roman" w:hAnsi="Times New Roman"/>
          <w:i/>
          <w:iCs/>
          <w:noProof/>
          <w:sz w:val="24"/>
        </w:rPr>
        <w:t>J Clin Invest</w:t>
      </w:r>
      <w:r w:rsidRPr="00BC1372">
        <w:rPr>
          <w:rFonts w:ascii="Times New Roman" w:hAnsi="Times New Roman"/>
          <w:noProof/>
          <w:sz w:val="24"/>
        </w:rPr>
        <w:t xml:space="preserve"> 1975; </w:t>
      </w:r>
      <w:r w:rsidRPr="00BC1372">
        <w:rPr>
          <w:rFonts w:ascii="Times New Roman" w:hAnsi="Times New Roman"/>
          <w:b/>
          <w:bCs/>
          <w:noProof/>
          <w:sz w:val="24"/>
        </w:rPr>
        <w:t>56</w:t>
      </w:r>
      <w:r w:rsidRPr="00BC1372">
        <w:rPr>
          <w:rFonts w:ascii="Times New Roman" w:hAnsi="Times New Roman"/>
          <w:noProof/>
          <w:sz w:val="24"/>
        </w:rPr>
        <w:t>: 1536–47.</w:t>
      </w:r>
    </w:p>
    <w:p w14:paraId="3BA4C51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9 </w:t>
      </w:r>
      <w:r w:rsidRPr="00BC1372">
        <w:rPr>
          <w:rFonts w:ascii="Times New Roman" w:hAnsi="Times New Roman"/>
          <w:noProof/>
          <w:sz w:val="24"/>
        </w:rPr>
        <w:tab/>
        <w:t xml:space="preserve">De Wals P, De Serres G, Niyonsenga T. Effectiveness of a mass immunization campaign against serogroup C meningococcal disease in Quebec. </w:t>
      </w:r>
      <w:r w:rsidRPr="00BC1372">
        <w:rPr>
          <w:rFonts w:ascii="Times New Roman" w:hAnsi="Times New Roman"/>
          <w:i/>
          <w:iCs/>
          <w:noProof/>
          <w:sz w:val="24"/>
        </w:rPr>
        <w:t>JAMA</w:t>
      </w:r>
      <w:r w:rsidRPr="00BC1372">
        <w:rPr>
          <w:rFonts w:ascii="Times New Roman" w:hAnsi="Times New Roman"/>
          <w:noProof/>
          <w:sz w:val="24"/>
        </w:rPr>
        <w:t xml:space="preserve"> 2001; </w:t>
      </w:r>
      <w:r w:rsidRPr="00BC1372">
        <w:rPr>
          <w:rFonts w:ascii="Times New Roman" w:hAnsi="Times New Roman"/>
          <w:b/>
          <w:bCs/>
          <w:noProof/>
          <w:sz w:val="24"/>
        </w:rPr>
        <w:t>285</w:t>
      </w:r>
      <w:r w:rsidRPr="00BC1372">
        <w:rPr>
          <w:rFonts w:ascii="Times New Roman" w:hAnsi="Times New Roman"/>
          <w:noProof/>
          <w:sz w:val="24"/>
        </w:rPr>
        <w:t>: 177–81.</w:t>
      </w:r>
    </w:p>
    <w:p w14:paraId="3B2AF25B"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10 </w:t>
      </w:r>
      <w:r w:rsidRPr="00BC1372">
        <w:rPr>
          <w:rFonts w:ascii="Times New Roman" w:hAnsi="Times New Roman"/>
          <w:noProof/>
          <w:sz w:val="24"/>
        </w:rPr>
        <w:tab/>
        <w:t xml:space="preserve">Jokhdar H, Borrow R, Sultan A, Adi M, Riley C, Fuller E </w:t>
      </w:r>
      <w:r w:rsidRPr="00BC1372">
        <w:rPr>
          <w:rFonts w:ascii="Times New Roman" w:hAnsi="Times New Roman"/>
          <w:i/>
          <w:iCs/>
          <w:noProof/>
          <w:sz w:val="24"/>
        </w:rPr>
        <w:t>et al.</w:t>
      </w:r>
      <w:r w:rsidRPr="00BC1372">
        <w:rPr>
          <w:rFonts w:ascii="Times New Roman" w:hAnsi="Times New Roman"/>
          <w:noProof/>
          <w:sz w:val="24"/>
        </w:rPr>
        <w:t xml:space="preserve"> Immunologic hyporesponsiveness to serogroup C but not serogroup A following repeated meningococcal A/C polysaccharide vaccination in Saudi Arabia. </w:t>
      </w:r>
      <w:r w:rsidRPr="00BC1372">
        <w:rPr>
          <w:rFonts w:ascii="Times New Roman" w:hAnsi="Times New Roman"/>
          <w:i/>
          <w:iCs/>
          <w:noProof/>
          <w:sz w:val="24"/>
        </w:rPr>
        <w:t>Clin Diagn Lab Immunol</w:t>
      </w:r>
      <w:r w:rsidRPr="00BC1372">
        <w:rPr>
          <w:rFonts w:ascii="Times New Roman" w:hAnsi="Times New Roman"/>
          <w:noProof/>
          <w:sz w:val="24"/>
        </w:rPr>
        <w:t xml:space="preserve"> 2004; </w:t>
      </w:r>
      <w:r w:rsidRPr="00BC1372">
        <w:rPr>
          <w:rFonts w:ascii="Times New Roman" w:hAnsi="Times New Roman"/>
          <w:b/>
          <w:bCs/>
          <w:noProof/>
          <w:sz w:val="24"/>
        </w:rPr>
        <w:t>11</w:t>
      </w:r>
      <w:r w:rsidRPr="00BC1372">
        <w:rPr>
          <w:rFonts w:ascii="Times New Roman" w:hAnsi="Times New Roman"/>
          <w:noProof/>
          <w:sz w:val="24"/>
        </w:rPr>
        <w:t>: 83–8.</w:t>
      </w:r>
    </w:p>
    <w:p w14:paraId="79A05A75"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11 </w:t>
      </w:r>
      <w:r w:rsidRPr="00BC1372">
        <w:rPr>
          <w:rFonts w:ascii="Times New Roman" w:hAnsi="Times New Roman"/>
          <w:noProof/>
          <w:sz w:val="24"/>
        </w:rPr>
        <w:tab/>
        <w:t xml:space="preserve">Kelly DF, Snape MD, Cutterbuck EA, Green S, Snowden C, Diggle L </w:t>
      </w:r>
      <w:r w:rsidRPr="00BC1372">
        <w:rPr>
          <w:rFonts w:ascii="Times New Roman" w:hAnsi="Times New Roman"/>
          <w:i/>
          <w:iCs/>
          <w:noProof/>
          <w:sz w:val="24"/>
        </w:rPr>
        <w:t>et al.</w:t>
      </w:r>
      <w:r w:rsidRPr="00BC1372">
        <w:rPr>
          <w:rFonts w:ascii="Times New Roman" w:hAnsi="Times New Roman"/>
          <w:noProof/>
          <w:sz w:val="24"/>
        </w:rPr>
        <w:t xml:space="preserve"> CRM197-conjugated serogroup C meningococcal capsular polysaccharide, but not the native polysaccharide, induces persistent antigen-specific memory B cells. </w:t>
      </w:r>
      <w:r w:rsidRPr="00BC1372">
        <w:rPr>
          <w:rFonts w:ascii="Times New Roman" w:hAnsi="Times New Roman"/>
          <w:i/>
          <w:iCs/>
          <w:noProof/>
          <w:sz w:val="24"/>
        </w:rPr>
        <w:t>Blood</w:t>
      </w:r>
      <w:r w:rsidRPr="00BC1372">
        <w:rPr>
          <w:rFonts w:ascii="Times New Roman" w:hAnsi="Times New Roman"/>
          <w:noProof/>
          <w:sz w:val="24"/>
        </w:rPr>
        <w:t xml:space="preserve"> 2006; </w:t>
      </w:r>
      <w:r w:rsidRPr="00BC1372">
        <w:rPr>
          <w:rFonts w:ascii="Times New Roman" w:hAnsi="Times New Roman"/>
          <w:b/>
          <w:bCs/>
          <w:noProof/>
          <w:sz w:val="24"/>
        </w:rPr>
        <w:t>108</w:t>
      </w:r>
      <w:r w:rsidRPr="00BC1372">
        <w:rPr>
          <w:rFonts w:ascii="Times New Roman" w:hAnsi="Times New Roman"/>
          <w:noProof/>
          <w:sz w:val="24"/>
        </w:rPr>
        <w:t>: 2642–7.</w:t>
      </w:r>
    </w:p>
    <w:p w14:paraId="17BB2CB3"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12 </w:t>
      </w:r>
      <w:r w:rsidRPr="00BC1372">
        <w:rPr>
          <w:rFonts w:ascii="Times New Roman" w:hAnsi="Times New Roman"/>
          <w:noProof/>
          <w:sz w:val="24"/>
        </w:rPr>
        <w:tab/>
        <w:t xml:space="preserve">Clutterbuck EA, Lazarus R, Yu L-M, Bowman J, Bateman EAL, Diggle L </w:t>
      </w:r>
      <w:r w:rsidRPr="00BC1372">
        <w:rPr>
          <w:rFonts w:ascii="Times New Roman" w:hAnsi="Times New Roman"/>
          <w:i/>
          <w:iCs/>
          <w:noProof/>
          <w:sz w:val="24"/>
        </w:rPr>
        <w:t>et al.</w:t>
      </w:r>
      <w:r w:rsidRPr="00BC1372">
        <w:rPr>
          <w:rFonts w:ascii="Times New Roman" w:hAnsi="Times New Roman"/>
          <w:noProof/>
          <w:sz w:val="24"/>
        </w:rPr>
        <w:t xml:space="preserve"> Pneumococcal conjugate and plain polysaccharide vaccines have divergent effects on antigen-specific B cells. </w:t>
      </w:r>
      <w:r w:rsidRPr="00BC1372">
        <w:rPr>
          <w:rFonts w:ascii="Times New Roman" w:hAnsi="Times New Roman"/>
          <w:i/>
          <w:iCs/>
          <w:noProof/>
          <w:sz w:val="24"/>
        </w:rPr>
        <w:t>J Infect Dis</w:t>
      </w:r>
      <w:r w:rsidRPr="00BC1372">
        <w:rPr>
          <w:rFonts w:ascii="Times New Roman" w:hAnsi="Times New Roman"/>
          <w:noProof/>
          <w:sz w:val="24"/>
        </w:rPr>
        <w:t xml:space="preserve"> 2012; </w:t>
      </w:r>
      <w:r w:rsidRPr="00BC1372">
        <w:rPr>
          <w:rFonts w:ascii="Times New Roman" w:hAnsi="Times New Roman"/>
          <w:b/>
          <w:bCs/>
          <w:noProof/>
          <w:sz w:val="24"/>
        </w:rPr>
        <w:t>205</w:t>
      </w:r>
      <w:r w:rsidRPr="00BC1372">
        <w:rPr>
          <w:rFonts w:ascii="Times New Roman" w:hAnsi="Times New Roman"/>
          <w:noProof/>
          <w:sz w:val="24"/>
        </w:rPr>
        <w:t>: 1408–16.</w:t>
      </w:r>
    </w:p>
    <w:p w14:paraId="02AE7B9D"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13 </w:t>
      </w:r>
      <w:r w:rsidRPr="00BC1372">
        <w:rPr>
          <w:rFonts w:ascii="Times New Roman" w:hAnsi="Times New Roman"/>
          <w:noProof/>
          <w:sz w:val="24"/>
        </w:rPr>
        <w:tab/>
        <w:t xml:space="preserve">Weill J-C, Weller S, Reynaud C-A. Human marginal zone B cells. </w:t>
      </w:r>
      <w:r w:rsidRPr="00BC1372">
        <w:rPr>
          <w:rFonts w:ascii="Times New Roman" w:hAnsi="Times New Roman"/>
          <w:i/>
          <w:iCs/>
          <w:noProof/>
          <w:sz w:val="24"/>
        </w:rPr>
        <w:t>Annu Rev Immunol</w:t>
      </w:r>
      <w:r w:rsidRPr="00BC1372">
        <w:rPr>
          <w:rFonts w:ascii="Times New Roman" w:hAnsi="Times New Roman"/>
          <w:noProof/>
          <w:sz w:val="24"/>
        </w:rPr>
        <w:t xml:space="preserve"> 2009; </w:t>
      </w:r>
      <w:r w:rsidRPr="00BC1372">
        <w:rPr>
          <w:rFonts w:ascii="Times New Roman" w:hAnsi="Times New Roman"/>
          <w:b/>
          <w:bCs/>
          <w:noProof/>
          <w:sz w:val="24"/>
        </w:rPr>
        <w:t>27</w:t>
      </w:r>
      <w:r w:rsidRPr="00BC1372">
        <w:rPr>
          <w:rFonts w:ascii="Times New Roman" w:hAnsi="Times New Roman"/>
          <w:noProof/>
          <w:sz w:val="24"/>
        </w:rPr>
        <w:t>: 267–85.</w:t>
      </w:r>
    </w:p>
    <w:p w14:paraId="7AC8EC6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14 </w:t>
      </w:r>
      <w:r w:rsidRPr="00BC1372">
        <w:rPr>
          <w:rFonts w:ascii="Times New Roman" w:hAnsi="Times New Roman"/>
          <w:noProof/>
          <w:sz w:val="24"/>
        </w:rPr>
        <w:tab/>
        <w:t xml:space="preserve">Ramasamy M. B cell responses to conjugate and polysaccharide meningococcal vaccines. </w:t>
      </w:r>
      <w:r w:rsidRPr="00BC1372">
        <w:rPr>
          <w:rFonts w:ascii="Times New Roman" w:hAnsi="Times New Roman"/>
          <w:i/>
          <w:iCs/>
          <w:noProof/>
          <w:sz w:val="24"/>
        </w:rPr>
        <w:t>PhD Thesis Univ Oxford, UK</w:t>
      </w:r>
      <w:r w:rsidRPr="00BC1372">
        <w:rPr>
          <w:rFonts w:ascii="Times New Roman" w:hAnsi="Times New Roman"/>
          <w:noProof/>
          <w:sz w:val="24"/>
        </w:rPr>
        <w:t xml:space="preserve"> 2012.</w:t>
      </w:r>
    </w:p>
    <w:p w14:paraId="09233339"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15 </w:t>
      </w:r>
      <w:r w:rsidRPr="00BC1372">
        <w:rPr>
          <w:rFonts w:ascii="Times New Roman" w:hAnsi="Times New Roman"/>
          <w:noProof/>
          <w:sz w:val="24"/>
        </w:rPr>
        <w:tab/>
        <w:t xml:space="preserve">Ramasamy MN, Clutterbuck EA, Bowman J, Omar O, Amber J, Blanchard-rohner G </w:t>
      </w:r>
      <w:r w:rsidRPr="00BC1372">
        <w:rPr>
          <w:rFonts w:ascii="Times New Roman" w:hAnsi="Times New Roman"/>
          <w:i/>
          <w:iCs/>
          <w:noProof/>
          <w:sz w:val="24"/>
        </w:rPr>
        <w:t>et al.</w:t>
      </w:r>
      <w:r w:rsidRPr="00BC1372">
        <w:rPr>
          <w:rFonts w:ascii="Times New Roman" w:hAnsi="Times New Roman"/>
          <w:noProof/>
          <w:sz w:val="24"/>
        </w:rPr>
        <w:t xml:space="preserve"> United Kingdom Randomized Clinical Trial To Evaluate the Immunogenicity of Quadrivalent Meningococcal Conjugate and Polysaccharide Vaccines. </w:t>
      </w:r>
      <w:r w:rsidRPr="00BC1372">
        <w:rPr>
          <w:rFonts w:ascii="Times New Roman" w:hAnsi="Times New Roman"/>
          <w:i/>
          <w:iCs/>
          <w:noProof/>
          <w:sz w:val="24"/>
        </w:rPr>
        <w:t>Clin Vaccine Immunol</w:t>
      </w:r>
      <w:r w:rsidRPr="00BC1372">
        <w:rPr>
          <w:rFonts w:ascii="Times New Roman" w:hAnsi="Times New Roman"/>
          <w:noProof/>
          <w:sz w:val="24"/>
        </w:rPr>
        <w:t xml:space="preserve"> 2014; </w:t>
      </w:r>
      <w:r w:rsidRPr="00BC1372">
        <w:rPr>
          <w:rFonts w:ascii="Times New Roman" w:hAnsi="Times New Roman"/>
          <w:b/>
          <w:bCs/>
          <w:noProof/>
          <w:sz w:val="24"/>
        </w:rPr>
        <w:t>21</w:t>
      </w:r>
      <w:r w:rsidRPr="00BC1372">
        <w:rPr>
          <w:rFonts w:ascii="Times New Roman" w:hAnsi="Times New Roman"/>
          <w:noProof/>
          <w:sz w:val="24"/>
        </w:rPr>
        <w:t>: 1164–8.</w:t>
      </w:r>
    </w:p>
    <w:p w14:paraId="2670D478"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16 </w:t>
      </w:r>
      <w:r w:rsidRPr="00BC1372">
        <w:rPr>
          <w:rFonts w:ascii="Times New Roman" w:hAnsi="Times New Roman"/>
          <w:noProof/>
          <w:sz w:val="24"/>
        </w:rPr>
        <w:tab/>
        <w:t xml:space="preserve">Odendahl M, Mei H, Hoyer BF, Jacobi AM, Hansen A, Muehlinghaus G </w:t>
      </w:r>
      <w:r w:rsidRPr="00BC1372">
        <w:rPr>
          <w:rFonts w:ascii="Times New Roman" w:hAnsi="Times New Roman"/>
          <w:i/>
          <w:iCs/>
          <w:noProof/>
          <w:sz w:val="24"/>
        </w:rPr>
        <w:t>et al.</w:t>
      </w:r>
      <w:r w:rsidRPr="00BC1372">
        <w:rPr>
          <w:rFonts w:ascii="Times New Roman" w:hAnsi="Times New Roman"/>
          <w:noProof/>
          <w:sz w:val="24"/>
        </w:rPr>
        <w:t xml:space="preserve"> Generation of migratory antigen-specific plasma blasts and mobilization of resident plasma cells in a secondary immune response. </w:t>
      </w:r>
      <w:r w:rsidRPr="00BC1372">
        <w:rPr>
          <w:rFonts w:ascii="Times New Roman" w:hAnsi="Times New Roman"/>
          <w:i/>
          <w:iCs/>
          <w:noProof/>
          <w:sz w:val="24"/>
        </w:rPr>
        <w:t>Blood</w:t>
      </w:r>
      <w:r w:rsidRPr="00BC1372">
        <w:rPr>
          <w:rFonts w:ascii="Times New Roman" w:hAnsi="Times New Roman"/>
          <w:noProof/>
          <w:sz w:val="24"/>
        </w:rPr>
        <w:t xml:space="preserve"> 2005; </w:t>
      </w:r>
      <w:r w:rsidRPr="00BC1372">
        <w:rPr>
          <w:rFonts w:ascii="Times New Roman" w:hAnsi="Times New Roman"/>
          <w:b/>
          <w:bCs/>
          <w:noProof/>
          <w:sz w:val="24"/>
        </w:rPr>
        <w:t>105</w:t>
      </w:r>
      <w:r w:rsidRPr="00BC1372">
        <w:rPr>
          <w:rFonts w:ascii="Times New Roman" w:hAnsi="Times New Roman"/>
          <w:noProof/>
          <w:sz w:val="24"/>
        </w:rPr>
        <w:t>: 1614–21.</w:t>
      </w:r>
    </w:p>
    <w:p w14:paraId="5193D35D"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17 </w:t>
      </w:r>
      <w:r w:rsidRPr="00BC1372">
        <w:rPr>
          <w:rFonts w:ascii="Times New Roman" w:hAnsi="Times New Roman"/>
          <w:noProof/>
          <w:sz w:val="24"/>
        </w:rPr>
        <w:tab/>
        <w:t xml:space="preserve">Weller S, Braun MC, Tan BK, Rosenwald A, Cordier C, Conley ME </w:t>
      </w:r>
      <w:r w:rsidRPr="00BC1372">
        <w:rPr>
          <w:rFonts w:ascii="Times New Roman" w:hAnsi="Times New Roman"/>
          <w:i/>
          <w:iCs/>
          <w:noProof/>
          <w:sz w:val="24"/>
        </w:rPr>
        <w:t>et al.</w:t>
      </w:r>
      <w:r w:rsidRPr="00BC1372">
        <w:rPr>
          <w:rFonts w:ascii="Times New Roman" w:hAnsi="Times New Roman"/>
          <w:noProof/>
          <w:sz w:val="24"/>
        </w:rPr>
        <w:t xml:space="preserve"> Human blood IgM ‘memory’ B cells are circulating splenic marginal zone B cells harboring a prediversified immunoglobulin repertoire. </w:t>
      </w:r>
      <w:r w:rsidRPr="00BC1372">
        <w:rPr>
          <w:rFonts w:ascii="Times New Roman" w:hAnsi="Times New Roman"/>
          <w:i/>
          <w:iCs/>
          <w:noProof/>
          <w:sz w:val="24"/>
        </w:rPr>
        <w:t>Blood</w:t>
      </w:r>
      <w:r w:rsidRPr="00BC1372">
        <w:rPr>
          <w:rFonts w:ascii="Times New Roman" w:hAnsi="Times New Roman"/>
          <w:noProof/>
          <w:sz w:val="24"/>
        </w:rPr>
        <w:t xml:space="preserve"> 2004; </w:t>
      </w:r>
      <w:r w:rsidRPr="00BC1372">
        <w:rPr>
          <w:rFonts w:ascii="Times New Roman" w:hAnsi="Times New Roman"/>
          <w:b/>
          <w:bCs/>
          <w:noProof/>
          <w:sz w:val="24"/>
        </w:rPr>
        <w:t>104</w:t>
      </w:r>
      <w:r w:rsidRPr="00BC1372">
        <w:rPr>
          <w:rFonts w:ascii="Times New Roman" w:hAnsi="Times New Roman"/>
          <w:noProof/>
          <w:sz w:val="24"/>
        </w:rPr>
        <w:t>: 3647–54.</w:t>
      </w:r>
    </w:p>
    <w:p w14:paraId="2F207379"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18 </w:t>
      </w:r>
      <w:r w:rsidRPr="00BC1372">
        <w:rPr>
          <w:rFonts w:ascii="Times New Roman" w:hAnsi="Times New Roman"/>
          <w:noProof/>
          <w:sz w:val="24"/>
        </w:rPr>
        <w:tab/>
        <w:t xml:space="preserve">Xu JL, Davis MM. Diversity in the CDR3 region of V(H) is sufficient for most antibody specificities. </w:t>
      </w:r>
      <w:r w:rsidRPr="00BC1372">
        <w:rPr>
          <w:rFonts w:ascii="Times New Roman" w:hAnsi="Times New Roman"/>
          <w:i/>
          <w:iCs/>
          <w:noProof/>
          <w:sz w:val="24"/>
        </w:rPr>
        <w:t>Immunity</w:t>
      </w:r>
      <w:r w:rsidRPr="00BC1372">
        <w:rPr>
          <w:rFonts w:ascii="Times New Roman" w:hAnsi="Times New Roman"/>
          <w:noProof/>
          <w:sz w:val="24"/>
        </w:rPr>
        <w:t xml:space="preserve"> 2000; </w:t>
      </w:r>
      <w:r w:rsidRPr="00BC1372">
        <w:rPr>
          <w:rFonts w:ascii="Times New Roman" w:hAnsi="Times New Roman"/>
          <w:b/>
          <w:bCs/>
          <w:noProof/>
          <w:sz w:val="24"/>
        </w:rPr>
        <w:t>13</w:t>
      </w:r>
      <w:r w:rsidRPr="00BC1372">
        <w:rPr>
          <w:rFonts w:ascii="Times New Roman" w:hAnsi="Times New Roman"/>
          <w:noProof/>
          <w:sz w:val="24"/>
        </w:rPr>
        <w:t>: 37–45.</w:t>
      </w:r>
    </w:p>
    <w:p w14:paraId="0AFAB6E3"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19 </w:t>
      </w:r>
      <w:r w:rsidRPr="00BC1372">
        <w:rPr>
          <w:rFonts w:ascii="Times New Roman" w:hAnsi="Times New Roman"/>
          <w:noProof/>
          <w:sz w:val="24"/>
        </w:rPr>
        <w:tab/>
        <w:t xml:space="preserve">Mitchell R, Kelly DF, Pollard AJ, Trück J. Polysaccharide-specific B cell responses to vaccination in humans. </w:t>
      </w:r>
      <w:r w:rsidRPr="00BC1372">
        <w:rPr>
          <w:rFonts w:ascii="Times New Roman" w:hAnsi="Times New Roman"/>
          <w:i/>
          <w:iCs/>
          <w:noProof/>
          <w:sz w:val="24"/>
        </w:rPr>
        <w:t>Hum Vaccin Immunother</w:t>
      </w:r>
      <w:r w:rsidRPr="00BC1372">
        <w:rPr>
          <w:rFonts w:ascii="Times New Roman" w:hAnsi="Times New Roman"/>
          <w:noProof/>
          <w:sz w:val="24"/>
        </w:rPr>
        <w:t xml:space="preserve"> 2014; </w:t>
      </w:r>
      <w:r w:rsidRPr="00BC1372">
        <w:rPr>
          <w:rFonts w:ascii="Times New Roman" w:hAnsi="Times New Roman"/>
          <w:b/>
          <w:bCs/>
          <w:noProof/>
          <w:sz w:val="24"/>
        </w:rPr>
        <w:t>10</w:t>
      </w:r>
      <w:r w:rsidRPr="00BC1372">
        <w:rPr>
          <w:rFonts w:ascii="Times New Roman" w:hAnsi="Times New Roman"/>
          <w:noProof/>
          <w:sz w:val="24"/>
        </w:rPr>
        <w:t>: 1661–1668.</w:t>
      </w:r>
    </w:p>
    <w:p w14:paraId="4F46D258"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20 </w:t>
      </w:r>
      <w:r w:rsidRPr="00BC1372">
        <w:rPr>
          <w:rFonts w:ascii="Times New Roman" w:hAnsi="Times New Roman"/>
          <w:noProof/>
          <w:sz w:val="24"/>
        </w:rPr>
        <w:tab/>
        <w:t xml:space="preserve">Briney BS, Willis JR, McKinney BA, Crowe JE. High-throughput antibody sequencing reveals genetic evidence of global regulation of the naïve and memory repertoires that extends across individuals. </w:t>
      </w:r>
      <w:r w:rsidRPr="00BC1372">
        <w:rPr>
          <w:rFonts w:ascii="Times New Roman" w:hAnsi="Times New Roman"/>
          <w:i/>
          <w:iCs/>
          <w:noProof/>
          <w:sz w:val="24"/>
        </w:rPr>
        <w:t>Genes Immun</w:t>
      </w:r>
      <w:r w:rsidRPr="00BC1372">
        <w:rPr>
          <w:rFonts w:ascii="Times New Roman" w:hAnsi="Times New Roman"/>
          <w:noProof/>
          <w:sz w:val="24"/>
        </w:rPr>
        <w:t xml:space="preserve"> 2012; </w:t>
      </w:r>
      <w:r w:rsidRPr="00BC1372">
        <w:rPr>
          <w:rFonts w:ascii="Times New Roman" w:hAnsi="Times New Roman"/>
          <w:b/>
          <w:bCs/>
          <w:noProof/>
          <w:sz w:val="24"/>
        </w:rPr>
        <w:t>13</w:t>
      </w:r>
      <w:r w:rsidRPr="00BC1372">
        <w:rPr>
          <w:rFonts w:ascii="Times New Roman" w:hAnsi="Times New Roman"/>
          <w:noProof/>
          <w:sz w:val="24"/>
        </w:rPr>
        <w:t>: 469–73.</w:t>
      </w:r>
    </w:p>
    <w:p w14:paraId="6B00566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21 </w:t>
      </w:r>
      <w:r w:rsidRPr="00BC1372">
        <w:rPr>
          <w:rFonts w:ascii="Times New Roman" w:hAnsi="Times New Roman"/>
          <w:noProof/>
          <w:sz w:val="24"/>
        </w:rPr>
        <w:tab/>
        <w:t xml:space="preserve">Wu Y-C, Kipling D, Leong HS, Martin V, Ademokun AA, Dunn-Walters DK. High-throughput immunoglobulin repertoire analysis distinguishes between human IgM memory and switched memory B-cell populations. </w:t>
      </w:r>
      <w:r w:rsidRPr="00BC1372">
        <w:rPr>
          <w:rFonts w:ascii="Times New Roman" w:hAnsi="Times New Roman"/>
          <w:i/>
          <w:iCs/>
          <w:noProof/>
          <w:sz w:val="24"/>
        </w:rPr>
        <w:t>Blood</w:t>
      </w:r>
      <w:r w:rsidRPr="00BC1372">
        <w:rPr>
          <w:rFonts w:ascii="Times New Roman" w:hAnsi="Times New Roman"/>
          <w:noProof/>
          <w:sz w:val="24"/>
        </w:rPr>
        <w:t xml:space="preserve"> 2010; </w:t>
      </w:r>
      <w:r w:rsidRPr="00BC1372">
        <w:rPr>
          <w:rFonts w:ascii="Times New Roman" w:hAnsi="Times New Roman"/>
          <w:b/>
          <w:bCs/>
          <w:noProof/>
          <w:sz w:val="24"/>
        </w:rPr>
        <w:t>116</w:t>
      </w:r>
      <w:r w:rsidRPr="00BC1372">
        <w:rPr>
          <w:rFonts w:ascii="Times New Roman" w:hAnsi="Times New Roman"/>
          <w:noProof/>
          <w:sz w:val="24"/>
        </w:rPr>
        <w:t>: 1070–8.</w:t>
      </w:r>
    </w:p>
    <w:p w14:paraId="07009959"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22 </w:t>
      </w:r>
      <w:r w:rsidRPr="00BC1372">
        <w:rPr>
          <w:rFonts w:ascii="Times New Roman" w:hAnsi="Times New Roman"/>
          <w:noProof/>
          <w:sz w:val="24"/>
        </w:rPr>
        <w:tab/>
        <w:t xml:space="preserve">Cerutti A, Cols M, Puga I. Marginal zone B cells: virtues of innate-like antibody-producing lymphocytes. </w:t>
      </w:r>
      <w:r w:rsidRPr="00BC1372">
        <w:rPr>
          <w:rFonts w:ascii="Times New Roman" w:hAnsi="Times New Roman"/>
          <w:i/>
          <w:iCs/>
          <w:noProof/>
          <w:sz w:val="24"/>
        </w:rPr>
        <w:t>Nat Rev Immunol</w:t>
      </w:r>
      <w:r w:rsidRPr="00BC1372">
        <w:rPr>
          <w:rFonts w:ascii="Times New Roman" w:hAnsi="Times New Roman"/>
          <w:noProof/>
          <w:sz w:val="24"/>
        </w:rPr>
        <w:t xml:space="preserve"> 2013; </w:t>
      </w:r>
      <w:r w:rsidRPr="00BC1372">
        <w:rPr>
          <w:rFonts w:ascii="Times New Roman" w:hAnsi="Times New Roman"/>
          <w:b/>
          <w:bCs/>
          <w:noProof/>
          <w:sz w:val="24"/>
        </w:rPr>
        <w:t>13</w:t>
      </w:r>
      <w:r w:rsidRPr="00BC1372">
        <w:rPr>
          <w:rFonts w:ascii="Times New Roman" w:hAnsi="Times New Roman"/>
          <w:noProof/>
          <w:sz w:val="24"/>
        </w:rPr>
        <w:t>: 118–32.</w:t>
      </w:r>
    </w:p>
    <w:p w14:paraId="3D07A7A6"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23 </w:t>
      </w:r>
      <w:r w:rsidRPr="00BC1372">
        <w:rPr>
          <w:rFonts w:ascii="Times New Roman" w:hAnsi="Times New Roman"/>
          <w:noProof/>
          <w:sz w:val="24"/>
        </w:rPr>
        <w:tab/>
        <w:t xml:space="preserve">Berkowska M, Driessen GJ, Bikos V, Grosserichter-wagener C, Cerutti A, He B </w:t>
      </w:r>
      <w:r w:rsidRPr="00BC1372">
        <w:rPr>
          <w:rFonts w:ascii="Times New Roman" w:hAnsi="Times New Roman"/>
          <w:i/>
          <w:iCs/>
          <w:noProof/>
          <w:sz w:val="24"/>
        </w:rPr>
        <w:t>et al.</w:t>
      </w:r>
      <w:r w:rsidRPr="00BC1372">
        <w:rPr>
          <w:rFonts w:ascii="Times New Roman" w:hAnsi="Times New Roman"/>
          <w:noProof/>
          <w:sz w:val="24"/>
        </w:rPr>
        <w:t xml:space="preserve"> Human memory B cells originate from three distinct germinal center-dependent and -independent maturation pathways. </w:t>
      </w:r>
      <w:r w:rsidRPr="00BC1372">
        <w:rPr>
          <w:rFonts w:ascii="Times New Roman" w:hAnsi="Times New Roman"/>
          <w:i/>
          <w:iCs/>
          <w:noProof/>
          <w:sz w:val="24"/>
        </w:rPr>
        <w:t>Blood</w:t>
      </w:r>
      <w:r w:rsidRPr="00BC1372">
        <w:rPr>
          <w:rFonts w:ascii="Times New Roman" w:hAnsi="Times New Roman"/>
          <w:noProof/>
          <w:sz w:val="24"/>
        </w:rPr>
        <w:t xml:space="preserve"> 2011; </w:t>
      </w:r>
      <w:r w:rsidRPr="00BC1372">
        <w:rPr>
          <w:rFonts w:ascii="Times New Roman" w:hAnsi="Times New Roman"/>
          <w:b/>
          <w:bCs/>
          <w:noProof/>
          <w:sz w:val="24"/>
        </w:rPr>
        <w:t>118</w:t>
      </w:r>
      <w:r w:rsidRPr="00BC1372">
        <w:rPr>
          <w:rFonts w:ascii="Times New Roman" w:hAnsi="Times New Roman"/>
          <w:noProof/>
          <w:sz w:val="24"/>
        </w:rPr>
        <w:t>: 2150–2159.</w:t>
      </w:r>
    </w:p>
    <w:p w14:paraId="69B76D9C"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24 </w:t>
      </w:r>
      <w:r w:rsidRPr="00BC1372">
        <w:rPr>
          <w:rFonts w:ascii="Times New Roman" w:hAnsi="Times New Roman"/>
          <w:noProof/>
          <w:sz w:val="24"/>
        </w:rPr>
        <w:tab/>
        <w:t xml:space="preserve">Aguilera I, Melero J, Nuñez-Roldan A, Sanchez B. Molecular structure of eight human autoreactive monoclonal antibodies. </w:t>
      </w:r>
      <w:r w:rsidRPr="00BC1372">
        <w:rPr>
          <w:rFonts w:ascii="Times New Roman" w:hAnsi="Times New Roman"/>
          <w:i/>
          <w:iCs/>
          <w:noProof/>
          <w:sz w:val="24"/>
        </w:rPr>
        <w:t>Immunology</w:t>
      </w:r>
      <w:r w:rsidRPr="00BC1372">
        <w:rPr>
          <w:rFonts w:ascii="Times New Roman" w:hAnsi="Times New Roman"/>
          <w:noProof/>
          <w:sz w:val="24"/>
        </w:rPr>
        <w:t xml:space="preserve"> 2001; </w:t>
      </w:r>
      <w:r w:rsidRPr="00BC1372">
        <w:rPr>
          <w:rFonts w:ascii="Times New Roman" w:hAnsi="Times New Roman"/>
          <w:b/>
          <w:bCs/>
          <w:noProof/>
          <w:sz w:val="24"/>
        </w:rPr>
        <w:t>102</w:t>
      </w:r>
      <w:r w:rsidRPr="00BC1372">
        <w:rPr>
          <w:rFonts w:ascii="Times New Roman" w:hAnsi="Times New Roman"/>
          <w:noProof/>
          <w:sz w:val="24"/>
        </w:rPr>
        <w:t>: 273–80.</w:t>
      </w:r>
    </w:p>
    <w:p w14:paraId="3CF4DF80"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25 </w:t>
      </w:r>
      <w:r w:rsidRPr="00BC1372">
        <w:rPr>
          <w:rFonts w:ascii="Times New Roman" w:hAnsi="Times New Roman"/>
          <w:noProof/>
          <w:sz w:val="24"/>
        </w:rPr>
        <w:tab/>
        <w:t xml:space="preserve">Trück J, Ramasamy MN, Galson JD, Rance R, Parkhill J, Lunter G </w:t>
      </w:r>
      <w:r w:rsidRPr="00BC1372">
        <w:rPr>
          <w:rFonts w:ascii="Times New Roman" w:hAnsi="Times New Roman"/>
          <w:i/>
          <w:iCs/>
          <w:noProof/>
          <w:sz w:val="24"/>
        </w:rPr>
        <w:t>et al.</w:t>
      </w:r>
      <w:r w:rsidRPr="00BC1372">
        <w:rPr>
          <w:rFonts w:ascii="Times New Roman" w:hAnsi="Times New Roman"/>
          <w:noProof/>
          <w:sz w:val="24"/>
        </w:rPr>
        <w:t xml:space="preserve"> Identification of Antigen-Specific B Cell Receptor Sequences Using Public Repertoire Analysis. </w:t>
      </w:r>
      <w:r w:rsidRPr="00BC1372">
        <w:rPr>
          <w:rFonts w:ascii="Times New Roman" w:hAnsi="Times New Roman"/>
          <w:i/>
          <w:iCs/>
          <w:noProof/>
          <w:sz w:val="24"/>
        </w:rPr>
        <w:t>J Immunol</w:t>
      </w:r>
      <w:r w:rsidRPr="00BC1372">
        <w:rPr>
          <w:rFonts w:ascii="Times New Roman" w:hAnsi="Times New Roman"/>
          <w:noProof/>
          <w:sz w:val="24"/>
        </w:rPr>
        <w:t xml:space="preserve"> 2014; </w:t>
      </w:r>
      <w:r w:rsidRPr="00BC1372">
        <w:rPr>
          <w:rFonts w:ascii="Times New Roman" w:hAnsi="Times New Roman"/>
          <w:b/>
          <w:bCs/>
          <w:noProof/>
          <w:sz w:val="24"/>
        </w:rPr>
        <w:t>194</w:t>
      </w:r>
      <w:r w:rsidRPr="00BC1372">
        <w:rPr>
          <w:rFonts w:ascii="Times New Roman" w:hAnsi="Times New Roman"/>
          <w:noProof/>
          <w:sz w:val="24"/>
        </w:rPr>
        <w:t>: 252–261.</w:t>
      </w:r>
    </w:p>
    <w:p w14:paraId="192F0592"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26 </w:t>
      </w:r>
      <w:r w:rsidRPr="00BC1372">
        <w:rPr>
          <w:rFonts w:ascii="Times New Roman" w:hAnsi="Times New Roman"/>
          <w:noProof/>
          <w:sz w:val="24"/>
        </w:rPr>
        <w:tab/>
        <w:t xml:space="preserve">Parameswaran P, Liu Y, Roskin KM, Jackson KKL, Dixit VP, Lee J-Y </w:t>
      </w:r>
      <w:r w:rsidRPr="00BC1372">
        <w:rPr>
          <w:rFonts w:ascii="Times New Roman" w:hAnsi="Times New Roman"/>
          <w:i/>
          <w:iCs/>
          <w:noProof/>
          <w:sz w:val="24"/>
        </w:rPr>
        <w:t>et al.</w:t>
      </w:r>
      <w:r w:rsidRPr="00BC1372">
        <w:rPr>
          <w:rFonts w:ascii="Times New Roman" w:hAnsi="Times New Roman"/>
          <w:noProof/>
          <w:sz w:val="24"/>
        </w:rPr>
        <w:t xml:space="preserve"> Convergent Antibody Signatures in Human Dengue. </w:t>
      </w:r>
      <w:r w:rsidRPr="00BC1372">
        <w:rPr>
          <w:rFonts w:ascii="Times New Roman" w:hAnsi="Times New Roman"/>
          <w:i/>
          <w:iCs/>
          <w:noProof/>
          <w:sz w:val="24"/>
        </w:rPr>
        <w:t>Cell Host Microbe</w:t>
      </w:r>
      <w:r w:rsidRPr="00BC1372">
        <w:rPr>
          <w:rFonts w:ascii="Times New Roman" w:hAnsi="Times New Roman"/>
          <w:noProof/>
          <w:sz w:val="24"/>
        </w:rPr>
        <w:t xml:space="preserve"> 2013; </w:t>
      </w:r>
      <w:r w:rsidRPr="00BC1372">
        <w:rPr>
          <w:rFonts w:ascii="Times New Roman" w:hAnsi="Times New Roman"/>
          <w:b/>
          <w:bCs/>
          <w:noProof/>
          <w:sz w:val="24"/>
        </w:rPr>
        <w:t>13</w:t>
      </w:r>
      <w:r w:rsidRPr="00BC1372">
        <w:rPr>
          <w:rFonts w:ascii="Times New Roman" w:hAnsi="Times New Roman"/>
          <w:noProof/>
          <w:sz w:val="24"/>
        </w:rPr>
        <w:t>: 691–700.</w:t>
      </w:r>
    </w:p>
    <w:p w14:paraId="3BF5843C"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27 </w:t>
      </w:r>
      <w:r w:rsidRPr="00BC1372">
        <w:rPr>
          <w:rFonts w:ascii="Times New Roman" w:hAnsi="Times New Roman"/>
          <w:noProof/>
          <w:sz w:val="24"/>
        </w:rPr>
        <w:tab/>
        <w:t xml:space="preserve">Jackson KJL, Liu Y, Roskin KM, Glanville J, Hoh RA, Seo K </w:t>
      </w:r>
      <w:r w:rsidRPr="00BC1372">
        <w:rPr>
          <w:rFonts w:ascii="Times New Roman" w:hAnsi="Times New Roman"/>
          <w:i/>
          <w:iCs/>
          <w:noProof/>
          <w:sz w:val="24"/>
        </w:rPr>
        <w:t>et al.</w:t>
      </w:r>
      <w:r w:rsidRPr="00BC1372">
        <w:rPr>
          <w:rFonts w:ascii="Times New Roman" w:hAnsi="Times New Roman"/>
          <w:noProof/>
          <w:sz w:val="24"/>
        </w:rPr>
        <w:t xml:space="preserve"> Human Responses to Influenza Vaccination Show Seroconversion Signatures and Convergent Antibody Rearrangements. </w:t>
      </w:r>
      <w:r w:rsidRPr="00BC1372">
        <w:rPr>
          <w:rFonts w:ascii="Times New Roman" w:hAnsi="Times New Roman"/>
          <w:i/>
          <w:iCs/>
          <w:noProof/>
          <w:sz w:val="24"/>
        </w:rPr>
        <w:t>Cell Host Microbe</w:t>
      </w:r>
      <w:r w:rsidRPr="00BC1372">
        <w:rPr>
          <w:rFonts w:ascii="Times New Roman" w:hAnsi="Times New Roman"/>
          <w:noProof/>
          <w:sz w:val="24"/>
        </w:rPr>
        <w:t xml:space="preserve"> 2014; </w:t>
      </w:r>
      <w:r w:rsidRPr="00BC1372">
        <w:rPr>
          <w:rFonts w:ascii="Times New Roman" w:hAnsi="Times New Roman"/>
          <w:b/>
          <w:bCs/>
          <w:noProof/>
          <w:sz w:val="24"/>
        </w:rPr>
        <w:t>16</w:t>
      </w:r>
      <w:r w:rsidRPr="00BC1372">
        <w:rPr>
          <w:rFonts w:ascii="Times New Roman" w:hAnsi="Times New Roman"/>
          <w:noProof/>
          <w:sz w:val="24"/>
        </w:rPr>
        <w:t>: 1–10.</w:t>
      </w:r>
    </w:p>
    <w:p w14:paraId="54DED59A"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28 </w:t>
      </w:r>
      <w:r w:rsidRPr="00BC1372">
        <w:rPr>
          <w:rFonts w:ascii="Times New Roman" w:hAnsi="Times New Roman"/>
          <w:noProof/>
          <w:sz w:val="24"/>
        </w:rPr>
        <w:tab/>
        <w:t xml:space="preserve">Saada R, Weinberger M, Shahaf G, Mehr R. Models for antigen receptor gene rearrangement: CDR3 length. </w:t>
      </w:r>
      <w:r w:rsidRPr="00BC1372">
        <w:rPr>
          <w:rFonts w:ascii="Times New Roman" w:hAnsi="Times New Roman"/>
          <w:i/>
          <w:iCs/>
          <w:noProof/>
          <w:sz w:val="24"/>
        </w:rPr>
        <w:t>Immunol Cell Biol</w:t>
      </w:r>
      <w:r w:rsidRPr="00BC1372">
        <w:rPr>
          <w:rFonts w:ascii="Times New Roman" w:hAnsi="Times New Roman"/>
          <w:noProof/>
          <w:sz w:val="24"/>
        </w:rPr>
        <w:t xml:space="preserve"> 2007; </w:t>
      </w:r>
      <w:r w:rsidRPr="00BC1372">
        <w:rPr>
          <w:rFonts w:ascii="Times New Roman" w:hAnsi="Times New Roman"/>
          <w:b/>
          <w:bCs/>
          <w:noProof/>
          <w:sz w:val="24"/>
        </w:rPr>
        <w:t>85</w:t>
      </w:r>
      <w:r w:rsidRPr="00BC1372">
        <w:rPr>
          <w:rFonts w:ascii="Times New Roman" w:hAnsi="Times New Roman"/>
          <w:noProof/>
          <w:sz w:val="24"/>
        </w:rPr>
        <w:t>: 323–332.</w:t>
      </w:r>
    </w:p>
    <w:p w14:paraId="03B54CB1"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29 </w:t>
      </w:r>
      <w:r w:rsidRPr="00BC1372">
        <w:rPr>
          <w:rFonts w:ascii="Times New Roman" w:hAnsi="Times New Roman"/>
          <w:noProof/>
          <w:sz w:val="24"/>
        </w:rPr>
        <w:tab/>
        <w:t xml:space="preserve">Christensen H, May M, Bowen L, Hickman M, Trotter CL. Meningococcal carriage by age: a systematic review and meta-analysis. </w:t>
      </w:r>
      <w:r w:rsidRPr="00BC1372">
        <w:rPr>
          <w:rFonts w:ascii="Times New Roman" w:hAnsi="Times New Roman"/>
          <w:i/>
          <w:iCs/>
          <w:noProof/>
          <w:sz w:val="24"/>
        </w:rPr>
        <w:t>Lancet Infect Dis</w:t>
      </w:r>
      <w:r w:rsidRPr="00BC1372">
        <w:rPr>
          <w:rFonts w:ascii="Times New Roman" w:hAnsi="Times New Roman"/>
          <w:noProof/>
          <w:sz w:val="24"/>
        </w:rPr>
        <w:t xml:space="preserve"> 2010; </w:t>
      </w:r>
      <w:r w:rsidRPr="00BC1372">
        <w:rPr>
          <w:rFonts w:ascii="Times New Roman" w:hAnsi="Times New Roman"/>
          <w:b/>
          <w:bCs/>
          <w:noProof/>
          <w:sz w:val="24"/>
        </w:rPr>
        <w:t>10</w:t>
      </w:r>
      <w:r w:rsidRPr="00BC1372">
        <w:rPr>
          <w:rFonts w:ascii="Times New Roman" w:hAnsi="Times New Roman"/>
          <w:noProof/>
          <w:sz w:val="24"/>
        </w:rPr>
        <w:t>: 853–61.</w:t>
      </w:r>
    </w:p>
    <w:p w14:paraId="5D4BCA50"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30 </w:t>
      </w:r>
      <w:r w:rsidRPr="00BC1372">
        <w:rPr>
          <w:rFonts w:ascii="Times New Roman" w:hAnsi="Times New Roman"/>
          <w:noProof/>
          <w:sz w:val="24"/>
        </w:rPr>
        <w:tab/>
        <w:t xml:space="preserve">Li G-M, Chiu C, Wrammert J, McCausland M, Andrews SF, Zheng N-Y </w:t>
      </w:r>
      <w:r w:rsidRPr="00BC1372">
        <w:rPr>
          <w:rFonts w:ascii="Times New Roman" w:hAnsi="Times New Roman"/>
          <w:i/>
          <w:iCs/>
          <w:noProof/>
          <w:sz w:val="24"/>
        </w:rPr>
        <w:t>et al.</w:t>
      </w:r>
      <w:r w:rsidRPr="00BC1372">
        <w:rPr>
          <w:rFonts w:ascii="Times New Roman" w:hAnsi="Times New Roman"/>
          <w:noProof/>
          <w:sz w:val="24"/>
        </w:rPr>
        <w:t xml:space="preserve"> Pandemic H1N1 influenza vaccine induces a recall response in humans that favors broadly cross-reactive memory B cells. </w:t>
      </w:r>
      <w:r w:rsidRPr="00BC1372">
        <w:rPr>
          <w:rFonts w:ascii="Times New Roman" w:hAnsi="Times New Roman"/>
          <w:i/>
          <w:iCs/>
          <w:noProof/>
          <w:sz w:val="24"/>
        </w:rPr>
        <w:t>Proc Natl Acad Sci U S A</w:t>
      </w:r>
      <w:r w:rsidRPr="00BC1372">
        <w:rPr>
          <w:rFonts w:ascii="Times New Roman" w:hAnsi="Times New Roman"/>
          <w:noProof/>
          <w:sz w:val="24"/>
        </w:rPr>
        <w:t xml:space="preserve"> 2012; </w:t>
      </w:r>
      <w:r w:rsidRPr="00BC1372">
        <w:rPr>
          <w:rFonts w:ascii="Times New Roman" w:hAnsi="Times New Roman"/>
          <w:b/>
          <w:bCs/>
          <w:noProof/>
          <w:sz w:val="24"/>
        </w:rPr>
        <w:t>109</w:t>
      </w:r>
      <w:r w:rsidRPr="00BC1372">
        <w:rPr>
          <w:rFonts w:ascii="Times New Roman" w:hAnsi="Times New Roman"/>
          <w:noProof/>
          <w:sz w:val="24"/>
        </w:rPr>
        <w:t>: 9047–52.</w:t>
      </w:r>
    </w:p>
    <w:p w14:paraId="3F9D38C1"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31 </w:t>
      </w:r>
      <w:r w:rsidRPr="00BC1372">
        <w:rPr>
          <w:rFonts w:ascii="Times New Roman" w:hAnsi="Times New Roman"/>
          <w:noProof/>
          <w:sz w:val="24"/>
        </w:rPr>
        <w:tab/>
        <w:t xml:space="preserve">Matsuda F, Ishii K, Bourvagnet P, Kuma K, Hayashida H, Miyata T </w:t>
      </w:r>
      <w:r w:rsidRPr="00BC1372">
        <w:rPr>
          <w:rFonts w:ascii="Times New Roman" w:hAnsi="Times New Roman"/>
          <w:i/>
          <w:iCs/>
          <w:noProof/>
          <w:sz w:val="24"/>
        </w:rPr>
        <w:t>et al.</w:t>
      </w:r>
      <w:r w:rsidRPr="00BC1372">
        <w:rPr>
          <w:rFonts w:ascii="Times New Roman" w:hAnsi="Times New Roman"/>
          <w:noProof/>
          <w:sz w:val="24"/>
        </w:rPr>
        <w:t xml:space="preserve"> The Complete Nucleotide Sequence of the Human Immunoglobulin Heavy Chain Variable Region Locus. </w:t>
      </w:r>
      <w:r w:rsidRPr="00BC1372">
        <w:rPr>
          <w:rFonts w:ascii="Times New Roman" w:hAnsi="Times New Roman"/>
          <w:i/>
          <w:iCs/>
          <w:noProof/>
          <w:sz w:val="24"/>
        </w:rPr>
        <w:t>J Exp Med</w:t>
      </w:r>
      <w:r w:rsidRPr="00BC1372">
        <w:rPr>
          <w:rFonts w:ascii="Times New Roman" w:hAnsi="Times New Roman"/>
          <w:noProof/>
          <w:sz w:val="24"/>
        </w:rPr>
        <w:t xml:space="preserve"> 1998; </w:t>
      </w:r>
      <w:r w:rsidRPr="00BC1372">
        <w:rPr>
          <w:rFonts w:ascii="Times New Roman" w:hAnsi="Times New Roman"/>
          <w:b/>
          <w:bCs/>
          <w:noProof/>
          <w:sz w:val="24"/>
        </w:rPr>
        <w:t>188</w:t>
      </w:r>
      <w:r w:rsidRPr="00BC1372">
        <w:rPr>
          <w:rFonts w:ascii="Times New Roman" w:hAnsi="Times New Roman"/>
          <w:noProof/>
          <w:sz w:val="24"/>
        </w:rPr>
        <w:t>: 2151–2162.</w:t>
      </w:r>
    </w:p>
    <w:p w14:paraId="0D9707DA"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32 </w:t>
      </w:r>
      <w:r w:rsidRPr="00BC1372">
        <w:rPr>
          <w:rFonts w:ascii="Times New Roman" w:hAnsi="Times New Roman"/>
          <w:noProof/>
          <w:sz w:val="24"/>
        </w:rPr>
        <w:tab/>
        <w:t xml:space="preserve">Michaelsen TE, Garred P, Aase A. Human IgG subclass pattern of inducing complement-mediated cytolysis depends on antigen concentration and to a lesser extent on epitope patchiness, antibody affinity and complement concentration. </w:t>
      </w:r>
      <w:r w:rsidRPr="00BC1372">
        <w:rPr>
          <w:rFonts w:ascii="Times New Roman" w:hAnsi="Times New Roman"/>
          <w:i/>
          <w:iCs/>
          <w:noProof/>
          <w:sz w:val="24"/>
        </w:rPr>
        <w:t>Eur J Immunol</w:t>
      </w:r>
      <w:r w:rsidRPr="00BC1372">
        <w:rPr>
          <w:rFonts w:ascii="Times New Roman" w:hAnsi="Times New Roman"/>
          <w:noProof/>
          <w:sz w:val="24"/>
        </w:rPr>
        <w:t xml:space="preserve"> 1991; </w:t>
      </w:r>
      <w:r w:rsidRPr="00BC1372">
        <w:rPr>
          <w:rFonts w:ascii="Times New Roman" w:hAnsi="Times New Roman"/>
          <w:b/>
          <w:bCs/>
          <w:noProof/>
          <w:sz w:val="24"/>
        </w:rPr>
        <w:t>21</w:t>
      </w:r>
      <w:r w:rsidRPr="00BC1372">
        <w:rPr>
          <w:rFonts w:ascii="Times New Roman" w:hAnsi="Times New Roman"/>
          <w:noProof/>
          <w:sz w:val="24"/>
        </w:rPr>
        <w:t>: 11–6.</w:t>
      </w:r>
    </w:p>
    <w:p w14:paraId="7614F176"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33 </w:t>
      </w:r>
      <w:r w:rsidRPr="00BC1372">
        <w:rPr>
          <w:rFonts w:ascii="Times New Roman" w:hAnsi="Times New Roman"/>
          <w:noProof/>
          <w:sz w:val="24"/>
        </w:rPr>
        <w:tab/>
        <w:t xml:space="preserve">Hjelholt A, Christiansen G, Sørensen US, Birkelund S. IgG subclass profiles in normal human sera of antibodies specific to five kinds of microbial antigens. </w:t>
      </w:r>
      <w:r w:rsidRPr="00BC1372">
        <w:rPr>
          <w:rFonts w:ascii="Times New Roman" w:hAnsi="Times New Roman"/>
          <w:i/>
          <w:iCs/>
          <w:noProof/>
          <w:sz w:val="24"/>
        </w:rPr>
        <w:t>Pathog Dis</w:t>
      </w:r>
      <w:r w:rsidRPr="00BC1372">
        <w:rPr>
          <w:rFonts w:ascii="Times New Roman" w:hAnsi="Times New Roman"/>
          <w:noProof/>
          <w:sz w:val="24"/>
        </w:rPr>
        <w:t xml:space="preserve"> 2013; </w:t>
      </w:r>
      <w:r w:rsidRPr="00BC1372">
        <w:rPr>
          <w:rFonts w:ascii="Times New Roman" w:hAnsi="Times New Roman"/>
          <w:b/>
          <w:bCs/>
          <w:noProof/>
          <w:sz w:val="24"/>
        </w:rPr>
        <w:t>67</w:t>
      </w:r>
      <w:r w:rsidRPr="00BC1372">
        <w:rPr>
          <w:rFonts w:ascii="Times New Roman" w:hAnsi="Times New Roman"/>
          <w:noProof/>
          <w:sz w:val="24"/>
        </w:rPr>
        <w:t>: 206–13.</w:t>
      </w:r>
    </w:p>
    <w:p w14:paraId="1C802FB5"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34 </w:t>
      </w:r>
      <w:r w:rsidRPr="00BC1372">
        <w:rPr>
          <w:rFonts w:ascii="Times New Roman" w:hAnsi="Times New Roman"/>
          <w:noProof/>
          <w:sz w:val="24"/>
        </w:rPr>
        <w:tab/>
        <w:t xml:space="preserve">Aalberse RC, Stapel SO, Schuurman J, Rispens T. Immunoglobulin G4: an odd antibody. </w:t>
      </w:r>
      <w:r w:rsidRPr="00BC1372">
        <w:rPr>
          <w:rFonts w:ascii="Times New Roman" w:hAnsi="Times New Roman"/>
          <w:i/>
          <w:iCs/>
          <w:noProof/>
          <w:sz w:val="24"/>
        </w:rPr>
        <w:t>Clin Exp Allergy</w:t>
      </w:r>
      <w:r w:rsidRPr="00BC1372">
        <w:rPr>
          <w:rFonts w:ascii="Times New Roman" w:hAnsi="Times New Roman"/>
          <w:noProof/>
          <w:sz w:val="24"/>
        </w:rPr>
        <w:t xml:space="preserve"> 2009; </w:t>
      </w:r>
      <w:r w:rsidRPr="00BC1372">
        <w:rPr>
          <w:rFonts w:ascii="Times New Roman" w:hAnsi="Times New Roman"/>
          <w:b/>
          <w:bCs/>
          <w:noProof/>
          <w:sz w:val="24"/>
        </w:rPr>
        <w:t>39</w:t>
      </w:r>
      <w:r w:rsidRPr="00BC1372">
        <w:rPr>
          <w:rFonts w:ascii="Times New Roman" w:hAnsi="Times New Roman"/>
          <w:noProof/>
          <w:sz w:val="24"/>
        </w:rPr>
        <w:t>: 469–77.</w:t>
      </w:r>
    </w:p>
    <w:p w14:paraId="7CB305B2"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35 </w:t>
      </w:r>
      <w:r w:rsidRPr="00BC1372">
        <w:rPr>
          <w:rFonts w:ascii="Times New Roman" w:hAnsi="Times New Roman"/>
          <w:noProof/>
          <w:sz w:val="24"/>
        </w:rPr>
        <w:tab/>
        <w:t xml:space="preserve">Gitlin AD, Shulman Z, Nussenzweig MC. Clonal selection in the germinal centre by regulated proliferation and hypermutation. </w:t>
      </w:r>
      <w:r w:rsidRPr="00BC1372">
        <w:rPr>
          <w:rFonts w:ascii="Times New Roman" w:hAnsi="Times New Roman"/>
          <w:i/>
          <w:iCs/>
          <w:noProof/>
          <w:sz w:val="24"/>
        </w:rPr>
        <w:t>Nature</w:t>
      </w:r>
      <w:r w:rsidRPr="00BC1372">
        <w:rPr>
          <w:rFonts w:ascii="Times New Roman" w:hAnsi="Times New Roman"/>
          <w:noProof/>
          <w:sz w:val="24"/>
        </w:rPr>
        <w:t xml:space="preserve"> 2014; </w:t>
      </w:r>
      <w:r w:rsidRPr="00BC1372">
        <w:rPr>
          <w:rFonts w:ascii="Times New Roman" w:hAnsi="Times New Roman"/>
          <w:b/>
          <w:bCs/>
          <w:noProof/>
          <w:sz w:val="24"/>
        </w:rPr>
        <w:t>509</w:t>
      </w:r>
      <w:r w:rsidRPr="00BC1372">
        <w:rPr>
          <w:rFonts w:ascii="Times New Roman" w:hAnsi="Times New Roman"/>
          <w:noProof/>
          <w:sz w:val="24"/>
        </w:rPr>
        <w:t>: 637–40.</w:t>
      </w:r>
    </w:p>
    <w:p w14:paraId="7AEE80C9"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36 </w:t>
      </w:r>
      <w:r w:rsidRPr="00BC1372">
        <w:rPr>
          <w:rFonts w:ascii="Times New Roman" w:hAnsi="Times New Roman"/>
          <w:noProof/>
          <w:sz w:val="24"/>
        </w:rPr>
        <w:tab/>
        <w:t xml:space="preserve">Collins AM, Jackson KJL. A Temporal Model of Human IgE and IgG Antibody Function. </w:t>
      </w:r>
      <w:r w:rsidRPr="00BC1372">
        <w:rPr>
          <w:rFonts w:ascii="Times New Roman" w:hAnsi="Times New Roman"/>
          <w:i/>
          <w:iCs/>
          <w:noProof/>
          <w:sz w:val="24"/>
        </w:rPr>
        <w:t>Front Immunol</w:t>
      </w:r>
      <w:r w:rsidRPr="00BC1372">
        <w:rPr>
          <w:rFonts w:ascii="Times New Roman" w:hAnsi="Times New Roman"/>
          <w:noProof/>
          <w:sz w:val="24"/>
        </w:rPr>
        <w:t xml:space="preserve"> 2013; </w:t>
      </w:r>
      <w:r w:rsidRPr="00BC1372">
        <w:rPr>
          <w:rFonts w:ascii="Times New Roman" w:hAnsi="Times New Roman"/>
          <w:b/>
          <w:bCs/>
          <w:noProof/>
          <w:sz w:val="24"/>
        </w:rPr>
        <w:t>4</w:t>
      </w:r>
      <w:r w:rsidRPr="00BC1372">
        <w:rPr>
          <w:rFonts w:ascii="Times New Roman" w:hAnsi="Times New Roman"/>
          <w:noProof/>
          <w:sz w:val="24"/>
        </w:rPr>
        <w:t>: 235.</w:t>
      </w:r>
    </w:p>
    <w:p w14:paraId="2ACF9A6E"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37 </w:t>
      </w:r>
      <w:r w:rsidRPr="00BC1372">
        <w:rPr>
          <w:rFonts w:ascii="Times New Roman" w:hAnsi="Times New Roman"/>
          <w:noProof/>
          <w:sz w:val="24"/>
        </w:rPr>
        <w:tab/>
        <w:t xml:space="preserve">Jackson KJL, Wang Y, Collins AM. Human immunoglobulin classes and subclasses show variability in VDJ gene mutation levels. </w:t>
      </w:r>
      <w:r w:rsidRPr="00BC1372">
        <w:rPr>
          <w:rFonts w:ascii="Times New Roman" w:hAnsi="Times New Roman"/>
          <w:i/>
          <w:iCs/>
          <w:noProof/>
          <w:sz w:val="24"/>
        </w:rPr>
        <w:t>Immunol Cell Biol</w:t>
      </w:r>
      <w:r w:rsidRPr="00BC1372">
        <w:rPr>
          <w:rFonts w:ascii="Times New Roman" w:hAnsi="Times New Roman"/>
          <w:noProof/>
          <w:sz w:val="24"/>
        </w:rPr>
        <w:t xml:space="preserve"> 2014; : 1–5.</w:t>
      </w:r>
    </w:p>
    <w:p w14:paraId="796427BA"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38 </w:t>
      </w:r>
      <w:r w:rsidRPr="00BC1372">
        <w:rPr>
          <w:rFonts w:ascii="Times New Roman" w:hAnsi="Times New Roman"/>
          <w:noProof/>
          <w:sz w:val="24"/>
        </w:rPr>
        <w:tab/>
        <w:t xml:space="preserve">Medina F, Segundo C, Jiménez-Gómez G, González-García I, Campos-Caro A, Brieva J a. Higher maturity and connective tissue association distinguish resident from recently generated human tonsil plasma cells. </w:t>
      </w:r>
      <w:r w:rsidRPr="00BC1372">
        <w:rPr>
          <w:rFonts w:ascii="Times New Roman" w:hAnsi="Times New Roman"/>
          <w:i/>
          <w:iCs/>
          <w:noProof/>
          <w:sz w:val="24"/>
        </w:rPr>
        <w:t>J Leukoc Biol</w:t>
      </w:r>
      <w:r w:rsidRPr="00BC1372">
        <w:rPr>
          <w:rFonts w:ascii="Times New Roman" w:hAnsi="Times New Roman"/>
          <w:noProof/>
          <w:sz w:val="24"/>
        </w:rPr>
        <w:t xml:space="preserve"> 2007; </w:t>
      </w:r>
      <w:r w:rsidRPr="00BC1372">
        <w:rPr>
          <w:rFonts w:ascii="Times New Roman" w:hAnsi="Times New Roman"/>
          <w:b/>
          <w:bCs/>
          <w:noProof/>
          <w:sz w:val="24"/>
        </w:rPr>
        <w:t>82</w:t>
      </w:r>
      <w:r w:rsidRPr="00BC1372">
        <w:rPr>
          <w:rFonts w:ascii="Times New Roman" w:hAnsi="Times New Roman"/>
          <w:noProof/>
          <w:sz w:val="24"/>
        </w:rPr>
        <w:t>: 1430–1436.</w:t>
      </w:r>
    </w:p>
    <w:p w14:paraId="12550C80"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39 </w:t>
      </w:r>
      <w:r w:rsidRPr="00BC1372">
        <w:rPr>
          <w:rFonts w:ascii="Times New Roman" w:hAnsi="Times New Roman"/>
          <w:noProof/>
          <w:sz w:val="24"/>
        </w:rPr>
        <w:tab/>
        <w:t xml:space="preserve">Oliveira TG, Milani SR, Travassos LR. Polyclonal B-cell activation by Neisseria meningitidis capsular polysaccharides elicit antibodies protective against Trypanosoma cruzi infection in vitro. </w:t>
      </w:r>
      <w:r w:rsidRPr="00BC1372">
        <w:rPr>
          <w:rFonts w:ascii="Times New Roman" w:hAnsi="Times New Roman"/>
          <w:i/>
          <w:iCs/>
          <w:noProof/>
          <w:sz w:val="24"/>
        </w:rPr>
        <w:t>J Clin Lab Anal</w:t>
      </w:r>
      <w:r w:rsidRPr="00BC1372">
        <w:rPr>
          <w:rFonts w:ascii="Times New Roman" w:hAnsi="Times New Roman"/>
          <w:noProof/>
          <w:sz w:val="24"/>
        </w:rPr>
        <w:t xml:space="preserve"> 1996; </w:t>
      </w:r>
      <w:r w:rsidRPr="00BC1372">
        <w:rPr>
          <w:rFonts w:ascii="Times New Roman" w:hAnsi="Times New Roman"/>
          <w:b/>
          <w:bCs/>
          <w:noProof/>
          <w:sz w:val="24"/>
        </w:rPr>
        <w:t>10</w:t>
      </w:r>
      <w:r w:rsidRPr="00BC1372">
        <w:rPr>
          <w:rFonts w:ascii="Times New Roman" w:hAnsi="Times New Roman"/>
          <w:noProof/>
          <w:sz w:val="24"/>
        </w:rPr>
        <w:t>: 220–8.</w:t>
      </w:r>
    </w:p>
    <w:p w14:paraId="63CD3CC6"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40 </w:t>
      </w:r>
      <w:r w:rsidRPr="00BC1372">
        <w:rPr>
          <w:rFonts w:ascii="Times New Roman" w:hAnsi="Times New Roman"/>
          <w:noProof/>
          <w:sz w:val="24"/>
        </w:rPr>
        <w:tab/>
        <w:t xml:space="preserve">DeKosky BJ, Kojima T, Rodin A, Charab W, Ippolito GC, Ellington AD </w:t>
      </w:r>
      <w:r w:rsidRPr="00BC1372">
        <w:rPr>
          <w:rFonts w:ascii="Times New Roman" w:hAnsi="Times New Roman"/>
          <w:i/>
          <w:iCs/>
          <w:noProof/>
          <w:sz w:val="24"/>
        </w:rPr>
        <w:t>et al.</w:t>
      </w:r>
      <w:r w:rsidRPr="00BC1372">
        <w:rPr>
          <w:rFonts w:ascii="Times New Roman" w:hAnsi="Times New Roman"/>
          <w:noProof/>
          <w:sz w:val="24"/>
        </w:rPr>
        <w:t xml:space="preserve"> In-depth determination and analysis of the human paired heavy- and light-chain antibody repertoire. </w:t>
      </w:r>
      <w:r w:rsidRPr="00BC1372">
        <w:rPr>
          <w:rFonts w:ascii="Times New Roman" w:hAnsi="Times New Roman"/>
          <w:i/>
          <w:iCs/>
          <w:noProof/>
          <w:sz w:val="24"/>
        </w:rPr>
        <w:t>Nat Med</w:t>
      </w:r>
      <w:r w:rsidRPr="00BC1372">
        <w:rPr>
          <w:rFonts w:ascii="Times New Roman" w:hAnsi="Times New Roman"/>
          <w:noProof/>
          <w:sz w:val="24"/>
        </w:rPr>
        <w:t xml:space="preserve"> 2015; </w:t>
      </w:r>
      <w:r w:rsidRPr="00BC1372">
        <w:rPr>
          <w:rFonts w:ascii="Times New Roman" w:hAnsi="Times New Roman"/>
          <w:b/>
          <w:bCs/>
          <w:noProof/>
          <w:sz w:val="24"/>
        </w:rPr>
        <w:t>21</w:t>
      </w:r>
      <w:r w:rsidRPr="00BC1372">
        <w:rPr>
          <w:rFonts w:ascii="Times New Roman" w:hAnsi="Times New Roman"/>
          <w:noProof/>
          <w:sz w:val="24"/>
        </w:rPr>
        <w:t>: 86–91.</w:t>
      </w:r>
    </w:p>
    <w:p w14:paraId="53A1738F"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41 </w:t>
      </w:r>
      <w:r w:rsidRPr="00BC1372">
        <w:rPr>
          <w:rFonts w:ascii="Times New Roman" w:hAnsi="Times New Roman"/>
          <w:noProof/>
          <w:sz w:val="24"/>
        </w:rPr>
        <w:tab/>
        <w:t xml:space="preserve">Brochet X, Lefranc M-P, Giudicelli V. IMGT/V-QUEST: the highly customized and integrated system for IG and TR standardized V-J and V-D-J sequence analysis. </w:t>
      </w:r>
      <w:r w:rsidRPr="00BC1372">
        <w:rPr>
          <w:rFonts w:ascii="Times New Roman" w:hAnsi="Times New Roman"/>
          <w:i/>
          <w:iCs/>
          <w:noProof/>
          <w:sz w:val="24"/>
        </w:rPr>
        <w:t>Nucleic Acids Res</w:t>
      </w:r>
      <w:r w:rsidRPr="00BC1372">
        <w:rPr>
          <w:rFonts w:ascii="Times New Roman" w:hAnsi="Times New Roman"/>
          <w:noProof/>
          <w:sz w:val="24"/>
        </w:rPr>
        <w:t xml:space="preserve"> 2008; </w:t>
      </w:r>
      <w:r w:rsidRPr="00BC1372">
        <w:rPr>
          <w:rFonts w:ascii="Times New Roman" w:hAnsi="Times New Roman"/>
          <w:b/>
          <w:bCs/>
          <w:noProof/>
          <w:sz w:val="24"/>
        </w:rPr>
        <w:t>36</w:t>
      </w:r>
      <w:r w:rsidRPr="00BC1372">
        <w:rPr>
          <w:rFonts w:ascii="Times New Roman" w:hAnsi="Times New Roman"/>
          <w:noProof/>
          <w:sz w:val="24"/>
        </w:rPr>
        <w:t>: W503–8.</w:t>
      </w:r>
    </w:p>
    <w:p w14:paraId="73DB29E9"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42 </w:t>
      </w:r>
      <w:r w:rsidRPr="00BC1372">
        <w:rPr>
          <w:rFonts w:ascii="Times New Roman" w:hAnsi="Times New Roman"/>
          <w:noProof/>
          <w:sz w:val="24"/>
        </w:rPr>
        <w:tab/>
        <w:t xml:space="preserve">Lunter G, Goodson M. Stampy: a statistical algorithm for sensitive and fast mapping of Illumina sequence reads. </w:t>
      </w:r>
      <w:r w:rsidRPr="00BC1372">
        <w:rPr>
          <w:rFonts w:ascii="Times New Roman" w:hAnsi="Times New Roman"/>
          <w:i/>
          <w:iCs/>
          <w:noProof/>
          <w:sz w:val="24"/>
        </w:rPr>
        <w:t>Genome Res</w:t>
      </w:r>
      <w:r w:rsidRPr="00BC1372">
        <w:rPr>
          <w:rFonts w:ascii="Times New Roman" w:hAnsi="Times New Roman"/>
          <w:noProof/>
          <w:sz w:val="24"/>
        </w:rPr>
        <w:t xml:space="preserve"> 2011; </w:t>
      </w:r>
      <w:r w:rsidRPr="00BC1372">
        <w:rPr>
          <w:rFonts w:ascii="Times New Roman" w:hAnsi="Times New Roman"/>
          <w:b/>
          <w:bCs/>
          <w:noProof/>
          <w:sz w:val="24"/>
        </w:rPr>
        <w:t>21</w:t>
      </w:r>
      <w:r w:rsidRPr="00BC1372">
        <w:rPr>
          <w:rFonts w:ascii="Times New Roman" w:hAnsi="Times New Roman"/>
          <w:noProof/>
          <w:sz w:val="24"/>
        </w:rPr>
        <w:t>: 936–9.</w:t>
      </w:r>
    </w:p>
    <w:p w14:paraId="39E3BE3D"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43 </w:t>
      </w:r>
      <w:r w:rsidRPr="00BC1372">
        <w:rPr>
          <w:rFonts w:ascii="Times New Roman" w:hAnsi="Times New Roman"/>
          <w:noProof/>
          <w:sz w:val="24"/>
        </w:rPr>
        <w:tab/>
        <w:t xml:space="preserve">Wilming LG, Gilbert JGR, Howe K, Trevanion S, Hubbard T, Harrow JL. The vertebrate genome annotation (Vega) database. </w:t>
      </w:r>
      <w:r w:rsidRPr="00BC1372">
        <w:rPr>
          <w:rFonts w:ascii="Times New Roman" w:hAnsi="Times New Roman"/>
          <w:i/>
          <w:iCs/>
          <w:noProof/>
          <w:sz w:val="24"/>
        </w:rPr>
        <w:t>Nucleic Acids Res</w:t>
      </w:r>
      <w:r w:rsidRPr="00BC1372">
        <w:rPr>
          <w:rFonts w:ascii="Times New Roman" w:hAnsi="Times New Roman"/>
          <w:noProof/>
          <w:sz w:val="24"/>
        </w:rPr>
        <w:t xml:space="preserve"> 2008; </w:t>
      </w:r>
      <w:r w:rsidRPr="00BC1372">
        <w:rPr>
          <w:rFonts w:ascii="Times New Roman" w:hAnsi="Times New Roman"/>
          <w:b/>
          <w:bCs/>
          <w:noProof/>
          <w:sz w:val="24"/>
        </w:rPr>
        <w:t>36</w:t>
      </w:r>
      <w:r w:rsidRPr="00BC1372">
        <w:rPr>
          <w:rFonts w:ascii="Times New Roman" w:hAnsi="Times New Roman"/>
          <w:noProof/>
          <w:sz w:val="24"/>
        </w:rPr>
        <w:t>: D753–60.</w:t>
      </w:r>
    </w:p>
    <w:p w14:paraId="710607E5"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44 </w:t>
      </w:r>
      <w:r w:rsidRPr="00BC1372">
        <w:rPr>
          <w:rFonts w:ascii="Times New Roman" w:hAnsi="Times New Roman"/>
          <w:noProof/>
          <w:sz w:val="24"/>
        </w:rPr>
        <w:tab/>
        <w:t xml:space="preserve">Longerich S, Tanaka A, Bozek G, Nicolae D, Storb U. The very 5’ end and the constant region of Ig genes are spared from somatic mutation because AID does not access these regions. </w:t>
      </w:r>
      <w:r w:rsidRPr="00BC1372">
        <w:rPr>
          <w:rFonts w:ascii="Times New Roman" w:hAnsi="Times New Roman"/>
          <w:i/>
          <w:iCs/>
          <w:noProof/>
          <w:sz w:val="24"/>
        </w:rPr>
        <w:t>J Exp Med</w:t>
      </w:r>
      <w:r w:rsidRPr="00BC1372">
        <w:rPr>
          <w:rFonts w:ascii="Times New Roman" w:hAnsi="Times New Roman"/>
          <w:noProof/>
          <w:sz w:val="24"/>
        </w:rPr>
        <w:t xml:space="preserve"> 2005; </w:t>
      </w:r>
      <w:r w:rsidRPr="00BC1372">
        <w:rPr>
          <w:rFonts w:ascii="Times New Roman" w:hAnsi="Times New Roman"/>
          <w:b/>
          <w:bCs/>
          <w:noProof/>
          <w:sz w:val="24"/>
        </w:rPr>
        <w:t>202</w:t>
      </w:r>
      <w:r w:rsidRPr="00BC1372">
        <w:rPr>
          <w:rFonts w:ascii="Times New Roman" w:hAnsi="Times New Roman"/>
          <w:noProof/>
          <w:sz w:val="24"/>
        </w:rPr>
        <w:t>: 1443–1454.</w:t>
      </w:r>
    </w:p>
    <w:p w14:paraId="0F69BEF3"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45 </w:t>
      </w:r>
      <w:r w:rsidRPr="00BC1372">
        <w:rPr>
          <w:rFonts w:ascii="Times New Roman" w:hAnsi="Times New Roman"/>
          <w:noProof/>
          <w:sz w:val="24"/>
        </w:rPr>
        <w:tab/>
        <w:t xml:space="preserve">Team RDC. R: A language and environment for statistical computing. </w:t>
      </w:r>
      <w:r w:rsidRPr="00BC1372">
        <w:rPr>
          <w:rFonts w:ascii="Times New Roman" w:hAnsi="Times New Roman"/>
          <w:i/>
          <w:iCs/>
          <w:noProof/>
          <w:sz w:val="24"/>
        </w:rPr>
        <w:t>R Found Stat Comput Vienna, Austria</w:t>
      </w:r>
      <w:r w:rsidRPr="00BC1372">
        <w:rPr>
          <w:rFonts w:ascii="Times New Roman" w:hAnsi="Times New Roman"/>
          <w:noProof/>
          <w:sz w:val="24"/>
        </w:rPr>
        <w:t xml:space="preserve"> 2008.</w:t>
      </w:r>
    </w:p>
    <w:p w14:paraId="66CF3356" w14:textId="77777777" w:rsidR="00BC1372" w:rsidRPr="00BC1372" w:rsidRDefault="00BC1372">
      <w:pPr>
        <w:pStyle w:val="NormalWeb"/>
        <w:ind w:left="640" w:hanging="640"/>
        <w:divId w:val="633758756"/>
        <w:rPr>
          <w:rFonts w:ascii="Times New Roman" w:hAnsi="Times New Roman"/>
          <w:noProof/>
          <w:sz w:val="24"/>
        </w:rPr>
      </w:pPr>
      <w:r w:rsidRPr="00BC1372">
        <w:rPr>
          <w:rFonts w:ascii="Times New Roman" w:hAnsi="Times New Roman"/>
          <w:noProof/>
          <w:sz w:val="24"/>
        </w:rPr>
        <w:t xml:space="preserve">46 </w:t>
      </w:r>
      <w:r w:rsidRPr="00BC1372">
        <w:rPr>
          <w:rFonts w:ascii="Times New Roman" w:hAnsi="Times New Roman"/>
          <w:noProof/>
          <w:sz w:val="24"/>
        </w:rPr>
        <w:tab/>
        <w:t xml:space="preserve">Wickham H. </w:t>
      </w:r>
      <w:r w:rsidRPr="00BC1372">
        <w:rPr>
          <w:rFonts w:ascii="Times New Roman" w:hAnsi="Times New Roman"/>
          <w:i/>
          <w:iCs/>
          <w:noProof/>
          <w:sz w:val="24"/>
        </w:rPr>
        <w:t>ggplot2: Elegant Graphics for Data Analysis</w:t>
      </w:r>
      <w:r w:rsidRPr="00BC1372">
        <w:rPr>
          <w:rFonts w:ascii="Times New Roman" w:hAnsi="Times New Roman"/>
          <w:noProof/>
          <w:sz w:val="24"/>
        </w:rPr>
        <w:t xml:space="preserve">. Springer; 1st ed. 2009. Corr. 3rd printing 2010 edition, 2009. </w:t>
      </w:r>
    </w:p>
    <w:p w14:paraId="0DCA804B" w14:textId="3459EB04" w:rsidR="004F4FA0" w:rsidRPr="00F36532" w:rsidRDefault="00036C56" w:rsidP="00BC1372">
      <w:pPr>
        <w:pStyle w:val="NormalWeb"/>
        <w:ind w:left="640" w:hanging="640"/>
        <w:divId w:val="1421490513"/>
        <w:rPr>
          <w:rFonts w:ascii="Times New Roman" w:hAnsi="Times New Roman"/>
          <w:lang w:val="en-US"/>
        </w:rPr>
      </w:pPr>
      <w:r w:rsidRPr="00F36532">
        <w:rPr>
          <w:rFonts w:ascii="Times New Roman" w:hAnsi="Times New Roman"/>
          <w:sz w:val="24"/>
          <w:szCs w:val="24"/>
          <w:lang w:val="en-US"/>
        </w:rPr>
        <w:fldChar w:fldCharType="end"/>
      </w:r>
      <w:r w:rsidR="004F4FA0" w:rsidRPr="00F36532">
        <w:rPr>
          <w:rFonts w:ascii="Times New Roman" w:hAnsi="Times New Roman"/>
          <w:lang w:val="en-US"/>
        </w:rPr>
        <w:br w:type="page"/>
      </w:r>
    </w:p>
    <w:p w14:paraId="144FA016" w14:textId="4DBD259D" w:rsidR="004D1824" w:rsidRPr="00F36532" w:rsidRDefault="004D1824" w:rsidP="006714FF">
      <w:pPr>
        <w:pStyle w:val="Heading1"/>
      </w:pPr>
      <w:r w:rsidRPr="00F36532">
        <w:t>Figure Legends</w:t>
      </w:r>
    </w:p>
    <w:p w14:paraId="14D64A8F" w14:textId="1832917F" w:rsidR="00251CCF" w:rsidRPr="008A4B25" w:rsidRDefault="00251CCF" w:rsidP="00D62163">
      <w:pPr>
        <w:spacing w:line="480" w:lineRule="auto"/>
        <w:jc w:val="both"/>
        <w:rPr>
          <w:rFonts w:ascii="Times New Roman" w:hAnsi="Times New Roman" w:cs="Times New Roman"/>
          <w:b/>
          <w:bCs/>
          <w:color w:val="000000" w:themeColor="text1"/>
        </w:rPr>
      </w:pPr>
      <w:r w:rsidRPr="00F36532">
        <w:rPr>
          <w:rFonts w:ascii="Times New Roman" w:hAnsi="Times New Roman" w:cs="Times New Roman"/>
          <w:b/>
        </w:rPr>
        <w:t xml:space="preserve">Fig. 1. </w:t>
      </w:r>
      <w:r w:rsidR="00B7403C" w:rsidRPr="00F36532">
        <w:rPr>
          <w:rFonts w:ascii="Times New Roman" w:hAnsi="Times New Roman" w:cs="Times New Roman"/>
          <w:b/>
          <w:bCs/>
        </w:rPr>
        <w:t>S</w:t>
      </w:r>
      <w:r w:rsidRPr="00F36532">
        <w:rPr>
          <w:rFonts w:ascii="Times New Roman" w:hAnsi="Times New Roman" w:cs="Times New Roman"/>
          <w:b/>
          <w:bCs/>
        </w:rPr>
        <w:t xml:space="preserve">tudy plan and sampling protocol. Four participants were given a conjugate, and five </w:t>
      </w:r>
      <w:r w:rsidR="00B7403C" w:rsidRPr="00F36532">
        <w:rPr>
          <w:rFonts w:ascii="Times New Roman" w:hAnsi="Times New Roman" w:cs="Times New Roman"/>
          <w:b/>
          <w:bCs/>
        </w:rPr>
        <w:t xml:space="preserve">participants </w:t>
      </w:r>
      <w:r w:rsidRPr="00F36532">
        <w:rPr>
          <w:rFonts w:ascii="Times New Roman" w:hAnsi="Times New Roman" w:cs="Times New Roman"/>
          <w:b/>
          <w:bCs/>
        </w:rPr>
        <w:t xml:space="preserve">given a polysaccharide MenACWY vaccine at day 0. All </w:t>
      </w:r>
      <w:r w:rsidR="00B7403C" w:rsidRPr="00F36532">
        <w:rPr>
          <w:rFonts w:ascii="Times New Roman" w:hAnsi="Times New Roman" w:cs="Times New Roman"/>
          <w:b/>
          <w:bCs/>
        </w:rPr>
        <w:t xml:space="preserve">participants </w:t>
      </w:r>
      <w:r w:rsidRPr="00F36532">
        <w:rPr>
          <w:rFonts w:ascii="Times New Roman" w:hAnsi="Times New Roman" w:cs="Times New Roman"/>
          <w:b/>
          <w:bCs/>
        </w:rPr>
        <w:t xml:space="preserve">were given the conjugate vaccine at </w:t>
      </w:r>
      <w:r w:rsidRPr="008A4B25">
        <w:rPr>
          <w:rFonts w:ascii="Times New Roman" w:hAnsi="Times New Roman" w:cs="Times New Roman"/>
          <w:b/>
          <w:bCs/>
          <w:color w:val="000000" w:themeColor="text1"/>
        </w:rPr>
        <w:t xml:space="preserve">day 28. All participants had blood taken 7 days after each vaccine for </w:t>
      </w:r>
      <w:r w:rsidR="0033414C" w:rsidRPr="008A4B25">
        <w:rPr>
          <w:rFonts w:ascii="Times New Roman" w:hAnsi="Times New Roman" w:cs="Times New Roman"/>
          <w:b/>
          <w:bCs/>
          <w:color w:val="000000" w:themeColor="text1"/>
        </w:rPr>
        <w:t>PC</w:t>
      </w:r>
      <w:r w:rsidR="009B24BA" w:rsidRPr="008A4B25">
        <w:rPr>
          <w:rFonts w:ascii="Times New Roman" w:hAnsi="Times New Roman" w:cs="Times New Roman"/>
          <w:b/>
          <w:bCs/>
          <w:color w:val="000000" w:themeColor="text1"/>
        </w:rPr>
        <w:t xml:space="preserve"> </w:t>
      </w:r>
      <w:r w:rsidRPr="008A4B25">
        <w:rPr>
          <w:rFonts w:ascii="Times New Roman" w:hAnsi="Times New Roman" w:cs="Times New Roman"/>
          <w:b/>
          <w:bCs/>
          <w:color w:val="000000" w:themeColor="text1"/>
        </w:rPr>
        <w:t>repertoire analysis. Each participant also had blood taken on either the day of the first vaccine or the day of the second vaccine (but not both) for repertoire analysis</w:t>
      </w:r>
      <w:r w:rsidR="009B24BA" w:rsidRPr="008A4B25">
        <w:rPr>
          <w:rFonts w:ascii="Times New Roman" w:hAnsi="Times New Roman" w:cs="Times New Roman"/>
          <w:b/>
          <w:bCs/>
          <w:color w:val="000000" w:themeColor="text1"/>
        </w:rPr>
        <w:t xml:space="preserve"> of baseline B cell subsets</w:t>
      </w:r>
      <w:r w:rsidRPr="008A4B25">
        <w:rPr>
          <w:rFonts w:ascii="Times New Roman" w:hAnsi="Times New Roman" w:cs="Times New Roman"/>
          <w:b/>
          <w:bCs/>
          <w:color w:val="000000" w:themeColor="text1"/>
        </w:rPr>
        <w:t>.</w:t>
      </w:r>
      <w:r w:rsidR="00F20D4C" w:rsidRPr="008A4B25">
        <w:rPr>
          <w:rFonts w:ascii="Times New Roman" w:hAnsi="Times New Roman" w:cs="Times New Roman"/>
          <w:b/>
          <w:bCs/>
          <w:color w:val="000000" w:themeColor="text1"/>
        </w:rPr>
        <w:t xml:space="preserve"> Fluorescence-activated cell sorting was used to isolated the different B cell subsets at each visit.</w:t>
      </w:r>
    </w:p>
    <w:p w14:paraId="6C58C5A9" w14:textId="77777777" w:rsidR="004D1824" w:rsidRPr="008A4B25" w:rsidRDefault="004D1824" w:rsidP="00D62163">
      <w:pPr>
        <w:spacing w:line="480" w:lineRule="auto"/>
        <w:rPr>
          <w:rFonts w:ascii="Times New Roman" w:hAnsi="Times New Roman" w:cs="Times New Roman"/>
          <w:color w:val="000000" w:themeColor="text1"/>
        </w:rPr>
      </w:pPr>
    </w:p>
    <w:p w14:paraId="7CC0BCED" w14:textId="0D004AE9" w:rsidR="00A80D5F" w:rsidRPr="008A4B25" w:rsidRDefault="00A80D5F" w:rsidP="002B25D3">
      <w:pPr>
        <w:spacing w:line="480" w:lineRule="auto"/>
        <w:jc w:val="both"/>
        <w:rPr>
          <w:rFonts w:ascii="Times New Roman" w:hAnsi="Times New Roman" w:cs="Times New Roman"/>
          <w:b/>
          <w:color w:val="000000" w:themeColor="text1"/>
        </w:rPr>
      </w:pPr>
      <w:r w:rsidRPr="008A4B25">
        <w:rPr>
          <w:rFonts w:ascii="Times New Roman" w:hAnsi="Times New Roman" w:cs="Times New Roman"/>
          <w:b/>
          <w:color w:val="000000" w:themeColor="text1"/>
        </w:rPr>
        <w:t>Fig. 2. Val</w:t>
      </w:r>
      <w:r w:rsidR="0067754D" w:rsidRPr="008A4B25">
        <w:rPr>
          <w:rFonts w:ascii="Times New Roman" w:hAnsi="Times New Roman" w:cs="Times New Roman"/>
          <w:b/>
          <w:color w:val="000000" w:themeColor="text1"/>
        </w:rPr>
        <w:t xml:space="preserve">idation of clustering parameters. A) Distribution of reads with different </w:t>
      </w:r>
      <w:r w:rsidR="00E62124" w:rsidRPr="008A4B25">
        <w:rPr>
          <w:rFonts w:ascii="Times New Roman" w:hAnsi="Times New Roman" w:cs="Times New Roman"/>
          <w:b/>
          <w:color w:val="000000" w:themeColor="text1"/>
        </w:rPr>
        <w:t xml:space="preserve">CDR3 AA </w:t>
      </w:r>
      <w:r w:rsidR="0067754D" w:rsidRPr="008A4B25">
        <w:rPr>
          <w:rFonts w:ascii="Times New Roman" w:hAnsi="Times New Roman" w:cs="Times New Roman"/>
          <w:b/>
          <w:color w:val="000000" w:themeColor="text1"/>
        </w:rPr>
        <w:t xml:space="preserve">distances to their closest </w:t>
      </w:r>
      <w:r w:rsidR="00560AA5" w:rsidRPr="008A4B25">
        <w:rPr>
          <w:rFonts w:ascii="Times New Roman" w:hAnsi="Times New Roman" w:cs="Times New Roman"/>
          <w:b/>
          <w:color w:val="000000" w:themeColor="text1"/>
        </w:rPr>
        <w:t>neighbor</w:t>
      </w:r>
      <w:r w:rsidR="0067754D" w:rsidRPr="008A4B25">
        <w:rPr>
          <w:rFonts w:ascii="Times New Roman" w:hAnsi="Times New Roman" w:cs="Times New Roman"/>
          <w:b/>
          <w:color w:val="000000" w:themeColor="text1"/>
        </w:rPr>
        <w:t xml:space="preserve">. </w:t>
      </w:r>
      <w:r w:rsidR="00FA7969" w:rsidRPr="008A4B25">
        <w:rPr>
          <w:rFonts w:ascii="Times New Roman" w:hAnsi="Times New Roman" w:cs="Times New Roman"/>
          <w:b/>
          <w:color w:val="000000" w:themeColor="text1"/>
        </w:rPr>
        <w:t xml:space="preserve">Calculated separately for each participant, and mean values plotted for each cell subset. B) </w:t>
      </w:r>
      <w:r w:rsidR="009F3DA7" w:rsidRPr="008A4B25">
        <w:rPr>
          <w:rFonts w:ascii="Times New Roman" w:hAnsi="Times New Roman" w:cs="Times New Roman"/>
          <w:b/>
          <w:color w:val="000000" w:themeColor="text1"/>
        </w:rPr>
        <w:t xml:space="preserve">Correlation between degree of over-sequencing (number of sequences / number of cells) and the proportion of reads with a distance of 2 or fewer AA differences to their closest </w:t>
      </w:r>
      <w:r w:rsidR="00560AA5" w:rsidRPr="008A4B25">
        <w:rPr>
          <w:rFonts w:ascii="Times New Roman" w:hAnsi="Times New Roman" w:cs="Times New Roman"/>
          <w:b/>
          <w:color w:val="000000" w:themeColor="text1"/>
        </w:rPr>
        <w:t>neighbor</w:t>
      </w:r>
      <w:r w:rsidR="009F3DA7" w:rsidRPr="008A4B25">
        <w:rPr>
          <w:rFonts w:ascii="Times New Roman" w:hAnsi="Times New Roman" w:cs="Times New Roman"/>
          <w:b/>
          <w:color w:val="000000" w:themeColor="text1"/>
        </w:rPr>
        <w:t xml:space="preserve">, calculated for each cell subset. Error bars indicate </w:t>
      </w:r>
      <w:r w:rsidR="00D006D7" w:rsidRPr="008A4B25">
        <w:rPr>
          <w:rFonts w:ascii="Times New Roman" w:hAnsi="Times New Roman" w:cs="Times New Roman"/>
          <w:b/>
          <w:color w:val="000000" w:themeColor="text1"/>
        </w:rPr>
        <w:t>± SEM.</w:t>
      </w:r>
      <w:r w:rsidR="009F3DA7" w:rsidRPr="008A4B25">
        <w:rPr>
          <w:rFonts w:ascii="Times New Roman" w:hAnsi="Times New Roman" w:cs="Times New Roman"/>
          <w:b/>
          <w:color w:val="000000" w:themeColor="text1"/>
        </w:rPr>
        <w:t xml:space="preserve"> </w:t>
      </w:r>
      <w:r w:rsidR="00D006D7" w:rsidRPr="008A4B25">
        <w:rPr>
          <w:rFonts w:ascii="Times New Roman" w:hAnsi="Times New Roman" w:cs="Times New Roman"/>
          <w:b/>
          <w:color w:val="000000" w:themeColor="text1"/>
        </w:rPr>
        <w:t xml:space="preserve">Regression line, and correlation coefficient with corresponding p value are shown. </w:t>
      </w:r>
      <w:r w:rsidR="00E62124" w:rsidRPr="008A4B25">
        <w:rPr>
          <w:rFonts w:ascii="Times New Roman" w:hAnsi="Times New Roman" w:cs="Times New Roman"/>
          <w:b/>
          <w:color w:val="000000" w:themeColor="text1"/>
        </w:rPr>
        <w:t xml:space="preserve">C) Correlation between cell number for a particular sample, and the number of sequences (after clustering) for that sample. </w:t>
      </w:r>
    </w:p>
    <w:p w14:paraId="32DFDB2B" w14:textId="77777777" w:rsidR="00A80D5F" w:rsidRPr="008A4B25" w:rsidRDefault="00A80D5F" w:rsidP="00D62163">
      <w:pPr>
        <w:spacing w:line="480" w:lineRule="auto"/>
        <w:rPr>
          <w:rFonts w:ascii="Times New Roman" w:hAnsi="Times New Roman" w:cs="Times New Roman"/>
          <w:color w:val="000000" w:themeColor="text1"/>
        </w:rPr>
      </w:pPr>
    </w:p>
    <w:p w14:paraId="6E37E87E" w14:textId="317F7679" w:rsidR="00251CCF" w:rsidRPr="008A4B25" w:rsidRDefault="00A80D5F" w:rsidP="00D62163">
      <w:pPr>
        <w:spacing w:line="480" w:lineRule="auto"/>
        <w:jc w:val="both"/>
        <w:rPr>
          <w:rFonts w:ascii="Times New Roman" w:hAnsi="Times New Roman" w:cs="Times New Roman"/>
          <w:b/>
          <w:color w:val="000000" w:themeColor="text1"/>
        </w:rPr>
      </w:pPr>
      <w:r w:rsidRPr="008A4B25">
        <w:rPr>
          <w:rFonts w:ascii="Times New Roman" w:hAnsi="Times New Roman" w:cs="Times New Roman"/>
          <w:b/>
          <w:color w:val="000000" w:themeColor="text1"/>
        </w:rPr>
        <w:t>Fig. 3</w:t>
      </w:r>
      <w:r w:rsidR="00251CCF" w:rsidRPr="008A4B25">
        <w:rPr>
          <w:rFonts w:ascii="Times New Roman" w:hAnsi="Times New Roman" w:cs="Times New Roman"/>
          <w:b/>
          <w:color w:val="000000" w:themeColor="text1"/>
        </w:rPr>
        <w:t xml:space="preserve">. Repertoire differences in the different cell subsets. </w:t>
      </w:r>
      <w:r w:rsidR="00FA7969" w:rsidRPr="008A4B25">
        <w:rPr>
          <w:rFonts w:ascii="Times New Roman" w:hAnsi="Times New Roman" w:cs="Times New Roman"/>
          <w:b/>
          <w:color w:val="000000" w:themeColor="text1"/>
        </w:rPr>
        <w:t xml:space="preserve">Differences in </w:t>
      </w:r>
      <w:r w:rsidR="00251CCF" w:rsidRPr="008A4B25">
        <w:rPr>
          <w:rFonts w:ascii="Times New Roman" w:hAnsi="Times New Roman" w:cs="Times New Roman"/>
          <w:b/>
          <w:color w:val="000000" w:themeColor="text1"/>
        </w:rPr>
        <w:t xml:space="preserve">A) </w:t>
      </w:r>
      <w:r w:rsidR="00FA7969" w:rsidRPr="008A4B25">
        <w:rPr>
          <w:rFonts w:ascii="Times New Roman" w:hAnsi="Times New Roman" w:cs="Times New Roman"/>
          <w:b/>
          <w:color w:val="000000" w:themeColor="text1"/>
        </w:rPr>
        <w:t>clonality, B</w:t>
      </w:r>
      <w:r w:rsidR="00251CCF" w:rsidRPr="008A4B25">
        <w:rPr>
          <w:rFonts w:ascii="Times New Roman" w:hAnsi="Times New Roman" w:cs="Times New Roman"/>
          <w:b/>
          <w:color w:val="000000" w:themeColor="text1"/>
        </w:rPr>
        <w:t xml:space="preserve">) V gene mutation and </w:t>
      </w:r>
      <w:r w:rsidR="00FA7969" w:rsidRPr="008A4B25">
        <w:rPr>
          <w:rFonts w:ascii="Times New Roman" w:hAnsi="Times New Roman" w:cs="Times New Roman"/>
          <w:b/>
          <w:color w:val="000000" w:themeColor="text1"/>
        </w:rPr>
        <w:t>C</w:t>
      </w:r>
      <w:r w:rsidR="00251CCF" w:rsidRPr="008A4B25">
        <w:rPr>
          <w:rFonts w:ascii="Times New Roman" w:hAnsi="Times New Roman" w:cs="Times New Roman"/>
          <w:b/>
          <w:color w:val="000000" w:themeColor="text1"/>
        </w:rPr>
        <w:t xml:space="preserve">) CDR3 </w:t>
      </w:r>
      <w:r w:rsidR="00E11ACB" w:rsidRPr="008A4B25">
        <w:rPr>
          <w:rFonts w:ascii="Times New Roman" w:hAnsi="Times New Roman" w:cs="Times New Roman"/>
          <w:b/>
          <w:color w:val="000000" w:themeColor="text1"/>
        </w:rPr>
        <w:t>AA</w:t>
      </w:r>
      <w:r w:rsidR="00251CCF" w:rsidRPr="008A4B25">
        <w:rPr>
          <w:rFonts w:ascii="Times New Roman" w:hAnsi="Times New Roman" w:cs="Times New Roman"/>
          <w:b/>
          <w:color w:val="000000" w:themeColor="text1"/>
        </w:rPr>
        <w:t xml:space="preserve"> length between the different cell subsets. For </w:t>
      </w:r>
      <w:r w:rsidR="00FA7969" w:rsidRPr="008A4B25">
        <w:rPr>
          <w:rFonts w:ascii="Times New Roman" w:hAnsi="Times New Roman" w:cs="Times New Roman"/>
          <w:b/>
          <w:color w:val="000000" w:themeColor="text1"/>
        </w:rPr>
        <w:t>A,</w:t>
      </w:r>
      <w:r w:rsidR="00251CCF" w:rsidRPr="008A4B25">
        <w:rPr>
          <w:rFonts w:ascii="Times New Roman" w:hAnsi="Times New Roman" w:cs="Times New Roman"/>
          <w:b/>
          <w:color w:val="000000" w:themeColor="text1"/>
        </w:rPr>
        <w:t xml:space="preserve">B and </w:t>
      </w:r>
      <w:r w:rsidR="00FA7969" w:rsidRPr="008A4B25">
        <w:rPr>
          <w:rFonts w:ascii="Times New Roman" w:hAnsi="Times New Roman" w:cs="Times New Roman"/>
          <w:b/>
          <w:color w:val="000000" w:themeColor="text1"/>
        </w:rPr>
        <w:t>C</w:t>
      </w:r>
      <w:r w:rsidR="00251CCF" w:rsidRPr="008A4B25">
        <w:rPr>
          <w:rFonts w:ascii="Times New Roman" w:hAnsi="Times New Roman" w:cs="Times New Roman"/>
          <w:b/>
          <w:color w:val="000000" w:themeColor="text1"/>
        </w:rPr>
        <w:t>, boxes show locations of 25, 50 and 75</w:t>
      </w:r>
      <w:r w:rsidR="00251CCF" w:rsidRPr="008A4B25">
        <w:rPr>
          <w:rFonts w:ascii="Times New Roman" w:hAnsi="Times New Roman" w:cs="Times New Roman"/>
          <w:b/>
          <w:color w:val="000000" w:themeColor="text1"/>
          <w:vertAlign w:val="superscript"/>
        </w:rPr>
        <w:t>th</w:t>
      </w:r>
      <w:r w:rsidR="00251CCF" w:rsidRPr="008A4B25">
        <w:rPr>
          <w:rFonts w:ascii="Times New Roman" w:hAnsi="Times New Roman" w:cs="Times New Roman"/>
          <w:b/>
          <w:color w:val="000000" w:themeColor="text1"/>
        </w:rPr>
        <w:t xml:space="preserve"> percentiles. Whiskers show data within 1.5x the interquartile range. </w:t>
      </w:r>
      <w:r w:rsidR="00A27BDC" w:rsidRPr="008A4B25">
        <w:rPr>
          <w:rFonts w:ascii="Times New Roman" w:hAnsi="Times New Roman" w:cs="Times New Roman"/>
          <w:b/>
          <w:color w:val="000000" w:themeColor="text1"/>
        </w:rPr>
        <w:t xml:space="preserve">Samples from all participants and timepoints were included together in the analysis. </w:t>
      </w:r>
      <w:r w:rsidR="00FA7969" w:rsidRPr="008A4B25">
        <w:rPr>
          <w:rFonts w:ascii="Times New Roman" w:hAnsi="Times New Roman" w:cs="Times New Roman"/>
          <w:b/>
          <w:color w:val="000000" w:themeColor="text1"/>
        </w:rPr>
        <w:t>D</w:t>
      </w:r>
      <w:r w:rsidR="00251CCF" w:rsidRPr="008A4B25">
        <w:rPr>
          <w:rFonts w:ascii="Times New Roman" w:hAnsi="Times New Roman" w:cs="Times New Roman"/>
          <w:b/>
          <w:color w:val="000000" w:themeColor="text1"/>
        </w:rPr>
        <w:t xml:space="preserve">) Principal component analysis </w:t>
      </w:r>
      <w:r w:rsidR="00560AA5" w:rsidRPr="008A4B25">
        <w:rPr>
          <w:rFonts w:ascii="Times New Roman" w:hAnsi="Times New Roman" w:cs="Times New Roman"/>
          <w:b/>
          <w:color w:val="000000" w:themeColor="text1"/>
        </w:rPr>
        <w:t xml:space="preserve">including just the baseline cell subsets, just the plasma cell subsets, or all cell subsets together, </w:t>
      </w:r>
      <w:r w:rsidR="00251CCF" w:rsidRPr="008A4B25">
        <w:rPr>
          <w:rFonts w:ascii="Times New Roman" w:hAnsi="Times New Roman" w:cs="Times New Roman"/>
          <w:b/>
          <w:color w:val="000000" w:themeColor="text1"/>
        </w:rPr>
        <w:t xml:space="preserve">utilizing the clonality, V gene mutation, and CDR3 length variables. </w:t>
      </w:r>
      <w:r w:rsidR="007B72B1" w:rsidRPr="008A4B25">
        <w:rPr>
          <w:rFonts w:ascii="Times New Roman" w:hAnsi="Times New Roman" w:cs="Times New Roman"/>
          <w:b/>
          <w:color w:val="000000" w:themeColor="text1"/>
        </w:rPr>
        <w:t xml:space="preserve">E) </w:t>
      </w:r>
      <w:r w:rsidR="00890C4F" w:rsidRPr="008A4B25">
        <w:rPr>
          <w:rFonts w:ascii="Times New Roman" w:hAnsi="Times New Roman" w:cs="Times New Roman"/>
          <w:b/>
          <w:color w:val="000000" w:themeColor="text1"/>
        </w:rPr>
        <w:t>Proportion of sequences utilizing different V gene families in the different cell subsets. Error bars indicate ± SEM.</w:t>
      </w:r>
    </w:p>
    <w:p w14:paraId="17DBDED8" w14:textId="77777777" w:rsidR="00251CCF" w:rsidRPr="008A4B25" w:rsidRDefault="00251CCF" w:rsidP="00D62163">
      <w:pPr>
        <w:spacing w:line="480" w:lineRule="auto"/>
        <w:jc w:val="both"/>
        <w:rPr>
          <w:rFonts w:ascii="Times New Roman" w:hAnsi="Times New Roman" w:cs="Times New Roman"/>
          <w:b/>
          <w:color w:val="000000" w:themeColor="text1"/>
        </w:rPr>
      </w:pPr>
    </w:p>
    <w:p w14:paraId="5F4C662A" w14:textId="788F0D6A" w:rsidR="00251CCF" w:rsidRPr="008A4B25" w:rsidRDefault="00A80D5F" w:rsidP="00D62163">
      <w:pPr>
        <w:spacing w:line="480" w:lineRule="auto"/>
        <w:jc w:val="both"/>
        <w:rPr>
          <w:rFonts w:ascii="Times New Roman" w:hAnsi="Times New Roman" w:cs="Times New Roman"/>
          <w:b/>
          <w:color w:val="000000" w:themeColor="text1"/>
        </w:rPr>
      </w:pPr>
      <w:r w:rsidRPr="008A4B25">
        <w:rPr>
          <w:rFonts w:ascii="Times New Roman" w:hAnsi="Times New Roman" w:cs="Times New Roman"/>
          <w:b/>
          <w:color w:val="000000" w:themeColor="text1"/>
        </w:rPr>
        <w:t>Fig. 4</w:t>
      </w:r>
      <w:r w:rsidR="00251CCF" w:rsidRPr="008A4B25">
        <w:rPr>
          <w:rFonts w:ascii="Times New Roman" w:hAnsi="Times New Roman" w:cs="Times New Roman"/>
          <w:b/>
          <w:color w:val="000000" w:themeColor="text1"/>
        </w:rPr>
        <w:t xml:space="preserve">. Percent of </w:t>
      </w:r>
      <w:r w:rsidR="00A55C42" w:rsidRPr="008A4B25">
        <w:rPr>
          <w:rFonts w:ascii="Times New Roman" w:hAnsi="Times New Roman" w:cs="Times New Roman"/>
          <w:b/>
          <w:color w:val="000000" w:themeColor="text1"/>
        </w:rPr>
        <w:t xml:space="preserve">CDR3 </w:t>
      </w:r>
      <w:r w:rsidR="00E11ACB" w:rsidRPr="008A4B25">
        <w:rPr>
          <w:rFonts w:ascii="Times New Roman" w:hAnsi="Times New Roman" w:cs="Times New Roman"/>
          <w:b/>
          <w:color w:val="000000" w:themeColor="text1"/>
        </w:rPr>
        <w:t>AA</w:t>
      </w:r>
      <w:r w:rsidR="00A55C42" w:rsidRPr="008A4B25">
        <w:rPr>
          <w:rFonts w:ascii="Times New Roman" w:hAnsi="Times New Roman" w:cs="Times New Roman"/>
          <w:b/>
          <w:color w:val="000000" w:themeColor="text1"/>
        </w:rPr>
        <w:t xml:space="preserve"> </w:t>
      </w:r>
      <w:r w:rsidR="00251CCF" w:rsidRPr="008A4B25">
        <w:rPr>
          <w:rFonts w:ascii="Times New Roman" w:hAnsi="Times New Roman" w:cs="Times New Roman"/>
          <w:b/>
          <w:color w:val="000000" w:themeColor="text1"/>
        </w:rPr>
        <w:t xml:space="preserve">sequences shared either within or between the two vaccine groups in the different subsets on the different days. </w:t>
      </w:r>
      <w:r w:rsidR="00131E1A" w:rsidRPr="008A4B25">
        <w:rPr>
          <w:rFonts w:ascii="Times New Roman" w:hAnsi="Times New Roman" w:cs="Times New Roman"/>
          <w:b/>
          <w:color w:val="000000" w:themeColor="text1"/>
        </w:rPr>
        <w:t xml:space="preserve">Within vaccine group shared sequences are shared between at least two participants. </w:t>
      </w:r>
      <w:r w:rsidR="00251CCF" w:rsidRPr="008A4B25">
        <w:rPr>
          <w:rFonts w:ascii="Times New Roman" w:hAnsi="Times New Roman" w:cs="Times New Roman"/>
          <w:b/>
          <w:color w:val="000000" w:themeColor="text1"/>
        </w:rPr>
        <w:t>Percent shared between A and B = (A∩B/</w:t>
      </w:r>
      <w:r w:rsidR="00131E1A" w:rsidRPr="008A4B25">
        <w:rPr>
          <w:rFonts w:ascii="Times New Roman" w:hAnsi="Times New Roman" w:cs="Times New Roman"/>
          <w:b/>
          <w:color w:val="000000" w:themeColor="text1"/>
        </w:rPr>
        <w:t>sum</w:t>
      </w:r>
      <w:r w:rsidR="00251CCF" w:rsidRPr="008A4B25">
        <w:rPr>
          <w:rFonts w:ascii="Times New Roman" w:hAnsi="Times New Roman" w:cs="Times New Roman"/>
          <w:b/>
          <w:color w:val="000000" w:themeColor="text1"/>
        </w:rPr>
        <w:t>(A,B)*100</w:t>
      </w:r>
      <w:r w:rsidR="002A30C7" w:rsidRPr="008A4B25">
        <w:rPr>
          <w:rFonts w:ascii="Times New Roman" w:hAnsi="Times New Roman" w:cs="Times New Roman"/>
          <w:b/>
          <w:color w:val="000000" w:themeColor="text1"/>
        </w:rPr>
        <w:t>)</w:t>
      </w:r>
      <w:r w:rsidR="00251CCF" w:rsidRPr="008A4B25">
        <w:rPr>
          <w:rFonts w:ascii="Times New Roman" w:hAnsi="Times New Roman" w:cs="Times New Roman"/>
          <w:b/>
          <w:color w:val="000000" w:themeColor="text1"/>
        </w:rPr>
        <w:t>.</w:t>
      </w:r>
    </w:p>
    <w:p w14:paraId="6900D085" w14:textId="77777777" w:rsidR="00251CCF" w:rsidRPr="008A4B25" w:rsidRDefault="00251CCF" w:rsidP="00D62163">
      <w:pPr>
        <w:spacing w:line="480" w:lineRule="auto"/>
        <w:jc w:val="both"/>
        <w:rPr>
          <w:rFonts w:ascii="Times New Roman" w:hAnsi="Times New Roman" w:cs="Times New Roman"/>
          <w:b/>
          <w:color w:val="000000" w:themeColor="text1"/>
        </w:rPr>
      </w:pPr>
    </w:p>
    <w:p w14:paraId="2122A5D6" w14:textId="5CFA000B" w:rsidR="00251CCF" w:rsidRPr="008A4B25" w:rsidRDefault="00A80D5F" w:rsidP="00D62163">
      <w:pPr>
        <w:spacing w:line="480" w:lineRule="auto"/>
        <w:jc w:val="both"/>
        <w:rPr>
          <w:rFonts w:ascii="Times New Roman" w:hAnsi="Times New Roman" w:cs="Times New Roman"/>
          <w:b/>
          <w:bCs/>
          <w:strike/>
          <w:color w:val="000000" w:themeColor="text1"/>
        </w:rPr>
      </w:pPr>
      <w:r w:rsidRPr="008A4B25">
        <w:rPr>
          <w:rFonts w:ascii="Times New Roman" w:hAnsi="Times New Roman" w:cs="Times New Roman"/>
          <w:b/>
          <w:color w:val="000000" w:themeColor="text1"/>
        </w:rPr>
        <w:t>Fig. 5</w:t>
      </w:r>
      <w:r w:rsidR="00251CCF" w:rsidRPr="008A4B25">
        <w:rPr>
          <w:rFonts w:ascii="Times New Roman" w:hAnsi="Times New Roman" w:cs="Times New Roman"/>
          <w:b/>
          <w:color w:val="000000" w:themeColor="text1"/>
        </w:rPr>
        <w:t xml:space="preserve">. </w:t>
      </w:r>
      <w:r w:rsidR="00251CCF" w:rsidRPr="008A4B25">
        <w:rPr>
          <w:rFonts w:ascii="Times New Roman" w:hAnsi="Times New Roman" w:cs="Times New Roman"/>
          <w:b/>
          <w:bCs/>
          <w:color w:val="000000" w:themeColor="text1"/>
        </w:rPr>
        <w:t xml:space="preserve">Relationships between baseline subsets and </w:t>
      </w:r>
      <w:r w:rsidR="0033414C" w:rsidRPr="008A4B25">
        <w:rPr>
          <w:rFonts w:ascii="Times New Roman" w:hAnsi="Times New Roman" w:cs="Times New Roman"/>
          <w:b/>
          <w:bCs/>
          <w:color w:val="000000" w:themeColor="text1"/>
        </w:rPr>
        <w:t>PC</w:t>
      </w:r>
      <w:r w:rsidR="00251CCF" w:rsidRPr="008A4B25">
        <w:rPr>
          <w:rFonts w:ascii="Times New Roman" w:hAnsi="Times New Roman" w:cs="Times New Roman"/>
          <w:b/>
          <w:bCs/>
          <w:color w:val="000000" w:themeColor="text1"/>
        </w:rPr>
        <w:t xml:space="preserve">s produced after vaccination. </w:t>
      </w:r>
      <w:r w:rsidR="00200FFF" w:rsidRPr="008A4B25">
        <w:rPr>
          <w:rFonts w:ascii="Times New Roman" w:hAnsi="Times New Roman" w:cs="Times New Roman"/>
          <w:b/>
          <w:color w:val="000000" w:themeColor="text1"/>
        </w:rPr>
        <w:t xml:space="preserve">A) </w:t>
      </w:r>
      <w:r w:rsidR="00331FEB" w:rsidRPr="008A4B25">
        <w:rPr>
          <w:rFonts w:ascii="Times New Roman" w:hAnsi="Times New Roman" w:cs="Times New Roman"/>
          <w:b/>
          <w:bCs/>
          <w:color w:val="000000" w:themeColor="text1"/>
        </w:rPr>
        <w:t>C</w:t>
      </w:r>
      <w:r w:rsidR="00200FFF" w:rsidRPr="008A4B25">
        <w:rPr>
          <w:rFonts w:ascii="Times New Roman" w:hAnsi="Times New Roman" w:cs="Times New Roman"/>
          <w:b/>
          <w:bCs/>
          <w:color w:val="000000" w:themeColor="text1"/>
        </w:rPr>
        <w:t>ircos diagrams</w:t>
      </w:r>
      <w:r w:rsidR="00331FEB" w:rsidRPr="008A4B25">
        <w:rPr>
          <w:rFonts w:ascii="Times New Roman" w:hAnsi="Times New Roman" w:cs="Times New Roman"/>
          <w:b/>
          <w:bCs/>
          <w:color w:val="000000" w:themeColor="text1"/>
        </w:rPr>
        <w:t xml:space="preserve"> from one representative participant in the conjugate group, and one representative participant in the polysaccharide group</w:t>
      </w:r>
      <w:r w:rsidR="00200FFF" w:rsidRPr="008A4B25">
        <w:rPr>
          <w:rFonts w:ascii="Times New Roman" w:hAnsi="Times New Roman" w:cs="Times New Roman"/>
          <w:b/>
          <w:bCs/>
          <w:color w:val="000000" w:themeColor="text1"/>
        </w:rPr>
        <w:t xml:space="preserve"> showing the relationship between baseline subsets, and HLA-DR+ </w:t>
      </w:r>
      <w:r w:rsidR="00742E01" w:rsidRPr="008A4B25">
        <w:rPr>
          <w:rFonts w:ascii="Times New Roman" w:hAnsi="Times New Roman" w:cs="Times New Roman"/>
          <w:b/>
          <w:bCs/>
          <w:color w:val="000000" w:themeColor="text1"/>
        </w:rPr>
        <w:t xml:space="preserve">IgM and IgG </w:t>
      </w:r>
      <w:r w:rsidR="00200FFF" w:rsidRPr="008A4B25">
        <w:rPr>
          <w:rFonts w:ascii="Times New Roman" w:hAnsi="Times New Roman" w:cs="Times New Roman"/>
          <w:b/>
          <w:bCs/>
          <w:color w:val="000000" w:themeColor="text1"/>
        </w:rPr>
        <w:t>PCs after the first vaccination.</w:t>
      </w:r>
      <w:r w:rsidR="00200FFF" w:rsidRPr="008A4B25">
        <w:rPr>
          <w:rFonts w:ascii="Times New Roman" w:hAnsi="Times New Roman" w:cs="Times New Roman"/>
          <w:b/>
          <w:color w:val="000000" w:themeColor="text1"/>
        </w:rPr>
        <w:t xml:space="preserve"> Colored sections represent baseline subsets, and black section represents PCs after vaccination. The length of each section represents the number of different sequences comprising that subset. Sequences are ordered clockwise by abundance, which is represented by the grey histogram. Colored lines join sequences that are present in the PCs, and any one of the baseline subsets. Sequences shared within the different baseline subsets are not shown. </w:t>
      </w:r>
      <w:r w:rsidR="00200FFF" w:rsidRPr="008A4B25">
        <w:rPr>
          <w:rFonts w:ascii="Times New Roman" w:hAnsi="Times New Roman" w:cs="Times New Roman"/>
          <w:b/>
          <w:bCs/>
          <w:color w:val="000000" w:themeColor="text1"/>
        </w:rPr>
        <w:t>B</w:t>
      </w:r>
      <w:r w:rsidR="00251CCF" w:rsidRPr="008A4B25">
        <w:rPr>
          <w:rFonts w:ascii="Times New Roman" w:hAnsi="Times New Roman" w:cs="Times New Roman"/>
          <w:b/>
          <w:bCs/>
          <w:color w:val="000000" w:themeColor="text1"/>
        </w:rPr>
        <w:t xml:space="preserve">) </w:t>
      </w:r>
      <w:r w:rsidR="00F61117" w:rsidRPr="008A4B25">
        <w:rPr>
          <w:rFonts w:ascii="Times New Roman" w:hAnsi="Times New Roman" w:cs="Times New Roman"/>
          <w:b/>
          <w:bCs/>
          <w:color w:val="000000" w:themeColor="text1"/>
        </w:rPr>
        <w:t xml:space="preserve">Probability </w:t>
      </w:r>
      <w:r w:rsidR="008D56B5" w:rsidRPr="008A4B25">
        <w:rPr>
          <w:rFonts w:ascii="Times New Roman" w:hAnsi="Times New Roman" w:cs="Times New Roman"/>
          <w:b/>
          <w:bCs/>
          <w:color w:val="000000" w:themeColor="text1"/>
        </w:rPr>
        <w:t xml:space="preserve">of shared </w:t>
      </w:r>
      <w:r w:rsidR="0033414C" w:rsidRPr="008A4B25">
        <w:rPr>
          <w:rFonts w:ascii="Times New Roman" w:hAnsi="Times New Roman" w:cs="Times New Roman"/>
          <w:b/>
          <w:bCs/>
          <w:color w:val="000000" w:themeColor="text1"/>
        </w:rPr>
        <w:t>PC</w:t>
      </w:r>
      <w:r w:rsidR="008D56B5" w:rsidRPr="008A4B25">
        <w:rPr>
          <w:rFonts w:ascii="Times New Roman" w:hAnsi="Times New Roman" w:cs="Times New Roman"/>
          <w:b/>
          <w:bCs/>
          <w:color w:val="000000" w:themeColor="text1"/>
        </w:rPr>
        <w:t xml:space="preserve"> sequences </w:t>
      </w:r>
      <w:r w:rsidR="004E3787" w:rsidRPr="008A4B25">
        <w:rPr>
          <w:rFonts w:ascii="Times New Roman" w:hAnsi="Times New Roman" w:cs="Times New Roman"/>
          <w:b/>
          <w:bCs/>
          <w:color w:val="000000" w:themeColor="text1"/>
        </w:rPr>
        <w:t xml:space="preserve">at visit 2 </w:t>
      </w:r>
      <w:r w:rsidR="00F61117" w:rsidRPr="008A4B25">
        <w:rPr>
          <w:rFonts w:ascii="Times New Roman" w:hAnsi="Times New Roman" w:cs="Times New Roman"/>
          <w:b/>
          <w:bCs/>
          <w:color w:val="000000" w:themeColor="text1"/>
        </w:rPr>
        <w:t xml:space="preserve">being </w:t>
      </w:r>
      <w:r w:rsidR="008D56B5" w:rsidRPr="008A4B25">
        <w:rPr>
          <w:rFonts w:ascii="Times New Roman" w:hAnsi="Times New Roman" w:cs="Times New Roman"/>
          <w:b/>
          <w:bCs/>
          <w:color w:val="000000" w:themeColor="text1"/>
        </w:rPr>
        <w:t xml:space="preserve">shared with each baseline cell subset for HLA-DR+ IgG and IgM </w:t>
      </w:r>
      <w:r w:rsidR="0033414C" w:rsidRPr="008A4B25">
        <w:rPr>
          <w:rFonts w:ascii="Times New Roman" w:hAnsi="Times New Roman" w:cs="Times New Roman"/>
          <w:b/>
          <w:bCs/>
          <w:color w:val="000000" w:themeColor="text1"/>
        </w:rPr>
        <w:t>PC</w:t>
      </w:r>
      <w:r w:rsidR="008D56B5" w:rsidRPr="008A4B25">
        <w:rPr>
          <w:rFonts w:ascii="Times New Roman" w:hAnsi="Times New Roman" w:cs="Times New Roman"/>
          <w:b/>
          <w:bCs/>
          <w:color w:val="000000" w:themeColor="text1"/>
        </w:rPr>
        <w:t>s</w:t>
      </w:r>
      <w:r w:rsidR="00200FFF" w:rsidRPr="008A4B25">
        <w:rPr>
          <w:rFonts w:ascii="Times New Roman" w:hAnsi="Times New Roman" w:cs="Times New Roman"/>
          <w:b/>
          <w:bCs/>
          <w:color w:val="000000" w:themeColor="text1"/>
        </w:rPr>
        <w:t xml:space="preserve"> after the first vaccine</w:t>
      </w:r>
      <w:r w:rsidR="00C26478" w:rsidRPr="008A4B25">
        <w:rPr>
          <w:rFonts w:ascii="Times New Roman" w:hAnsi="Times New Roman" w:cs="Times New Roman"/>
          <w:b/>
          <w:bCs/>
          <w:color w:val="000000" w:themeColor="text1"/>
        </w:rPr>
        <w:t xml:space="preserve"> (either conjugate or polysaccharide depending on vaccine group)</w:t>
      </w:r>
      <w:r w:rsidR="00251CCF" w:rsidRPr="008A4B25">
        <w:rPr>
          <w:rFonts w:ascii="Times New Roman" w:hAnsi="Times New Roman" w:cs="Times New Roman"/>
          <w:b/>
          <w:color w:val="000000" w:themeColor="text1"/>
        </w:rPr>
        <w:t xml:space="preserve">. </w:t>
      </w:r>
      <w:r w:rsidR="00200FFF" w:rsidRPr="008A4B25">
        <w:rPr>
          <w:rFonts w:ascii="Times New Roman" w:hAnsi="Times New Roman" w:cs="Times New Roman"/>
          <w:b/>
          <w:color w:val="000000" w:themeColor="text1"/>
        </w:rPr>
        <w:t>C</w:t>
      </w:r>
      <w:r w:rsidR="00251CCF" w:rsidRPr="008A4B25">
        <w:rPr>
          <w:rFonts w:ascii="Times New Roman" w:hAnsi="Times New Roman" w:cs="Times New Roman"/>
          <w:b/>
          <w:color w:val="000000" w:themeColor="text1"/>
        </w:rPr>
        <w:t xml:space="preserve">) Same as </w:t>
      </w:r>
      <w:r w:rsidR="00200FFF" w:rsidRPr="008A4B25">
        <w:rPr>
          <w:rFonts w:ascii="Times New Roman" w:hAnsi="Times New Roman" w:cs="Times New Roman"/>
          <w:b/>
          <w:color w:val="000000" w:themeColor="text1"/>
        </w:rPr>
        <w:t>B</w:t>
      </w:r>
      <w:r w:rsidR="00251CCF" w:rsidRPr="008A4B25">
        <w:rPr>
          <w:rFonts w:ascii="Times New Roman" w:hAnsi="Times New Roman" w:cs="Times New Roman"/>
          <w:b/>
          <w:color w:val="000000" w:themeColor="text1"/>
        </w:rPr>
        <w:t xml:space="preserve">, but with </w:t>
      </w:r>
      <w:r w:rsidR="00200FFF" w:rsidRPr="008A4B25">
        <w:rPr>
          <w:rFonts w:ascii="Times New Roman" w:hAnsi="Times New Roman" w:cs="Times New Roman"/>
          <w:b/>
          <w:color w:val="000000" w:themeColor="text1"/>
        </w:rPr>
        <w:t xml:space="preserve">HLA-DR+ </w:t>
      </w:r>
      <w:r w:rsidR="0033414C" w:rsidRPr="008A4B25">
        <w:rPr>
          <w:rFonts w:ascii="Times New Roman" w:hAnsi="Times New Roman" w:cs="Times New Roman"/>
          <w:b/>
          <w:color w:val="000000" w:themeColor="text1"/>
        </w:rPr>
        <w:t>PC</w:t>
      </w:r>
      <w:r w:rsidR="00251CCF" w:rsidRPr="008A4B25">
        <w:rPr>
          <w:rFonts w:ascii="Times New Roman" w:hAnsi="Times New Roman" w:cs="Times New Roman"/>
          <w:b/>
          <w:color w:val="000000" w:themeColor="text1"/>
        </w:rPr>
        <w:t xml:space="preserve">s </w:t>
      </w:r>
      <w:r w:rsidR="004E3787" w:rsidRPr="008A4B25">
        <w:rPr>
          <w:rFonts w:ascii="Times New Roman" w:hAnsi="Times New Roman" w:cs="Times New Roman"/>
          <w:b/>
          <w:color w:val="000000" w:themeColor="text1"/>
        </w:rPr>
        <w:t xml:space="preserve">at visit 4 </w:t>
      </w:r>
      <w:r w:rsidR="00251CCF" w:rsidRPr="008A4B25">
        <w:rPr>
          <w:rFonts w:ascii="Times New Roman" w:hAnsi="Times New Roman" w:cs="Times New Roman"/>
          <w:b/>
          <w:color w:val="000000" w:themeColor="text1"/>
        </w:rPr>
        <w:t>after the second vaccine</w:t>
      </w:r>
      <w:r w:rsidR="00C26478" w:rsidRPr="008A4B25">
        <w:rPr>
          <w:rFonts w:ascii="Times New Roman" w:hAnsi="Times New Roman" w:cs="Times New Roman"/>
          <w:b/>
          <w:color w:val="000000" w:themeColor="text1"/>
        </w:rPr>
        <w:t xml:space="preserve"> (conjugate for both vaccine groups)</w:t>
      </w:r>
      <w:r w:rsidR="00251CCF" w:rsidRPr="008A4B25">
        <w:rPr>
          <w:rFonts w:ascii="Times New Roman" w:hAnsi="Times New Roman" w:cs="Times New Roman"/>
          <w:b/>
          <w:color w:val="000000" w:themeColor="text1"/>
        </w:rPr>
        <w:t>. Error bars indicate ± SEM.</w:t>
      </w:r>
      <w:r w:rsidR="0099243F" w:rsidRPr="008A4B25">
        <w:rPr>
          <w:rFonts w:ascii="Times New Roman" w:hAnsi="Times New Roman" w:cs="Times New Roman"/>
          <w:b/>
          <w:color w:val="000000" w:themeColor="text1"/>
        </w:rPr>
        <w:t xml:space="preserve"> For sequences to be defined as shared they had to have an exact CDR3 AA sequence match</w:t>
      </w:r>
      <w:r w:rsidR="00AD0A98" w:rsidRPr="008A4B25">
        <w:rPr>
          <w:rFonts w:ascii="Times New Roman" w:hAnsi="Times New Roman" w:cs="Times New Roman"/>
          <w:b/>
          <w:color w:val="000000" w:themeColor="text1"/>
        </w:rPr>
        <w:t>, and use the same V and J genes</w:t>
      </w:r>
      <w:r w:rsidR="0099243F" w:rsidRPr="008A4B25">
        <w:rPr>
          <w:rFonts w:ascii="Times New Roman" w:hAnsi="Times New Roman" w:cs="Times New Roman"/>
          <w:b/>
          <w:color w:val="000000" w:themeColor="text1"/>
        </w:rPr>
        <w:t>.</w:t>
      </w:r>
      <w:r w:rsidR="00610A3F" w:rsidRPr="008A4B25">
        <w:rPr>
          <w:rFonts w:ascii="Times New Roman" w:hAnsi="Times New Roman" w:cs="Times New Roman"/>
          <w:b/>
          <w:color w:val="000000" w:themeColor="text1"/>
        </w:rPr>
        <w:t xml:space="preserve"> </w:t>
      </w:r>
    </w:p>
    <w:p w14:paraId="7BF71960" w14:textId="77777777" w:rsidR="00251CCF" w:rsidRPr="008A4B25" w:rsidRDefault="00251CCF" w:rsidP="00D62163">
      <w:pPr>
        <w:spacing w:line="480" w:lineRule="auto"/>
        <w:rPr>
          <w:rFonts w:ascii="Times New Roman" w:hAnsi="Times New Roman" w:cs="Times New Roman"/>
          <w:color w:val="000000" w:themeColor="text1"/>
        </w:rPr>
      </w:pPr>
    </w:p>
    <w:p w14:paraId="1DA9D18B" w14:textId="6CAC6E52" w:rsidR="00251CCF" w:rsidRDefault="00A80D5F" w:rsidP="00D62163">
      <w:pPr>
        <w:spacing w:line="480" w:lineRule="auto"/>
        <w:jc w:val="both"/>
        <w:rPr>
          <w:rFonts w:ascii="Times New Roman" w:hAnsi="Times New Roman" w:cs="Times New Roman"/>
          <w:b/>
          <w:color w:val="000000" w:themeColor="text1"/>
        </w:rPr>
      </w:pPr>
      <w:r w:rsidRPr="008A4B25">
        <w:rPr>
          <w:rFonts w:ascii="Times New Roman" w:hAnsi="Times New Roman" w:cs="Times New Roman"/>
          <w:b/>
          <w:color w:val="000000" w:themeColor="text1"/>
        </w:rPr>
        <w:t>Fig. 6</w:t>
      </w:r>
      <w:r w:rsidR="00251CCF" w:rsidRPr="008A4B25">
        <w:rPr>
          <w:rFonts w:ascii="Times New Roman" w:hAnsi="Times New Roman" w:cs="Times New Roman"/>
          <w:b/>
          <w:color w:val="000000" w:themeColor="text1"/>
        </w:rPr>
        <w:t xml:space="preserve">. IgG usage and mutation in HLA-DR+ </w:t>
      </w:r>
      <w:r w:rsidR="0033414C" w:rsidRPr="008A4B25">
        <w:rPr>
          <w:rFonts w:ascii="Times New Roman" w:hAnsi="Times New Roman" w:cs="Times New Roman"/>
          <w:b/>
          <w:color w:val="000000" w:themeColor="text1"/>
        </w:rPr>
        <w:t>PC</w:t>
      </w:r>
      <w:r w:rsidR="00251CCF" w:rsidRPr="008A4B25">
        <w:rPr>
          <w:rFonts w:ascii="Times New Roman" w:hAnsi="Times New Roman" w:cs="Times New Roman"/>
          <w:b/>
          <w:color w:val="000000" w:themeColor="text1"/>
        </w:rPr>
        <w:t xml:space="preserve"> sequences after vaccination in the two study groups. A) Proportion of sequences of each IgG subclass after the first and second vaccines. B) Percent of mutated nucleotides in the V gene after the first and second vaccines</w:t>
      </w:r>
      <w:r w:rsidR="004A7B50" w:rsidRPr="008A4B25">
        <w:rPr>
          <w:rFonts w:ascii="Times New Roman" w:hAnsi="Times New Roman" w:cs="Times New Roman"/>
          <w:b/>
          <w:color w:val="000000" w:themeColor="text1"/>
        </w:rPr>
        <w:t xml:space="preserve"> for IgM and IgG PCs</w:t>
      </w:r>
      <w:r w:rsidR="00251CCF" w:rsidRPr="008A4B25">
        <w:rPr>
          <w:rFonts w:ascii="Times New Roman" w:hAnsi="Times New Roman" w:cs="Times New Roman"/>
          <w:b/>
          <w:color w:val="000000" w:themeColor="text1"/>
        </w:rPr>
        <w:t xml:space="preserve">. </w:t>
      </w:r>
      <w:r w:rsidR="003A4E3C" w:rsidRPr="008A4B25">
        <w:rPr>
          <w:rFonts w:ascii="Times New Roman" w:hAnsi="Times New Roman" w:cs="Times New Roman"/>
          <w:b/>
          <w:color w:val="000000" w:themeColor="text1"/>
        </w:rPr>
        <w:t xml:space="preserve">C) Same as B, but split by IgG subclass. </w:t>
      </w:r>
      <w:r w:rsidR="00251CCF" w:rsidRPr="008A4B25">
        <w:rPr>
          <w:rFonts w:ascii="Times New Roman" w:hAnsi="Times New Roman" w:cs="Times New Roman"/>
          <w:b/>
          <w:color w:val="000000" w:themeColor="text1"/>
        </w:rPr>
        <w:t xml:space="preserve">Error bars indicate ± SEM. Comparisons performed using the </w:t>
      </w:r>
      <w:r w:rsidR="002B702B" w:rsidRPr="008A4B25">
        <w:rPr>
          <w:rFonts w:ascii="Times New Roman" w:hAnsi="Times New Roman" w:cs="Times New Roman"/>
          <w:b/>
          <w:color w:val="000000" w:themeColor="text1"/>
        </w:rPr>
        <w:t>t test</w:t>
      </w:r>
      <w:r w:rsidR="00251CCF" w:rsidRPr="008A4B25">
        <w:rPr>
          <w:rFonts w:ascii="Times New Roman" w:hAnsi="Times New Roman" w:cs="Times New Roman"/>
          <w:b/>
          <w:color w:val="000000" w:themeColor="text1"/>
        </w:rPr>
        <w:t>. *p&lt;0.05</w:t>
      </w:r>
      <w:r w:rsidR="003A4E3C" w:rsidRPr="008A4B25">
        <w:rPr>
          <w:rFonts w:ascii="Times New Roman" w:hAnsi="Times New Roman" w:cs="Times New Roman"/>
          <w:b/>
          <w:color w:val="000000" w:themeColor="text1"/>
        </w:rPr>
        <w:t xml:space="preserve">, **p&lt;0.005. </w:t>
      </w:r>
    </w:p>
    <w:p w14:paraId="369018EC" w14:textId="5118EE26" w:rsidR="003F091B" w:rsidRDefault="003F091B">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59BB525E" w14:textId="64040EB2" w:rsidR="003F091B" w:rsidRDefault="003F091B" w:rsidP="003F091B">
      <w:pPr>
        <w:pStyle w:val="Heading1"/>
      </w:pPr>
      <w:r w:rsidRPr="00F36532">
        <w:t xml:space="preserve">Figure </w:t>
      </w:r>
      <w:r>
        <w:t>1</w:t>
      </w:r>
    </w:p>
    <w:p w14:paraId="52BEB1AB" w14:textId="4CC342E1" w:rsidR="003F091B" w:rsidRDefault="003F091B" w:rsidP="003F091B">
      <w:r>
        <w:rPr>
          <w:noProof/>
        </w:rPr>
        <w:drawing>
          <wp:inline distT="0" distB="0" distL="0" distR="0" wp14:anchorId="0139F77A" wp14:editId="0AC543B6">
            <wp:extent cx="3103245" cy="2150110"/>
            <wp:effectExtent l="0" t="0" r="0" b="8890"/>
            <wp:docPr id="1" name="Picture 1" descr="Macintosh HD:Users:jakegalson:Desktop:Finished Documents:ICB - ACWY work:Manuscript:Immunology and cell biology:Revision 1:Figs:Figur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galson:Desktop:Finished Documents:ICB - ACWY work:Manuscript:Immunology and cell biology:Revision 1:Figs:Figure1.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3245" cy="2150110"/>
                    </a:xfrm>
                    <a:prstGeom prst="rect">
                      <a:avLst/>
                    </a:prstGeom>
                    <a:noFill/>
                    <a:ln>
                      <a:noFill/>
                    </a:ln>
                  </pic:spPr>
                </pic:pic>
              </a:graphicData>
            </a:graphic>
          </wp:inline>
        </w:drawing>
      </w:r>
    </w:p>
    <w:p w14:paraId="78B2D438" w14:textId="7F846625" w:rsidR="003F091B" w:rsidRDefault="003F091B">
      <w:r>
        <w:br w:type="page"/>
      </w:r>
    </w:p>
    <w:p w14:paraId="154F98BF" w14:textId="01DE1341" w:rsidR="003F091B" w:rsidRDefault="003F091B" w:rsidP="003F091B">
      <w:pPr>
        <w:pStyle w:val="Heading1"/>
      </w:pPr>
      <w:r w:rsidRPr="00F36532">
        <w:t xml:space="preserve">Figure </w:t>
      </w:r>
      <w:r>
        <w:t>2</w:t>
      </w:r>
    </w:p>
    <w:p w14:paraId="4004592E" w14:textId="74E1C3AF" w:rsidR="003F091B" w:rsidRDefault="003F091B" w:rsidP="003F091B">
      <w:r>
        <w:rPr>
          <w:noProof/>
        </w:rPr>
        <w:drawing>
          <wp:inline distT="0" distB="0" distL="0" distR="0" wp14:anchorId="12C15A3B" wp14:editId="661CAB3A">
            <wp:extent cx="3103245" cy="3229610"/>
            <wp:effectExtent l="0" t="0" r="0" b="0"/>
            <wp:docPr id="2" name="Picture 2" descr="Macintosh HD:Users:jakegalson:Desktop:Finished Documents:ICB - ACWY work:Manuscript:Immunology and cell biology:Revision 1:Figs:Figur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kegalson:Desktop:Finished Documents:ICB - ACWY work:Manuscript:Immunology and cell biology:Revision 1:Figs:Figure2.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3229610"/>
                    </a:xfrm>
                    <a:prstGeom prst="rect">
                      <a:avLst/>
                    </a:prstGeom>
                    <a:noFill/>
                    <a:ln>
                      <a:noFill/>
                    </a:ln>
                  </pic:spPr>
                </pic:pic>
              </a:graphicData>
            </a:graphic>
          </wp:inline>
        </w:drawing>
      </w:r>
    </w:p>
    <w:p w14:paraId="3F955A6A" w14:textId="5FBA5805" w:rsidR="003F091B" w:rsidRDefault="003F091B">
      <w:r>
        <w:br w:type="page"/>
      </w:r>
    </w:p>
    <w:p w14:paraId="0ACF9B8D" w14:textId="4B67AD30" w:rsidR="003F091B" w:rsidRDefault="003F091B" w:rsidP="003F091B">
      <w:pPr>
        <w:pStyle w:val="Heading1"/>
      </w:pPr>
      <w:r w:rsidRPr="00F36532">
        <w:t xml:space="preserve">Figure </w:t>
      </w:r>
      <w:r>
        <w:t>3</w:t>
      </w:r>
    </w:p>
    <w:p w14:paraId="2B53DD90" w14:textId="1F6DC0D6" w:rsidR="003F091B" w:rsidRDefault="003F091B" w:rsidP="003F091B">
      <w:r>
        <w:rPr>
          <w:noProof/>
        </w:rPr>
        <w:drawing>
          <wp:inline distT="0" distB="0" distL="0" distR="0" wp14:anchorId="35E9445B" wp14:editId="535282B8">
            <wp:extent cx="6108700" cy="3229610"/>
            <wp:effectExtent l="0" t="0" r="12700" b="0"/>
            <wp:docPr id="3" name="Picture 3" descr="Macintosh HD:Users:jakegalson:Desktop:Finished Documents:ICB - ACWY work:Manuscript:Immunology and cell biology:Revision 1:Figs:Figur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akegalson:Desktop:Finished Documents:ICB - ACWY work:Manuscript:Immunology and cell biology:Revision 1:Figs:Figure3.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8700" cy="3229610"/>
                    </a:xfrm>
                    <a:prstGeom prst="rect">
                      <a:avLst/>
                    </a:prstGeom>
                    <a:noFill/>
                    <a:ln>
                      <a:noFill/>
                    </a:ln>
                  </pic:spPr>
                </pic:pic>
              </a:graphicData>
            </a:graphic>
          </wp:inline>
        </w:drawing>
      </w:r>
    </w:p>
    <w:p w14:paraId="636BD60A" w14:textId="3AFF220A" w:rsidR="003F091B" w:rsidRDefault="003F091B">
      <w:r>
        <w:br w:type="page"/>
      </w:r>
    </w:p>
    <w:p w14:paraId="68C99C64" w14:textId="1A1978D8" w:rsidR="003F091B" w:rsidRDefault="003F091B" w:rsidP="003F091B">
      <w:pPr>
        <w:pStyle w:val="Heading1"/>
      </w:pPr>
      <w:r w:rsidRPr="00F36532">
        <w:t xml:space="preserve">Figure </w:t>
      </w:r>
      <w:r>
        <w:t>4</w:t>
      </w:r>
    </w:p>
    <w:p w14:paraId="5E5265D5" w14:textId="773D98EC" w:rsidR="003F091B" w:rsidRDefault="003F091B" w:rsidP="003F091B">
      <w:r>
        <w:rPr>
          <w:noProof/>
        </w:rPr>
        <w:drawing>
          <wp:inline distT="0" distB="0" distL="0" distR="0" wp14:anchorId="148AFB1F" wp14:editId="2D2B753E">
            <wp:extent cx="3103245" cy="1692910"/>
            <wp:effectExtent l="0" t="0" r="0" b="8890"/>
            <wp:docPr id="4" name="Picture 4" descr="Macintosh HD:Users:jakegalson:Desktop:Finished Documents:ICB - ACWY work:Manuscript:Immunology and cell biology:Revision 1:Figs:Figure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kegalson:Desktop:Finished Documents:ICB - ACWY work:Manuscript:Immunology and cell biology:Revision 1:Figs:Figure4.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3245" cy="1692910"/>
                    </a:xfrm>
                    <a:prstGeom prst="rect">
                      <a:avLst/>
                    </a:prstGeom>
                    <a:noFill/>
                    <a:ln>
                      <a:noFill/>
                    </a:ln>
                  </pic:spPr>
                </pic:pic>
              </a:graphicData>
            </a:graphic>
          </wp:inline>
        </w:drawing>
      </w:r>
    </w:p>
    <w:p w14:paraId="5E3DAF7D" w14:textId="7F823103" w:rsidR="003F091B" w:rsidRDefault="003F091B">
      <w:r>
        <w:br w:type="page"/>
      </w:r>
    </w:p>
    <w:p w14:paraId="409F41CA" w14:textId="10999FF0" w:rsidR="003F091B" w:rsidRDefault="003F091B" w:rsidP="003F091B">
      <w:pPr>
        <w:pStyle w:val="Heading1"/>
      </w:pPr>
      <w:r w:rsidRPr="00F36532">
        <w:t xml:space="preserve">Figure </w:t>
      </w:r>
      <w:r>
        <w:t>5</w:t>
      </w:r>
    </w:p>
    <w:p w14:paraId="33F31C83" w14:textId="0F5C4FCE" w:rsidR="003F091B" w:rsidRDefault="003F091B" w:rsidP="003F091B">
      <w:r>
        <w:rPr>
          <w:noProof/>
        </w:rPr>
        <w:drawing>
          <wp:inline distT="0" distB="0" distL="0" distR="0" wp14:anchorId="280B620C" wp14:editId="1D1024B1">
            <wp:extent cx="3103245" cy="4105275"/>
            <wp:effectExtent l="0" t="0" r="0" b="9525"/>
            <wp:docPr id="5" name="Picture 5" descr="Macintosh HD:Users:jakegalson:Desktop:Finished Documents:ICB - ACWY work:Manuscript:Immunology and cell biology:Revision 1:Figs:Figure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kegalson:Desktop:Finished Documents:ICB - ACWY work:Manuscript:Immunology and cell biology:Revision 1:Figs:Figure5.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3245" cy="4105275"/>
                    </a:xfrm>
                    <a:prstGeom prst="rect">
                      <a:avLst/>
                    </a:prstGeom>
                    <a:noFill/>
                    <a:ln>
                      <a:noFill/>
                    </a:ln>
                  </pic:spPr>
                </pic:pic>
              </a:graphicData>
            </a:graphic>
          </wp:inline>
        </w:drawing>
      </w:r>
    </w:p>
    <w:p w14:paraId="70998590" w14:textId="4CA5DB2D" w:rsidR="003F091B" w:rsidRDefault="003F091B">
      <w:r>
        <w:br w:type="page"/>
      </w:r>
    </w:p>
    <w:p w14:paraId="7AE5116A" w14:textId="2CB1E924" w:rsidR="003F091B" w:rsidRPr="003F091B" w:rsidRDefault="003F091B" w:rsidP="003F091B">
      <w:pPr>
        <w:pStyle w:val="Heading1"/>
      </w:pPr>
      <w:r>
        <w:t>Figure 6</w:t>
      </w:r>
    </w:p>
    <w:p w14:paraId="44750E88" w14:textId="45AA34A7" w:rsidR="003F091B" w:rsidRPr="008A4B25" w:rsidRDefault="003F091B" w:rsidP="00D62163">
      <w:pPr>
        <w:spacing w:line="480" w:lineRule="auto"/>
        <w:jc w:val="both"/>
        <w:rPr>
          <w:rFonts w:ascii="Times New Roman" w:hAnsi="Times New Roman" w:cs="Times New Roman"/>
          <w:b/>
          <w:color w:val="000000" w:themeColor="text1"/>
        </w:rPr>
      </w:pPr>
      <w:r>
        <w:rPr>
          <w:rFonts w:ascii="Times New Roman" w:hAnsi="Times New Roman" w:cs="Times New Roman"/>
          <w:b/>
          <w:noProof/>
          <w:color w:val="000000" w:themeColor="text1"/>
        </w:rPr>
        <w:drawing>
          <wp:inline distT="0" distB="0" distL="0" distR="0" wp14:anchorId="169FB42C" wp14:editId="229B94DA">
            <wp:extent cx="3103245" cy="3229610"/>
            <wp:effectExtent l="0" t="0" r="0" b="0"/>
            <wp:docPr id="6" name="Picture 6" descr="Macintosh HD:Users:jakegalson:Desktop:Finished Documents:ICB - ACWY work:Manuscript:Immunology and cell biology:Revision 1:Figs:Figure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akegalson:Desktop:Finished Documents:ICB - ACWY work:Manuscript:Immunology and cell biology:Revision 1:Figs:Figure6.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3245" cy="3229610"/>
                    </a:xfrm>
                    <a:prstGeom prst="rect">
                      <a:avLst/>
                    </a:prstGeom>
                    <a:noFill/>
                    <a:ln>
                      <a:noFill/>
                    </a:ln>
                  </pic:spPr>
                </pic:pic>
              </a:graphicData>
            </a:graphic>
          </wp:inline>
        </w:drawing>
      </w:r>
    </w:p>
    <w:p w14:paraId="2D89B00B" w14:textId="405A07AE" w:rsidR="00251CCF" w:rsidRPr="00354432" w:rsidRDefault="00251CCF" w:rsidP="00251CCF">
      <w:pPr>
        <w:rPr>
          <w:rFonts w:ascii="Times New Roman" w:hAnsi="Times New Roman" w:cs="Times New Roman"/>
        </w:rPr>
      </w:pPr>
    </w:p>
    <w:sectPr w:rsidR="00251CCF" w:rsidRPr="00354432" w:rsidSect="004D4A41">
      <w:footerReference w:type="default" r:id="rId16"/>
      <w:footerReference w:type="first" r:id="rId17"/>
      <w:pgSz w:w="12240" w:h="15840"/>
      <w:pgMar w:top="1304" w:right="1304" w:bottom="1247" w:left="1304" w:header="708" w:footer="708" w:gutter="0"/>
      <w:cols w:space="3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A878C" w14:textId="77777777" w:rsidR="00BE2F9B" w:rsidRDefault="00BE2F9B">
      <w:r>
        <w:separator/>
      </w:r>
    </w:p>
    <w:p w14:paraId="6A4EE3F8" w14:textId="77777777" w:rsidR="00BE2F9B" w:rsidRDefault="00BE2F9B"/>
  </w:endnote>
  <w:endnote w:type="continuationSeparator" w:id="0">
    <w:p w14:paraId="7C23EB2E" w14:textId="77777777" w:rsidR="00BE2F9B" w:rsidRDefault="00BE2F9B">
      <w:r>
        <w:continuationSeparator/>
      </w:r>
    </w:p>
    <w:p w14:paraId="09024DCF" w14:textId="77777777" w:rsidR="00BE2F9B" w:rsidRDefault="00BE2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MS ??">
    <w:altName w:val="MS Mincho"/>
    <w:panose1 w:val="00000000000000000000"/>
    <w:charset w:val="80"/>
    <w:family w:val="auto"/>
    <w:notTrueType/>
    <w:pitch w:val="variable"/>
    <w:sig w:usb0="00000001" w:usb1="08070000" w:usb2="00000010" w:usb3="00000000" w:csb0="00020000" w:csb1="00000000"/>
  </w:font>
  <w:font w:name="Libian SC Regular">
    <w:panose1 w:val="02010800040101010101"/>
    <w:charset w:val="00"/>
    <w:family w:val="auto"/>
    <w:pitch w:val="variable"/>
    <w:sig w:usb0="00000003" w:usb1="080F0000" w:usb2="00000000" w:usb3="00000000" w:csb0="0004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40CC0" w14:textId="730189AA" w:rsidR="00BE2F9B" w:rsidRDefault="00BE2F9B" w:rsidP="00567941">
    <w:pPr>
      <w:pStyle w:val="Footer"/>
      <w:jc w:val="right"/>
    </w:pPr>
    <w:r>
      <w:rPr>
        <w:rStyle w:val="PageNumber"/>
      </w:rPr>
      <w:fldChar w:fldCharType="begin"/>
    </w:r>
    <w:r>
      <w:rPr>
        <w:rStyle w:val="PageNumber"/>
      </w:rPr>
      <w:instrText xml:space="preserve"> PAGE </w:instrText>
    </w:r>
    <w:r>
      <w:rPr>
        <w:rStyle w:val="PageNumber"/>
      </w:rPr>
      <w:fldChar w:fldCharType="separate"/>
    </w:r>
    <w:r w:rsidR="00C70898">
      <w:rPr>
        <w:rStyle w:val="PageNumber"/>
        <w:noProof/>
      </w:rPr>
      <w:t>11</w:t>
    </w:r>
    <w:r>
      <w:rPr>
        <w:rStyle w:val="PageNumber"/>
      </w:rPr>
      <w:fldChar w:fldCharType="end"/>
    </w:r>
  </w:p>
  <w:p w14:paraId="539235D7" w14:textId="77777777" w:rsidR="00BE2F9B" w:rsidRDefault="00BE2F9B"/>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AE1AE" w14:textId="2B9A3FB3" w:rsidR="00BE2F9B" w:rsidRDefault="00BE2F9B" w:rsidP="00567941">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DA67F4" w14:textId="77777777" w:rsidR="00BE2F9B" w:rsidRDefault="00BE2F9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EA25F" w14:textId="77777777" w:rsidR="00BE2F9B" w:rsidRDefault="00BE2F9B">
      <w:r>
        <w:separator/>
      </w:r>
    </w:p>
    <w:p w14:paraId="3E27F1C6" w14:textId="77777777" w:rsidR="00BE2F9B" w:rsidRDefault="00BE2F9B"/>
  </w:footnote>
  <w:footnote w:type="continuationSeparator" w:id="0">
    <w:p w14:paraId="64029175" w14:textId="77777777" w:rsidR="00BE2F9B" w:rsidRDefault="00BE2F9B">
      <w:r>
        <w:continuationSeparator/>
      </w:r>
    </w:p>
    <w:p w14:paraId="51933136" w14:textId="77777777" w:rsidR="00BE2F9B" w:rsidRDefault="00BE2F9B"/>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51A"/>
    <w:multiLevelType w:val="hybridMultilevel"/>
    <w:tmpl w:val="5D8AC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1D1028"/>
    <w:multiLevelType w:val="hybridMultilevel"/>
    <w:tmpl w:val="558C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D10257"/>
    <w:multiLevelType w:val="hybridMultilevel"/>
    <w:tmpl w:val="DCBA6FF8"/>
    <w:lvl w:ilvl="0" w:tplc="12B2BE08">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043003"/>
    <w:multiLevelType w:val="hybridMultilevel"/>
    <w:tmpl w:val="1B5E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116C96"/>
    <w:multiLevelType w:val="hybridMultilevel"/>
    <w:tmpl w:val="F41C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4B5B6D"/>
    <w:multiLevelType w:val="multilevel"/>
    <w:tmpl w:val="677214A0"/>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FC22AAD"/>
    <w:multiLevelType w:val="hybridMultilevel"/>
    <w:tmpl w:val="C44A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D43A38"/>
    <w:multiLevelType w:val="hybridMultilevel"/>
    <w:tmpl w:val="677214A0"/>
    <w:lvl w:ilvl="0" w:tplc="20B2A1F0">
      <w:start w:val="1"/>
      <w:numFmt w:val="bullet"/>
      <w:lvlText w:val=""/>
      <w:lvlJc w:val="left"/>
      <w:pPr>
        <w:tabs>
          <w:tab w:val="num" w:pos="454"/>
        </w:tabs>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2965A9"/>
    <w:multiLevelType w:val="multilevel"/>
    <w:tmpl w:val="4614FCE0"/>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F9C4B7F"/>
    <w:multiLevelType w:val="hybridMultilevel"/>
    <w:tmpl w:val="1990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8C350B"/>
    <w:multiLevelType w:val="hybridMultilevel"/>
    <w:tmpl w:val="4614FCE0"/>
    <w:lvl w:ilvl="0" w:tplc="3CECB32C">
      <w:start w:val="1"/>
      <w:numFmt w:val="bullet"/>
      <w:lvlText w:val=""/>
      <w:lvlJc w:val="left"/>
      <w:pPr>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D1586B"/>
    <w:multiLevelType w:val="multilevel"/>
    <w:tmpl w:val="1B5E4E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8D70D35"/>
    <w:multiLevelType w:val="multilevel"/>
    <w:tmpl w:val="34A88C78"/>
    <w:lvl w:ilvl="0">
      <w:start w:val="1"/>
      <w:numFmt w:val="bullet"/>
      <w:lvlText w:val="-"/>
      <w:lvlJc w:val="left"/>
      <w:pPr>
        <w:ind w:left="1440" w:hanging="360"/>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A372AAB"/>
    <w:multiLevelType w:val="multilevel"/>
    <w:tmpl w:val="D07CA3FE"/>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D926318"/>
    <w:multiLevelType w:val="hybridMultilevel"/>
    <w:tmpl w:val="D7FE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DF05E7"/>
    <w:multiLevelType w:val="hybridMultilevel"/>
    <w:tmpl w:val="27A2FC34"/>
    <w:lvl w:ilvl="0" w:tplc="A4028B38">
      <w:start w:val="1"/>
      <w:numFmt w:val="bullet"/>
      <w:lvlText w:val=""/>
      <w:lvlJc w:val="left"/>
      <w:pPr>
        <w:tabs>
          <w:tab w:val="num" w:pos="709"/>
        </w:tabs>
        <w:ind w:left="709" w:hanging="283"/>
      </w:pPr>
      <w:rPr>
        <w:rFonts w:ascii="Symbol" w:hAnsi="Symbol" w:hint="default"/>
      </w:rPr>
    </w:lvl>
    <w:lvl w:ilvl="1" w:tplc="04090003" w:tentative="1">
      <w:start w:val="1"/>
      <w:numFmt w:val="bullet"/>
      <w:lvlText w:val="o"/>
      <w:lvlJc w:val="left"/>
      <w:pPr>
        <w:ind w:left="1299" w:hanging="360"/>
      </w:pPr>
      <w:rPr>
        <w:rFonts w:ascii="Courier New" w:hAnsi="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16">
    <w:nsid w:val="395242E4"/>
    <w:multiLevelType w:val="multilevel"/>
    <w:tmpl w:val="415CF6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AFB7480"/>
    <w:multiLevelType w:val="hybridMultilevel"/>
    <w:tmpl w:val="415CF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F272DD"/>
    <w:multiLevelType w:val="hybridMultilevel"/>
    <w:tmpl w:val="98FC9242"/>
    <w:lvl w:ilvl="0" w:tplc="3A96F640">
      <w:start w:val="1"/>
      <w:numFmt w:val="bullet"/>
      <w:lvlText w:val=""/>
      <w:lvlJc w:val="left"/>
      <w:pPr>
        <w:ind w:left="22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7500FF"/>
    <w:multiLevelType w:val="hybridMultilevel"/>
    <w:tmpl w:val="C18C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811745"/>
    <w:multiLevelType w:val="hybridMultilevel"/>
    <w:tmpl w:val="473E99B0"/>
    <w:lvl w:ilvl="0" w:tplc="4552AE46">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415728"/>
    <w:multiLevelType w:val="hybridMultilevel"/>
    <w:tmpl w:val="C7F0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E76A57"/>
    <w:multiLevelType w:val="hybridMultilevel"/>
    <w:tmpl w:val="30045A6C"/>
    <w:lvl w:ilvl="0" w:tplc="ED92BFF2">
      <w:start w:val="2"/>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518308F"/>
    <w:multiLevelType w:val="hybridMultilevel"/>
    <w:tmpl w:val="197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EA670D"/>
    <w:multiLevelType w:val="hybridMultilevel"/>
    <w:tmpl w:val="5506219A"/>
    <w:lvl w:ilvl="0" w:tplc="796CA3A4">
      <w:start w:val="1"/>
      <w:numFmt w:val="bullet"/>
      <w:lvlText w:val=""/>
      <w:lvlJc w:val="left"/>
      <w:pPr>
        <w:ind w:left="22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3267EF"/>
    <w:multiLevelType w:val="multilevel"/>
    <w:tmpl w:val="415CF6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DD63672"/>
    <w:multiLevelType w:val="multilevel"/>
    <w:tmpl w:val="B5308754"/>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1984947"/>
    <w:multiLevelType w:val="hybridMultilevel"/>
    <w:tmpl w:val="B5308754"/>
    <w:lvl w:ilvl="0" w:tplc="11E02CDE">
      <w:start w:val="1"/>
      <w:numFmt w:val="bullet"/>
      <w:lvlText w:val=""/>
      <w:lvlJc w:val="left"/>
      <w:pPr>
        <w:tabs>
          <w:tab w:val="num" w:pos="454"/>
        </w:tabs>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E704EC"/>
    <w:multiLevelType w:val="hybridMultilevel"/>
    <w:tmpl w:val="FD58B142"/>
    <w:lvl w:ilvl="0" w:tplc="12B2BE08">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A96645"/>
    <w:multiLevelType w:val="hybridMultilevel"/>
    <w:tmpl w:val="7492A5FA"/>
    <w:lvl w:ilvl="0" w:tplc="12B2BE08">
      <w:start w:val="1"/>
      <w:numFmt w:val="bullet"/>
      <w:lvlText w:val="-"/>
      <w:lvlJc w:val="left"/>
      <w:pPr>
        <w:ind w:left="1080" w:hanging="360"/>
      </w:pPr>
      <w:rPr>
        <w:rFonts w:ascii="Verdana" w:hAnsi="Verdan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68F539D"/>
    <w:multiLevelType w:val="hybridMultilevel"/>
    <w:tmpl w:val="0ABE6E5E"/>
    <w:lvl w:ilvl="0" w:tplc="A23A10E6">
      <w:start w:val="1"/>
      <w:numFmt w:val="bullet"/>
      <w:lvlText w:val=""/>
      <w:lvlJc w:val="left"/>
      <w:pPr>
        <w:tabs>
          <w:tab w:val="num" w:pos="709"/>
        </w:tabs>
        <w:ind w:left="709" w:hanging="283"/>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673C3EBC"/>
    <w:multiLevelType w:val="hybridMultilevel"/>
    <w:tmpl w:val="C9B25EC2"/>
    <w:lvl w:ilvl="0" w:tplc="7EBA0256">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F1451B"/>
    <w:multiLevelType w:val="multilevel"/>
    <w:tmpl w:val="F91419A4"/>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7F622C8"/>
    <w:multiLevelType w:val="hybridMultilevel"/>
    <w:tmpl w:val="F9141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A20106"/>
    <w:multiLevelType w:val="hybridMultilevel"/>
    <w:tmpl w:val="D07CA3FE"/>
    <w:lvl w:ilvl="0" w:tplc="11E02CDE">
      <w:start w:val="1"/>
      <w:numFmt w:val="bullet"/>
      <w:lvlText w:val=""/>
      <w:lvlJc w:val="left"/>
      <w:pPr>
        <w:tabs>
          <w:tab w:val="num" w:pos="454"/>
        </w:tabs>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CA2487"/>
    <w:multiLevelType w:val="hybridMultilevel"/>
    <w:tmpl w:val="ED3C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07E82"/>
    <w:multiLevelType w:val="hybridMultilevel"/>
    <w:tmpl w:val="4792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453B9E"/>
    <w:multiLevelType w:val="multilevel"/>
    <w:tmpl w:val="415CF6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68E777F"/>
    <w:multiLevelType w:val="hybridMultilevel"/>
    <w:tmpl w:val="34A88C78"/>
    <w:lvl w:ilvl="0" w:tplc="12B2BE08">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A00395"/>
    <w:multiLevelType w:val="multilevel"/>
    <w:tmpl w:val="F91419A4"/>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782A3495"/>
    <w:multiLevelType w:val="hybridMultilevel"/>
    <w:tmpl w:val="FE6AB716"/>
    <w:lvl w:ilvl="0" w:tplc="0C742A12">
      <w:start w:val="1"/>
      <w:numFmt w:val="bullet"/>
      <w:lvlText w:val=""/>
      <w:lvlJc w:val="left"/>
      <w:pPr>
        <w:ind w:left="22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AD65E1"/>
    <w:multiLevelType w:val="hybridMultilevel"/>
    <w:tmpl w:val="6B72838A"/>
    <w:lvl w:ilvl="0" w:tplc="12B2BE08">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021C7"/>
    <w:multiLevelType w:val="hybridMultilevel"/>
    <w:tmpl w:val="6EC891EA"/>
    <w:lvl w:ilvl="0" w:tplc="3A96F640">
      <w:start w:val="1"/>
      <w:numFmt w:val="bullet"/>
      <w:lvlText w:val=""/>
      <w:lvlJc w:val="left"/>
      <w:pPr>
        <w:ind w:left="22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3878BF"/>
    <w:multiLevelType w:val="multilevel"/>
    <w:tmpl w:val="415CF6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14"/>
  </w:num>
  <w:num w:numId="4">
    <w:abstractNumId w:val="1"/>
  </w:num>
  <w:num w:numId="5">
    <w:abstractNumId w:val="22"/>
  </w:num>
  <w:num w:numId="6">
    <w:abstractNumId w:val="4"/>
  </w:num>
  <w:num w:numId="7">
    <w:abstractNumId w:val="24"/>
  </w:num>
  <w:num w:numId="8">
    <w:abstractNumId w:val="40"/>
  </w:num>
  <w:num w:numId="9">
    <w:abstractNumId w:val="18"/>
  </w:num>
  <w:num w:numId="10">
    <w:abstractNumId w:val="42"/>
  </w:num>
  <w:num w:numId="11">
    <w:abstractNumId w:val="17"/>
  </w:num>
  <w:num w:numId="12">
    <w:abstractNumId w:val="37"/>
  </w:num>
  <w:num w:numId="13">
    <w:abstractNumId w:val="31"/>
  </w:num>
  <w:num w:numId="14">
    <w:abstractNumId w:val="25"/>
  </w:num>
  <w:num w:numId="15">
    <w:abstractNumId w:val="41"/>
  </w:num>
  <w:num w:numId="16">
    <w:abstractNumId w:val="43"/>
  </w:num>
  <w:num w:numId="17">
    <w:abstractNumId w:val="2"/>
  </w:num>
  <w:num w:numId="18">
    <w:abstractNumId w:val="16"/>
  </w:num>
  <w:num w:numId="19">
    <w:abstractNumId w:val="28"/>
  </w:num>
  <w:num w:numId="20">
    <w:abstractNumId w:val="29"/>
  </w:num>
  <w:num w:numId="21">
    <w:abstractNumId w:val="38"/>
  </w:num>
  <w:num w:numId="22">
    <w:abstractNumId w:val="12"/>
  </w:num>
  <w:num w:numId="23">
    <w:abstractNumId w:val="23"/>
  </w:num>
  <w:num w:numId="24">
    <w:abstractNumId w:val="21"/>
  </w:num>
  <w:num w:numId="25">
    <w:abstractNumId w:val="33"/>
  </w:num>
  <w:num w:numId="26">
    <w:abstractNumId w:val="32"/>
  </w:num>
  <w:num w:numId="27">
    <w:abstractNumId w:val="34"/>
  </w:num>
  <w:num w:numId="28">
    <w:abstractNumId w:val="39"/>
  </w:num>
  <w:num w:numId="29">
    <w:abstractNumId w:val="7"/>
  </w:num>
  <w:num w:numId="30">
    <w:abstractNumId w:val="5"/>
  </w:num>
  <w:num w:numId="31">
    <w:abstractNumId w:val="10"/>
  </w:num>
  <w:num w:numId="32">
    <w:abstractNumId w:val="8"/>
  </w:num>
  <w:num w:numId="33">
    <w:abstractNumId w:val="27"/>
  </w:num>
  <w:num w:numId="34">
    <w:abstractNumId w:val="26"/>
  </w:num>
  <w:num w:numId="35">
    <w:abstractNumId w:val="30"/>
  </w:num>
  <w:num w:numId="36">
    <w:abstractNumId w:val="13"/>
  </w:num>
  <w:num w:numId="37">
    <w:abstractNumId w:val="15"/>
  </w:num>
  <w:num w:numId="38">
    <w:abstractNumId w:val="3"/>
  </w:num>
  <w:num w:numId="39">
    <w:abstractNumId w:val="11"/>
  </w:num>
  <w:num w:numId="40">
    <w:abstractNumId w:val="20"/>
  </w:num>
  <w:num w:numId="41">
    <w:abstractNumId w:val="9"/>
  </w:num>
  <w:num w:numId="42">
    <w:abstractNumId w:val="19"/>
  </w:num>
  <w:num w:numId="43">
    <w:abstractNumId w:val="6"/>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1E"/>
    <w:rsid w:val="000018B2"/>
    <w:rsid w:val="00002281"/>
    <w:rsid w:val="000034A8"/>
    <w:rsid w:val="00005CC0"/>
    <w:rsid w:val="00005F5F"/>
    <w:rsid w:val="000067F9"/>
    <w:rsid w:val="0001046E"/>
    <w:rsid w:val="000113B9"/>
    <w:rsid w:val="000117F1"/>
    <w:rsid w:val="000131CA"/>
    <w:rsid w:val="000136A7"/>
    <w:rsid w:val="00015016"/>
    <w:rsid w:val="0001612C"/>
    <w:rsid w:val="0001680A"/>
    <w:rsid w:val="0001751F"/>
    <w:rsid w:val="0001762A"/>
    <w:rsid w:val="000179E5"/>
    <w:rsid w:val="00017FD2"/>
    <w:rsid w:val="00020F44"/>
    <w:rsid w:val="0002108B"/>
    <w:rsid w:val="00021808"/>
    <w:rsid w:val="000225C8"/>
    <w:rsid w:val="000227BF"/>
    <w:rsid w:val="000239A7"/>
    <w:rsid w:val="00024474"/>
    <w:rsid w:val="000277C7"/>
    <w:rsid w:val="00030CCF"/>
    <w:rsid w:val="00034D15"/>
    <w:rsid w:val="00036872"/>
    <w:rsid w:val="00036C56"/>
    <w:rsid w:val="00036E24"/>
    <w:rsid w:val="00037343"/>
    <w:rsid w:val="000378DF"/>
    <w:rsid w:val="000419BF"/>
    <w:rsid w:val="000431CB"/>
    <w:rsid w:val="00044A13"/>
    <w:rsid w:val="00045831"/>
    <w:rsid w:val="00045FB1"/>
    <w:rsid w:val="00051F34"/>
    <w:rsid w:val="00053300"/>
    <w:rsid w:val="00053C5A"/>
    <w:rsid w:val="00054A39"/>
    <w:rsid w:val="00055B79"/>
    <w:rsid w:val="00055CAE"/>
    <w:rsid w:val="000577B5"/>
    <w:rsid w:val="00060CF0"/>
    <w:rsid w:val="00063ECF"/>
    <w:rsid w:val="00064D44"/>
    <w:rsid w:val="000658DE"/>
    <w:rsid w:val="000663F5"/>
    <w:rsid w:val="0006640B"/>
    <w:rsid w:val="000665DB"/>
    <w:rsid w:val="00070D0D"/>
    <w:rsid w:val="0007280D"/>
    <w:rsid w:val="00075915"/>
    <w:rsid w:val="00081CB8"/>
    <w:rsid w:val="0008280F"/>
    <w:rsid w:val="0008385F"/>
    <w:rsid w:val="00084595"/>
    <w:rsid w:val="000848C2"/>
    <w:rsid w:val="00086A10"/>
    <w:rsid w:val="000908B5"/>
    <w:rsid w:val="00091E15"/>
    <w:rsid w:val="0009214C"/>
    <w:rsid w:val="0009254C"/>
    <w:rsid w:val="00092E91"/>
    <w:rsid w:val="00094BF9"/>
    <w:rsid w:val="00095DED"/>
    <w:rsid w:val="00096475"/>
    <w:rsid w:val="0009743F"/>
    <w:rsid w:val="000A0138"/>
    <w:rsid w:val="000A03E6"/>
    <w:rsid w:val="000A082C"/>
    <w:rsid w:val="000A0C8F"/>
    <w:rsid w:val="000A4040"/>
    <w:rsid w:val="000A518B"/>
    <w:rsid w:val="000A77FC"/>
    <w:rsid w:val="000B12BC"/>
    <w:rsid w:val="000B29F6"/>
    <w:rsid w:val="000B34F7"/>
    <w:rsid w:val="000B3DF0"/>
    <w:rsid w:val="000B6863"/>
    <w:rsid w:val="000B7ABC"/>
    <w:rsid w:val="000B7BD4"/>
    <w:rsid w:val="000B7E64"/>
    <w:rsid w:val="000B7E89"/>
    <w:rsid w:val="000C1DB8"/>
    <w:rsid w:val="000C1E13"/>
    <w:rsid w:val="000C25F6"/>
    <w:rsid w:val="000C3108"/>
    <w:rsid w:val="000C4FE9"/>
    <w:rsid w:val="000C66DE"/>
    <w:rsid w:val="000D4756"/>
    <w:rsid w:val="000D490F"/>
    <w:rsid w:val="000D5502"/>
    <w:rsid w:val="000D5A13"/>
    <w:rsid w:val="000D62E3"/>
    <w:rsid w:val="000E156D"/>
    <w:rsid w:val="000E198B"/>
    <w:rsid w:val="000E4012"/>
    <w:rsid w:val="000E5134"/>
    <w:rsid w:val="000E53A6"/>
    <w:rsid w:val="000E53EF"/>
    <w:rsid w:val="000E5A7B"/>
    <w:rsid w:val="000E5B55"/>
    <w:rsid w:val="000E6E02"/>
    <w:rsid w:val="000E6F0D"/>
    <w:rsid w:val="000F0516"/>
    <w:rsid w:val="000F0D15"/>
    <w:rsid w:val="000F28E6"/>
    <w:rsid w:val="000F2D50"/>
    <w:rsid w:val="000F3D26"/>
    <w:rsid w:val="000F46AE"/>
    <w:rsid w:val="000F5399"/>
    <w:rsid w:val="000F5B27"/>
    <w:rsid w:val="000F6130"/>
    <w:rsid w:val="000F6B02"/>
    <w:rsid w:val="000F71CF"/>
    <w:rsid w:val="00100778"/>
    <w:rsid w:val="00103227"/>
    <w:rsid w:val="00103264"/>
    <w:rsid w:val="0010445A"/>
    <w:rsid w:val="001064F1"/>
    <w:rsid w:val="001067B8"/>
    <w:rsid w:val="00106809"/>
    <w:rsid w:val="00106F21"/>
    <w:rsid w:val="00107E93"/>
    <w:rsid w:val="001110F2"/>
    <w:rsid w:val="00111411"/>
    <w:rsid w:val="00112941"/>
    <w:rsid w:val="001139A1"/>
    <w:rsid w:val="0011436E"/>
    <w:rsid w:val="00114580"/>
    <w:rsid w:val="001155FD"/>
    <w:rsid w:val="00117106"/>
    <w:rsid w:val="001176AE"/>
    <w:rsid w:val="00120CC8"/>
    <w:rsid w:val="00121F25"/>
    <w:rsid w:val="0012205F"/>
    <w:rsid w:val="00123F1A"/>
    <w:rsid w:val="00124070"/>
    <w:rsid w:val="0012482D"/>
    <w:rsid w:val="00124FAD"/>
    <w:rsid w:val="001258B1"/>
    <w:rsid w:val="001319F2"/>
    <w:rsid w:val="00131E1A"/>
    <w:rsid w:val="001321CF"/>
    <w:rsid w:val="00133288"/>
    <w:rsid w:val="0013332B"/>
    <w:rsid w:val="00133D89"/>
    <w:rsid w:val="0013494D"/>
    <w:rsid w:val="0013551E"/>
    <w:rsid w:val="001368DD"/>
    <w:rsid w:val="00137700"/>
    <w:rsid w:val="00137801"/>
    <w:rsid w:val="00140360"/>
    <w:rsid w:val="00142103"/>
    <w:rsid w:val="001427E7"/>
    <w:rsid w:val="0014290F"/>
    <w:rsid w:val="001439BB"/>
    <w:rsid w:val="00150A6A"/>
    <w:rsid w:val="00151D9F"/>
    <w:rsid w:val="00152768"/>
    <w:rsid w:val="001546F0"/>
    <w:rsid w:val="00156600"/>
    <w:rsid w:val="00157132"/>
    <w:rsid w:val="00157431"/>
    <w:rsid w:val="00157685"/>
    <w:rsid w:val="00157FCE"/>
    <w:rsid w:val="0016077D"/>
    <w:rsid w:val="00161498"/>
    <w:rsid w:val="001626D4"/>
    <w:rsid w:val="00166198"/>
    <w:rsid w:val="00166A59"/>
    <w:rsid w:val="00167070"/>
    <w:rsid w:val="00167663"/>
    <w:rsid w:val="00170DA7"/>
    <w:rsid w:val="00172664"/>
    <w:rsid w:val="00172FBF"/>
    <w:rsid w:val="0017305D"/>
    <w:rsid w:val="00173D82"/>
    <w:rsid w:val="00174083"/>
    <w:rsid w:val="001754F8"/>
    <w:rsid w:val="00180CAE"/>
    <w:rsid w:val="00183E68"/>
    <w:rsid w:val="00184449"/>
    <w:rsid w:val="00184477"/>
    <w:rsid w:val="0018464A"/>
    <w:rsid w:val="001853DA"/>
    <w:rsid w:val="0018555F"/>
    <w:rsid w:val="001867F2"/>
    <w:rsid w:val="0019566A"/>
    <w:rsid w:val="001961C3"/>
    <w:rsid w:val="001962D1"/>
    <w:rsid w:val="00197404"/>
    <w:rsid w:val="001A10CB"/>
    <w:rsid w:val="001A70A7"/>
    <w:rsid w:val="001A7EC9"/>
    <w:rsid w:val="001B0FCD"/>
    <w:rsid w:val="001B1B5E"/>
    <w:rsid w:val="001B4D29"/>
    <w:rsid w:val="001B770C"/>
    <w:rsid w:val="001C0BD3"/>
    <w:rsid w:val="001C3CB9"/>
    <w:rsid w:val="001C412F"/>
    <w:rsid w:val="001C5010"/>
    <w:rsid w:val="001C609B"/>
    <w:rsid w:val="001C7D50"/>
    <w:rsid w:val="001D03C7"/>
    <w:rsid w:val="001D10A0"/>
    <w:rsid w:val="001D2BE5"/>
    <w:rsid w:val="001D44C3"/>
    <w:rsid w:val="001E0022"/>
    <w:rsid w:val="001E1870"/>
    <w:rsid w:val="001E1D4B"/>
    <w:rsid w:val="001E26AC"/>
    <w:rsid w:val="001E393F"/>
    <w:rsid w:val="001E3E01"/>
    <w:rsid w:val="001E4E11"/>
    <w:rsid w:val="001E5D07"/>
    <w:rsid w:val="001E7220"/>
    <w:rsid w:val="001E7597"/>
    <w:rsid w:val="001E7AB0"/>
    <w:rsid w:val="001F04F9"/>
    <w:rsid w:val="001F08A2"/>
    <w:rsid w:val="001F1D62"/>
    <w:rsid w:val="001F2052"/>
    <w:rsid w:val="001F47F5"/>
    <w:rsid w:val="001F4BA0"/>
    <w:rsid w:val="001F4E5D"/>
    <w:rsid w:val="001F5435"/>
    <w:rsid w:val="001F5485"/>
    <w:rsid w:val="00200FFF"/>
    <w:rsid w:val="00202E0F"/>
    <w:rsid w:val="00204B6E"/>
    <w:rsid w:val="00205838"/>
    <w:rsid w:val="00207346"/>
    <w:rsid w:val="002074C2"/>
    <w:rsid w:val="00207D10"/>
    <w:rsid w:val="00207FE4"/>
    <w:rsid w:val="00211086"/>
    <w:rsid w:val="002111B8"/>
    <w:rsid w:val="002117D0"/>
    <w:rsid w:val="00215265"/>
    <w:rsid w:val="002152A9"/>
    <w:rsid w:val="002154A7"/>
    <w:rsid w:val="002156FE"/>
    <w:rsid w:val="002177FA"/>
    <w:rsid w:val="002225EF"/>
    <w:rsid w:val="00222A4F"/>
    <w:rsid w:val="00226FEA"/>
    <w:rsid w:val="00227F4A"/>
    <w:rsid w:val="002307FB"/>
    <w:rsid w:val="0023097E"/>
    <w:rsid w:val="00230C84"/>
    <w:rsid w:val="0023131A"/>
    <w:rsid w:val="002332CD"/>
    <w:rsid w:val="00233478"/>
    <w:rsid w:val="0023382E"/>
    <w:rsid w:val="00233C65"/>
    <w:rsid w:val="00234A4D"/>
    <w:rsid w:val="00242F53"/>
    <w:rsid w:val="00243869"/>
    <w:rsid w:val="00243CAB"/>
    <w:rsid w:val="00245541"/>
    <w:rsid w:val="00246064"/>
    <w:rsid w:val="00247D8E"/>
    <w:rsid w:val="0025003C"/>
    <w:rsid w:val="00251CCF"/>
    <w:rsid w:val="00251ECD"/>
    <w:rsid w:val="00252F38"/>
    <w:rsid w:val="0025388A"/>
    <w:rsid w:val="00254D56"/>
    <w:rsid w:val="00255E37"/>
    <w:rsid w:val="002573B2"/>
    <w:rsid w:val="00261141"/>
    <w:rsid w:val="00261499"/>
    <w:rsid w:val="00262224"/>
    <w:rsid w:val="0026297F"/>
    <w:rsid w:val="00262CE1"/>
    <w:rsid w:val="00262E50"/>
    <w:rsid w:val="002641EE"/>
    <w:rsid w:val="0026648D"/>
    <w:rsid w:val="00266BD3"/>
    <w:rsid w:val="002753BD"/>
    <w:rsid w:val="00275A1B"/>
    <w:rsid w:val="0027617B"/>
    <w:rsid w:val="0028079A"/>
    <w:rsid w:val="00280D41"/>
    <w:rsid w:val="00281374"/>
    <w:rsid w:val="0028293C"/>
    <w:rsid w:val="002830AC"/>
    <w:rsid w:val="0028387E"/>
    <w:rsid w:val="00285B7C"/>
    <w:rsid w:val="0028652D"/>
    <w:rsid w:val="00287E4E"/>
    <w:rsid w:val="002906AC"/>
    <w:rsid w:val="002906FB"/>
    <w:rsid w:val="00290BAF"/>
    <w:rsid w:val="00291423"/>
    <w:rsid w:val="00291643"/>
    <w:rsid w:val="00292D00"/>
    <w:rsid w:val="002935CF"/>
    <w:rsid w:val="002948D6"/>
    <w:rsid w:val="002A1916"/>
    <w:rsid w:val="002A207A"/>
    <w:rsid w:val="002A30C7"/>
    <w:rsid w:val="002A339C"/>
    <w:rsid w:val="002A371A"/>
    <w:rsid w:val="002A5DBE"/>
    <w:rsid w:val="002A6FFB"/>
    <w:rsid w:val="002A7A70"/>
    <w:rsid w:val="002B0580"/>
    <w:rsid w:val="002B0621"/>
    <w:rsid w:val="002B10A8"/>
    <w:rsid w:val="002B1DF8"/>
    <w:rsid w:val="002B25D3"/>
    <w:rsid w:val="002B3117"/>
    <w:rsid w:val="002B47B0"/>
    <w:rsid w:val="002B702B"/>
    <w:rsid w:val="002C10E9"/>
    <w:rsid w:val="002C16AD"/>
    <w:rsid w:val="002C1EF4"/>
    <w:rsid w:val="002C3F2F"/>
    <w:rsid w:val="002C4550"/>
    <w:rsid w:val="002D13E5"/>
    <w:rsid w:val="002D1F18"/>
    <w:rsid w:val="002D3367"/>
    <w:rsid w:val="002D6691"/>
    <w:rsid w:val="002D7A99"/>
    <w:rsid w:val="002D7BA8"/>
    <w:rsid w:val="002E082E"/>
    <w:rsid w:val="002E198A"/>
    <w:rsid w:val="002E26F7"/>
    <w:rsid w:val="002E2B06"/>
    <w:rsid w:val="002E44A6"/>
    <w:rsid w:val="002E4587"/>
    <w:rsid w:val="002E4A33"/>
    <w:rsid w:val="002E552D"/>
    <w:rsid w:val="002E65C3"/>
    <w:rsid w:val="002E6930"/>
    <w:rsid w:val="002E7216"/>
    <w:rsid w:val="002E7565"/>
    <w:rsid w:val="002F02EC"/>
    <w:rsid w:val="002F08E0"/>
    <w:rsid w:val="002F45AA"/>
    <w:rsid w:val="002F7108"/>
    <w:rsid w:val="002F7822"/>
    <w:rsid w:val="0030209F"/>
    <w:rsid w:val="00303172"/>
    <w:rsid w:val="0030363E"/>
    <w:rsid w:val="00303655"/>
    <w:rsid w:val="00303F0D"/>
    <w:rsid w:val="003056A8"/>
    <w:rsid w:val="003067DF"/>
    <w:rsid w:val="003072CA"/>
    <w:rsid w:val="00307EBB"/>
    <w:rsid w:val="003111B1"/>
    <w:rsid w:val="0031156D"/>
    <w:rsid w:val="003146B8"/>
    <w:rsid w:val="0031556D"/>
    <w:rsid w:val="00315E72"/>
    <w:rsid w:val="00317AB5"/>
    <w:rsid w:val="003234E0"/>
    <w:rsid w:val="003238D4"/>
    <w:rsid w:val="003256D3"/>
    <w:rsid w:val="00325901"/>
    <w:rsid w:val="0032676A"/>
    <w:rsid w:val="00327438"/>
    <w:rsid w:val="003277F9"/>
    <w:rsid w:val="00330724"/>
    <w:rsid w:val="0033077E"/>
    <w:rsid w:val="003308ED"/>
    <w:rsid w:val="0033192B"/>
    <w:rsid w:val="00331FEB"/>
    <w:rsid w:val="0033414C"/>
    <w:rsid w:val="00334ADB"/>
    <w:rsid w:val="00336243"/>
    <w:rsid w:val="003408D2"/>
    <w:rsid w:val="00340CBA"/>
    <w:rsid w:val="003433A0"/>
    <w:rsid w:val="003441A2"/>
    <w:rsid w:val="00345B6A"/>
    <w:rsid w:val="00346A74"/>
    <w:rsid w:val="00346F79"/>
    <w:rsid w:val="003500A2"/>
    <w:rsid w:val="003513BF"/>
    <w:rsid w:val="00353A13"/>
    <w:rsid w:val="00354432"/>
    <w:rsid w:val="003547A8"/>
    <w:rsid w:val="00355741"/>
    <w:rsid w:val="00355887"/>
    <w:rsid w:val="003562C9"/>
    <w:rsid w:val="003569D4"/>
    <w:rsid w:val="00357BEC"/>
    <w:rsid w:val="00360D6C"/>
    <w:rsid w:val="0036260F"/>
    <w:rsid w:val="00365EBE"/>
    <w:rsid w:val="003668F5"/>
    <w:rsid w:val="00370AC4"/>
    <w:rsid w:val="00370CDC"/>
    <w:rsid w:val="00371010"/>
    <w:rsid w:val="003714A1"/>
    <w:rsid w:val="00373D88"/>
    <w:rsid w:val="0037461E"/>
    <w:rsid w:val="00375B57"/>
    <w:rsid w:val="00376F1F"/>
    <w:rsid w:val="00377AF7"/>
    <w:rsid w:val="0038285A"/>
    <w:rsid w:val="00383567"/>
    <w:rsid w:val="003837F6"/>
    <w:rsid w:val="00383E53"/>
    <w:rsid w:val="00384C51"/>
    <w:rsid w:val="00385D7D"/>
    <w:rsid w:val="00385E34"/>
    <w:rsid w:val="003870CD"/>
    <w:rsid w:val="00387621"/>
    <w:rsid w:val="00387740"/>
    <w:rsid w:val="00390A7D"/>
    <w:rsid w:val="003960D2"/>
    <w:rsid w:val="00397EFC"/>
    <w:rsid w:val="003A1A49"/>
    <w:rsid w:val="003A38EE"/>
    <w:rsid w:val="003A39A3"/>
    <w:rsid w:val="003A48AE"/>
    <w:rsid w:val="003A4E3C"/>
    <w:rsid w:val="003A5407"/>
    <w:rsid w:val="003A5916"/>
    <w:rsid w:val="003A5CC9"/>
    <w:rsid w:val="003A6584"/>
    <w:rsid w:val="003A65E9"/>
    <w:rsid w:val="003A67BA"/>
    <w:rsid w:val="003A74A8"/>
    <w:rsid w:val="003B4E81"/>
    <w:rsid w:val="003C033F"/>
    <w:rsid w:val="003C2408"/>
    <w:rsid w:val="003C290E"/>
    <w:rsid w:val="003C2BC8"/>
    <w:rsid w:val="003C3114"/>
    <w:rsid w:val="003C32D2"/>
    <w:rsid w:val="003C488A"/>
    <w:rsid w:val="003C63BA"/>
    <w:rsid w:val="003C7264"/>
    <w:rsid w:val="003D1B9C"/>
    <w:rsid w:val="003D2F55"/>
    <w:rsid w:val="003D33F2"/>
    <w:rsid w:val="003D4383"/>
    <w:rsid w:val="003D4C5C"/>
    <w:rsid w:val="003D6E7D"/>
    <w:rsid w:val="003E0EE2"/>
    <w:rsid w:val="003E1A60"/>
    <w:rsid w:val="003E1D21"/>
    <w:rsid w:val="003E21DA"/>
    <w:rsid w:val="003E5D12"/>
    <w:rsid w:val="003E63CD"/>
    <w:rsid w:val="003E6DD1"/>
    <w:rsid w:val="003F0027"/>
    <w:rsid w:val="003F073D"/>
    <w:rsid w:val="003F091B"/>
    <w:rsid w:val="003F1298"/>
    <w:rsid w:val="003F1F01"/>
    <w:rsid w:val="003F2380"/>
    <w:rsid w:val="003F4F62"/>
    <w:rsid w:val="003F53A5"/>
    <w:rsid w:val="003F6A06"/>
    <w:rsid w:val="003F7BE9"/>
    <w:rsid w:val="00401757"/>
    <w:rsid w:val="004023C6"/>
    <w:rsid w:val="004027D8"/>
    <w:rsid w:val="00403140"/>
    <w:rsid w:val="00405198"/>
    <w:rsid w:val="004054E6"/>
    <w:rsid w:val="00406F23"/>
    <w:rsid w:val="004076ED"/>
    <w:rsid w:val="00411D97"/>
    <w:rsid w:val="00412C8E"/>
    <w:rsid w:val="00413B73"/>
    <w:rsid w:val="00414303"/>
    <w:rsid w:val="00414C6E"/>
    <w:rsid w:val="00416346"/>
    <w:rsid w:val="004202D5"/>
    <w:rsid w:val="00421D77"/>
    <w:rsid w:val="00421E24"/>
    <w:rsid w:val="00423D84"/>
    <w:rsid w:val="00423EB7"/>
    <w:rsid w:val="00425DA1"/>
    <w:rsid w:val="004261B7"/>
    <w:rsid w:val="00427505"/>
    <w:rsid w:val="00430453"/>
    <w:rsid w:val="00432AEB"/>
    <w:rsid w:val="00432D11"/>
    <w:rsid w:val="004358ED"/>
    <w:rsid w:val="00436999"/>
    <w:rsid w:val="00440531"/>
    <w:rsid w:val="0044223E"/>
    <w:rsid w:val="00442672"/>
    <w:rsid w:val="0044773F"/>
    <w:rsid w:val="004514ED"/>
    <w:rsid w:val="0045209E"/>
    <w:rsid w:val="00453208"/>
    <w:rsid w:val="0045405E"/>
    <w:rsid w:val="00454CD5"/>
    <w:rsid w:val="00455491"/>
    <w:rsid w:val="004557F5"/>
    <w:rsid w:val="0045672C"/>
    <w:rsid w:val="00456A6D"/>
    <w:rsid w:val="00460E4B"/>
    <w:rsid w:val="00461C26"/>
    <w:rsid w:val="00463CA0"/>
    <w:rsid w:val="00464F81"/>
    <w:rsid w:val="0046512F"/>
    <w:rsid w:val="004651EE"/>
    <w:rsid w:val="00466AED"/>
    <w:rsid w:val="00467ADE"/>
    <w:rsid w:val="00467C17"/>
    <w:rsid w:val="004711AA"/>
    <w:rsid w:val="0047293F"/>
    <w:rsid w:val="00472C71"/>
    <w:rsid w:val="00474C4D"/>
    <w:rsid w:val="00474FD6"/>
    <w:rsid w:val="0047543F"/>
    <w:rsid w:val="00480376"/>
    <w:rsid w:val="00480C1A"/>
    <w:rsid w:val="00480C6B"/>
    <w:rsid w:val="004815FE"/>
    <w:rsid w:val="0048178E"/>
    <w:rsid w:val="00486E1A"/>
    <w:rsid w:val="004900FB"/>
    <w:rsid w:val="00491A0E"/>
    <w:rsid w:val="00491CC5"/>
    <w:rsid w:val="004949AE"/>
    <w:rsid w:val="00494C5A"/>
    <w:rsid w:val="004976A1"/>
    <w:rsid w:val="004A046B"/>
    <w:rsid w:val="004A1E73"/>
    <w:rsid w:val="004A1FD9"/>
    <w:rsid w:val="004A448B"/>
    <w:rsid w:val="004A6A3B"/>
    <w:rsid w:val="004A7B50"/>
    <w:rsid w:val="004B0819"/>
    <w:rsid w:val="004B689A"/>
    <w:rsid w:val="004B7EE1"/>
    <w:rsid w:val="004C08E1"/>
    <w:rsid w:val="004C10FD"/>
    <w:rsid w:val="004C25C3"/>
    <w:rsid w:val="004C3A78"/>
    <w:rsid w:val="004C3D0F"/>
    <w:rsid w:val="004C4159"/>
    <w:rsid w:val="004C6C0B"/>
    <w:rsid w:val="004C7CA5"/>
    <w:rsid w:val="004D0A77"/>
    <w:rsid w:val="004D1824"/>
    <w:rsid w:val="004D1F53"/>
    <w:rsid w:val="004D2687"/>
    <w:rsid w:val="004D4A41"/>
    <w:rsid w:val="004D4CBF"/>
    <w:rsid w:val="004E1A31"/>
    <w:rsid w:val="004E3787"/>
    <w:rsid w:val="004E3BC3"/>
    <w:rsid w:val="004E482F"/>
    <w:rsid w:val="004E521A"/>
    <w:rsid w:val="004E5D71"/>
    <w:rsid w:val="004E7C6C"/>
    <w:rsid w:val="004F1229"/>
    <w:rsid w:val="004F2346"/>
    <w:rsid w:val="004F2ACF"/>
    <w:rsid w:val="004F2F91"/>
    <w:rsid w:val="004F319F"/>
    <w:rsid w:val="004F4B32"/>
    <w:rsid w:val="004F4BA8"/>
    <w:rsid w:val="004F4FA0"/>
    <w:rsid w:val="004F56F6"/>
    <w:rsid w:val="004F7532"/>
    <w:rsid w:val="004F7E05"/>
    <w:rsid w:val="005000E1"/>
    <w:rsid w:val="005002F0"/>
    <w:rsid w:val="00502818"/>
    <w:rsid w:val="00502A50"/>
    <w:rsid w:val="005069F4"/>
    <w:rsid w:val="00506E34"/>
    <w:rsid w:val="005075CB"/>
    <w:rsid w:val="00507C72"/>
    <w:rsid w:val="00511F8D"/>
    <w:rsid w:val="00513EF3"/>
    <w:rsid w:val="005140ED"/>
    <w:rsid w:val="0051625F"/>
    <w:rsid w:val="00533BCD"/>
    <w:rsid w:val="00533C2E"/>
    <w:rsid w:val="005348F8"/>
    <w:rsid w:val="00535FAE"/>
    <w:rsid w:val="00536D38"/>
    <w:rsid w:val="00540236"/>
    <w:rsid w:val="00540AC7"/>
    <w:rsid w:val="00540D2B"/>
    <w:rsid w:val="005422DD"/>
    <w:rsid w:val="00542319"/>
    <w:rsid w:val="005429BF"/>
    <w:rsid w:val="00543D28"/>
    <w:rsid w:val="005449E1"/>
    <w:rsid w:val="005453C7"/>
    <w:rsid w:val="00545CC1"/>
    <w:rsid w:val="00550EB3"/>
    <w:rsid w:val="00551016"/>
    <w:rsid w:val="00551308"/>
    <w:rsid w:val="00553751"/>
    <w:rsid w:val="00560AA5"/>
    <w:rsid w:val="00560EF8"/>
    <w:rsid w:val="00561B2C"/>
    <w:rsid w:val="00561FD7"/>
    <w:rsid w:val="0056297B"/>
    <w:rsid w:val="00562D44"/>
    <w:rsid w:val="00566F2C"/>
    <w:rsid w:val="00567282"/>
    <w:rsid w:val="00567941"/>
    <w:rsid w:val="00570E16"/>
    <w:rsid w:val="00571359"/>
    <w:rsid w:val="00571AC7"/>
    <w:rsid w:val="00572CAD"/>
    <w:rsid w:val="00572EB4"/>
    <w:rsid w:val="00573557"/>
    <w:rsid w:val="0057696A"/>
    <w:rsid w:val="00580329"/>
    <w:rsid w:val="00581EAE"/>
    <w:rsid w:val="0058263C"/>
    <w:rsid w:val="005830AA"/>
    <w:rsid w:val="005851AE"/>
    <w:rsid w:val="00585516"/>
    <w:rsid w:val="005856C5"/>
    <w:rsid w:val="00585D66"/>
    <w:rsid w:val="005877E9"/>
    <w:rsid w:val="005924A3"/>
    <w:rsid w:val="00593355"/>
    <w:rsid w:val="00593F71"/>
    <w:rsid w:val="00594498"/>
    <w:rsid w:val="00596BA9"/>
    <w:rsid w:val="005970BE"/>
    <w:rsid w:val="0059731A"/>
    <w:rsid w:val="00597C46"/>
    <w:rsid w:val="005A1144"/>
    <w:rsid w:val="005A12CA"/>
    <w:rsid w:val="005A2968"/>
    <w:rsid w:val="005A3D65"/>
    <w:rsid w:val="005A6807"/>
    <w:rsid w:val="005A7714"/>
    <w:rsid w:val="005B1732"/>
    <w:rsid w:val="005B393F"/>
    <w:rsid w:val="005B3B11"/>
    <w:rsid w:val="005B4056"/>
    <w:rsid w:val="005B60CC"/>
    <w:rsid w:val="005B7568"/>
    <w:rsid w:val="005B7A6A"/>
    <w:rsid w:val="005B7D48"/>
    <w:rsid w:val="005C057D"/>
    <w:rsid w:val="005C0749"/>
    <w:rsid w:val="005C11B5"/>
    <w:rsid w:val="005C1E7E"/>
    <w:rsid w:val="005C2C32"/>
    <w:rsid w:val="005C4856"/>
    <w:rsid w:val="005D1D4A"/>
    <w:rsid w:val="005D351A"/>
    <w:rsid w:val="005D40E6"/>
    <w:rsid w:val="005D6928"/>
    <w:rsid w:val="005E62CA"/>
    <w:rsid w:val="005E7E9B"/>
    <w:rsid w:val="005E7EBC"/>
    <w:rsid w:val="005F166C"/>
    <w:rsid w:val="005F1CA9"/>
    <w:rsid w:val="005F5CAD"/>
    <w:rsid w:val="006017CA"/>
    <w:rsid w:val="00604AF2"/>
    <w:rsid w:val="00610A3F"/>
    <w:rsid w:val="0061111C"/>
    <w:rsid w:val="00613C3E"/>
    <w:rsid w:val="00614229"/>
    <w:rsid w:val="006209EF"/>
    <w:rsid w:val="00620F4C"/>
    <w:rsid w:val="00621071"/>
    <w:rsid w:val="0062354E"/>
    <w:rsid w:val="0062494C"/>
    <w:rsid w:val="00624EE8"/>
    <w:rsid w:val="006313F8"/>
    <w:rsid w:val="0063144E"/>
    <w:rsid w:val="00635399"/>
    <w:rsid w:val="0063606D"/>
    <w:rsid w:val="006414D4"/>
    <w:rsid w:val="00641698"/>
    <w:rsid w:val="00642116"/>
    <w:rsid w:val="00643790"/>
    <w:rsid w:val="00644050"/>
    <w:rsid w:val="00644A61"/>
    <w:rsid w:val="00645387"/>
    <w:rsid w:val="0065236F"/>
    <w:rsid w:val="00652946"/>
    <w:rsid w:val="006535D8"/>
    <w:rsid w:val="00654054"/>
    <w:rsid w:val="00654A97"/>
    <w:rsid w:val="00655023"/>
    <w:rsid w:val="00656DD5"/>
    <w:rsid w:val="006574F3"/>
    <w:rsid w:val="006577C4"/>
    <w:rsid w:val="006578E4"/>
    <w:rsid w:val="006606F0"/>
    <w:rsid w:val="0066096E"/>
    <w:rsid w:val="00660A38"/>
    <w:rsid w:val="00661FB7"/>
    <w:rsid w:val="00667F9D"/>
    <w:rsid w:val="00671292"/>
    <w:rsid w:val="006714FF"/>
    <w:rsid w:val="00674D2B"/>
    <w:rsid w:val="0067754D"/>
    <w:rsid w:val="00680B25"/>
    <w:rsid w:val="006816C0"/>
    <w:rsid w:val="00684046"/>
    <w:rsid w:val="00684991"/>
    <w:rsid w:val="006850F0"/>
    <w:rsid w:val="00685204"/>
    <w:rsid w:val="0068617C"/>
    <w:rsid w:val="00690623"/>
    <w:rsid w:val="00690F1C"/>
    <w:rsid w:val="00692219"/>
    <w:rsid w:val="00695535"/>
    <w:rsid w:val="00696190"/>
    <w:rsid w:val="0069625E"/>
    <w:rsid w:val="006A3A22"/>
    <w:rsid w:val="006A522A"/>
    <w:rsid w:val="006A5550"/>
    <w:rsid w:val="006A5AB8"/>
    <w:rsid w:val="006A5C7C"/>
    <w:rsid w:val="006A65DE"/>
    <w:rsid w:val="006A6A2C"/>
    <w:rsid w:val="006B30D1"/>
    <w:rsid w:val="006B348A"/>
    <w:rsid w:val="006B37A5"/>
    <w:rsid w:val="006B3B4D"/>
    <w:rsid w:val="006B4D05"/>
    <w:rsid w:val="006B5D7F"/>
    <w:rsid w:val="006C6297"/>
    <w:rsid w:val="006D4272"/>
    <w:rsid w:val="006D4F8D"/>
    <w:rsid w:val="006D5642"/>
    <w:rsid w:val="006D5747"/>
    <w:rsid w:val="006D6239"/>
    <w:rsid w:val="006D712E"/>
    <w:rsid w:val="006E0B0B"/>
    <w:rsid w:val="006E207D"/>
    <w:rsid w:val="006E4451"/>
    <w:rsid w:val="006E75D9"/>
    <w:rsid w:val="006F02B6"/>
    <w:rsid w:val="006F0547"/>
    <w:rsid w:val="006F0ABD"/>
    <w:rsid w:val="006F22D9"/>
    <w:rsid w:val="006F35AD"/>
    <w:rsid w:val="006F383D"/>
    <w:rsid w:val="006F504C"/>
    <w:rsid w:val="006F5E63"/>
    <w:rsid w:val="006F65E5"/>
    <w:rsid w:val="006F690C"/>
    <w:rsid w:val="006F6D0A"/>
    <w:rsid w:val="00700173"/>
    <w:rsid w:val="00700984"/>
    <w:rsid w:val="00700E19"/>
    <w:rsid w:val="007043DC"/>
    <w:rsid w:val="0070631A"/>
    <w:rsid w:val="00710406"/>
    <w:rsid w:val="0071330E"/>
    <w:rsid w:val="0071561C"/>
    <w:rsid w:val="007161A9"/>
    <w:rsid w:val="00716C5D"/>
    <w:rsid w:val="00717896"/>
    <w:rsid w:val="007213AA"/>
    <w:rsid w:val="00725A75"/>
    <w:rsid w:val="00727050"/>
    <w:rsid w:val="007304BE"/>
    <w:rsid w:val="007306EA"/>
    <w:rsid w:val="00731063"/>
    <w:rsid w:val="00731227"/>
    <w:rsid w:val="007313BA"/>
    <w:rsid w:val="00731DC3"/>
    <w:rsid w:val="00732536"/>
    <w:rsid w:val="0073323E"/>
    <w:rsid w:val="00735330"/>
    <w:rsid w:val="0073551A"/>
    <w:rsid w:val="00735F5E"/>
    <w:rsid w:val="00737F82"/>
    <w:rsid w:val="00740E6A"/>
    <w:rsid w:val="007429C4"/>
    <w:rsid w:val="00742E01"/>
    <w:rsid w:val="00743ACD"/>
    <w:rsid w:val="00745248"/>
    <w:rsid w:val="00753FCD"/>
    <w:rsid w:val="0075405C"/>
    <w:rsid w:val="00755E49"/>
    <w:rsid w:val="0075612A"/>
    <w:rsid w:val="007564F9"/>
    <w:rsid w:val="00757E20"/>
    <w:rsid w:val="0076093D"/>
    <w:rsid w:val="00761774"/>
    <w:rsid w:val="00761DF9"/>
    <w:rsid w:val="00762B2D"/>
    <w:rsid w:val="00763B64"/>
    <w:rsid w:val="0076449F"/>
    <w:rsid w:val="00764D52"/>
    <w:rsid w:val="00765E35"/>
    <w:rsid w:val="007664BF"/>
    <w:rsid w:val="00766FAF"/>
    <w:rsid w:val="0077133F"/>
    <w:rsid w:val="00772757"/>
    <w:rsid w:val="007734F4"/>
    <w:rsid w:val="00773ECA"/>
    <w:rsid w:val="007747EA"/>
    <w:rsid w:val="00774AC1"/>
    <w:rsid w:val="00776053"/>
    <w:rsid w:val="007760D6"/>
    <w:rsid w:val="00776656"/>
    <w:rsid w:val="00783A89"/>
    <w:rsid w:val="00784687"/>
    <w:rsid w:val="0078583D"/>
    <w:rsid w:val="007917C9"/>
    <w:rsid w:val="00791C14"/>
    <w:rsid w:val="00791EF7"/>
    <w:rsid w:val="00792D1C"/>
    <w:rsid w:val="007948C2"/>
    <w:rsid w:val="00796418"/>
    <w:rsid w:val="00796DD4"/>
    <w:rsid w:val="007A0D60"/>
    <w:rsid w:val="007A0FC8"/>
    <w:rsid w:val="007A118F"/>
    <w:rsid w:val="007A2E9C"/>
    <w:rsid w:val="007A337C"/>
    <w:rsid w:val="007A3575"/>
    <w:rsid w:val="007A5A4B"/>
    <w:rsid w:val="007A7209"/>
    <w:rsid w:val="007B0992"/>
    <w:rsid w:val="007B2387"/>
    <w:rsid w:val="007B394F"/>
    <w:rsid w:val="007B6864"/>
    <w:rsid w:val="007B72B1"/>
    <w:rsid w:val="007C02C1"/>
    <w:rsid w:val="007C35F5"/>
    <w:rsid w:val="007C38A6"/>
    <w:rsid w:val="007C5D8B"/>
    <w:rsid w:val="007C61BB"/>
    <w:rsid w:val="007C64D6"/>
    <w:rsid w:val="007C78F9"/>
    <w:rsid w:val="007D2B9C"/>
    <w:rsid w:val="007D2ED5"/>
    <w:rsid w:val="007D327F"/>
    <w:rsid w:val="007D4166"/>
    <w:rsid w:val="007E167C"/>
    <w:rsid w:val="007E2E09"/>
    <w:rsid w:val="007E4F50"/>
    <w:rsid w:val="007E78BA"/>
    <w:rsid w:val="007E7DBB"/>
    <w:rsid w:val="007F017F"/>
    <w:rsid w:val="007F0250"/>
    <w:rsid w:val="007F2200"/>
    <w:rsid w:val="007F22B7"/>
    <w:rsid w:val="007F2B2B"/>
    <w:rsid w:val="007F3506"/>
    <w:rsid w:val="007F3622"/>
    <w:rsid w:val="007F3943"/>
    <w:rsid w:val="007F47AC"/>
    <w:rsid w:val="007F4952"/>
    <w:rsid w:val="007F5F9F"/>
    <w:rsid w:val="007F65CB"/>
    <w:rsid w:val="007F6854"/>
    <w:rsid w:val="007F7309"/>
    <w:rsid w:val="008017F1"/>
    <w:rsid w:val="00801A14"/>
    <w:rsid w:val="00801EF7"/>
    <w:rsid w:val="00802F11"/>
    <w:rsid w:val="008044EA"/>
    <w:rsid w:val="00804EFE"/>
    <w:rsid w:val="00805AC2"/>
    <w:rsid w:val="00806BBC"/>
    <w:rsid w:val="008076D5"/>
    <w:rsid w:val="00812535"/>
    <w:rsid w:val="00812A20"/>
    <w:rsid w:val="00813431"/>
    <w:rsid w:val="00813941"/>
    <w:rsid w:val="00813D34"/>
    <w:rsid w:val="00813FF0"/>
    <w:rsid w:val="0081500B"/>
    <w:rsid w:val="00815069"/>
    <w:rsid w:val="008159BF"/>
    <w:rsid w:val="00816988"/>
    <w:rsid w:val="00824414"/>
    <w:rsid w:val="00826500"/>
    <w:rsid w:val="00831295"/>
    <w:rsid w:val="008319E5"/>
    <w:rsid w:val="00837016"/>
    <w:rsid w:val="00841272"/>
    <w:rsid w:val="0084153C"/>
    <w:rsid w:val="00842988"/>
    <w:rsid w:val="0084417B"/>
    <w:rsid w:val="00844B64"/>
    <w:rsid w:val="00845A07"/>
    <w:rsid w:val="008476E7"/>
    <w:rsid w:val="008512BE"/>
    <w:rsid w:val="008516D3"/>
    <w:rsid w:val="00851DB5"/>
    <w:rsid w:val="008523F2"/>
    <w:rsid w:val="008551B5"/>
    <w:rsid w:val="00855F9C"/>
    <w:rsid w:val="008566F9"/>
    <w:rsid w:val="00857568"/>
    <w:rsid w:val="008604B0"/>
    <w:rsid w:val="0086100A"/>
    <w:rsid w:val="0086132B"/>
    <w:rsid w:val="00862413"/>
    <w:rsid w:val="008637CC"/>
    <w:rsid w:val="00867CB2"/>
    <w:rsid w:val="00872223"/>
    <w:rsid w:val="008739E4"/>
    <w:rsid w:val="008752A9"/>
    <w:rsid w:val="008768EE"/>
    <w:rsid w:val="008778D0"/>
    <w:rsid w:val="008829BA"/>
    <w:rsid w:val="00882AFA"/>
    <w:rsid w:val="00890AB8"/>
    <w:rsid w:val="00890C4F"/>
    <w:rsid w:val="00891909"/>
    <w:rsid w:val="00895BEB"/>
    <w:rsid w:val="00897BA7"/>
    <w:rsid w:val="008A0276"/>
    <w:rsid w:val="008A2139"/>
    <w:rsid w:val="008A2BFE"/>
    <w:rsid w:val="008A330B"/>
    <w:rsid w:val="008A3617"/>
    <w:rsid w:val="008A4B25"/>
    <w:rsid w:val="008A54BD"/>
    <w:rsid w:val="008A5CF5"/>
    <w:rsid w:val="008A62A0"/>
    <w:rsid w:val="008A63EC"/>
    <w:rsid w:val="008A7981"/>
    <w:rsid w:val="008A7B58"/>
    <w:rsid w:val="008B0B6E"/>
    <w:rsid w:val="008B1181"/>
    <w:rsid w:val="008B17EA"/>
    <w:rsid w:val="008B1806"/>
    <w:rsid w:val="008B1F77"/>
    <w:rsid w:val="008B280E"/>
    <w:rsid w:val="008B3768"/>
    <w:rsid w:val="008B5C97"/>
    <w:rsid w:val="008C0645"/>
    <w:rsid w:val="008C09A5"/>
    <w:rsid w:val="008C0FEB"/>
    <w:rsid w:val="008C125E"/>
    <w:rsid w:val="008C1C92"/>
    <w:rsid w:val="008C2374"/>
    <w:rsid w:val="008C2526"/>
    <w:rsid w:val="008C3716"/>
    <w:rsid w:val="008C46E8"/>
    <w:rsid w:val="008C4786"/>
    <w:rsid w:val="008C5712"/>
    <w:rsid w:val="008C60F5"/>
    <w:rsid w:val="008C69E9"/>
    <w:rsid w:val="008C7C09"/>
    <w:rsid w:val="008C7FA7"/>
    <w:rsid w:val="008D0922"/>
    <w:rsid w:val="008D107E"/>
    <w:rsid w:val="008D1944"/>
    <w:rsid w:val="008D3174"/>
    <w:rsid w:val="008D47CD"/>
    <w:rsid w:val="008D4B35"/>
    <w:rsid w:val="008D4BC9"/>
    <w:rsid w:val="008D56B5"/>
    <w:rsid w:val="008D56D0"/>
    <w:rsid w:val="008D584D"/>
    <w:rsid w:val="008D58E7"/>
    <w:rsid w:val="008D7F00"/>
    <w:rsid w:val="008E0FAB"/>
    <w:rsid w:val="008E1532"/>
    <w:rsid w:val="008E3194"/>
    <w:rsid w:val="008E3FDB"/>
    <w:rsid w:val="008E5823"/>
    <w:rsid w:val="008E6A1D"/>
    <w:rsid w:val="008E6A2C"/>
    <w:rsid w:val="008E6F6B"/>
    <w:rsid w:val="008F0873"/>
    <w:rsid w:val="008F14B7"/>
    <w:rsid w:val="008F257F"/>
    <w:rsid w:val="008F4656"/>
    <w:rsid w:val="008F493B"/>
    <w:rsid w:val="008F69D2"/>
    <w:rsid w:val="008F7A76"/>
    <w:rsid w:val="008F7FE6"/>
    <w:rsid w:val="009008EF"/>
    <w:rsid w:val="00901430"/>
    <w:rsid w:val="00902999"/>
    <w:rsid w:val="00905047"/>
    <w:rsid w:val="00905C62"/>
    <w:rsid w:val="00905F2A"/>
    <w:rsid w:val="00906193"/>
    <w:rsid w:val="0090620F"/>
    <w:rsid w:val="00907867"/>
    <w:rsid w:val="00911DAB"/>
    <w:rsid w:val="009126B4"/>
    <w:rsid w:val="009148AA"/>
    <w:rsid w:val="0091693B"/>
    <w:rsid w:val="00916BAD"/>
    <w:rsid w:val="0091732F"/>
    <w:rsid w:val="00917E0F"/>
    <w:rsid w:val="0092242B"/>
    <w:rsid w:val="009242B6"/>
    <w:rsid w:val="00924947"/>
    <w:rsid w:val="00927847"/>
    <w:rsid w:val="009308A1"/>
    <w:rsid w:val="00930BC4"/>
    <w:rsid w:val="009312A2"/>
    <w:rsid w:val="00931D56"/>
    <w:rsid w:val="00932024"/>
    <w:rsid w:val="00932A37"/>
    <w:rsid w:val="009333F7"/>
    <w:rsid w:val="00933D9D"/>
    <w:rsid w:val="009359ED"/>
    <w:rsid w:val="00935F88"/>
    <w:rsid w:val="009360BB"/>
    <w:rsid w:val="009363EB"/>
    <w:rsid w:val="009375B0"/>
    <w:rsid w:val="009400FA"/>
    <w:rsid w:val="00944A38"/>
    <w:rsid w:val="00945CE6"/>
    <w:rsid w:val="00946B9A"/>
    <w:rsid w:val="00947464"/>
    <w:rsid w:val="00947900"/>
    <w:rsid w:val="00947F36"/>
    <w:rsid w:val="00950F25"/>
    <w:rsid w:val="00951CFB"/>
    <w:rsid w:val="00952A62"/>
    <w:rsid w:val="009555F8"/>
    <w:rsid w:val="00956265"/>
    <w:rsid w:val="009602D9"/>
    <w:rsid w:val="00962574"/>
    <w:rsid w:val="00962C35"/>
    <w:rsid w:val="009654A6"/>
    <w:rsid w:val="0097016C"/>
    <w:rsid w:val="009748D7"/>
    <w:rsid w:val="00976CAE"/>
    <w:rsid w:val="00980E0F"/>
    <w:rsid w:val="00982422"/>
    <w:rsid w:val="00982962"/>
    <w:rsid w:val="0098329B"/>
    <w:rsid w:val="00983F65"/>
    <w:rsid w:val="00986213"/>
    <w:rsid w:val="009863E4"/>
    <w:rsid w:val="0098641B"/>
    <w:rsid w:val="00987593"/>
    <w:rsid w:val="0099018F"/>
    <w:rsid w:val="00990835"/>
    <w:rsid w:val="009911D8"/>
    <w:rsid w:val="0099163A"/>
    <w:rsid w:val="00991927"/>
    <w:rsid w:val="0099243F"/>
    <w:rsid w:val="00992504"/>
    <w:rsid w:val="009930A1"/>
    <w:rsid w:val="00994A56"/>
    <w:rsid w:val="00994E1E"/>
    <w:rsid w:val="00995736"/>
    <w:rsid w:val="00997284"/>
    <w:rsid w:val="009A1841"/>
    <w:rsid w:val="009A35C8"/>
    <w:rsid w:val="009A46F1"/>
    <w:rsid w:val="009A64A9"/>
    <w:rsid w:val="009A6E69"/>
    <w:rsid w:val="009B07F7"/>
    <w:rsid w:val="009B24BA"/>
    <w:rsid w:val="009B26CF"/>
    <w:rsid w:val="009B3826"/>
    <w:rsid w:val="009B3D0D"/>
    <w:rsid w:val="009B41EB"/>
    <w:rsid w:val="009C1B2E"/>
    <w:rsid w:val="009C20A2"/>
    <w:rsid w:val="009C2C93"/>
    <w:rsid w:val="009C52B1"/>
    <w:rsid w:val="009C5604"/>
    <w:rsid w:val="009C5791"/>
    <w:rsid w:val="009C59E4"/>
    <w:rsid w:val="009C5C1C"/>
    <w:rsid w:val="009C6A22"/>
    <w:rsid w:val="009D2241"/>
    <w:rsid w:val="009D2403"/>
    <w:rsid w:val="009D3F02"/>
    <w:rsid w:val="009D4580"/>
    <w:rsid w:val="009D4649"/>
    <w:rsid w:val="009D58AD"/>
    <w:rsid w:val="009D5BF2"/>
    <w:rsid w:val="009D5C89"/>
    <w:rsid w:val="009D6E95"/>
    <w:rsid w:val="009D7CE7"/>
    <w:rsid w:val="009E1AB3"/>
    <w:rsid w:val="009E4096"/>
    <w:rsid w:val="009E482F"/>
    <w:rsid w:val="009E62DA"/>
    <w:rsid w:val="009E7156"/>
    <w:rsid w:val="009E792D"/>
    <w:rsid w:val="009F1584"/>
    <w:rsid w:val="009F2829"/>
    <w:rsid w:val="009F320B"/>
    <w:rsid w:val="009F36B5"/>
    <w:rsid w:val="009F36D4"/>
    <w:rsid w:val="009F3A69"/>
    <w:rsid w:val="009F3DA7"/>
    <w:rsid w:val="009F4113"/>
    <w:rsid w:val="009F42BC"/>
    <w:rsid w:val="009F546C"/>
    <w:rsid w:val="009F6B1A"/>
    <w:rsid w:val="00A00094"/>
    <w:rsid w:val="00A031B5"/>
    <w:rsid w:val="00A03C18"/>
    <w:rsid w:val="00A04172"/>
    <w:rsid w:val="00A04986"/>
    <w:rsid w:val="00A04F51"/>
    <w:rsid w:val="00A05171"/>
    <w:rsid w:val="00A059FC"/>
    <w:rsid w:val="00A07335"/>
    <w:rsid w:val="00A10592"/>
    <w:rsid w:val="00A10B33"/>
    <w:rsid w:val="00A11B81"/>
    <w:rsid w:val="00A1223F"/>
    <w:rsid w:val="00A12658"/>
    <w:rsid w:val="00A12C3C"/>
    <w:rsid w:val="00A12F0E"/>
    <w:rsid w:val="00A13960"/>
    <w:rsid w:val="00A13B2A"/>
    <w:rsid w:val="00A14914"/>
    <w:rsid w:val="00A14C4C"/>
    <w:rsid w:val="00A14D59"/>
    <w:rsid w:val="00A16E19"/>
    <w:rsid w:val="00A20471"/>
    <w:rsid w:val="00A21FF8"/>
    <w:rsid w:val="00A22304"/>
    <w:rsid w:val="00A234E4"/>
    <w:rsid w:val="00A2572E"/>
    <w:rsid w:val="00A27BDC"/>
    <w:rsid w:val="00A304FB"/>
    <w:rsid w:val="00A308D9"/>
    <w:rsid w:val="00A30A51"/>
    <w:rsid w:val="00A30C9A"/>
    <w:rsid w:val="00A339CD"/>
    <w:rsid w:val="00A347FF"/>
    <w:rsid w:val="00A34A82"/>
    <w:rsid w:val="00A34F27"/>
    <w:rsid w:val="00A35D2F"/>
    <w:rsid w:val="00A404AE"/>
    <w:rsid w:val="00A4117C"/>
    <w:rsid w:val="00A423DD"/>
    <w:rsid w:val="00A42994"/>
    <w:rsid w:val="00A463F3"/>
    <w:rsid w:val="00A4679F"/>
    <w:rsid w:val="00A4698D"/>
    <w:rsid w:val="00A46AEA"/>
    <w:rsid w:val="00A502F2"/>
    <w:rsid w:val="00A5191D"/>
    <w:rsid w:val="00A52287"/>
    <w:rsid w:val="00A5238C"/>
    <w:rsid w:val="00A527EE"/>
    <w:rsid w:val="00A52ACD"/>
    <w:rsid w:val="00A530DE"/>
    <w:rsid w:val="00A54DC6"/>
    <w:rsid w:val="00A55C42"/>
    <w:rsid w:val="00A566CB"/>
    <w:rsid w:val="00A606B2"/>
    <w:rsid w:val="00A61A2E"/>
    <w:rsid w:val="00A6245D"/>
    <w:rsid w:val="00A63D4B"/>
    <w:rsid w:val="00A64081"/>
    <w:rsid w:val="00A64B61"/>
    <w:rsid w:val="00A6663C"/>
    <w:rsid w:val="00A67099"/>
    <w:rsid w:val="00A675A5"/>
    <w:rsid w:val="00A678C7"/>
    <w:rsid w:val="00A67929"/>
    <w:rsid w:val="00A71971"/>
    <w:rsid w:val="00A725A7"/>
    <w:rsid w:val="00A72D07"/>
    <w:rsid w:val="00A7338B"/>
    <w:rsid w:val="00A73EA6"/>
    <w:rsid w:val="00A7479B"/>
    <w:rsid w:val="00A74CE3"/>
    <w:rsid w:val="00A7595B"/>
    <w:rsid w:val="00A7656B"/>
    <w:rsid w:val="00A803AD"/>
    <w:rsid w:val="00A80D5F"/>
    <w:rsid w:val="00A8469E"/>
    <w:rsid w:val="00A84C77"/>
    <w:rsid w:val="00A853FE"/>
    <w:rsid w:val="00A8679B"/>
    <w:rsid w:val="00A87297"/>
    <w:rsid w:val="00A901D3"/>
    <w:rsid w:val="00A91C89"/>
    <w:rsid w:val="00A922C2"/>
    <w:rsid w:val="00A925B1"/>
    <w:rsid w:val="00A94B2E"/>
    <w:rsid w:val="00A95368"/>
    <w:rsid w:val="00A96B2E"/>
    <w:rsid w:val="00A97E80"/>
    <w:rsid w:val="00AA0315"/>
    <w:rsid w:val="00AA0A2E"/>
    <w:rsid w:val="00AA0F36"/>
    <w:rsid w:val="00AA1F0F"/>
    <w:rsid w:val="00AA25B2"/>
    <w:rsid w:val="00AA4066"/>
    <w:rsid w:val="00AA42C9"/>
    <w:rsid w:val="00AA5734"/>
    <w:rsid w:val="00AA78CC"/>
    <w:rsid w:val="00AA7ED1"/>
    <w:rsid w:val="00AB010B"/>
    <w:rsid w:val="00AB105B"/>
    <w:rsid w:val="00AB1236"/>
    <w:rsid w:val="00AB1378"/>
    <w:rsid w:val="00AB298F"/>
    <w:rsid w:val="00AB2F9A"/>
    <w:rsid w:val="00AB4E1A"/>
    <w:rsid w:val="00AB5DBC"/>
    <w:rsid w:val="00AB6D7D"/>
    <w:rsid w:val="00AC05CF"/>
    <w:rsid w:val="00AC09BF"/>
    <w:rsid w:val="00AC1354"/>
    <w:rsid w:val="00AC1E43"/>
    <w:rsid w:val="00AC4ACE"/>
    <w:rsid w:val="00AC58C8"/>
    <w:rsid w:val="00AC6297"/>
    <w:rsid w:val="00AC6659"/>
    <w:rsid w:val="00AC6ED8"/>
    <w:rsid w:val="00AC7523"/>
    <w:rsid w:val="00AC75AA"/>
    <w:rsid w:val="00AC788C"/>
    <w:rsid w:val="00AD0A98"/>
    <w:rsid w:val="00AD0CA4"/>
    <w:rsid w:val="00AD2C45"/>
    <w:rsid w:val="00AD3207"/>
    <w:rsid w:val="00AD7171"/>
    <w:rsid w:val="00AE4B36"/>
    <w:rsid w:val="00AE7CB1"/>
    <w:rsid w:val="00AF182E"/>
    <w:rsid w:val="00AF429E"/>
    <w:rsid w:val="00AF46A0"/>
    <w:rsid w:val="00AF46C5"/>
    <w:rsid w:val="00AF4D2A"/>
    <w:rsid w:val="00AF548E"/>
    <w:rsid w:val="00AF5B3E"/>
    <w:rsid w:val="00B00305"/>
    <w:rsid w:val="00B0064F"/>
    <w:rsid w:val="00B02130"/>
    <w:rsid w:val="00B023BF"/>
    <w:rsid w:val="00B02B09"/>
    <w:rsid w:val="00B0324F"/>
    <w:rsid w:val="00B036BC"/>
    <w:rsid w:val="00B04E54"/>
    <w:rsid w:val="00B05835"/>
    <w:rsid w:val="00B05A61"/>
    <w:rsid w:val="00B06199"/>
    <w:rsid w:val="00B061C8"/>
    <w:rsid w:val="00B100A7"/>
    <w:rsid w:val="00B103E4"/>
    <w:rsid w:val="00B10D98"/>
    <w:rsid w:val="00B11D0A"/>
    <w:rsid w:val="00B123EB"/>
    <w:rsid w:val="00B12D01"/>
    <w:rsid w:val="00B130F6"/>
    <w:rsid w:val="00B1397A"/>
    <w:rsid w:val="00B1498F"/>
    <w:rsid w:val="00B15226"/>
    <w:rsid w:val="00B15E54"/>
    <w:rsid w:val="00B20E6E"/>
    <w:rsid w:val="00B21370"/>
    <w:rsid w:val="00B230F7"/>
    <w:rsid w:val="00B23974"/>
    <w:rsid w:val="00B256D5"/>
    <w:rsid w:val="00B26CD2"/>
    <w:rsid w:val="00B30045"/>
    <w:rsid w:val="00B30EA3"/>
    <w:rsid w:val="00B31188"/>
    <w:rsid w:val="00B325D2"/>
    <w:rsid w:val="00B329E8"/>
    <w:rsid w:val="00B33FF5"/>
    <w:rsid w:val="00B36F23"/>
    <w:rsid w:val="00B377F0"/>
    <w:rsid w:val="00B37A6C"/>
    <w:rsid w:val="00B37EB5"/>
    <w:rsid w:val="00B37F87"/>
    <w:rsid w:val="00B40DD1"/>
    <w:rsid w:val="00B43B10"/>
    <w:rsid w:val="00B44E12"/>
    <w:rsid w:val="00B45C64"/>
    <w:rsid w:val="00B47BB4"/>
    <w:rsid w:val="00B52D4C"/>
    <w:rsid w:val="00B53BB0"/>
    <w:rsid w:val="00B55952"/>
    <w:rsid w:val="00B576ED"/>
    <w:rsid w:val="00B57B4E"/>
    <w:rsid w:val="00B57E8A"/>
    <w:rsid w:val="00B60427"/>
    <w:rsid w:val="00B606E9"/>
    <w:rsid w:val="00B60819"/>
    <w:rsid w:val="00B61EEC"/>
    <w:rsid w:val="00B652B5"/>
    <w:rsid w:val="00B65F6D"/>
    <w:rsid w:val="00B66C56"/>
    <w:rsid w:val="00B67DD0"/>
    <w:rsid w:val="00B71754"/>
    <w:rsid w:val="00B73226"/>
    <w:rsid w:val="00B7403C"/>
    <w:rsid w:val="00B74E5E"/>
    <w:rsid w:val="00B77B1B"/>
    <w:rsid w:val="00B77D5F"/>
    <w:rsid w:val="00B807EF"/>
    <w:rsid w:val="00B8136E"/>
    <w:rsid w:val="00B814EA"/>
    <w:rsid w:val="00B82B04"/>
    <w:rsid w:val="00B83EF4"/>
    <w:rsid w:val="00B84EC9"/>
    <w:rsid w:val="00B85C5E"/>
    <w:rsid w:val="00B8753E"/>
    <w:rsid w:val="00B908F6"/>
    <w:rsid w:val="00B91FFA"/>
    <w:rsid w:val="00B924FE"/>
    <w:rsid w:val="00B92DB8"/>
    <w:rsid w:val="00B94DD3"/>
    <w:rsid w:val="00B9554F"/>
    <w:rsid w:val="00B967B1"/>
    <w:rsid w:val="00B96C98"/>
    <w:rsid w:val="00B96DE8"/>
    <w:rsid w:val="00B97772"/>
    <w:rsid w:val="00BA0172"/>
    <w:rsid w:val="00BA0768"/>
    <w:rsid w:val="00BA2674"/>
    <w:rsid w:val="00BA2D90"/>
    <w:rsid w:val="00BA59A3"/>
    <w:rsid w:val="00BA5A3A"/>
    <w:rsid w:val="00BA7146"/>
    <w:rsid w:val="00BA74BC"/>
    <w:rsid w:val="00BB0252"/>
    <w:rsid w:val="00BB051A"/>
    <w:rsid w:val="00BB0F00"/>
    <w:rsid w:val="00BB201E"/>
    <w:rsid w:val="00BB3668"/>
    <w:rsid w:val="00BB53F6"/>
    <w:rsid w:val="00BB5D2E"/>
    <w:rsid w:val="00BB60A6"/>
    <w:rsid w:val="00BB7B87"/>
    <w:rsid w:val="00BC0F2A"/>
    <w:rsid w:val="00BC1372"/>
    <w:rsid w:val="00BC142E"/>
    <w:rsid w:val="00BC30D0"/>
    <w:rsid w:val="00BC3150"/>
    <w:rsid w:val="00BC66D0"/>
    <w:rsid w:val="00BD0C73"/>
    <w:rsid w:val="00BD1F9C"/>
    <w:rsid w:val="00BD2D0A"/>
    <w:rsid w:val="00BD3D57"/>
    <w:rsid w:val="00BD462F"/>
    <w:rsid w:val="00BD4655"/>
    <w:rsid w:val="00BE01AF"/>
    <w:rsid w:val="00BE06B3"/>
    <w:rsid w:val="00BE0B31"/>
    <w:rsid w:val="00BE1543"/>
    <w:rsid w:val="00BE2F21"/>
    <w:rsid w:val="00BE2F9B"/>
    <w:rsid w:val="00BE35D4"/>
    <w:rsid w:val="00BE3AD0"/>
    <w:rsid w:val="00BE465B"/>
    <w:rsid w:val="00BE4B67"/>
    <w:rsid w:val="00BE7305"/>
    <w:rsid w:val="00BE7C95"/>
    <w:rsid w:val="00BE7FA3"/>
    <w:rsid w:val="00BF330C"/>
    <w:rsid w:val="00BF361A"/>
    <w:rsid w:val="00BF3A4C"/>
    <w:rsid w:val="00BF4047"/>
    <w:rsid w:val="00BF47C4"/>
    <w:rsid w:val="00BF691A"/>
    <w:rsid w:val="00C00754"/>
    <w:rsid w:val="00C0275F"/>
    <w:rsid w:val="00C02D7C"/>
    <w:rsid w:val="00C032E0"/>
    <w:rsid w:val="00C03869"/>
    <w:rsid w:val="00C039F4"/>
    <w:rsid w:val="00C04382"/>
    <w:rsid w:val="00C04684"/>
    <w:rsid w:val="00C04878"/>
    <w:rsid w:val="00C0526D"/>
    <w:rsid w:val="00C0565F"/>
    <w:rsid w:val="00C05A87"/>
    <w:rsid w:val="00C05B1B"/>
    <w:rsid w:val="00C131B1"/>
    <w:rsid w:val="00C14541"/>
    <w:rsid w:val="00C14548"/>
    <w:rsid w:val="00C15B3B"/>
    <w:rsid w:val="00C16762"/>
    <w:rsid w:val="00C202E8"/>
    <w:rsid w:val="00C20570"/>
    <w:rsid w:val="00C219A0"/>
    <w:rsid w:val="00C23214"/>
    <w:rsid w:val="00C24E2E"/>
    <w:rsid w:val="00C26478"/>
    <w:rsid w:val="00C26A59"/>
    <w:rsid w:val="00C300C9"/>
    <w:rsid w:val="00C31A0C"/>
    <w:rsid w:val="00C31E03"/>
    <w:rsid w:val="00C33281"/>
    <w:rsid w:val="00C35635"/>
    <w:rsid w:val="00C36178"/>
    <w:rsid w:val="00C36EB0"/>
    <w:rsid w:val="00C41D82"/>
    <w:rsid w:val="00C41FED"/>
    <w:rsid w:val="00C426F3"/>
    <w:rsid w:val="00C43D15"/>
    <w:rsid w:val="00C45709"/>
    <w:rsid w:val="00C45A87"/>
    <w:rsid w:val="00C45CEC"/>
    <w:rsid w:val="00C46044"/>
    <w:rsid w:val="00C46F15"/>
    <w:rsid w:val="00C47DA4"/>
    <w:rsid w:val="00C47DDA"/>
    <w:rsid w:val="00C5332C"/>
    <w:rsid w:val="00C54784"/>
    <w:rsid w:val="00C56CE9"/>
    <w:rsid w:val="00C61DD0"/>
    <w:rsid w:val="00C62110"/>
    <w:rsid w:val="00C62964"/>
    <w:rsid w:val="00C62E67"/>
    <w:rsid w:val="00C637D8"/>
    <w:rsid w:val="00C638B1"/>
    <w:rsid w:val="00C63B22"/>
    <w:rsid w:val="00C63EFB"/>
    <w:rsid w:val="00C64D06"/>
    <w:rsid w:val="00C656E5"/>
    <w:rsid w:val="00C67589"/>
    <w:rsid w:val="00C70898"/>
    <w:rsid w:val="00C746C9"/>
    <w:rsid w:val="00C74D34"/>
    <w:rsid w:val="00C74F8E"/>
    <w:rsid w:val="00C75494"/>
    <w:rsid w:val="00C759D4"/>
    <w:rsid w:val="00C77CD9"/>
    <w:rsid w:val="00C81F94"/>
    <w:rsid w:val="00C84D07"/>
    <w:rsid w:val="00C85EAC"/>
    <w:rsid w:val="00C86A5D"/>
    <w:rsid w:val="00C86FFE"/>
    <w:rsid w:val="00C876C5"/>
    <w:rsid w:val="00C90DF6"/>
    <w:rsid w:val="00C90F5E"/>
    <w:rsid w:val="00C94644"/>
    <w:rsid w:val="00C96FDD"/>
    <w:rsid w:val="00CA23DA"/>
    <w:rsid w:val="00CA2F44"/>
    <w:rsid w:val="00CA48D2"/>
    <w:rsid w:val="00CA4CE0"/>
    <w:rsid w:val="00CA7BD4"/>
    <w:rsid w:val="00CB0FD9"/>
    <w:rsid w:val="00CB2790"/>
    <w:rsid w:val="00CB2A12"/>
    <w:rsid w:val="00CB33E3"/>
    <w:rsid w:val="00CB4AD3"/>
    <w:rsid w:val="00CB6A6A"/>
    <w:rsid w:val="00CB749E"/>
    <w:rsid w:val="00CC0583"/>
    <w:rsid w:val="00CC1C82"/>
    <w:rsid w:val="00CC3476"/>
    <w:rsid w:val="00CC5EE9"/>
    <w:rsid w:val="00CC690A"/>
    <w:rsid w:val="00CD28DE"/>
    <w:rsid w:val="00CD568B"/>
    <w:rsid w:val="00CD7100"/>
    <w:rsid w:val="00CE0078"/>
    <w:rsid w:val="00CE0982"/>
    <w:rsid w:val="00CE157B"/>
    <w:rsid w:val="00CE3E1B"/>
    <w:rsid w:val="00CE4410"/>
    <w:rsid w:val="00CE4A1B"/>
    <w:rsid w:val="00CE4E2F"/>
    <w:rsid w:val="00CE52C5"/>
    <w:rsid w:val="00CE61B5"/>
    <w:rsid w:val="00CE6639"/>
    <w:rsid w:val="00CF0850"/>
    <w:rsid w:val="00CF0D09"/>
    <w:rsid w:val="00CF3035"/>
    <w:rsid w:val="00CF3E71"/>
    <w:rsid w:val="00CF5EC7"/>
    <w:rsid w:val="00CF65EE"/>
    <w:rsid w:val="00D00064"/>
    <w:rsid w:val="00D006D7"/>
    <w:rsid w:val="00D007CD"/>
    <w:rsid w:val="00D00F78"/>
    <w:rsid w:val="00D01B29"/>
    <w:rsid w:val="00D0384B"/>
    <w:rsid w:val="00D05DF6"/>
    <w:rsid w:val="00D0705B"/>
    <w:rsid w:val="00D100D4"/>
    <w:rsid w:val="00D114C8"/>
    <w:rsid w:val="00D12487"/>
    <w:rsid w:val="00D12FA0"/>
    <w:rsid w:val="00D14170"/>
    <w:rsid w:val="00D14A2D"/>
    <w:rsid w:val="00D15E8B"/>
    <w:rsid w:val="00D2156D"/>
    <w:rsid w:val="00D21B2B"/>
    <w:rsid w:val="00D21CC2"/>
    <w:rsid w:val="00D23346"/>
    <w:rsid w:val="00D257E0"/>
    <w:rsid w:val="00D27184"/>
    <w:rsid w:val="00D272DA"/>
    <w:rsid w:val="00D278D8"/>
    <w:rsid w:val="00D27AD8"/>
    <w:rsid w:val="00D27B26"/>
    <w:rsid w:val="00D27CD3"/>
    <w:rsid w:val="00D33377"/>
    <w:rsid w:val="00D35643"/>
    <w:rsid w:val="00D363EA"/>
    <w:rsid w:val="00D36AD6"/>
    <w:rsid w:val="00D40D27"/>
    <w:rsid w:val="00D41D57"/>
    <w:rsid w:val="00D420A0"/>
    <w:rsid w:val="00D5032F"/>
    <w:rsid w:val="00D50A15"/>
    <w:rsid w:val="00D50CB9"/>
    <w:rsid w:val="00D51DE7"/>
    <w:rsid w:val="00D54E21"/>
    <w:rsid w:val="00D55A8B"/>
    <w:rsid w:val="00D579B7"/>
    <w:rsid w:val="00D62163"/>
    <w:rsid w:val="00D66213"/>
    <w:rsid w:val="00D66556"/>
    <w:rsid w:val="00D701F3"/>
    <w:rsid w:val="00D709BD"/>
    <w:rsid w:val="00D72C7D"/>
    <w:rsid w:val="00D72CB0"/>
    <w:rsid w:val="00D72CD4"/>
    <w:rsid w:val="00D734FF"/>
    <w:rsid w:val="00D7357A"/>
    <w:rsid w:val="00D766E7"/>
    <w:rsid w:val="00D76CC7"/>
    <w:rsid w:val="00D80A0E"/>
    <w:rsid w:val="00D811A9"/>
    <w:rsid w:val="00D81368"/>
    <w:rsid w:val="00D82A58"/>
    <w:rsid w:val="00D85B09"/>
    <w:rsid w:val="00D85DD2"/>
    <w:rsid w:val="00D85E27"/>
    <w:rsid w:val="00D85E92"/>
    <w:rsid w:val="00D876A9"/>
    <w:rsid w:val="00D907CC"/>
    <w:rsid w:val="00D90FBB"/>
    <w:rsid w:val="00D92A5D"/>
    <w:rsid w:val="00D94DBD"/>
    <w:rsid w:val="00D956AC"/>
    <w:rsid w:val="00D95C32"/>
    <w:rsid w:val="00D95D55"/>
    <w:rsid w:val="00D95DC7"/>
    <w:rsid w:val="00D968BF"/>
    <w:rsid w:val="00DA03AB"/>
    <w:rsid w:val="00DA1F4B"/>
    <w:rsid w:val="00DA5E23"/>
    <w:rsid w:val="00DA78E3"/>
    <w:rsid w:val="00DB184B"/>
    <w:rsid w:val="00DB2B23"/>
    <w:rsid w:val="00DB2EEE"/>
    <w:rsid w:val="00DB322B"/>
    <w:rsid w:val="00DB5BDF"/>
    <w:rsid w:val="00DB7B4F"/>
    <w:rsid w:val="00DC2754"/>
    <w:rsid w:val="00DC2E2B"/>
    <w:rsid w:val="00DC60AA"/>
    <w:rsid w:val="00DC721D"/>
    <w:rsid w:val="00DC7C53"/>
    <w:rsid w:val="00DD020C"/>
    <w:rsid w:val="00DD0BB9"/>
    <w:rsid w:val="00DD0FCF"/>
    <w:rsid w:val="00DD340E"/>
    <w:rsid w:val="00DD4E73"/>
    <w:rsid w:val="00DD57C0"/>
    <w:rsid w:val="00DE3072"/>
    <w:rsid w:val="00DE311F"/>
    <w:rsid w:val="00DE31C2"/>
    <w:rsid w:val="00DE431A"/>
    <w:rsid w:val="00DE502C"/>
    <w:rsid w:val="00DE5BFB"/>
    <w:rsid w:val="00DF05A6"/>
    <w:rsid w:val="00DF15BD"/>
    <w:rsid w:val="00DF247F"/>
    <w:rsid w:val="00DF255A"/>
    <w:rsid w:val="00DF3C9C"/>
    <w:rsid w:val="00DF6288"/>
    <w:rsid w:val="00DF70E8"/>
    <w:rsid w:val="00E00A48"/>
    <w:rsid w:val="00E01A30"/>
    <w:rsid w:val="00E01F38"/>
    <w:rsid w:val="00E0230A"/>
    <w:rsid w:val="00E02646"/>
    <w:rsid w:val="00E02659"/>
    <w:rsid w:val="00E02E96"/>
    <w:rsid w:val="00E055AA"/>
    <w:rsid w:val="00E05B90"/>
    <w:rsid w:val="00E061F5"/>
    <w:rsid w:val="00E0628B"/>
    <w:rsid w:val="00E07175"/>
    <w:rsid w:val="00E11ACB"/>
    <w:rsid w:val="00E137EE"/>
    <w:rsid w:val="00E147F7"/>
    <w:rsid w:val="00E1491D"/>
    <w:rsid w:val="00E161FC"/>
    <w:rsid w:val="00E170ED"/>
    <w:rsid w:val="00E21062"/>
    <w:rsid w:val="00E214B1"/>
    <w:rsid w:val="00E23B7E"/>
    <w:rsid w:val="00E26721"/>
    <w:rsid w:val="00E269CD"/>
    <w:rsid w:val="00E26B1F"/>
    <w:rsid w:val="00E30D5C"/>
    <w:rsid w:val="00E30D7E"/>
    <w:rsid w:val="00E3117E"/>
    <w:rsid w:val="00E3344E"/>
    <w:rsid w:val="00E338D9"/>
    <w:rsid w:val="00E3427C"/>
    <w:rsid w:val="00E363EE"/>
    <w:rsid w:val="00E40423"/>
    <w:rsid w:val="00E4196D"/>
    <w:rsid w:val="00E427BE"/>
    <w:rsid w:val="00E4295F"/>
    <w:rsid w:val="00E4537C"/>
    <w:rsid w:val="00E4588E"/>
    <w:rsid w:val="00E45CCC"/>
    <w:rsid w:val="00E475AF"/>
    <w:rsid w:val="00E50F38"/>
    <w:rsid w:val="00E50F57"/>
    <w:rsid w:val="00E513EC"/>
    <w:rsid w:val="00E521CD"/>
    <w:rsid w:val="00E5440E"/>
    <w:rsid w:val="00E5592F"/>
    <w:rsid w:val="00E55BDB"/>
    <w:rsid w:val="00E56E76"/>
    <w:rsid w:val="00E60905"/>
    <w:rsid w:val="00E61F13"/>
    <w:rsid w:val="00E62124"/>
    <w:rsid w:val="00E6258B"/>
    <w:rsid w:val="00E627E7"/>
    <w:rsid w:val="00E629D9"/>
    <w:rsid w:val="00E62ABD"/>
    <w:rsid w:val="00E653FC"/>
    <w:rsid w:val="00E65CDB"/>
    <w:rsid w:val="00E721BF"/>
    <w:rsid w:val="00E72E08"/>
    <w:rsid w:val="00E7539A"/>
    <w:rsid w:val="00E7662D"/>
    <w:rsid w:val="00E81060"/>
    <w:rsid w:val="00E81B2D"/>
    <w:rsid w:val="00E8214D"/>
    <w:rsid w:val="00E82F93"/>
    <w:rsid w:val="00E84E6F"/>
    <w:rsid w:val="00E86B2F"/>
    <w:rsid w:val="00E90646"/>
    <w:rsid w:val="00E93636"/>
    <w:rsid w:val="00E940DE"/>
    <w:rsid w:val="00E94828"/>
    <w:rsid w:val="00E94D94"/>
    <w:rsid w:val="00E96115"/>
    <w:rsid w:val="00E9614C"/>
    <w:rsid w:val="00E97F01"/>
    <w:rsid w:val="00EA0365"/>
    <w:rsid w:val="00EA19C0"/>
    <w:rsid w:val="00EA227D"/>
    <w:rsid w:val="00EA2DE9"/>
    <w:rsid w:val="00EA5AC5"/>
    <w:rsid w:val="00EA61AA"/>
    <w:rsid w:val="00EA666F"/>
    <w:rsid w:val="00EA712B"/>
    <w:rsid w:val="00EA7417"/>
    <w:rsid w:val="00EB1633"/>
    <w:rsid w:val="00EB333F"/>
    <w:rsid w:val="00EB5BB9"/>
    <w:rsid w:val="00EB74F0"/>
    <w:rsid w:val="00EC0BAD"/>
    <w:rsid w:val="00EC0C9E"/>
    <w:rsid w:val="00EC0F86"/>
    <w:rsid w:val="00EC320E"/>
    <w:rsid w:val="00EC3396"/>
    <w:rsid w:val="00EC577C"/>
    <w:rsid w:val="00EC57D0"/>
    <w:rsid w:val="00EC58D6"/>
    <w:rsid w:val="00EC6F51"/>
    <w:rsid w:val="00EC77A2"/>
    <w:rsid w:val="00ED29B0"/>
    <w:rsid w:val="00ED303C"/>
    <w:rsid w:val="00ED31BF"/>
    <w:rsid w:val="00ED34D9"/>
    <w:rsid w:val="00ED3EC2"/>
    <w:rsid w:val="00ED51B3"/>
    <w:rsid w:val="00ED5C7A"/>
    <w:rsid w:val="00ED66AA"/>
    <w:rsid w:val="00ED71A7"/>
    <w:rsid w:val="00ED7A57"/>
    <w:rsid w:val="00EE022B"/>
    <w:rsid w:val="00EE1028"/>
    <w:rsid w:val="00EE2160"/>
    <w:rsid w:val="00EE4C20"/>
    <w:rsid w:val="00EE5EE2"/>
    <w:rsid w:val="00EE64E1"/>
    <w:rsid w:val="00EE6E8A"/>
    <w:rsid w:val="00EE75A9"/>
    <w:rsid w:val="00EF0742"/>
    <w:rsid w:val="00EF2FB0"/>
    <w:rsid w:val="00EF4414"/>
    <w:rsid w:val="00EF4773"/>
    <w:rsid w:val="00EF6229"/>
    <w:rsid w:val="00F00A7D"/>
    <w:rsid w:val="00F078DE"/>
    <w:rsid w:val="00F1068A"/>
    <w:rsid w:val="00F10771"/>
    <w:rsid w:val="00F10EE9"/>
    <w:rsid w:val="00F131B9"/>
    <w:rsid w:val="00F141AD"/>
    <w:rsid w:val="00F178F2"/>
    <w:rsid w:val="00F17D50"/>
    <w:rsid w:val="00F20D4C"/>
    <w:rsid w:val="00F25D74"/>
    <w:rsid w:val="00F263DD"/>
    <w:rsid w:val="00F26912"/>
    <w:rsid w:val="00F30836"/>
    <w:rsid w:val="00F3151E"/>
    <w:rsid w:val="00F3651D"/>
    <w:rsid w:val="00F36525"/>
    <w:rsid w:val="00F36532"/>
    <w:rsid w:val="00F36B1C"/>
    <w:rsid w:val="00F3772B"/>
    <w:rsid w:val="00F417A6"/>
    <w:rsid w:val="00F417FB"/>
    <w:rsid w:val="00F41D00"/>
    <w:rsid w:val="00F43832"/>
    <w:rsid w:val="00F45D71"/>
    <w:rsid w:val="00F4648B"/>
    <w:rsid w:val="00F4680C"/>
    <w:rsid w:val="00F528AB"/>
    <w:rsid w:val="00F5452C"/>
    <w:rsid w:val="00F55060"/>
    <w:rsid w:val="00F55174"/>
    <w:rsid w:val="00F5786A"/>
    <w:rsid w:val="00F5791F"/>
    <w:rsid w:val="00F61117"/>
    <w:rsid w:val="00F62955"/>
    <w:rsid w:val="00F62B2D"/>
    <w:rsid w:val="00F63AF7"/>
    <w:rsid w:val="00F64871"/>
    <w:rsid w:val="00F65F24"/>
    <w:rsid w:val="00F66277"/>
    <w:rsid w:val="00F671A6"/>
    <w:rsid w:val="00F674F0"/>
    <w:rsid w:val="00F67C93"/>
    <w:rsid w:val="00F71651"/>
    <w:rsid w:val="00F722FC"/>
    <w:rsid w:val="00F72C6B"/>
    <w:rsid w:val="00F778B4"/>
    <w:rsid w:val="00F77F6F"/>
    <w:rsid w:val="00F8166C"/>
    <w:rsid w:val="00F82F0A"/>
    <w:rsid w:val="00F82F51"/>
    <w:rsid w:val="00F83B4B"/>
    <w:rsid w:val="00F85D08"/>
    <w:rsid w:val="00F87E20"/>
    <w:rsid w:val="00F91AF0"/>
    <w:rsid w:val="00F92074"/>
    <w:rsid w:val="00F93765"/>
    <w:rsid w:val="00F93D52"/>
    <w:rsid w:val="00F94C8E"/>
    <w:rsid w:val="00F94E03"/>
    <w:rsid w:val="00F94E31"/>
    <w:rsid w:val="00F967E9"/>
    <w:rsid w:val="00F96BD1"/>
    <w:rsid w:val="00FA069D"/>
    <w:rsid w:val="00FA0946"/>
    <w:rsid w:val="00FA1294"/>
    <w:rsid w:val="00FA13D1"/>
    <w:rsid w:val="00FA46BC"/>
    <w:rsid w:val="00FA583C"/>
    <w:rsid w:val="00FA5C71"/>
    <w:rsid w:val="00FA7969"/>
    <w:rsid w:val="00FB063E"/>
    <w:rsid w:val="00FB0EAD"/>
    <w:rsid w:val="00FB1372"/>
    <w:rsid w:val="00FB2614"/>
    <w:rsid w:val="00FB287F"/>
    <w:rsid w:val="00FB4A72"/>
    <w:rsid w:val="00FB4B26"/>
    <w:rsid w:val="00FB6831"/>
    <w:rsid w:val="00FC130B"/>
    <w:rsid w:val="00FC1933"/>
    <w:rsid w:val="00FC2128"/>
    <w:rsid w:val="00FC28BA"/>
    <w:rsid w:val="00FC6DFE"/>
    <w:rsid w:val="00FC7FAB"/>
    <w:rsid w:val="00FD02E3"/>
    <w:rsid w:val="00FD0354"/>
    <w:rsid w:val="00FD24E6"/>
    <w:rsid w:val="00FD258B"/>
    <w:rsid w:val="00FD2A04"/>
    <w:rsid w:val="00FD7361"/>
    <w:rsid w:val="00FD73F5"/>
    <w:rsid w:val="00FE33F1"/>
    <w:rsid w:val="00FE367B"/>
    <w:rsid w:val="00FE480F"/>
    <w:rsid w:val="00FE6F49"/>
    <w:rsid w:val="00FF059C"/>
    <w:rsid w:val="00FF1927"/>
    <w:rsid w:val="00FF1BAC"/>
    <w:rsid w:val="00FF1EB9"/>
    <w:rsid w:val="00FF35B0"/>
    <w:rsid w:val="00FF63F9"/>
    <w:rsid w:val="00FF78F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A1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51E"/>
  </w:style>
  <w:style w:type="paragraph" w:styleId="Heading1">
    <w:name w:val="heading 1"/>
    <w:basedOn w:val="Normal"/>
    <w:next w:val="Normal"/>
    <w:link w:val="Heading1Char"/>
    <w:autoRedefine/>
    <w:uiPriority w:val="9"/>
    <w:qFormat/>
    <w:rsid w:val="006714FF"/>
    <w:pPr>
      <w:keepNext/>
      <w:keepLines/>
      <w:spacing w:line="480" w:lineRule="auto"/>
      <w:outlineLvl w:val="0"/>
    </w:pPr>
    <w:rPr>
      <w:rFonts w:ascii="Times" w:eastAsiaTheme="majorEastAsia" w:hAnsi="Times" w:cstheme="majorBidi"/>
      <w:b/>
      <w:bCs/>
      <w:color w:val="1F497D" w:themeColor="text2"/>
      <w:sz w:val="32"/>
      <w:szCs w:val="32"/>
    </w:rPr>
  </w:style>
  <w:style w:type="paragraph" w:styleId="Heading2">
    <w:name w:val="heading 2"/>
    <w:basedOn w:val="Normal"/>
    <w:next w:val="Normal"/>
    <w:link w:val="Heading2Char"/>
    <w:autoRedefine/>
    <w:uiPriority w:val="9"/>
    <w:unhideWhenUsed/>
    <w:qFormat/>
    <w:rsid w:val="00DB184B"/>
    <w:pPr>
      <w:keepNext/>
      <w:keepLines/>
      <w:spacing w:before="200" w:line="480" w:lineRule="auto"/>
      <w:outlineLvl w:val="1"/>
    </w:pPr>
    <w:rPr>
      <w:rFonts w:ascii="Times" w:eastAsiaTheme="majorEastAsia" w:hAnsi="Times" w:cs="Times New Roman"/>
      <w:b/>
      <w:bCs/>
      <w:color w:val="000000" w:themeColor="text1"/>
      <w:sz w:val="26"/>
      <w:szCs w:val="26"/>
    </w:rPr>
  </w:style>
  <w:style w:type="paragraph" w:styleId="Heading3">
    <w:name w:val="heading 3"/>
    <w:basedOn w:val="Normal"/>
    <w:next w:val="Normal"/>
    <w:link w:val="Heading3Char"/>
    <w:uiPriority w:val="9"/>
    <w:unhideWhenUsed/>
    <w:qFormat/>
    <w:rsid w:val="00F315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4FF"/>
    <w:rPr>
      <w:rFonts w:ascii="Times" w:eastAsiaTheme="majorEastAsia" w:hAnsi="Times" w:cstheme="majorBidi"/>
      <w:b/>
      <w:bCs/>
      <w:color w:val="1F497D" w:themeColor="text2"/>
      <w:sz w:val="32"/>
      <w:szCs w:val="32"/>
    </w:rPr>
  </w:style>
  <w:style w:type="character" w:customStyle="1" w:styleId="Heading2Char">
    <w:name w:val="Heading 2 Char"/>
    <w:basedOn w:val="DefaultParagraphFont"/>
    <w:link w:val="Heading2"/>
    <w:uiPriority w:val="9"/>
    <w:rsid w:val="00DB184B"/>
    <w:rPr>
      <w:rFonts w:ascii="Times" w:eastAsiaTheme="majorEastAsia" w:hAnsi="Times" w:cs="Times New Roman"/>
      <w:b/>
      <w:bCs/>
      <w:color w:val="000000" w:themeColor="text1"/>
      <w:sz w:val="26"/>
      <w:szCs w:val="26"/>
    </w:rPr>
  </w:style>
  <w:style w:type="character" w:customStyle="1" w:styleId="Heading3Char">
    <w:name w:val="Heading 3 Char"/>
    <w:basedOn w:val="DefaultParagraphFont"/>
    <w:link w:val="Heading3"/>
    <w:uiPriority w:val="9"/>
    <w:rsid w:val="00F3151E"/>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E6F49"/>
    <w:pPr>
      <w:spacing w:after="300"/>
      <w:contextualSpacing/>
      <w:jc w:val="center"/>
    </w:pPr>
    <w:rPr>
      <w:rFonts w:ascii="Times" w:eastAsiaTheme="majorEastAsia" w:hAnsi="Times" w:cstheme="majorBidi"/>
      <w:color w:val="000000" w:themeColor="text1"/>
      <w:spacing w:val="5"/>
      <w:kern w:val="28"/>
      <w:sz w:val="52"/>
      <w:szCs w:val="52"/>
    </w:rPr>
  </w:style>
  <w:style w:type="character" w:customStyle="1" w:styleId="TitleChar">
    <w:name w:val="Title Char"/>
    <w:basedOn w:val="DefaultParagraphFont"/>
    <w:link w:val="Title"/>
    <w:uiPriority w:val="10"/>
    <w:rsid w:val="00FE6F49"/>
    <w:rPr>
      <w:rFonts w:ascii="Times" w:eastAsiaTheme="majorEastAsia" w:hAnsi="Times" w:cstheme="majorBidi"/>
      <w:color w:val="000000" w:themeColor="text1"/>
      <w:spacing w:val="5"/>
      <w:kern w:val="28"/>
      <w:sz w:val="52"/>
      <w:szCs w:val="52"/>
    </w:rPr>
  </w:style>
  <w:style w:type="character" w:styleId="Emphasis">
    <w:name w:val="Emphasis"/>
    <w:basedOn w:val="DefaultParagraphFont"/>
    <w:uiPriority w:val="20"/>
    <w:qFormat/>
    <w:rsid w:val="00F3151E"/>
    <w:rPr>
      <w:i/>
      <w:iCs/>
    </w:rPr>
  </w:style>
  <w:style w:type="character" w:styleId="Strong">
    <w:name w:val="Strong"/>
    <w:basedOn w:val="DefaultParagraphFont"/>
    <w:uiPriority w:val="22"/>
    <w:qFormat/>
    <w:rsid w:val="00F3151E"/>
    <w:rPr>
      <w:b/>
      <w:bCs/>
      <w:color w:val="000000" w:themeColor="text1"/>
    </w:rPr>
  </w:style>
  <w:style w:type="paragraph" w:styleId="BalloonText">
    <w:name w:val="Balloon Text"/>
    <w:basedOn w:val="Normal"/>
    <w:link w:val="BalloonTextChar"/>
    <w:uiPriority w:val="99"/>
    <w:semiHidden/>
    <w:unhideWhenUsed/>
    <w:rsid w:val="00F315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51E"/>
    <w:rPr>
      <w:rFonts w:ascii="Lucida Grande" w:hAnsi="Lucida Grande" w:cs="Lucida Grande"/>
      <w:sz w:val="18"/>
      <w:szCs w:val="18"/>
    </w:rPr>
  </w:style>
  <w:style w:type="paragraph" w:styleId="Caption">
    <w:name w:val="caption"/>
    <w:basedOn w:val="Normal"/>
    <w:next w:val="Normal"/>
    <w:uiPriority w:val="35"/>
    <w:unhideWhenUsed/>
    <w:qFormat/>
    <w:rsid w:val="00F3151E"/>
    <w:pPr>
      <w:spacing w:after="200"/>
      <w:jc w:val="both"/>
    </w:pPr>
    <w:rPr>
      <w:b/>
      <w:bCs/>
      <w:color w:val="4F81BD" w:themeColor="accent1"/>
      <w:sz w:val="18"/>
      <w:szCs w:val="18"/>
    </w:rPr>
  </w:style>
  <w:style w:type="paragraph" w:styleId="ListParagraph">
    <w:name w:val="List Paragraph"/>
    <w:basedOn w:val="Normal"/>
    <w:uiPriority w:val="34"/>
    <w:qFormat/>
    <w:rsid w:val="00F3151E"/>
    <w:pPr>
      <w:ind w:left="720"/>
      <w:contextualSpacing/>
    </w:pPr>
  </w:style>
  <w:style w:type="paragraph" w:styleId="NormalWeb">
    <w:name w:val="Normal (Web)"/>
    <w:basedOn w:val="Normal"/>
    <w:uiPriority w:val="99"/>
    <w:unhideWhenUsed/>
    <w:rsid w:val="00F3151E"/>
    <w:pPr>
      <w:spacing w:before="100" w:beforeAutospacing="1" w:after="100" w:afterAutospacing="1"/>
    </w:pPr>
    <w:rPr>
      <w:rFonts w:ascii="Times" w:hAnsi="Times" w:cs="Times New Roman"/>
      <w:sz w:val="20"/>
      <w:szCs w:val="20"/>
      <w:lang w:val="en-GB"/>
    </w:rPr>
  </w:style>
  <w:style w:type="paragraph" w:styleId="Subtitle">
    <w:name w:val="Subtitle"/>
    <w:basedOn w:val="Normal"/>
    <w:next w:val="Normal"/>
    <w:link w:val="SubtitleChar"/>
    <w:uiPriority w:val="11"/>
    <w:qFormat/>
    <w:rsid w:val="00F315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3151E"/>
    <w:rPr>
      <w:rFonts w:asciiTheme="majorHAnsi" w:eastAsiaTheme="majorEastAsia" w:hAnsiTheme="majorHAnsi" w:cstheme="majorBidi"/>
      <w:i/>
      <w:iCs/>
      <w:color w:val="4F81BD" w:themeColor="accent1"/>
      <w:spacing w:val="15"/>
    </w:rPr>
  </w:style>
  <w:style w:type="character" w:styleId="CommentReference">
    <w:name w:val="annotation reference"/>
    <w:basedOn w:val="DefaultParagraphFont"/>
    <w:uiPriority w:val="99"/>
    <w:semiHidden/>
    <w:rsid w:val="00F3151E"/>
    <w:rPr>
      <w:rFonts w:cs="Times New Roman"/>
      <w:sz w:val="16"/>
      <w:szCs w:val="16"/>
    </w:rPr>
  </w:style>
  <w:style w:type="paragraph" w:styleId="CommentText">
    <w:name w:val="annotation text"/>
    <w:basedOn w:val="Normal"/>
    <w:link w:val="CommentTextChar"/>
    <w:uiPriority w:val="99"/>
    <w:semiHidden/>
    <w:rsid w:val="00F3151E"/>
    <w:rPr>
      <w:rFonts w:ascii="Cambria" w:eastAsia="MS ??" w:hAnsi="Cambria" w:cs="Times New Roman"/>
      <w:sz w:val="20"/>
      <w:szCs w:val="20"/>
    </w:rPr>
  </w:style>
  <w:style w:type="character" w:customStyle="1" w:styleId="CommentTextChar">
    <w:name w:val="Comment Text Char"/>
    <w:basedOn w:val="DefaultParagraphFont"/>
    <w:link w:val="CommentText"/>
    <w:uiPriority w:val="99"/>
    <w:semiHidden/>
    <w:rsid w:val="00F3151E"/>
    <w:rPr>
      <w:rFonts w:ascii="Cambria" w:eastAsia="MS ??" w:hAnsi="Cambria" w:cs="Times New Roman"/>
      <w:sz w:val="20"/>
      <w:szCs w:val="20"/>
    </w:rPr>
  </w:style>
  <w:style w:type="table" w:styleId="TableGrid">
    <w:name w:val="Table Grid"/>
    <w:basedOn w:val="TableNormal"/>
    <w:uiPriority w:val="59"/>
    <w:rsid w:val="00F3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F3151E"/>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3151E"/>
    <w:rPr>
      <w:rFonts w:ascii="Cambria" w:eastAsia="MS ??" w:hAnsi="Cambria" w:cs="Times New Roman"/>
      <w:b/>
      <w:bCs/>
      <w:sz w:val="20"/>
      <w:szCs w:val="20"/>
    </w:rPr>
  </w:style>
  <w:style w:type="paragraph" w:styleId="Revision">
    <w:name w:val="Revision"/>
    <w:hidden/>
    <w:uiPriority w:val="99"/>
    <w:semiHidden/>
    <w:rsid w:val="00F3151E"/>
  </w:style>
  <w:style w:type="character" w:styleId="Hyperlink">
    <w:name w:val="Hyperlink"/>
    <w:basedOn w:val="DefaultParagraphFont"/>
    <w:uiPriority w:val="99"/>
    <w:unhideWhenUsed/>
    <w:rsid w:val="00F3151E"/>
    <w:rPr>
      <w:color w:val="0000FF" w:themeColor="hyperlink"/>
      <w:u w:val="single"/>
    </w:rPr>
  </w:style>
  <w:style w:type="character" w:styleId="FollowedHyperlink">
    <w:name w:val="FollowedHyperlink"/>
    <w:basedOn w:val="DefaultParagraphFont"/>
    <w:uiPriority w:val="99"/>
    <w:semiHidden/>
    <w:unhideWhenUsed/>
    <w:rsid w:val="00F3151E"/>
    <w:rPr>
      <w:color w:val="800080" w:themeColor="followedHyperlink"/>
      <w:u w:val="single"/>
    </w:rPr>
  </w:style>
  <w:style w:type="paragraph" w:styleId="Header">
    <w:name w:val="header"/>
    <w:basedOn w:val="Normal"/>
    <w:link w:val="HeaderChar"/>
    <w:uiPriority w:val="99"/>
    <w:unhideWhenUsed/>
    <w:rsid w:val="00F3151E"/>
    <w:pPr>
      <w:tabs>
        <w:tab w:val="center" w:pos="4320"/>
        <w:tab w:val="right" w:pos="8640"/>
      </w:tabs>
    </w:pPr>
  </w:style>
  <w:style w:type="character" w:customStyle="1" w:styleId="HeaderChar">
    <w:name w:val="Header Char"/>
    <w:basedOn w:val="DefaultParagraphFont"/>
    <w:link w:val="Header"/>
    <w:uiPriority w:val="99"/>
    <w:rsid w:val="00F3151E"/>
  </w:style>
  <w:style w:type="paragraph" w:styleId="Footer">
    <w:name w:val="footer"/>
    <w:basedOn w:val="Normal"/>
    <w:link w:val="FooterChar"/>
    <w:uiPriority w:val="99"/>
    <w:unhideWhenUsed/>
    <w:rsid w:val="00F3151E"/>
    <w:pPr>
      <w:tabs>
        <w:tab w:val="center" w:pos="4320"/>
        <w:tab w:val="right" w:pos="8640"/>
      </w:tabs>
    </w:pPr>
  </w:style>
  <w:style w:type="character" w:customStyle="1" w:styleId="FooterChar">
    <w:name w:val="Footer Char"/>
    <w:basedOn w:val="DefaultParagraphFont"/>
    <w:link w:val="Footer"/>
    <w:uiPriority w:val="99"/>
    <w:rsid w:val="00F3151E"/>
  </w:style>
  <w:style w:type="character" w:styleId="PageNumber">
    <w:name w:val="page number"/>
    <w:basedOn w:val="DefaultParagraphFont"/>
    <w:uiPriority w:val="99"/>
    <w:semiHidden/>
    <w:unhideWhenUsed/>
    <w:rsid w:val="00F3151E"/>
  </w:style>
  <w:style w:type="character" w:styleId="LineNumber">
    <w:name w:val="line number"/>
    <w:basedOn w:val="DefaultParagraphFont"/>
    <w:uiPriority w:val="99"/>
    <w:semiHidden/>
    <w:unhideWhenUsed/>
    <w:rsid w:val="00C5478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51E"/>
  </w:style>
  <w:style w:type="paragraph" w:styleId="Heading1">
    <w:name w:val="heading 1"/>
    <w:basedOn w:val="Normal"/>
    <w:next w:val="Normal"/>
    <w:link w:val="Heading1Char"/>
    <w:autoRedefine/>
    <w:uiPriority w:val="9"/>
    <w:qFormat/>
    <w:rsid w:val="006714FF"/>
    <w:pPr>
      <w:keepNext/>
      <w:keepLines/>
      <w:spacing w:line="480" w:lineRule="auto"/>
      <w:outlineLvl w:val="0"/>
    </w:pPr>
    <w:rPr>
      <w:rFonts w:ascii="Times" w:eastAsiaTheme="majorEastAsia" w:hAnsi="Times" w:cstheme="majorBidi"/>
      <w:b/>
      <w:bCs/>
      <w:color w:val="1F497D" w:themeColor="text2"/>
      <w:sz w:val="32"/>
      <w:szCs w:val="32"/>
    </w:rPr>
  </w:style>
  <w:style w:type="paragraph" w:styleId="Heading2">
    <w:name w:val="heading 2"/>
    <w:basedOn w:val="Normal"/>
    <w:next w:val="Normal"/>
    <w:link w:val="Heading2Char"/>
    <w:autoRedefine/>
    <w:uiPriority w:val="9"/>
    <w:unhideWhenUsed/>
    <w:qFormat/>
    <w:rsid w:val="00DB184B"/>
    <w:pPr>
      <w:keepNext/>
      <w:keepLines/>
      <w:spacing w:before="200" w:line="480" w:lineRule="auto"/>
      <w:outlineLvl w:val="1"/>
    </w:pPr>
    <w:rPr>
      <w:rFonts w:ascii="Times" w:eastAsiaTheme="majorEastAsia" w:hAnsi="Times" w:cs="Times New Roman"/>
      <w:b/>
      <w:bCs/>
      <w:color w:val="000000" w:themeColor="text1"/>
      <w:sz w:val="26"/>
      <w:szCs w:val="26"/>
    </w:rPr>
  </w:style>
  <w:style w:type="paragraph" w:styleId="Heading3">
    <w:name w:val="heading 3"/>
    <w:basedOn w:val="Normal"/>
    <w:next w:val="Normal"/>
    <w:link w:val="Heading3Char"/>
    <w:uiPriority w:val="9"/>
    <w:unhideWhenUsed/>
    <w:qFormat/>
    <w:rsid w:val="00F315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4FF"/>
    <w:rPr>
      <w:rFonts w:ascii="Times" w:eastAsiaTheme="majorEastAsia" w:hAnsi="Times" w:cstheme="majorBidi"/>
      <w:b/>
      <w:bCs/>
      <w:color w:val="1F497D" w:themeColor="text2"/>
      <w:sz w:val="32"/>
      <w:szCs w:val="32"/>
    </w:rPr>
  </w:style>
  <w:style w:type="character" w:customStyle="1" w:styleId="Heading2Char">
    <w:name w:val="Heading 2 Char"/>
    <w:basedOn w:val="DefaultParagraphFont"/>
    <w:link w:val="Heading2"/>
    <w:uiPriority w:val="9"/>
    <w:rsid w:val="00DB184B"/>
    <w:rPr>
      <w:rFonts w:ascii="Times" w:eastAsiaTheme="majorEastAsia" w:hAnsi="Times" w:cs="Times New Roman"/>
      <w:b/>
      <w:bCs/>
      <w:color w:val="000000" w:themeColor="text1"/>
      <w:sz w:val="26"/>
      <w:szCs w:val="26"/>
    </w:rPr>
  </w:style>
  <w:style w:type="character" w:customStyle="1" w:styleId="Heading3Char">
    <w:name w:val="Heading 3 Char"/>
    <w:basedOn w:val="DefaultParagraphFont"/>
    <w:link w:val="Heading3"/>
    <w:uiPriority w:val="9"/>
    <w:rsid w:val="00F3151E"/>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E6F49"/>
    <w:pPr>
      <w:spacing w:after="300"/>
      <w:contextualSpacing/>
      <w:jc w:val="center"/>
    </w:pPr>
    <w:rPr>
      <w:rFonts w:ascii="Times" w:eastAsiaTheme="majorEastAsia" w:hAnsi="Times" w:cstheme="majorBidi"/>
      <w:color w:val="000000" w:themeColor="text1"/>
      <w:spacing w:val="5"/>
      <w:kern w:val="28"/>
      <w:sz w:val="52"/>
      <w:szCs w:val="52"/>
    </w:rPr>
  </w:style>
  <w:style w:type="character" w:customStyle="1" w:styleId="TitleChar">
    <w:name w:val="Title Char"/>
    <w:basedOn w:val="DefaultParagraphFont"/>
    <w:link w:val="Title"/>
    <w:uiPriority w:val="10"/>
    <w:rsid w:val="00FE6F49"/>
    <w:rPr>
      <w:rFonts w:ascii="Times" w:eastAsiaTheme="majorEastAsia" w:hAnsi="Times" w:cstheme="majorBidi"/>
      <w:color w:val="000000" w:themeColor="text1"/>
      <w:spacing w:val="5"/>
      <w:kern w:val="28"/>
      <w:sz w:val="52"/>
      <w:szCs w:val="52"/>
    </w:rPr>
  </w:style>
  <w:style w:type="character" w:styleId="Emphasis">
    <w:name w:val="Emphasis"/>
    <w:basedOn w:val="DefaultParagraphFont"/>
    <w:uiPriority w:val="20"/>
    <w:qFormat/>
    <w:rsid w:val="00F3151E"/>
    <w:rPr>
      <w:i/>
      <w:iCs/>
    </w:rPr>
  </w:style>
  <w:style w:type="character" w:styleId="Strong">
    <w:name w:val="Strong"/>
    <w:basedOn w:val="DefaultParagraphFont"/>
    <w:uiPriority w:val="22"/>
    <w:qFormat/>
    <w:rsid w:val="00F3151E"/>
    <w:rPr>
      <w:b/>
      <w:bCs/>
      <w:color w:val="000000" w:themeColor="text1"/>
    </w:rPr>
  </w:style>
  <w:style w:type="paragraph" w:styleId="BalloonText">
    <w:name w:val="Balloon Text"/>
    <w:basedOn w:val="Normal"/>
    <w:link w:val="BalloonTextChar"/>
    <w:uiPriority w:val="99"/>
    <w:semiHidden/>
    <w:unhideWhenUsed/>
    <w:rsid w:val="00F315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51E"/>
    <w:rPr>
      <w:rFonts w:ascii="Lucida Grande" w:hAnsi="Lucida Grande" w:cs="Lucida Grande"/>
      <w:sz w:val="18"/>
      <w:szCs w:val="18"/>
    </w:rPr>
  </w:style>
  <w:style w:type="paragraph" w:styleId="Caption">
    <w:name w:val="caption"/>
    <w:basedOn w:val="Normal"/>
    <w:next w:val="Normal"/>
    <w:uiPriority w:val="35"/>
    <w:unhideWhenUsed/>
    <w:qFormat/>
    <w:rsid w:val="00F3151E"/>
    <w:pPr>
      <w:spacing w:after="200"/>
      <w:jc w:val="both"/>
    </w:pPr>
    <w:rPr>
      <w:b/>
      <w:bCs/>
      <w:color w:val="4F81BD" w:themeColor="accent1"/>
      <w:sz w:val="18"/>
      <w:szCs w:val="18"/>
    </w:rPr>
  </w:style>
  <w:style w:type="paragraph" w:styleId="ListParagraph">
    <w:name w:val="List Paragraph"/>
    <w:basedOn w:val="Normal"/>
    <w:uiPriority w:val="34"/>
    <w:qFormat/>
    <w:rsid w:val="00F3151E"/>
    <w:pPr>
      <w:ind w:left="720"/>
      <w:contextualSpacing/>
    </w:pPr>
  </w:style>
  <w:style w:type="paragraph" w:styleId="NormalWeb">
    <w:name w:val="Normal (Web)"/>
    <w:basedOn w:val="Normal"/>
    <w:uiPriority w:val="99"/>
    <w:unhideWhenUsed/>
    <w:rsid w:val="00F3151E"/>
    <w:pPr>
      <w:spacing w:before="100" w:beforeAutospacing="1" w:after="100" w:afterAutospacing="1"/>
    </w:pPr>
    <w:rPr>
      <w:rFonts w:ascii="Times" w:hAnsi="Times" w:cs="Times New Roman"/>
      <w:sz w:val="20"/>
      <w:szCs w:val="20"/>
      <w:lang w:val="en-GB"/>
    </w:rPr>
  </w:style>
  <w:style w:type="paragraph" w:styleId="Subtitle">
    <w:name w:val="Subtitle"/>
    <w:basedOn w:val="Normal"/>
    <w:next w:val="Normal"/>
    <w:link w:val="SubtitleChar"/>
    <w:uiPriority w:val="11"/>
    <w:qFormat/>
    <w:rsid w:val="00F315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3151E"/>
    <w:rPr>
      <w:rFonts w:asciiTheme="majorHAnsi" w:eastAsiaTheme="majorEastAsia" w:hAnsiTheme="majorHAnsi" w:cstheme="majorBidi"/>
      <w:i/>
      <w:iCs/>
      <w:color w:val="4F81BD" w:themeColor="accent1"/>
      <w:spacing w:val="15"/>
    </w:rPr>
  </w:style>
  <w:style w:type="character" w:styleId="CommentReference">
    <w:name w:val="annotation reference"/>
    <w:basedOn w:val="DefaultParagraphFont"/>
    <w:uiPriority w:val="99"/>
    <w:semiHidden/>
    <w:rsid w:val="00F3151E"/>
    <w:rPr>
      <w:rFonts w:cs="Times New Roman"/>
      <w:sz w:val="16"/>
      <w:szCs w:val="16"/>
    </w:rPr>
  </w:style>
  <w:style w:type="paragraph" w:styleId="CommentText">
    <w:name w:val="annotation text"/>
    <w:basedOn w:val="Normal"/>
    <w:link w:val="CommentTextChar"/>
    <w:uiPriority w:val="99"/>
    <w:semiHidden/>
    <w:rsid w:val="00F3151E"/>
    <w:rPr>
      <w:rFonts w:ascii="Cambria" w:eastAsia="MS ??" w:hAnsi="Cambria" w:cs="Times New Roman"/>
      <w:sz w:val="20"/>
      <w:szCs w:val="20"/>
    </w:rPr>
  </w:style>
  <w:style w:type="character" w:customStyle="1" w:styleId="CommentTextChar">
    <w:name w:val="Comment Text Char"/>
    <w:basedOn w:val="DefaultParagraphFont"/>
    <w:link w:val="CommentText"/>
    <w:uiPriority w:val="99"/>
    <w:semiHidden/>
    <w:rsid w:val="00F3151E"/>
    <w:rPr>
      <w:rFonts w:ascii="Cambria" w:eastAsia="MS ??" w:hAnsi="Cambria" w:cs="Times New Roman"/>
      <w:sz w:val="20"/>
      <w:szCs w:val="20"/>
    </w:rPr>
  </w:style>
  <w:style w:type="table" w:styleId="TableGrid">
    <w:name w:val="Table Grid"/>
    <w:basedOn w:val="TableNormal"/>
    <w:uiPriority w:val="59"/>
    <w:rsid w:val="00F3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F3151E"/>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3151E"/>
    <w:rPr>
      <w:rFonts w:ascii="Cambria" w:eastAsia="MS ??" w:hAnsi="Cambria" w:cs="Times New Roman"/>
      <w:b/>
      <w:bCs/>
      <w:sz w:val="20"/>
      <w:szCs w:val="20"/>
    </w:rPr>
  </w:style>
  <w:style w:type="paragraph" w:styleId="Revision">
    <w:name w:val="Revision"/>
    <w:hidden/>
    <w:uiPriority w:val="99"/>
    <w:semiHidden/>
    <w:rsid w:val="00F3151E"/>
  </w:style>
  <w:style w:type="character" w:styleId="Hyperlink">
    <w:name w:val="Hyperlink"/>
    <w:basedOn w:val="DefaultParagraphFont"/>
    <w:uiPriority w:val="99"/>
    <w:unhideWhenUsed/>
    <w:rsid w:val="00F3151E"/>
    <w:rPr>
      <w:color w:val="0000FF" w:themeColor="hyperlink"/>
      <w:u w:val="single"/>
    </w:rPr>
  </w:style>
  <w:style w:type="character" w:styleId="FollowedHyperlink">
    <w:name w:val="FollowedHyperlink"/>
    <w:basedOn w:val="DefaultParagraphFont"/>
    <w:uiPriority w:val="99"/>
    <w:semiHidden/>
    <w:unhideWhenUsed/>
    <w:rsid w:val="00F3151E"/>
    <w:rPr>
      <w:color w:val="800080" w:themeColor="followedHyperlink"/>
      <w:u w:val="single"/>
    </w:rPr>
  </w:style>
  <w:style w:type="paragraph" w:styleId="Header">
    <w:name w:val="header"/>
    <w:basedOn w:val="Normal"/>
    <w:link w:val="HeaderChar"/>
    <w:uiPriority w:val="99"/>
    <w:unhideWhenUsed/>
    <w:rsid w:val="00F3151E"/>
    <w:pPr>
      <w:tabs>
        <w:tab w:val="center" w:pos="4320"/>
        <w:tab w:val="right" w:pos="8640"/>
      </w:tabs>
    </w:pPr>
  </w:style>
  <w:style w:type="character" w:customStyle="1" w:styleId="HeaderChar">
    <w:name w:val="Header Char"/>
    <w:basedOn w:val="DefaultParagraphFont"/>
    <w:link w:val="Header"/>
    <w:uiPriority w:val="99"/>
    <w:rsid w:val="00F3151E"/>
  </w:style>
  <w:style w:type="paragraph" w:styleId="Footer">
    <w:name w:val="footer"/>
    <w:basedOn w:val="Normal"/>
    <w:link w:val="FooterChar"/>
    <w:uiPriority w:val="99"/>
    <w:unhideWhenUsed/>
    <w:rsid w:val="00F3151E"/>
    <w:pPr>
      <w:tabs>
        <w:tab w:val="center" w:pos="4320"/>
        <w:tab w:val="right" w:pos="8640"/>
      </w:tabs>
    </w:pPr>
  </w:style>
  <w:style w:type="character" w:customStyle="1" w:styleId="FooterChar">
    <w:name w:val="Footer Char"/>
    <w:basedOn w:val="DefaultParagraphFont"/>
    <w:link w:val="Footer"/>
    <w:uiPriority w:val="99"/>
    <w:rsid w:val="00F3151E"/>
  </w:style>
  <w:style w:type="character" w:styleId="PageNumber">
    <w:name w:val="page number"/>
    <w:basedOn w:val="DefaultParagraphFont"/>
    <w:uiPriority w:val="99"/>
    <w:semiHidden/>
    <w:unhideWhenUsed/>
    <w:rsid w:val="00F3151E"/>
  </w:style>
  <w:style w:type="character" w:styleId="LineNumber">
    <w:name w:val="line number"/>
    <w:basedOn w:val="DefaultParagraphFont"/>
    <w:uiPriority w:val="99"/>
    <w:semiHidden/>
    <w:unhideWhenUsed/>
    <w:rsid w:val="00C5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5998">
      <w:bodyDiv w:val="1"/>
      <w:marLeft w:val="0"/>
      <w:marRight w:val="0"/>
      <w:marTop w:val="0"/>
      <w:marBottom w:val="0"/>
      <w:divBdr>
        <w:top w:val="none" w:sz="0" w:space="0" w:color="auto"/>
        <w:left w:val="none" w:sz="0" w:space="0" w:color="auto"/>
        <w:bottom w:val="none" w:sz="0" w:space="0" w:color="auto"/>
        <w:right w:val="none" w:sz="0" w:space="0" w:color="auto"/>
      </w:divBdr>
      <w:divsChild>
        <w:div w:id="1499153287">
          <w:marLeft w:val="0"/>
          <w:marRight w:val="0"/>
          <w:marTop w:val="0"/>
          <w:marBottom w:val="0"/>
          <w:divBdr>
            <w:top w:val="none" w:sz="0" w:space="0" w:color="auto"/>
            <w:left w:val="none" w:sz="0" w:space="0" w:color="auto"/>
            <w:bottom w:val="none" w:sz="0" w:space="0" w:color="auto"/>
            <w:right w:val="none" w:sz="0" w:space="0" w:color="auto"/>
          </w:divBdr>
          <w:divsChild>
            <w:div w:id="1608122807">
              <w:marLeft w:val="0"/>
              <w:marRight w:val="0"/>
              <w:marTop w:val="0"/>
              <w:marBottom w:val="0"/>
              <w:divBdr>
                <w:top w:val="none" w:sz="0" w:space="0" w:color="auto"/>
                <w:left w:val="none" w:sz="0" w:space="0" w:color="auto"/>
                <w:bottom w:val="none" w:sz="0" w:space="0" w:color="auto"/>
                <w:right w:val="none" w:sz="0" w:space="0" w:color="auto"/>
              </w:divBdr>
              <w:divsChild>
                <w:div w:id="1110663581">
                  <w:marLeft w:val="0"/>
                  <w:marRight w:val="0"/>
                  <w:marTop w:val="0"/>
                  <w:marBottom w:val="0"/>
                  <w:divBdr>
                    <w:top w:val="none" w:sz="0" w:space="0" w:color="auto"/>
                    <w:left w:val="none" w:sz="0" w:space="0" w:color="auto"/>
                    <w:bottom w:val="none" w:sz="0" w:space="0" w:color="auto"/>
                    <w:right w:val="none" w:sz="0" w:space="0" w:color="auto"/>
                  </w:divBdr>
                  <w:divsChild>
                    <w:div w:id="1814323082">
                      <w:marLeft w:val="0"/>
                      <w:marRight w:val="0"/>
                      <w:marTop w:val="0"/>
                      <w:marBottom w:val="0"/>
                      <w:divBdr>
                        <w:top w:val="none" w:sz="0" w:space="0" w:color="auto"/>
                        <w:left w:val="none" w:sz="0" w:space="0" w:color="auto"/>
                        <w:bottom w:val="none" w:sz="0" w:space="0" w:color="auto"/>
                        <w:right w:val="none" w:sz="0" w:space="0" w:color="auto"/>
                      </w:divBdr>
                      <w:divsChild>
                        <w:div w:id="751852542">
                          <w:marLeft w:val="0"/>
                          <w:marRight w:val="0"/>
                          <w:marTop w:val="0"/>
                          <w:marBottom w:val="0"/>
                          <w:divBdr>
                            <w:top w:val="none" w:sz="0" w:space="0" w:color="auto"/>
                            <w:left w:val="none" w:sz="0" w:space="0" w:color="auto"/>
                            <w:bottom w:val="none" w:sz="0" w:space="0" w:color="auto"/>
                            <w:right w:val="none" w:sz="0" w:space="0" w:color="auto"/>
                          </w:divBdr>
                          <w:divsChild>
                            <w:div w:id="425538866">
                              <w:marLeft w:val="0"/>
                              <w:marRight w:val="0"/>
                              <w:marTop w:val="0"/>
                              <w:marBottom w:val="0"/>
                              <w:divBdr>
                                <w:top w:val="none" w:sz="0" w:space="0" w:color="auto"/>
                                <w:left w:val="none" w:sz="0" w:space="0" w:color="auto"/>
                                <w:bottom w:val="none" w:sz="0" w:space="0" w:color="auto"/>
                                <w:right w:val="none" w:sz="0" w:space="0" w:color="auto"/>
                              </w:divBdr>
                              <w:divsChild>
                                <w:div w:id="660088010">
                                  <w:marLeft w:val="0"/>
                                  <w:marRight w:val="0"/>
                                  <w:marTop w:val="0"/>
                                  <w:marBottom w:val="0"/>
                                  <w:divBdr>
                                    <w:top w:val="none" w:sz="0" w:space="0" w:color="auto"/>
                                    <w:left w:val="none" w:sz="0" w:space="0" w:color="auto"/>
                                    <w:bottom w:val="none" w:sz="0" w:space="0" w:color="auto"/>
                                    <w:right w:val="none" w:sz="0" w:space="0" w:color="auto"/>
                                  </w:divBdr>
                                  <w:divsChild>
                                    <w:div w:id="987394184">
                                      <w:marLeft w:val="0"/>
                                      <w:marRight w:val="0"/>
                                      <w:marTop w:val="0"/>
                                      <w:marBottom w:val="0"/>
                                      <w:divBdr>
                                        <w:top w:val="none" w:sz="0" w:space="0" w:color="auto"/>
                                        <w:left w:val="none" w:sz="0" w:space="0" w:color="auto"/>
                                        <w:bottom w:val="none" w:sz="0" w:space="0" w:color="auto"/>
                                        <w:right w:val="none" w:sz="0" w:space="0" w:color="auto"/>
                                      </w:divBdr>
                                      <w:divsChild>
                                        <w:div w:id="1306426769">
                                          <w:marLeft w:val="0"/>
                                          <w:marRight w:val="0"/>
                                          <w:marTop w:val="0"/>
                                          <w:marBottom w:val="0"/>
                                          <w:divBdr>
                                            <w:top w:val="none" w:sz="0" w:space="0" w:color="auto"/>
                                            <w:left w:val="none" w:sz="0" w:space="0" w:color="auto"/>
                                            <w:bottom w:val="none" w:sz="0" w:space="0" w:color="auto"/>
                                            <w:right w:val="none" w:sz="0" w:space="0" w:color="auto"/>
                                          </w:divBdr>
                                          <w:divsChild>
                                            <w:div w:id="1703625317">
                                              <w:marLeft w:val="0"/>
                                              <w:marRight w:val="0"/>
                                              <w:marTop w:val="0"/>
                                              <w:marBottom w:val="0"/>
                                              <w:divBdr>
                                                <w:top w:val="none" w:sz="0" w:space="0" w:color="auto"/>
                                                <w:left w:val="none" w:sz="0" w:space="0" w:color="auto"/>
                                                <w:bottom w:val="none" w:sz="0" w:space="0" w:color="auto"/>
                                                <w:right w:val="none" w:sz="0" w:space="0" w:color="auto"/>
                                              </w:divBdr>
                                              <w:divsChild>
                                                <w:div w:id="763765287">
                                                  <w:marLeft w:val="0"/>
                                                  <w:marRight w:val="0"/>
                                                  <w:marTop w:val="0"/>
                                                  <w:marBottom w:val="0"/>
                                                  <w:divBdr>
                                                    <w:top w:val="none" w:sz="0" w:space="0" w:color="auto"/>
                                                    <w:left w:val="none" w:sz="0" w:space="0" w:color="auto"/>
                                                    <w:bottom w:val="none" w:sz="0" w:space="0" w:color="auto"/>
                                                    <w:right w:val="none" w:sz="0" w:space="0" w:color="auto"/>
                                                  </w:divBdr>
                                                  <w:divsChild>
                                                    <w:div w:id="2104840396">
                                                      <w:marLeft w:val="0"/>
                                                      <w:marRight w:val="0"/>
                                                      <w:marTop w:val="0"/>
                                                      <w:marBottom w:val="0"/>
                                                      <w:divBdr>
                                                        <w:top w:val="none" w:sz="0" w:space="0" w:color="auto"/>
                                                        <w:left w:val="none" w:sz="0" w:space="0" w:color="auto"/>
                                                        <w:bottom w:val="none" w:sz="0" w:space="0" w:color="auto"/>
                                                        <w:right w:val="none" w:sz="0" w:space="0" w:color="auto"/>
                                                      </w:divBdr>
                                                      <w:divsChild>
                                                        <w:div w:id="1273054450">
                                                          <w:marLeft w:val="0"/>
                                                          <w:marRight w:val="0"/>
                                                          <w:marTop w:val="0"/>
                                                          <w:marBottom w:val="0"/>
                                                          <w:divBdr>
                                                            <w:top w:val="none" w:sz="0" w:space="0" w:color="auto"/>
                                                            <w:left w:val="none" w:sz="0" w:space="0" w:color="auto"/>
                                                            <w:bottom w:val="none" w:sz="0" w:space="0" w:color="auto"/>
                                                            <w:right w:val="none" w:sz="0" w:space="0" w:color="auto"/>
                                                          </w:divBdr>
                                                          <w:divsChild>
                                                            <w:div w:id="1598782341">
                                                              <w:marLeft w:val="0"/>
                                                              <w:marRight w:val="0"/>
                                                              <w:marTop w:val="0"/>
                                                              <w:marBottom w:val="0"/>
                                                              <w:divBdr>
                                                                <w:top w:val="none" w:sz="0" w:space="0" w:color="auto"/>
                                                                <w:left w:val="none" w:sz="0" w:space="0" w:color="auto"/>
                                                                <w:bottom w:val="none" w:sz="0" w:space="0" w:color="auto"/>
                                                                <w:right w:val="none" w:sz="0" w:space="0" w:color="auto"/>
                                                              </w:divBdr>
                                                              <w:divsChild>
                                                                <w:div w:id="2139101820">
                                                                  <w:marLeft w:val="0"/>
                                                                  <w:marRight w:val="0"/>
                                                                  <w:marTop w:val="0"/>
                                                                  <w:marBottom w:val="0"/>
                                                                  <w:divBdr>
                                                                    <w:top w:val="none" w:sz="0" w:space="0" w:color="auto"/>
                                                                    <w:left w:val="none" w:sz="0" w:space="0" w:color="auto"/>
                                                                    <w:bottom w:val="none" w:sz="0" w:space="0" w:color="auto"/>
                                                                    <w:right w:val="none" w:sz="0" w:space="0" w:color="auto"/>
                                                                  </w:divBdr>
                                                                  <w:divsChild>
                                                                    <w:div w:id="818351792">
                                                                      <w:marLeft w:val="0"/>
                                                                      <w:marRight w:val="0"/>
                                                                      <w:marTop w:val="0"/>
                                                                      <w:marBottom w:val="0"/>
                                                                      <w:divBdr>
                                                                        <w:top w:val="none" w:sz="0" w:space="0" w:color="auto"/>
                                                                        <w:left w:val="none" w:sz="0" w:space="0" w:color="auto"/>
                                                                        <w:bottom w:val="none" w:sz="0" w:space="0" w:color="auto"/>
                                                                        <w:right w:val="none" w:sz="0" w:space="0" w:color="auto"/>
                                                                      </w:divBdr>
                                                                      <w:divsChild>
                                                                        <w:div w:id="1534923942">
                                                                          <w:marLeft w:val="0"/>
                                                                          <w:marRight w:val="0"/>
                                                                          <w:marTop w:val="0"/>
                                                                          <w:marBottom w:val="0"/>
                                                                          <w:divBdr>
                                                                            <w:top w:val="none" w:sz="0" w:space="0" w:color="auto"/>
                                                                            <w:left w:val="none" w:sz="0" w:space="0" w:color="auto"/>
                                                                            <w:bottom w:val="none" w:sz="0" w:space="0" w:color="auto"/>
                                                                            <w:right w:val="none" w:sz="0" w:space="0" w:color="auto"/>
                                                                          </w:divBdr>
                                                                          <w:divsChild>
                                                                            <w:div w:id="489685257">
                                                                              <w:marLeft w:val="0"/>
                                                                              <w:marRight w:val="0"/>
                                                                              <w:marTop w:val="0"/>
                                                                              <w:marBottom w:val="0"/>
                                                                              <w:divBdr>
                                                                                <w:top w:val="none" w:sz="0" w:space="0" w:color="auto"/>
                                                                                <w:left w:val="none" w:sz="0" w:space="0" w:color="auto"/>
                                                                                <w:bottom w:val="none" w:sz="0" w:space="0" w:color="auto"/>
                                                                                <w:right w:val="none" w:sz="0" w:space="0" w:color="auto"/>
                                                                              </w:divBdr>
                                                                              <w:divsChild>
                                                                                <w:div w:id="962270516">
                                                                                  <w:marLeft w:val="0"/>
                                                                                  <w:marRight w:val="0"/>
                                                                                  <w:marTop w:val="0"/>
                                                                                  <w:marBottom w:val="0"/>
                                                                                  <w:divBdr>
                                                                                    <w:top w:val="none" w:sz="0" w:space="0" w:color="auto"/>
                                                                                    <w:left w:val="none" w:sz="0" w:space="0" w:color="auto"/>
                                                                                    <w:bottom w:val="none" w:sz="0" w:space="0" w:color="auto"/>
                                                                                    <w:right w:val="none" w:sz="0" w:space="0" w:color="auto"/>
                                                                                  </w:divBdr>
                                                                                  <w:divsChild>
                                                                                    <w:div w:id="1362627300">
                                                                                      <w:marLeft w:val="0"/>
                                                                                      <w:marRight w:val="0"/>
                                                                                      <w:marTop w:val="0"/>
                                                                                      <w:marBottom w:val="0"/>
                                                                                      <w:divBdr>
                                                                                        <w:top w:val="none" w:sz="0" w:space="0" w:color="auto"/>
                                                                                        <w:left w:val="none" w:sz="0" w:space="0" w:color="auto"/>
                                                                                        <w:bottom w:val="none" w:sz="0" w:space="0" w:color="auto"/>
                                                                                        <w:right w:val="none" w:sz="0" w:space="0" w:color="auto"/>
                                                                                      </w:divBdr>
                                                                                      <w:divsChild>
                                                                                        <w:div w:id="2103911073">
                                                                                          <w:marLeft w:val="0"/>
                                                                                          <w:marRight w:val="0"/>
                                                                                          <w:marTop w:val="0"/>
                                                                                          <w:marBottom w:val="0"/>
                                                                                          <w:divBdr>
                                                                                            <w:top w:val="none" w:sz="0" w:space="0" w:color="auto"/>
                                                                                            <w:left w:val="none" w:sz="0" w:space="0" w:color="auto"/>
                                                                                            <w:bottom w:val="none" w:sz="0" w:space="0" w:color="auto"/>
                                                                                            <w:right w:val="none" w:sz="0" w:space="0" w:color="auto"/>
                                                                                          </w:divBdr>
                                                                                          <w:divsChild>
                                                                                            <w:div w:id="589582301">
                                                                                              <w:marLeft w:val="0"/>
                                                                                              <w:marRight w:val="0"/>
                                                                                              <w:marTop w:val="0"/>
                                                                                              <w:marBottom w:val="0"/>
                                                                                              <w:divBdr>
                                                                                                <w:top w:val="none" w:sz="0" w:space="0" w:color="auto"/>
                                                                                                <w:left w:val="none" w:sz="0" w:space="0" w:color="auto"/>
                                                                                                <w:bottom w:val="none" w:sz="0" w:space="0" w:color="auto"/>
                                                                                                <w:right w:val="none" w:sz="0" w:space="0" w:color="auto"/>
                                                                                              </w:divBdr>
                                                                                              <w:divsChild>
                                                                                                <w:div w:id="507868020">
                                                                                                  <w:marLeft w:val="0"/>
                                                                                                  <w:marRight w:val="0"/>
                                                                                                  <w:marTop w:val="0"/>
                                                                                                  <w:marBottom w:val="0"/>
                                                                                                  <w:divBdr>
                                                                                                    <w:top w:val="none" w:sz="0" w:space="0" w:color="auto"/>
                                                                                                    <w:left w:val="none" w:sz="0" w:space="0" w:color="auto"/>
                                                                                                    <w:bottom w:val="none" w:sz="0" w:space="0" w:color="auto"/>
                                                                                                    <w:right w:val="none" w:sz="0" w:space="0" w:color="auto"/>
                                                                                                  </w:divBdr>
                                                                                                  <w:divsChild>
                                                                                                    <w:div w:id="905918712">
                                                                                                      <w:marLeft w:val="0"/>
                                                                                                      <w:marRight w:val="0"/>
                                                                                                      <w:marTop w:val="0"/>
                                                                                                      <w:marBottom w:val="0"/>
                                                                                                      <w:divBdr>
                                                                                                        <w:top w:val="none" w:sz="0" w:space="0" w:color="auto"/>
                                                                                                        <w:left w:val="none" w:sz="0" w:space="0" w:color="auto"/>
                                                                                                        <w:bottom w:val="none" w:sz="0" w:space="0" w:color="auto"/>
                                                                                                        <w:right w:val="none" w:sz="0" w:space="0" w:color="auto"/>
                                                                                                      </w:divBdr>
                                                                                                      <w:divsChild>
                                                                                                        <w:div w:id="576594883">
                                                                                                          <w:marLeft w:val="0"/>
                                                                                                          <w:marRight w:val="0"/>
                                                                                                          <w:marTop w:val="0"/>
                                                                                                          <w:marBottom w:val="0"/>
                                                                                                          <w:divBdr>
                                                                                                            <w:top w:val="none" w:sz="0" w:space="0" w:color="auto"/>
                                                                                                            <w:left w:val="none" w:sz="0" w:space="0" w:color="auto"/>
                                                                                                            <w:bottom w:val="none" w:sz="0" w:space="0" w:color="auto"/>
                                                                                                            <w:right w:val="none" w:sz="0" w:space="0" w:color="auto"/>
                                                                                                          </w:divBdr>
                                                                                                          <w:divsChild>
                                                                                                            <w:div w:id="89005620">
                                                                                                              <w:marLeft w:val="0"/>
                                                                                                              <w:marRight w:val="0"/>
                                                                                                              <w:marTop w:val="0"/>
                                                                                                              <w:marBottom w:val="0"/>
                                                                                                              <w:divBdr>
                                                                                                                <w:top w:val="none" w:sz="0" w:space="0" w:color="auto"/>
                                                                                                                <w:left w:val="none" w:sz="0" w:space="0" w:color="auto"/>
                                                                                                                <w:bottom w:val="none" w:sz="0" w:space="0" w:color="auto"/>
                                                                                                                <w:right w:val="none" w:sz="0" w:space="0" w:color="auto"/>
                                                                                                              </w:divBdr>
                                                                                                              <w:divsChild>
                                                                                                                <w:div w:id="146168951">
                                                                                                                  <w:marLeft w:val="0"/>
                                                                                                                  <w:marRight w:val="0"/>
                                                                                                                  <w:marTop w:val="0"/>
                                                                                                                  <w:marBottom w:val="0"/>
                                                                                                                  <w:divBdr>
                                                                                                                    <w:top w:val="none" w:sz="0" w:space="0" w:color="auto"/>
                                                                                                                    <w:left w:val="none" w:sz="0" w:space="0" w:color="auto"/>
                                                                                                                    <w:bottom w:val="none" w:sz="0" w:space="0" w:color="auto"/>
                                                                                                                    <w:right w:val="none" w:sz="0" w:space="0" w:color="auto"/>
                                                                                                                  </w:divBdr>
                                                                                                                  <w:divsChild>
                                                                                                                    <w:div w:id="1534610272">
                                                                                                                      <w:marLeft w:val="0"/>
                                                                                                                      <w:marRight w:val="0"/>
                                                                                                                      <w:marTop w:val="0"/>
                                                                                                                      <w:marBottom w:val="0"/>
                                                                                                                      <w:divBdr>
                                                                                                                        <w:top w:val="none" w:sz="0" w:space="0" w:color="auto"/>
                                                                                                                        <w:left w:val="none" w:sz="0" w:space="0" w:color="auto"/>
                                                                                                                        <w:bottom w:val="none" w:sz="0" w:space="0" w:color="auto"/>
                                                                                                                        <w:right w:val="none" w:sz="0" w:space="0" w:color="auto"/>
                                                                                                                      </w:divBdr>
                                                                                                                      <w:divsChild>
                                                                                                                        <w:div w:id="298414818">
                                                                                                                          <w:marLeft w:val="0"/>
                                                                                                                          <w:marRight w:val="0"/>
                                                                                                                          <w:marTop w:val="0"/>
                                                                                                                          <w:marBottom w:val="0"/>
                                                                                                                          <w:divBdr>
                                                                                                                            <w:top w:val="none" w:sz="0" w:space="0" w:color="auto"/>
                                                                                                                            <w:left w:val="none" w:sz="0" w:space="0" w:color="auto"/>
                                                                                                                            <w:bottom w:val="none" w:sz="0" w:space="0" w:color="auto"/>
                                                                                                                            <w:right w:val="none" w:sz="0" w:space="0" w:color="auto"/>
                                                                                                                          </w:divBdr>
                                                                                                                          <w:divsChild>
                                                                                                                            <w:div w:id="754984033">
                                                                                                                              <w:marLeft w:val="0"/>
                                                                                                                              <w:marRight w:val="0"/>
                                                                                                                              <w:marTop w:val="0"/>
                                                                                                                              <w:marBottom w:val="0"/>
                                                                                                                              <w:divBdr>
                                                                                                                                <w:top w:val="none" w:sz="0" w:space="0" w:color="auto"/>
                                                                                                                                <w:left w:val="none" w:sz="0" w:space="0" w:color="auto"/>
                                                                                                                                <w:bottom w:val="none" w:sz="0" w:space="0" w:color="auto"/>
                                                                                                                                <w:right w:val="none" w:sz="0" w:space="0" w:color="auto"/>
                                                                                                                              </w:divBdr>
                                                                                                                              <w:divsChild>
                                                                                                                                <w:div w:id="1565794820">
                                                                                                                                  <w:marLeft w:val="0"/>
                                                                                                                                  <w:marRight w:val="0"/>
                                                                                                                                  <w:marTop w:val="0"/>
                                                                                                                                  <w:marBottom w:val="0"/>
                                                                                                                                  <w:divBdr>
                                                                                                                                    <w:top w:val="none" w:sz="0" w:space="0" w:color="auto"/>
                                                                                                                                    <w:left w:val="none" w:sz="0" w:space="0" w:color="auto"/>
                                                                                                                                    <w:bottom w:val="none" w:sz="0" w:space="0" w:color="auto"/>
                                                                                                                                    <w:right w:val="none" w:sz="0" w:space="0" w:color="auto"/>
                                                                                                                                  </w:divBdr>
                                                                                                                                  <w:divsChild>
                                                                                                                                    <w:div w:id="1890065383">
                                                                                                                                      <w:marLeft w:val="0"/>
                                                                                                                                      <w:marRight w:val="0"/>
                                                                                                                                      <w:marTop w:val="0"/>
                                                                                                                                      <w:marBottom w:val="0"/>
                                                                                                                                      <w:divBdr>
                                                                                                                                        <w:top w:val="none" w:sz="0" w:space="0" w:color="auto"/>
                                                                                                                                        <w:left w:val="none" w:sz="0" w:space="0" w:color="auto"/>
                                                                                                                                        <w:bottom w:val="none" w:sz="0" w:space="0" w:color="auto"/>
                                                                                                                                        <w:right w:val="none" w:sz="0" w:space="0" w:color="auto"/>
                                                                                                                                      </w:divBdr>
                                                                                                                                      <w:divsChild>
                                                                                                                                        <w:div w:id="1588270639">
                                                                                                                                          <w:marLeft w:val="0"/>
                                                                                                                                          <w:marRight w:val="0"/>
                                                                                                                                          <w:marTop w:val="0"/>
                                                                                                                                          <w:marBottom w:val="0"/>
                                                                                                                                          <w:divBdr>
                                                                                                                                            <w:top w:val="none" w:sz="0" w:space="0" w:color="auto"/>
                                                                                                                                            <w:left w:val="none" w:sz="0" w:space="0" w:color="auto"/>
                                                                                                                                            <w:bottom w:val="none" w:sz="0" w:space="0" w:color="auto"/>
                                                                                                                                            <w:right w:val="none" w:sz="0" w:space="0" w:color="auto"/>
                                                                                                                                          </w:divBdr>
                                                                                                                                          <w:divsChild>
                                                                                                                                            <w:div w:id="1288782011">
                                                                                                                                              <w:marLeft w:val="0"/>
                                                                                                                                              <w:marRight w:val="0"/>
                                                                                                                                              <w:marTop w:val="0"/>
                                                                                                                                              <w:marBottom w:val="0"/>
                                                                                                                                              <w:divBdr>
                                                                                                                                                <w:top w:val="none" w:sz="0" w:space="0" w:color="auto"/>
                                                                                                                                                <w:left w:val="none" w:sz="0" w:space="0" w:color="auto"/>
                                                                                                                                                <w:bottom w:val="none" w:sz="0" w:space="0" w:color="auto"/>
                                                                                                                                                <w:right w:val="none" w:sz="0" w:space="0" w:color="auto"/>
                                                                                                                                              </w:divBdr>
                                                                                                                                              <w:divsChild>
                                                                                                                                                <w:div w:id="1798451637">
                                                                                                                                                  <w:marLeft w:val="0"/>
                                                                                                                                                  <w:marRight w:val="0"/>
                                                                                                                                                  <w:marTop w:val="0"/>
                                                                                                                                                  <w:marBottom w:val="0"/>
                                                                                                                                                  <w:divBdr>
                                                                                                                                                    <w:top w:val="none" w:sz="0" w:space="0" w:color="auto"/>
                                                                                                                                                    <w:left w:val="none" w:sz="0" w:space="0" w:color="auto"/>
                                                                                                                                                    <w:bottom w:val="none" w:sz="0" w:space="0" w:color="auto"/>
                                                                                                                                                    <w:right w:val="none" w:sz="0" w:space="0" w:color="auto"/>
                                                                                                                                                  </w:divBdr>
                                                                                                                                                  <w:divsChild>
                                                                                                                                                    <w:div w:id="852762865">
                                                                                                                                                      <w:marLeft w:val="0"/>
                                                                                                                                                      <w:marRight w:val="0"/>
                                                                                                                                                      <w:marTop w:val="0"/>
                                                                                                                                                      <w:marBottom w:val="0"/>
                                                                                                                                                      <w:divBdr>
                                                                                                                                                        <w:top w:val="none" w:sz="0" w:space="0" w:color="auto"/>
                                                                                                                                                        <w:left w:val="none" w:sz="0" w:space="0" w:color="auto"/>
                                                                                                                                                        <w:bottom w:val="none" w:sz="0" w:space="0" w:color="auto"/>
                                                                                                                                                        <w:right w:val="none" w:sz="0" w:space="0" w:color="auto"/>
                                                                                                                                                      </w:divBdr>
                                                                                                                                                      <w:divsChild>
                                                                                                                                                        <w:div w:id="1549220676">
                                                                                                                                                          <w:marLeft w:val="0"/>
                                                                                                                                                          <w:marRight w:val="0"/>
                                                                                                                                                          <w:marTop w:val="0"/>
                                                                                                                                                          <w:marBottom w:val="0"/>
                                                                                                                                                          <w:divBdr>
                                                                                                                                                            <w:top w:val="none" w:sz="0" w:space="0" w:color="auto"/>
                                                                                                                                                            <w:left w:val="none" w:sz="0" w:space="0" w:color="auto"/>
                                                                                                                                                            <w:bottom w:val="none" w:sz="0" w:space="0" w:color="auto"/>
                                                                                                                                                            <w:right w:val="none" w:sz="0" w:space="0" w:color="auto"/>
                                                                                                                                                          </w:divBdr>
                                                                                                                                                          <w:divsChild>
                                                                                                                                                            <w:div w:id="632059767">
                                                                                                                                                              <w:marLeft w:val="0"/>
                                                                                                                                                              <w:marRight w:val="0"/>
                                                                                                                                                              <w:marTop w:val="0"/>
                                                                                                                                                              <w:marBottom w:val="0"/>
                                                                                                                                                              <w:divBdr>
                                                                                                                                                                <w:top w:val="none" w:sz="0" w:space="0" w:color="auto"/>
                                                                                                                                                                <w:left w:val="none" w:sz="0" w:space="0" w:color="auto"/>
                                                                                                                                                                <w:bottom w:val="none" w:sz="0" w:space="0" w:color="auto"/>
                                                                                                                                                                <w:right w:val="none" w:sz="0" w:space="0" w:color="auto"/>
                                                                                                                                                              </w:divBdr>
                                                                                                                                                              <w:divsChild>
                                                                                                                                                                <w:div w:id="1373192439">
                                                                                                                                                                  <w:marLeft w:val="0"/>
                                                                                                                                                                  <w:marRight w:val="0"/>
                                                                                                                                                                  <w:marTop w:val="0"/>
                                                                                                                                                                  <w:marBottom w:val="0"/>
                                                                                                                                                                  <w:divBdr>
                                                                                                                                                                    <w:top w:val="none" w:sz="0" w:space="0" w:color="auto"/>
                                                                                                                                                                    <w:left w:val="none" w:sz="0" w:space="0" w:color="auto"/>
                                                                                                                                                                    <w:bottom w:val="none" w:sz="0" w:space="0" w:color="auto"/>
                                                                                                                                                                    <w:right w:val="none" w:sz="0" w:space="0" w:color="auto"/>
                                                                                                                                                                  </w:divBdr>
                                                                                                                                                                  <w:divsChild>
                                                                                                                                                                    <w:div w:id="2070112611">
                                                                                                                                                                      <w:marLeft w:val="0"/>
                                                                                                                                                                      <w:marRight w:val="0"/>
                                                                                                                                                                      <w:marTop w:val="0"/>
                                                                                                                                                                      <w:marBottom w:val="0"/>
                                                                                                                                                                      <w:divBdr>
                                                                                                                                                                        <w:top w:val="none" w:sz="0" w:space="0" w:color="auto"/>
                                                                                                                                                                        <w:left w:val="none" w:sz="0" w:space="0" w:color="auto"/>
                                                                                                                                                                        <w:bottom w:val="none" w:sz="0" w:space="0" w:color="auto"/>
                                                                                                                                                                        <w:right w:val="none" w:sz="0" w:space="0" w:color="auto"/>
                                                                                                                                                                      </w:divBdr>
                                                                                                                                                                      <w:divsChild>
                                                                                                                                                                        <w:div w:id="1474566407">
                                                                                                                                                                          <w:marLeft w:val="0"/>
                                                                                                                                                                          <w:marRight w:val="0"/>
                                                                                                                                                                          <w:marTop w:val="0"/>
                                                                                                                                                                          <w:marBottom w:val="0"/>
                                                                                                                                                                          <w:divBdr>
                                                                                                                                                                            <w:top w:val="none" w:sz="0" w:space="0" w:color="auto"/>
                                                                                                                                                                            <w:left w:val="none" w:sz="0" w:space="0" w:color="auto"/>
                                                                                                                                                                            <w:bottom w:val="none" w:sz="0" w:space="0" w:color="auto"/>
                                                                                                                                                                            <w:right w:val="none" w:sz="0" w:space="0" w:color="auto"/>
                                                                                                                                                                          </w:divBdr>
                                                                                                                                                                          <w:divsChild>
                                                                                                                                                                            <w:div w:id="229586443">
                                                                                                                                                                              <w:marLeft w:val="0"/>
                                                                                                                                                                              <w:marRight w:val="0"/>
                                                                                                                                                                              <w:marTop w:val="0"/>
                                                                                                                                                                              <w:marBottom w:val="0"/>
                                                                                                                                                                              <w:divBdr>
                                                                                                                                                                                <w:top w:val="none" w:sz="0" w:space="0" w:color="auto"/>
                                                                                                                                                                                <w:left w:val="none" w:sz="0" w:space="0" w:color="auto"/>
                                                                                                                                                                                <w:bottom w:val="none" w:sz="0" w:space="0" w:color="auto"/>
                                                                                                                                                                                <w:right w:val="none" w:sz="0" w:space="0" w:color="auto"/>
                                                                                                                                                                              </w:divBdr>
                                                                                                                                                                              <w:divsChild>
                                                                                                                                                                                <w:div w:id="191235025">
                                                                                                                                                                                  <w:marLeft w:val="0"/>
                                                                                                                                                                                  <w:marRight w:val="0"/>
                                                                                                                                                                                  <w:marTop w:val="0"/>
                                                                                                                                                                                  <w:marBottom w:val="0"/>
                                                                                                                                                                                  <w:divBdr>
                                                                                                                                                                                    <w:top w:val="none" w:sz="0" w:space="0" w:color="auto"/>
                                                                                                                                                                                    <w:left w:val="none" w:sz="0" w:space="0" w:color="auto"/>
                                                                                                                                                                                    <w:bottom w:val="none" w:sz="0" w:space="0" w:color="auto"/>
                                                                                                                                                                                    <w:right w:val="none" w:sz="0" w:space="0" w:color="auto"/>
                                                                                                                                                                                  </w:divBdr>
                                                                                                                                                                                  <w:divsChild>
                                                                                                                                                                                    <w:div w:id="393164364">
                                                                                                                                                                                      <w:marLeft w:val="0"/>
                                                                                                                                                                                      <w:marRight w:val="0"/>
                                                                                                                                                                                      <w:marTop w:val="0"/>
                                                                                                                                                                                      <w:marBottom w:val="0"/>
                                                                                                                                                                                      <w:divBdr>
                                                                                                                                                                                        <w:top w:val="none" w:sz="0" w:space="0" w:color="auto"/>
                                                                                                                                                                                        <w:left w:val="none" w:sz="0" w:space="0" w:color="auto"/>
                                                                                                                                                                                        <w:bottom w:val="none" w:sz="0" w:space="0" w:color="auto"/>
                                                                                                                                                                                        <w:right w:val="none" w:sz="0" w:space="0" w:color="auto"/>
                                                                                                                                                                                      </w:divBdr>
                                                                                                                                                                                      <w:divsChild>
                                                                                                                                                                                        <w:div w:id="282001828">
                                                                                                                                                                                          <w:marLeft w:val="0"/>
                                                                                                                                                                                          <w:marRight w:val="0"/>
                                                                                                                                                                                          <w:marTop w:val="0"/>
                                                                                                                                                                                          <w:marBottom w:val="0"/>
                                                                                                                                                                                          <w:divBdr>
                                                                                                                                                                                            <w:top w:val="none" w:sz="0" w:space="0" w:color="auto"/>
                                                                                                                                                                                            <w:left w:val="none" w:sz="0" w:space="0" w:color="auto"/>
                                                                                                                                                                                            <w:bottom w:val="none" w:sz="0" w:space="0" w:color="auto"/>
                                                                                                                                                                                            <w:right w:val="none" w:sz="0" w:space="0" w:color="auto"/>
                                                                                                                                                                                          </w:divBdr>
                                                                                                                                                                                          <w:divsChild>
                                                                                                                                                                                            <w:div w:id="646785329">
                                                                                                                                                                                              <w:marLeft w:val="0"/>
                                                                                                                                                                                              <w:marRight w:val="0"/>
                                                                                                                                                                                              <w:marTop w:val="0"/>
                                                                                                                                                                                              <w:marBottom w:val="0"/>
                                                                                                                                                                                              <w:divBdr>
                                                                                                                                                                                                <w:top w:val="none" w:sz="0" w:space="0" w:color="auto"/>
                                                                                                                                                                                                <w:left w:val="none" w:sz="0" w:space="0" w:color="auto"/>
                                                                                                                                                                                                <w:bottom w:val="none" w:sz="0" w:space="0" w:color="auto"/>
                                                                                                                                                                                                <w:right w:val="none" w:sz="0" w:space="0" w:color="auto"/>
                                                                                                                                                                                              </w:divBdr>
                                                                                                                                                                                              <w:divsChild>
                                                                                                                                                                                                <w:div w:id="1138762678">
                                                                                                                                                                                                  <w:marLeft w:val="0"/>
                                                                                                                                                                                                  <w:marRight w:val="0"/>
                                                                                                                                                                                                  <w:marTop w:val="0"/>
                                                                                                                                                                                                  <w:marBottom w:val="0"/>
                                                                                                                                                                                                  <w:divBdr>
                                                                                                                                                                                                    <w:top w:val="none" w:sz="0" w:space="0" w:color="auto"/>
                                                                                                                                                                                                    <w:left w:val="none" w:sz="0" w:space="0" w:color="auto"/>
                                                                                                                                                                                                    <w:bottom w:val="none" w:sz="0" w:space="0" w:color="auto"/>
                                                                                                                                                                                                    <w:right w:val="none" w:sz="0" w:space="0" w:color="auto"/>
                                                                                                                                                                                                  </w:divBdr>
                                                                                                                                                                                                  <w:divsChild>
                                                                                                                                                                                                    <w:div w:id="518858877">
                                                                                                                                                                                                      <w:marLeft w:val="0"/>
                                                                                                                                                                                                      <w:marRight w:val="0"/>
                                                                                                                                                                                                      <w:marTop w:val="0"/>
                                                                                                                                                                                                      <w:marBottom w:val="0"/>
                                                                                                                                                                                                      <w:divBdr>
                                                                                                                                                                                                        <w:top w:val="none" w:sz="0" w:space="0" w:color="auto"/>
                                                                                                                                                                                                        <w:left w:val="none" w:sz="0" w:space="0" w:color="auto"/>
                                                                                                                                                                                                        <w:bottom w:val="none" w:sz="0" w:space="0" w:color="auto"/>
                                                                                                                                                                                                        <w:right w:val="none" w:sz="0" w:space="0" w:color="auto"/>
                                                                                                                                                                                                      </w:divBdr>
                                                                                                                                                                                                      <w:divsChild>
                                                                                                                                                                                                        <w:div w:id="838467630">
                                                                                                                                                                                                          <w:marLeft w:val="0"/>
                                                                                                                                                                                                          <w:marRight w:val="0"/>
                                                                                                                                                                                                          <w:marTop w:val="0"/>
                                                                                                                                                                                                          <w:marBottom w:val="0"/>
                                                                                                                                                                                                          <w:divBdr>
                                                                                                                                                                                                            <w:top w:val="none" w:sz="0" w:space="0" w:color="auto"/>
                                                                                                                                                                                                            <w:left w:val="none" w:sz="0" w:space="0" w:color="auto"/>
                                                                                                                                                                                                            <w:bottom w:val="none" w:sz="0" w:space="0" w:color="auto"/>
                                                                                                                                                                                                            <w:right w:val="none" w:sz="0" w:space="0" w:color="auto"/>
                                                                                                                                                                                                          </w:divBdr>
                                                                                                                                                                                                          <w:divsChild>
                                                                                                                                                                                                            <w:div w:id="682053642">
                                                                                                                                                                                                              <w:marLeft w:val="0"/>
                                                                                                                                                                                                              <w:marRight w:val="0"/>
                                                                                                                                                                                                              <w:marTop w:val="0"/>
                                                                                                                                                                                                              <w:marBottom w:val="0"/>
                                                                                                                                                                                                              <w:divBdr>
                                                                                                                                                                                                                <w:top w:val="none" w:sz="0" w:space="0" w:color="auto"/>
                                                                                                                                                                                                                <w:left w:val="none" w:sz="0" w:space="0" w:color="auto"/>
                                                                                                                                                                                                                <w:bottom w:val="none" w:sz="0" w:space="0" w:color="auto"/>
                                                                                                                                                                                                                <w:right w:val="none" w:sz="0" w:space="0" w:color="auto"/>
                                                                                                                                                                                                              </w:divBdr>
                                                                                                                                                                                                              <w:divsChild>
                                                                                                                                                                                                                <w:div w:id="22367670">
                                                                                                                                                                                                                  <w:marLeft w:val="0"/>
                                                                                                                                                                                                                  <w:marRight w:val="0"/>
                                                                                                                                                                                                                  <w:marTop w:val="0"/>
                                                                                                                                                                                                                  <w:marBottom w:val="0"/>
                                                                                                                                                                                                                  <w:divBdr>
                                                                                                                                                                                                                    <w:top w:val="none" w:sz="0" w:space="0" w:color="auto"/>
                                                                                                                                                                                                                    <w:left w:val="none" w:sz="0" w:space="0" w:color="auto"/>
                                                                                                                                                                                                                    <w:bottom w:val="none" w:sz="0" w:space="0" w:color="auto"/>
                                                                                                                                                                                                                    <w:right w:val="none" w:sz="0" w:space="0" w:color="auto"/>
                                                                                                                                                                                                                  </w:divBdr>
                                                                                                                                                                                                                  <w:divsChild>
                                                                                                                                                                                                                    <w:div w:id="606738532">
                                                                                                                                                                                                                      <w:marLeft w:val="0"/>
                                                                                                                                                                                                                      <w:marRight w:val="0"/>
                                                                                                                                                                                                                      <w:marTop w:val="0"/>
                                                                                                                                                                                                                      <w:marBottom w:val="0"/>
                                                                                                                                                                                                                      <w:divBdr>
                                                                                                                                                                                                                        <w:top w:val="none" w:sz="0" w:space="0" w:color="auto"/>
                                                                                                                                                                                                                        <w:left w:val="none" w:sz="0" w:space="0" w:color="auto"/>
                                                                                                                                                                                                                        <w:bottom w:val="none" w:sz="0" w:space="0" w:color="auto"/>
                                                                                                                                                                                                                        <w:right w:val="none" w:sz="0" w:space="0" w:color="auto"/>
                                                                                                                                                                                                                      </w:divBdr>
                                                                                                                                                                                                                      <w:divsChild>
                                                                                                                                                                                                                        <w:div w:id="1725982763">
                                                                                                                                                                                                                          <w:marLeft w:val="0"/>
                                                                                                                                                                                                                          <w:marRight w:val="0"/>
                                                                                                                                                                                                                          <w:marTop w:val="0"/>
                                                                                                                                                                                                                          <w:marBottom w:val="0"/>
                                                                                                                                                                                                                          <w:divBdr>
                                                                                                                                                                                                                            <w:top w:val="none" w:sz="0" w:space="0" w:color="auto"/>
                                                                                                                                                                                                                            <w:left w:val="none" w:sz="0" w:space="0" w:color="auto"/>
                                                                                                                                                                                                                            <w:bottom w:val="none" w:sz="0" w:space="0" w:color="auto"/>
                                                                                                                                                                                                                            <w:right w:val="none" w:sz="0" w:space="0" w:color="auto"/>
                                                                                                                                                                                                                          </w:divBdr>
                                                                                                                                                                                                                          <w:divsChild>
                                                                                                                                                                                                                            <w:div w:id="742720387">
                                                                                                                                                                                                                              <w:marLeft w:val="0"/>
                                                                                                                                                                                                                              <w:marRight w:val="0"/>
                                                                                                                                                                                                                              <w:marTop w:val="0"/>
                                                                                                                                                                                                                              <w:marBottom w:val="0"/>
                                                                                                                                                                                                                              <w:divBdr>
                                                                                                                                                                                                                                <w:top w:val="none" w:sz="0" w:space="0" w:color="auto"/>
                                                                                                                                                                                                                                <w:left w:val="none" w:sz="0" w:space="0" w:color="auto"/>
                                                                                                                                                                                                                                <w:bottom w:val="none" w:sz="0" w:space="0" w:color="auto"/>
                                                                                                                                                                                                                                <w:right w:val="none" w:sz="0" w:space="0" w:color="auto"/>
                                                                                                                                                                                                                              </w:divBdr>
                                                                                                                                                                                                                              <w:divsChild>
                                                                                                                                                                                                                                <w:div w:id="416288613">
                                                                                                                                                                                                                                  <w:marLeft w:val="0"/>
                                                                                                                                                                                                                                  <w:marRight w:val="0"/>
                                                                                                                                                                                                                                  <w:marTop w:val="0"/>
                                                                                                                                                                                                                                  <w:marBottom w:val="0"/>
                                                                                                                                                                                                                                  <w:divBdr>
                                                                                                                                                                                                                                    <w:top w:val="none" w:sz="0" w:space="0" w:color="auto"/>
                                                                                                                                                                                                                                    <w:left w:val="none" w:sz="0" w:space="0" w:color="auto"/>
                                                                                                                                                                                                                                    <w:bottom w:val="none" w:sz="0" w:space="0" w:color="auto"/>
                                                                                                                                                                                                                                    <w:right w:val="none" w:sz="0" w:space="0" w:color="auto"/>
                                                                                                                                                                                                                                  </w:divBdr>
                                                                                                                                                                                                                                  <w:divsChild>
                                                                                                                                                                                                                                    <w:div w:id="1586767369">
                                                                                                                                                                                                                                      <w:marLeft w:val="0"/>
                                                                                                                                                                                                                                      <w:marRight w:val="0"/>
                                                                                                                                                                                                                                      <w:marTop w:val="0"/>
                                                                                                                                                                                                                                      <w:marBottom w:val="0"/>
                                                                                                                                                                                                                                      <w:divBdr>
                                                                                                                                                                                                                                        <w:top w:val="none" w:sz="0" w:space="0" w:color="auto"/>
                                                                                                                                                                                                                                        <w:left w:val="none" w:sz="0" w:space="0" w:color="auto"/>
                                                                                                                                                                                                                                        <w:bottom w:val="none" w:sz="0" w:space="0" w:color="auto"/>
                                                                                                                                                                                                                                        <w:right w:val="none" w:sz="0" w:space="0" w:color="auto"/>
                                                                                                                                                                                                                                      </w:divBdr>
                                                                                                                                                                                                                                      <w:divsChild>
                                                                                                                                                                                                                                        <w:div w:id="698051885">
                                                                                                                                                                                                                                          <w:marLeft w:val="0"/>
                                                                                                                                                                                                                                          <w:marRight w:val="0"/>
                                                                                                                                                                                                                                          <w:marTop w:val="0"/>
                                                                                                                                                                                                                                          <w:marBottom w:val="0"/>
                                                                                                                                                                                                                                          <w:divBdr>
                                                                                                                                                                                                                                            <w:top w:val="none" w:sz="0" w:space="0" w:color="auto"/>
                                                                                                                                                                                                                                            <w:left w:val="none" w:sz="0" w:space="0" w:color="auto"/>
                                                                                                                                                                                                                                            <w:bottom w:val="none" w:sz="0" w:space="0" w:color="auto"/>
                                                                                                                                                                                                                                            <w:right w:val="none" w:sz="0" w:space="0" w:color="auto"/>
                                                                                                                                                                                                                                          </w:divBdr>
                                                                                                                                                                                                                                          <w:divsChild>
                                                                                                                                                                                                                                            <w:div w:id="705839196">
                                                                                                                                                                                                                                              <w:marLeft w:val="0"/>
                                                                                                                                                                                                                                              <w:marRight w:val="0"/>
                                                                                                                                                                                                                                              <w:marTop w:val="0"/>
                                                                                                                                                                                                                                              <w:marBottom w:val="0"/>
                                                                                                                                                                                                                                              <w:divBdr>
                                                                                                                                                                                                                                                <w:top w:val="none" w:sz="0" w:space="0" w:color="auto"/>
                                                                                                                                                                                                                                                <w:left w:val="none" w:sz="0" w:space="0" w:color="auto"/>
                                                                                                                                                                                                                                                <w:bottom w:val="none" w:sz="0" w:space="0" w:color="auto"/>
                                                                                                                                                                                                                                                <w:right w:val="none" w:sz="0" w:space="0" w:color="auto"/>
                                                                                                                                                                                                                                              </w:divBdr>
                                                                                                                                                                                                                                              <w:divsChild>
                                                                                                                                                                                                                                                <w:div w:id="799804890">
                                                                                                                                                                                                                                                  <w:marLeft w:val="0"/>
                                                                                                                                                                                                                                                  <w:marRight w:val="0"/>
                                                                                                                                                                                                                                                  <w:marTop w:val="0"/>
                                                                                                                                                                                                                                                  <w:marBottom w:val="0"/>
                                                                                                                                                                                                                                                  <w:divBdr>
                                                                                                                                                                                                                                                    <w:top w:val="none" w:sz="0" w:space="0" w:color="auto"/>
                                                                                                                                                                                                                                                    <w:left w:val="none" w:sz="0" w:space="0" w:color="auto"/>
                                                                                                                                                                                                                                                    <w:bottom w:val="none" w:sz="0" w:space="0" w:color="auto"/>
                                                                                                                                                                                                                                                    <w:right w:val="none" w:sz="0" w:space="0" w:color="auto"/>
                                                                                                                                                                                                                                                  </w:divBdr>
                                                                                                                                                                                                                                                  <w:divsChild>
                                                                                                                                                                                                                                                    <w:div w:id="322975007">
                                                                                                                                                                                                                                                      <w:marLeft w:val="0"/>
                                                                                                                                                                                                                                                      <w:marRight w:val="0"/>
                                                                                                                                                                                                                                                      <w:marTop w:val="0"/>
                                                                                                                                                                                                                                                      <w:marBottom w:val="0"/>
                                                                                                                                                                                                                                                      <w:divBdr>
                                                                                                                                                                                                                                                        <w:top w:val="none" w:sz="0" w:space="0" w:color="auto"/>
                                                                                                                                                                                                                                                        <w:left w:val="none" w:sz="0" w:space="0" w:color="auto"/>
                                                                                                                                                                                                                                                        <w:bottom w:val="none" w:sz="0" w:space="0" w:color="auto"/>
                                                                                                                                                                                                                                                        <w:right w:val="none" w:sz="0" w:space="0" w:color="auto"/>
                                                                                                                                                                                                                                                      </w:divBdr>
                                                                                                                                                                                                                                                      <w:divsChild>
                                                                                                                                                                                                                                                        <w:div w:id="1601524317">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8146787">
                                                                                                                                                                                                                                                                  <w:marLeft w:val="0"/>
                                                                                                                                                                                                                                                                  <w:marRight w:val="0"/>
                                                                                                                                                                                                                                                                  <w:marTop w:val="0"/>
                                                                                                                                                                                                                                                                  <w:marBottom w:val="0"/>
                                                                                                                                                                                                                                                                  <w:divBdr>
                                                                                                                                                                                                                                                                    <w:top w:val="none" w:sz="0" w:space="0" w:color="auto"/>
                                                                                                                                                                                                                                                                    <w:left w:val="none" w:sz="0" w:space="0" w:color="auto"/>
                                                                                                                                                                                                                                                                    <w:bottom w:val="none" w:sz="0" w:space="0" w:color="auto"/>
                                                                                                                                                                                                                                                                    <w:right w:val="none" w:sz="0" w:space="0" w:color="auto"/>
                                                                                                                                                                                                                                                                  </w:divBdr>
                                                                                                                                                                                                                                                                  <w:divsChild>
                                                                                                                                                                                                                                                                    <w:div w:id="311835658">
                                                                                                                                                                                                                                                                      <w:marLeft w:val="0"/>
                                                                                                                                                                                                                                                                      <w:marRight w:val="0"/>
                                                                                                                                                                                                                                                                      <w:marTop w:val="0"/>
                                                                                                                                                                                                                                                                      <w:marBottom w:val="0"/>
                                                                                                                                                                                                                                                                      <w:divBdr>
                                                                                                                                                                                                                                                                        <w:top w:val="none" w:sz="0" w:space="0" w:color="auto"/>
                                                                                                                                                                                                                                                                        <w:left w:val="none" w:sz="0" w:space="0" w:color="auto"/>
                                                                                                                                                                                                                                                                        <w:bottom w:val="none" w:sz="0" w:space="0" w:color="auto"/>
                                                                                                                                                                                                                                                                        <w:right w:val="none" w:sz="0" w:space="0" w:color="auto"/>
                                                                                                                                                                                                                                                                      </w:divBdr>
                                                                                                                                                                                                                                                                      <w:divsChild>
                                                                                                                                                                                                                                                                        <w:div w:id="931400885">
                                                                                                                                                                                                                                                                          <w:marLeft w:val="0"/>
                                                                                                                                                                                                                                                                          <w:marRight w:val="0"/>
                                                                                                                                                                                                                                                                          <w:marTop w:val="0"/>
                                                                                                                                                                                                                                                                          <w:marBottom w:val="0"/>
                                                                                                                                                                                                                                                                          <w:divBdr>
                                                                                                                                                                                                                                                                            <w:top w:val="none" w:sz="0" w:space="0" w:color="auto"/>
                                                                                                                                                                                                                                                                            <w:left w:val="none" w:sz="0" w:space="0" w:color="auto"/>
                                                                                                                                                                                                                                                                            <w:bottom w:val="none" w:sz="0" w:space="0" w:color="auto"/>
                                                                                                                                                                                                                                                                            <w:right w:val="none" w:sz="0" w:space="0" w:color="auto"/>
                                                                                                                                                                                                                                                                          </w:divBdr>
                                                                                                                                                                                                                                                                          <w:divsChild>
                                                                                                                                                                                                                                                                            <w:div w:id="1976714835">
                                                                                                                                                                                                                                                                              <w:marLeft w:val="0"/>
                                                                                                                                                                                                                                                                              <w:marRight w:val="0"/>
                                                                                                                                                                                                                                                                              <w:marTop w:val="0"/>
                                                                                                                                                                                                                                                                              <w:marBottom w:val="0"/>
                                                                                                                                                                                                                                                                              <w:divBdr>
                                                                                                                                                                                                                                                                                <w:top w:val="none" w:sz="0" w:space="0" w:color="auto"/>
                                                                                                                                                                                                                                                                                <w:left w:val="none" w:sz="0" w:space="0" w:color="auto"/>
                                                                                                                                                                                                                                                                                <w:bottom w:val="none" w:sz="0" w:space="0" w:color="auto"/>
                                                                                                                                                                                                                                                                                <w:right w:val="none" w:sz="0" w:space="0" w:color="auto"/>
                                                                                                                                                                                                                                                                              </w:divBdr>
                                                                                                                                                                                                                                                                              <w:divsChild>
                                                                                                                                                                                                                                                                                <w:div w:id="2080050405">
                                                                                                                                                                                                                                                                                  <w:marLeft w:val="0"/>
                                                                                                                                                                                                                                                                                  <w:marRight w:val="0"/>
                                                                                                                                                                                                                                                                                  <w:marTop w:val="0"/>
                                                                                                                                                                                                                                                                                  <w:marBottom w:val="0"/>
                                                                                                                                                                                                                                                                                  <w:divBdr>
                                                                                                                                                                                                                                                                                    <w:top w:val="none" w:sz="0" w:space="0" w:color="auto"/>
                                                                                                                                                                                                                                                                                    <w:left w:val="none" w:sz="0" w:space="0" w:color="auto"/>
                                                                                                                                                                                                                                                                                    <w:bottom w:val="none" w:sz="0" w:space="0" w:color="auto"/>
                                                                                                                                                                                                                                                                                    <w:right w:val="none" w:sz="0" w:space="0" w:color="auto"/>
                                                                                                                                                                                                                                                                                  </w:divBdr>
                                                                                                                                                                                                                                                                                  <w:divsChild>
                                                                                                                                                                                                                                                                                    <w:div w:id="1639802460">
                                                                                                                                                                                                                                                                                      <w:marLeft w:val="0"/>
                                                                                                                                                                                                                                                                                      <w:marRight w:val="0"/>
                                                                                                                                                                                                                                                                                      <w:marTop w:val="0"/>
                                                                                                                                                                                                                                                                                      <w:marBottom w:val="0"/>
                                                                                                                                                                                                                                                                                      <w:divBdr>
                                                                                                                                                                                                                                                                                        <w:top w:val="none" w:sz="0" w:space="0" w:color="auto"/>
                                                                                                                                                                                                                                                                                        <w:left w:val="none" w:sz="0" w:space="0" w:color="auto"/>
                                                                                                                                                                                                                                                                                        <w:bottom w:val="none" w:sz="0" w:space="0" w:color="auto"/>
                                                                                                                                                                                                                                                                                        <w:right w:val="none" w:sz="0" w:space="0" w:color="auto"/>
                                                                                                                                                                                                                                                                                      </w:divBdr>
                                                                                                                                                                                                                                                                                      <w:divsChild>
                                                                                                                                                                                                                                                                                        <w:div w:id="1653294590">
                                                                                                                                                                                                                                                                                          <w:marLeft w:val="0"/>
                                                                                                                                                                                                                                                                                          <w:marRight w:val="0"/>
                                                                                                                                                                                                                                                                                          <w:marTop w:val="0"/>
                                                                                                                                                                                                                                                                                          <w:marBottom w:val="0"/>
                                                                                                                                                                                                                                                                                          <w:divBdr>
                                                                                                                                                                                                                                                                                            <w:top w:val="none" w:sz="0" w:space="0" w:color="auto"/>
                                                                                                                                                                                                                                                                                            <w:left w:val="none" w:sz="0" w:space="0" w:color="auto"/>
                                                                                                                                                                                                                                                                                            <w:bottom w:val="none" w:sz="0" w:space="0" w:color="auto"/>
                                                                                                                                                                                                                                                                                            <w:right w:val="none" w:sz="0" w:space="0" w:color="auto"/>
                                                                                                                                                                                                                                                                                          </w:divBdr>
                                                                                                                                                                                                                                                                                          <w:divsChild>
                                                                                                                                                                                                                                                                                            <w:div w:id="1341394488">
                                                                                                                                                                                                                                                                                              <w:marLeft w:val="0"/>
                                                                                                                                                                                                                                                                                              <w:marRight w:val="0"/>
                                                                                                                                                                                                                                                                                              <w:marTop w:val="0"/>
                                                                                                                                                                                                                                                                                              <w:marBottom w:val="0"/>
                                                                                                                                                                                                                                                                                              <w:divBdr>
                                                                                                                                                                                                                                                                                                <w:top w:val="none" w:sz="0" w:space="0" w:color="auto"/>
                                                                                                                                                                                                                                                                                                <w:left w:val="none" w:sz="0" w:space="0" w:color="auto"/>
                                                                                                                                                                                                                                                                                                <w:bottom w:val="none" w:sz="0" w:space="0" w:color="auto"/>
                                                                                                                                                                                                                                                                                                <w:right w:val="none" w:sz="0" w:space="0" w:color="auto"/>
                                                                                                                                                                                                                                                                                              </w:divBdr>
                                                                                                                                                                                                                                                                                              <w:divsChild>
                                                                                                                                                                                                                                                                                                <w:div w:id="343828347">
                                                                                                                                                                                                                                                                                                  <w:marLeft w:val="0"/>
                                                                                                                                                                                                                                                                                                  <w:marRight w:val="0"/>
                                                                                                                                                                                                                                                                                                  <w:marTop w:val="0"/>
                                                                                                                                                                                                                                                                                                  <w:marBottom w:val="0"/>
                                                                                                                                                                                                                                                                                                  <w:divBdr>
                                                                                                                                                                                                                                                                                                    <w:top w:val="none" w:sz="0" w:space="0" w:color="auto"/>
                                                                                                                                                                                                                                                                                                    <w:left w:val="none" w:sz="0" w:space="0" w:color="auto"/>
                                                                                                                                                                                                                                                                                                    <w:bottom w:val="none" w:sz="0" w:space="0" w:color="auto"/>
                                                                                                                                                                                                                                                                                                    <w:right w:val="none" w:sz="0" w:space="0" w:color="auto"/>
                                                                                                                                                                                                                                                                                                  </w:divBdr>
                                                                                                                                                                                                                                                                                                  <w:divsChild>
                                                                                                                                                                                                                                                                                                    <w:div w:id="781802083">
                                                                                                                                                                                                                                                                                                      <w:marLeft w:val="0"/>
                                                                                                                                                                                                                                                                                                      <w:marRight w:val="0"/>
                                                                                                                                                                                                                                                                                                      <w:marTop w:val="0"/>
                                                                                                                                                                                                                                                                                                      <w:marBottom w:val="0"/>
                                                                                                                                                                                                                                                                                                      <w:divBdr>
                                                                                                                                                                                                                                                                                                        <w:top w:val="none" w:sz="0" w:space="0" w:color="auto"/>
                                                                                                                                                                                                                                                                                                        <w:left w:val="none" w:sz="0" w:space="0" w:color="auto"/>
                                                                                                                                                                                                                                                                                                        <w:bottom w:val="none" w:sz="0" w:space="0" w:color="auto"/>
                                                                                                                                                                                                                                                                                                        <w:right w:val="none" w:sz="0" w:space="0" w:color="auto"/>
                                                                                                                                                                                                                                                                                                      </w:divBdr>
                                                                                                                                                                                                                                                                                                      <w:divsChild>
                                                                                                                                                                                                                                                                                                        <w:div w:id="1143081526">
                                                                                                                                                                                                                                                                                                          <w:marLeft w:val="0"/>
                                                                                                                                                                                                                                                                                                          <w:marRight w:val="0"/>
                                                                                                                                                                                                                                                                                                          <w:marTop w:val="0"/>
                                                                                                                                                                                                                                                                                                          <w:marBottom w:val="0"/>
                                                                                                                                                                                                                                                                                                          <w:divBdr>
                                                                                                                                                                                                                                                                                                            <w:top w:val="none" w:sz="0" w:space="0" w:color="auto"/>
                                                                                                                                                                                                                                                                                                            <w:left w:val="none" w:sz="0" w:space="0" w:color="auto"/>
                                                                                                                                                                                                                                                                                                            <w:bottom w:val="none" w:sz="0" w:space="0" w:color="auto"/>
                                                                                                                                                                                                                                                                                                            <w:right w:val="none" w:sz="0" w:space="0" w:color="auto"/>
                                                                                                                                                                                                                                                                                                          </w:divBdr>
                                                                                                                                                                                                                                                                                                          <w:divsChild>
                                                                                                                                                                                                                                                                                                            <w:div w:id="1965306557">
                                                                                                                                                                                                                                                                                                              <w:marLeft w:val="0"/>
                                                                                                                                                                                                                                                                                                              <w:marRight w:val="0"/>
                                                                                                                                                                                                                                                                                                              <w:marTop w:val="0"/>
                                                                                                                                                                                                                                                                                                              <w:marBottom w:val="0"/>
                                                                                                                                                                                                                                                                                                              <w:divBdr>
                                                                                                                                                                                                                                                                                                                <w:top w:val="none" w:sz="0" w:space="0" w:color="auto"/>
                                                                                                                                                                                                                                                                                                                <w:left w:val="none" w:sz="0" w:space="0" w:color="auto"/>
                                                                                                                                                                                                                                                                                                                <w:bottom w:val="none" w:sz="0" w:space="0" w:color="auto"/>
                                                                                                                                                                                                                                                                                                                <w:right w:val="none" w:sz="0" w:space="0" w:color="auto"/>
                                                                                                                                                                                                                                                                                                              </w:divBdr>
                                                                                                                                                                                                                                                                                                              <w:divsChild>
                                                                                                                                                                                                                                                                                                                <w:div w:id="1570269691">
                                                                                                                                                                                                                                                                                                                  <w:marLeft w:val="0"/>
                                                                                                                                                                                                                                                                                                                  <w:marRight w:val="0"/>
                                                                                                                                                                                                                                                                                                                  <w:marTop w:val="0"/>
                                                                                                                                                                                                                                                                                                                  <w:marBottom w:val="0"/>
                                                                                                                                                                                                                                                                                                                  <w:divBdr>
                                                                                                                                                                                                                                                                                                                    <w:top w:val="none" w:sz="0" w:space="0" w:color="auto"/>
                                                                                                                                                                                                                                                                                                                    <w:left w:val="none" w:sz="0" w:space="0" w:color="auto"/>
                                                                                                                                                                                                                                                                                                                    <w:bottom w:val="none" w:sz="0" w:space="0" w:color="auto"/>
                                                                                                                                                                                                                                                                                                                    <w:right w:val="none" w:sz="0" w:space="0" w:color="auto"/>
                                                                                                                                                                                                                                                                                                                  </w:divBdr>
                                                                                                                                                                                                                                                                                                                  <w:divsChild>
                                                                                                                                                                                                                                                                                                                    <w:div w:id="265381839">
                                                                                                                                                                                                                                                                                                                      <w:marLeft w:val="0"/>
                                                                                                                                                                                                                                                                                                                      <w:marRight w:val="0"/>
                                                                                                                                                                                                                                                                                                                      <w:marTop w:val="0"/>
                                                                                                                                                                                                                                                                                                                      <w:marBottom w:val="0"/>
                                                                                                                                                                                                                                                                                                                      <w:divBdr>
                                                                                                                                                                                                                                                                                                                        <w:top w:val="none" w:sz="0" w:space="0" w:color="auto"/>
                                                                                                                                                                                                                                                                                                                        <w:left w:val="none" w:sz="0" w:space="0" w:color="auto"/>
                                                                                                                                                                                                                                                                                                                        <w:bottom w:val="none" w:sz="0" w:space="0" w:color="auto"/>
                                                                                                                                                                                                                                                                                                                        <w:right w:val="none" w:sz="0" w:space="0" w:color="auto"/>
                                                                                                                                                                                                                                                                                                                      </w:divBdr>
                                                                                                                                                                                                                                                                                                                      <w:divsChild>
                                                                                                                                                                                                                                                                                                                        <w:div w:id="619340656">
                                                                                                                                                                                                                                                                                                                          <w:marLeft w:val="0"/>
                                                                                                                                                                                                                                                                                                                          <w:marRight w:val="0"/>
                                                                                                                                                                                                                                                                                                                          <w:marTop w:val="0"/>
                                                                                                                                                                                                                                                                                                                          <w:marBottom w:val="0"/>
                                                                                                                                                                                                                                                                                                                          <w:divBdr>
                                                                                                                                                                                                                                                                                                                            <w:top w:val="none" w:sz="0" w:space="0" w:color="auto"/>
                                                                                                                                                                                                                                                                                                                            <w:left w:val="none" w:sz="0" w:space="0" w:color="auto"/>
                                                                                                                                                                                                                                                                                                                            <w:bottom w:val="none" w:sz="0" w:space="0" w:color="auto"/>
                                                                                                                                                                                                                                                                                                                            <w:right w:val="none" w:sz="0" w:space="0" w:color="auto"/>
                                                                                                                                                                                                                                                                                                                          </w:divBdr>
                                                                                                                                                                                                                                                                                                                          <w:divsChild>
                                                                                                                                                                                                                                                                                                                            <w:div w:id="1153521996">
                                                                                                                                                                                                                                                                                                                              <w:marLeft w:val="0"/>
                                                                                                                                                                                                                                                                                                                              <w:marRight w:val="0"/>
                                                                                                                                                                                                                                                                                                                              <w:marTop w:val="0"/>
                                                                                                                                                                                                                                                                                                                              <w:marBottom w:val="0"/>
                                                                                                                                                                                                                                                                                                                              <w:divBdr>
                                                                                                                                                                                                                                                                                                                                <w:top w:val="none" w:sz="0" w:space="0" w:color="auto"/>
                                                                                                                                                                                                                                                                                                                                <w:left w:val="none" w:sz="0" w:space="0" w:color="auto"/>
                                                                                                                                                                                                                                                                                                                                <w:bottom w:val="none" w:sz="0" w:space="0" w:color="auto"/>
                                                                                                                                                                                                                                                                                                                                <w:right w:val="none" w:sz="0" w:space="0" w:color="auto"/>
                                                                                                                                                                                                                                                                                                                              </w:divBdr>
                                                                                                                                                                                                                                                                                                                              <w:divsChild>
                                                                                                                                                                                                                                                                                                                                <w:div w:id="288318108">
                                                                                                                                                                                                                                                                                                                                  <w:marLeft w:val="0"/>
                                                                                                                                                                                                                                                                                                                                  <w:marRight w:val="0"/>
                                                                                                                                                                                                                                                                                                                                  <w:marTop w:val="0"/>
                                                                                                                                                                                                                                                                                                                                  <w:marBottom w:val="0"/>
                                                                                                                                                                                                                                                                                                                                  <w:divBdr>
                                                                                                                                                                                                                                                                                                                                    <w:top w:val="none" w:sz="0" w:space="0" w:color="auto"/>
                                                                                                                                                                                                                                                                                                                                    <w:left w:val="none" w:sz="0" w:space="0" w:color="auto"/>
                                                                                                                                                                                                                                                                                                                                    <w:bottom w:val="none" w:sz="0" w:space="0" w:color="auto"/>
                                                                                                                                                                                                                                                                                                                                    <w:right w:val="none" w:sz="0" w:space="0" w:color="auto"/>
                                                                                                                                                                                                                                                                                                                                  </w:divBdr>
                                                                                                                                                                                                                                                                                                                                  <w:divsChild>
                                                                                                                                                                                                                                                                                                                                    <w:div w:id="679282056">
                                                                                                                                                                                                                                                                                                                                      <w:marLeft w:val="0"/>
                                                                                                                                                                                                                                                                                                                                      <w:marRight w:val="0"/>
                                                                                                                                                                                                                                                                                                                                      <w:marTop w:val="0"/>
                                                                                                                                                                                                                                                                                                                                      <w:marBottom w:val="0"/>
                                                                                                                                                                                                                                                                                                                                      <w:divBdr>
                                                                                                                                                                                                                                                                                                                                        <w:top w:val="none" w:sz="0" w:space="0" w:color="auto"/>
                                                                                                                                                                                                                                                                                                                                        <w:left w:val="none" w:sz="0" w:space="0" w:color="auto"/>
                                                                                                                                                                                                                                                                                                                                        <w:bottom w:val="none" w:sz="0" w:space="0" w:color="auto"/>
                                                                                                                                                                                                                                                                                                                                        <w:right w:val="none" w:sz="0" w:space="0" w:color="auto"/>
                                                                                                                                                                                                                                                                                                                                      </w:divBdr>
                                                                                                                                                                                                                                                                                                                                      <w:divsChild>
                                                                                                                                                                                                                                                                                                                                        <w:div w:id="1099371240">
                                                                                                                                                                                                                                                                                                                                          <w:marLeft w:val="0"/>
                                                                                                                                                                                                                                                                                                                                          <w:marRight w:val="0"/>
                                                                                                                                                                                                                                                                                                                                          <w:marTop w:val="0"/>
                                                                                                                                                                                                                                                                                                                                          <w:marBottom w:val="0"/>
                                                                                                                                                                                                                                                                                                                                          <w:divBdr>
                                                                                                                                                                                                                                                                                                                                            <w:top w:val="none" w:sz="0" w:space="0" w:color="auto"/>
                                                                                                                                                                                                                                                                                                                                            <w:left w:val="none" w:sz="0" w:space="0" w:color="auto"/>
                                                                                                                                                                                                                                                                                                                                            <w:bottom w:val="none" w:sz="0" w:space="0" w:color="auto"/>
                                                                                                                                                                                                                                                                                                                                            <w:right w:val="none" w:sz="0" w:space="0" w:color="auto"/>
                                                                                                                                                                                                                                                                                                                                          </w:divBdr>
                                                                                                                                                                                                                                                                                                                                          <w:divsChild>
                                                                                                                                                                                                                                                                                                                                            <w:div w:id="276253439">
                                                                                                                                                                                                                                                                                                                                              <w:marLeft w:val="0"/>
                                                                                                                                                                                                                                                                                                                                              <w:marRight w:val="0"/>
                                                                                                                                                                                                                                                                                                                                              <w:marTop w:val="0"/>
                                                                                                                                                                                                                                                                                                                                              <w:marBottom w:val="0"/>
                                                                                                                                                                                                                                                                                                                                              <w:divBdr>
                                                                                                                                                                                                                                                                                                                                                <w:top w:val="none" w:sz="0" w:space="0" w:color="auto"/>
                                                                                                                                                                                                                                                                                                                                                <w:left w:val="none" w:sz="0" w:space="0" w:color="auto"/>
                                                                                                                                                                                                                                                                                                                                                <w:bottom w:val="none" w:sz="0" w:space="0" w:color="auto"/>
                                                                                                                                                                                                                                                                                                                                                <w:right w:val="none" w:sz="0" w:space="0" w:color="auto"/>
                                                                                                                                                                                                                                                                                                                                              </w:divBdr>
                                                                                                                                                                                                                                                                                                                                              <w:divsChild>
                                                                                                                                                                                                                                                                                                                                                <w:div w:id="1657221393">
                                                                                                                                                                                                                                                                                                                                                  <w:marLeft w:val="0"/>
                                                                                                                                                                                                                                                                                                                                                  <w:marRight w:val="0"/>
                                                                                                                                                                                                                                                                                                                                                  <w:marTop w:val="0"/>
                                                                                                                                                                                                                                                                                                                                                  <w:marBottom w:val="0"/>
                                                                                                                                                                                                                                                                                                                                                  <w:divBdr>
                                                                                                                                                                                                                                                                                                                                                    <w:top w:val="none" w:sz="0" w:space="0" w:color="auto"/>
                                                                                                                                                                                                                                                                                                                                                    <w:left w:val="none" w:sz="0" w:space="0" w:color="auto"/>
                                                                                                                                                                                                                                                                                                                                                    <w:bottom w:val="none" w:sz="0" w:space="0" w:color="auto"/>
                                                                                                                                                                                                                                                                                                                                                    <w:right w:val="none" w:sz="0" w:space="0" w:color="auto"/>
                                                                                                                                                                                                                                                                                                                                                  </w:divBdr>
                                                                                                                                                                                                                                                                                                                                                  <w:divsChild>
                                                                                                                                                                                                                                                                                                                                                    <w:div w:id="1366254514">
                                                                                                                                                                                                                                                                                                                                                      <w:marLeft w:val="0"/>
                                                                                                                                                                                                                                                                                                                                                      <w:marRight w:val="0"/>
                                                                                                                                                                                                                                                                                                                                                      <w:marTop w:val="0"/>
                                                                                                                                                                                                                                                                                                                                                      <w:marBottom w:val="0"/>
                                                                                                                                                                                                                                                                                                                                                      <w:divBdr>
                                                                                                                                                                                                                                                                                                                                                        <w:top w:val="none" w:sz="0" w:space="0" w:color="auto"/>
                                                                                                                                                                                                                                                                                                                                                        <w:left w:val="none" w:sz="0" w:space="0" w:color="auto"/>
                                                                                                                                                                                                                                                                                                                                                        <w:bottom w:val="none" w:sz="0" w:space="0" w:color="auto"/>
                                                                                                                                                                                                                                                                                                                                                        <w:right w:val="none" w:sz="0" w:space="0" w:color="auto"/>
                                                                                                                                                                                                                                                                                                                                                      </w:divBdr>
                                                                                                                                                                                                                                                                                                                                                      <w:divsChild>
                                                                                                                                                                                                                                                                                                                                                        <w:div w:id="1937588594">
                                                                                                                                                                                                                                                                                                                                                          <w:marLeft w:val="0"/>
                                                                                                                                                                                                                                                                                                                                                          <w:marRight w:val="0"/>
                                                                                                                                                                                                                                                                                                                                                          <w:marTop w:val="0"/>
                                                                                                                                                                                                                                                                                                                                                          <w:marBottom w:val="0"/>
                                                                                                                                                                                                                                                                                                                                                          <w:divBdr>
                                                                                                                                                                                                                                                                                                                                                            <w:top w:val="none" w:sz="0" w:space="0" w:color="auto"/>
                                                                                                                                                                                                                                                                                                                                                            <w:left w:val="none" w:sz="0" w:space="0" w:color="auto"/>
                                                                                                                                                                                                                                                                                                                                                            <w:bottom w:val="none" w:sz="0" w:space="0" w:color="auto"/>
                                                                                                                                                                                                                                                                                                                                                            <w:right w:val="none" w:sz="0" w:space="0" w:color="auto"/>
                                                                                                                                                                                                                                                                                                                                                          </w:divBdr>
                                                                                                                                                                                                                                                                                                                                                          <w:divsChild>
                                                                                                                                                                                                                                                                                                                                                            <w:div w:id="579947635">
                                                                                                                                                                                                                                                                                                                                                              <w:marLeft w:val="0"/>
                                                                                                                                                                                                                                                                                                                                                              <w:marRight w:val="0"/>
                                                                                                                                                                                                                                                                                                                                                              <w:marTop w:val="0"/>
                                                                                                                                                                                                                                                                                                                                                              <w:marBottom w:val="0"/>
                                                                                                                                                                                                                                                                                                                                                              <w:divBdr>
                                                                                                                                                                                                                                                                                                                                                                <w:top w:val="none" w:sz="0" w:space="0" w:color="auto"/>
                                                                                                                                                                                                                                                                                                                                                                <w:left w:val="none" w:sz="0" w:space="0" w:color="auto"/>
                                                                                                                                                                                                                                                                                                                                                                <w:bottom w:val="none" w:sz="0" w:space="0" w:color="auto"/>
                                                                                                                                                                                                                                                                                                                                                                <w:right w:val="none" w:sz="0" w:space="0" w:color="auto"/>
                                                                                                                                                                                                                                                                                                                                                              </w:divBdr>
                                                                                                                                                                                                                                                                                                                                                              <w:divsChild>
                                                                                                                                                                                                                                                                                                                                                                <w:div w:id="857154944">
                                                                                                                                                                                                                                                                                                                                                                  <w:marLeft w:val="0"/>
                                                                                                                                                                                                                                                                                                                                                                  <w:marRight w:val="0"/>
                                                                                                                                                                                                                                                                                                                                                                  <w:marTop w:val="0"/>
                                                                                                                                                                                                                                                                                                                                                                  <w:marBottom w:val="0"/>
                                                                                                                                                                                                                                                                                                                                                                  <w:divBdr>
                                                                                                                                                                                                                                                                                                                                                                    <w:top w:val="none" w:sz="0" w:space="0" w:color="auto"/>
                                                                                                                                                                                                                                                                                                                                                                    <w:left w:val="none" w:sz="0" w:space="0" w:color="auto"/>
                                                                                                                                                                                                                                                                                                                                                                    <w:bottom w:val="none" w:sz="0" w:space="0" w:color="auto"/>
                                                                                                                                                                                                                                                                                                                                                                    <w:right w:val="none" w:sz="0" w:space="0" w:color="auto"/>
                                                                                                                                                                                                                                                                                                                                                                  </w:divBdr>
                                                                                                                                                                                                                                                                                                                                                                  <w:divsChild>
                                                                                                                                                                                                                                                                                                                                                                    <w:div w:id="205920899">
                                                                                                                                                                                                                                                                                                                                                                      <w:marLeft w:val="0"/>
                                                                                                                                                                                                                                                                                                                                                                      <w:marRight w:val="0"/>
                                                                                                                                                                                                                                                                                                                                                                      <w:marTop w:val="0"/>
                                                                                                                                                                                                                                                                                                                                                                      <w:marBottom w:val="0"/>
                                                                                                                                                                                                                                                                                                                                                                      <w:divBdr>
                                                                                                                                                                                                                                                                                                                                                                        <w:top w:val="none" w:sz="0" w:space="0" w:color="auto"/>
                                                                                                                                                                                                                                                                                                                                                                        <w:left w:val="none" w:sz="0" w:space="0" w:color="auto"/>
                                                                                                                                                                                                                                                                                                                                                                        <w:bottom w:val="none" w:sz="0" w:space="0" w:color="auto"/>
                                                                                                                                                                                                                                                                                                                                                                        <w:right w:val="none" w:sz="0" w:space="0" w:color="auto"/>
                                                                                                                                                                                                                                                                                                                                                                      </w:divBdr>
                                                                                                                                                                                                                                                                                                                                                                      <w:divsChild>
                                                                                                                                                                                                                                                                                                                                                                        <w:div w:id="771820615">
                                                                                                                                                                                                                                                                                                                                                                          <w:marLeft w:val="0"/>
                                                                                                                                                                                                                                                                                                                                                                          <w:marRight w:val="0"/>
                                                                                                                                                                                                                                                                                                                                                                          <w:marTop w:val="0"/>
                                                                                                                                                                                                                                                                                                                                                                          <w:marBottom w:val="0"/>
                                                                                                                                                                                                                                                                                                                                                                          <w:divBdr>
                                                                                                                                                                                                                                                                                                                                                                            <w:top w:val="none" w:sz="0" w:space="0" w:color="auto"/>
                                                                                                                                                                                                                                                                                                                                                                            <w:left w:val="none" w:sz="0" w:space="0" w:color="auto"/>
                                                                                                                                                                                                                                                                                                                                                                            <w:bottom w:val="none" w:sz="0" w:space="0" w:color="auto"/>
                                                                                                                                                                                                                                                                                                                                                                            <w:right w:val="none" w:sz="0" w:space="0" w:color="auto"/>
                                                                                                                                                                                                                                                                                                                                                                          </w:divBdr>
                                                                                                                                                                                                                                                                                                                                                                          <w:divsChild>
                                                                                                                                                                                                                                                                                                                                                                            <w:div w:id="1324311729">
                                                                                                                                                                                                                                                                                                                                                                              <w:marLeft w:val="0"/>
                                                                                                                                                                                                                                                                                                                                                                              <w:marRight w:val="0"/>
                                                                                                                                                                                                                                                                                                                                                                              <w:marTop w:val="0"/>
                                                                                                                                                                                                                                                                                                                                                                              <w:marBottom w:val="0"/>
                                                                                                                                                                                                                                                                                                                                                                              <w:divBdr>
                                                                                                                                                                                                                                                                                                                                                                                <w:top w:val="none" w:sz="0" w:space="0" w:color="auto"/>
                                                                                                                                                                                                                                                                                                                                                                                <w:left w:val="none" w:sz="0" w:space="0" w:color="auto"/>
                                                                                                                                                                                                                                                                                                                                                                                <w:bottom w:val="none" w:sz="0" w:space="0" w:color="auto"/>
                                                                                                                                                                                                                                                                                                                                                                                <w:right w:val="none" w:sz="0" w:space="0" w:color="auto"/>
                                                                                                                                                                                                                                                                                                                                                                              </w:divBdr>
                                                                                                                                                                                                                                                                                                                                                                              <w:divsChild>
                                                                                                                                                                                                                                                                                                                                                                                <w:div w:id="70934043">
                                                                                                                                                                                                                                                                                                                                                                                  <w:marLeft w:val="0"/>
                                                                                                                                                                                                                                                                                                                                                                                  <w:marRight w:val="0"/>
                                                                                                                                                                                                                                                                                                                                                                                  <w:marTop w:val="0"/>
                                                                                                                                                                                                                                                                                                                                                                                  <w:marBottom w:val="0"/>
                                                                                                                                                                                                                                                                                                                                                                                  <w:divBdr>
                                                                                                                                                                                                                                                                                                                                                                                    <w:top w:val="none" w:sz="0" w:space="0" w:color="auto"/>
                                                                                                                                                                                                                                                                                                                                                                                    <w:left w:val="none" w:sz="0" w:space="0" w:color="auto"/>
                                                                                                                                                                                                                                                                                                                                                                                    <w:bottom w:val="none" w:sz="0" w:space="0" w:color="auto"/>
                                                                                                                                                                                                                                                                                                                                                                                    <w:right w:val="none" w:sz="0" w:space="0" w:color="auto"/>
                                                                                                                                                                                                                                                                                                                                                                                  </w:divBdr>
                                                                                                                                                                                                                                                                                                                                                                                  <w:divsChild>
                                                                                                                                                                                                                                                                                                                                                                                    <w:div w:id="980967139">
                                                                                                                                                                                                                                                                                                                                                                                      <w:marLeft w:val="0"/>
                                                                                                                                                                                                                                                                                                                                                                                      <w:marRight w:val="0"/>
                                                                                                                                                                                                                                                                                                                                                                                      <w:marTop w:val="0"/>
                                                                                                                                                                                                                                                                                                                                                                                      <w:marBottom w:val="0"/>
                                                                                                                                                                                                                                                                                                                                                                                      <w:divBdr>
                                                                                                                                                                                                                                                                                                                                                                                        <w:top w:val="none" w:sz="0" w:space="0" w:color="auto"/>
                                                                                                                                                                                                                                                                                                                                                                                        <w:left w:val="none" w:sz="0" w:space="0" w:color="auto"/>
                                                                                                                                                                                                                                                                                                                                                                                        <w:bottom w:val="none" w:sz="0" w:space="0" w:color="auto"/>
                                                                                                                                                                                                                                                                                                                                                                                        <w:right w:val="none" w:sz="0" w:space="0" w:color="auto"/>
                                                                                                                                                                                                                                                                                                                                                                                      </w:divBdr>
                                                                                                                                                                                                                                                                                                                                                                                      <w:divsChild>
                                                                                                                                                                                                                                                                                                                                                                                        <w:div w:id="515656810">
                                                                                                                                                                                                                                                                                                                                                                                          <w:marLeft w:val="0"/>
                                                                                                                                                                                                                                                                                                                                                                                          <w:marRight w:val="0"/>
                                                                                                                                                                                                                                                                                                                                                                                          <w:marTop w:val="0"/>
                                                                                                                                                                                                                                                                                                                                                                                          <w:marBottom w:val="0"/>
                                                                                                                                                                                                                                                                                                                                                                                          <w:divBdr>
                                                                                                                                                                                                                                                                                                                                                                                            <w:top w:val="none" w:sz="0" w:space="0" w:color="auto"/>
                                                                                                                                                                                                                                                                                                                                                                                            <w:left w:val="none" w:sz="0" w:space="0" w:color="auto"/>
                                                                                                                                                                                                                                                                                                                                                                                            <w:bottom w:val="none" w:sz="0" w:space="0" w:color="auto"/>
                                                                                                                                                                                                                                                                                                                                                                                            <w:right w:val="none" w:sz="0" w:space="0" w:color="auto"/>
                                                                                                                                                                                                                                                                                                                                                                                          </w:divBdr>
                                                                                                                                                                                                                                                                                                                                                                                          <w:divsChild>
                                                                                                                                                                                                                                                                                                                                                                                            <w:div w:id="366486544">
                                                                                                                                                                                                                                                                                                                                                                                              <w:marLeft w:val="0"/>
                                                                                                                                                                                                                                                                                                                                                                                              <w:marRight w:val="0"/>
                                                                                                                                                                                                                                                                                                                                                                                              <w:marTop w:val="0"/>
                                                                                                                                                                                                                                                                                                                                                                                              <w:marBottom w:val="0"/>
                                                                                                                                                                                                                                                                                                                                                                                              <w:divBdr>
                                                                                                                                                                                                                                                                                                                                                                                                <w:top w:val="none" w:sz="0" w:space="0" w:color="auto"/>
                                                                                                                                                                                                                                                                                                                                                                                                <w:left w:val="none" w:sz="0" w:space="0" w:color="auto"/>
                                                                                                                                                                                                                                                                                                                                                                                                <w:bottom w:val="none" w:sz="0" w:space="0" w:color="auto"/>
                                                                                                                                                                                                                                                                                                                                                                                                <w:right w:val="none" w:sz="0" w:space="0" w:color="auto"/>
                                                                                                                                                                                                                                                                                                                                                                                              </w:divBdr>
                                                                                                                                                                                                                                                                                                                                                                                              <w:divsChild>
                                                                                                                                                                                                                                                                                                                                                                                                <w:div w:id="90930213">
                                                                                                                                                                                                                                                                                                                                                                                                  <w:marLeft w:val="0"/>
                                                                                                                                                                                                                                                                                                                                                                                                  <w:marRight w:val="0"/>
                                                                                                                                                                                                                                                                                                                                                                                                  <w:marTop w:val="0"/>
                                                                                                                                                                                                                                                                                                                                                                                                  <w:marBottom w:val="0"/>
                                                                                                                                                                                                                                                                                                                                                                                                  <w:divBdr>
                                                                                                                                                                                                                                                                                                                                                                                                    <w:top w:val="none" w:sz="0" w:space="0" w:color="auto"/>
                                                                                                                                                                                                                                                                                                                                                                                                    <w:left w:val="none" w:sz="0" w:space="0" w:color="auto"/>
                                                                                                                                                                                                                                                                                                                                                                                                    <w:bottom w:val="none" w:sz="0" w:space="0" w:color="auto"/>
                                                                                                                                                                                                                                                                                                                                                                                                    <w:right w:val="none" w:sz="0" w:space="0" w:color="auto"/>
                                                                                                                                                                                                                                                                                                                                                                                                  </w:divBdr>
                                                                                                                                                                                                                                                                                                                                                                                                  <w:divsChild>
                                                                                                                                                                                                                                                                                                                                                                                                    <w:div w:id="133448024">
                                                                                                                                                                                                                                                                                                                                                                                                      <w:marLeft w:val="0"/>
                                                                                                                                                                                                                                                                                                                                                                                                      <w:marRight w:val="0"/>
                                                                                                                                                                                                                                                                                                                                                                                                      <w:marTop w:val="0"/>
                                                                                                                                                                                                                                                                                                                                                                                                      <w:marBottom w:val="0"/>
                                                                                                                                                                                                                                                                                                                                                                                                      <w:divBdr>
                                                                                                                                                                                                                                                                                                                                                                                                        <w:top w:val="none" w:sz="0" w:space="0" w:color="auto"/>
                                                                                                                                                                                                                                                                                                                                                                                                        <w:left w:val="none" w:sz="0" w:space="0" w:color="auto"/>
                                                                                                                                                                                                                                                                                                                                                                                                        <w:bottom w:val="none" w:sz="0" w:space="0" w:color="auto"/>
                                                                                                                                                                                                                                                                                                                                                                                                        <w:right w:val="none" w:sz="0" w:space="0" w:color="auto"/>
                                                                                                                                                                                                                                                                                                                                                                                                      </w:divBdr>
                                                                                                                                                                                                                                                                                                                                                                                                      <w:divsChild>
                                                                                                                                                                                                                                                                                                                                                                                                        <w:div w:id="160199769">
                                                                                                                                                                                                                                                                                                                                                                                                          <w:marLeft w:val="0"/>
                                                                                                                                                                                                                                                                                                                                                                                                          <w:marRight w:val="0"/>
                                                                                                                                                                                                                                                                                                                                                                                                          <w:marTop w:val="0"/>
                                                                                                                                                                                                                                                                                                                                                                                                          <w:marBottom w:val="0"/>
                                                                                                                                                                                                                                                                                                                                                                                                          <w:divBdr>
                                                                                                                                                                                                                                                                                                                                                                                                            <w:top w:val="none" w:sz="0" w:space="0" w:color="auto"/>
                                                                                                                                                                                                                                                                                                                                                                                                            <w:left w:val="none" w:sz="0" w:space="0" w:color="auto"/>
                                                                                                                                                                                                                                                                                                                                                                                                            <w:bottom w:val="none" w:sz="0" w:space="0" w:color="auto"/>
                                                                                                                                                                                                                                                                                                                                                                                                            <w:right w:val="none" w:sz="0" w:space="0" w:color="auto"/>
                                                                                                                                                                                                                                                                                                                                                                                                          </w:divBdr>
                                                                                                                                                                                                                                                                                                                                                                                                          <w:divsChild>
                                                                                                                                                                                                                                                                                                                                                                                                            <w:div w:id="692269445">
                                                                                                                                                                                                                                                                                                                                                                                                              <w:marLeft w:val="0"/>
                                                                                                                                                                                                                                                                                                                                                                                                              <w:marRight w:val="0"/>
                                                                                                                                                                                                                                                                                                                                                                                                              <w:marTop w:val="0"/>
                                                                                                                                                                                                                                                                                                                                                                                                              <w:marBottom w:val="0"/>
                                                                                                                                                                                                                                                                                                                                                                                                              <w:divBdr>
                                                                                                                                                                                                                                                                                                                                                                                                                <w:top w:val="none" w:sz="0" w:space="0" w:color="auto"/>
                                                                                                                                                                                                                                                                                                                                                                                                                <w:left w:val="none" w:sz="0" w:space="0" w:color="auto"/>
                                                                                                                                                                                                                                                                                                                                                                                                                <w:bottom w:val="none" w:sz="0" w:space="0" w:color="auto"/>
                                                                                                                                                                                                                                                                                                                                                                                                                <w:right w:val="none" w:sz="0" w:space="0" w:color="auto"/>
                                                                                                                                                                                                                                                                                                                                                                                                              </w:divBdr>
                                                                                                                                                                                                                                                                                                                                                                                                              <w:divsChild>
                                                                                                                                                                                                                                                                                                                                                                                                                <w:div w:id="59404213">
                                                                                                                                                                                                                                                                                                                                                                                                                  <w:marLeft w:val="0"/>
                                                                                                                                                                                                                                                                                                                                                                                                                  <w:marRight w:val="0"/>
                                                                                                                                                                                                                                                                                                                                                                                                                  <w:marTop w:val="0"/>
                                                                                                                                                                                                                                                                                                                                                                                                                  <w:marBottom w:val="0"/>
                                                                                                                                                                                                                                                                                                                                                                                                                  <w:divBdr>
                                                                                                                                                                                                                                                                                                                                                                                                                    <w:top w:val="none" w:sz="0" w:space="0" w:color="auto"/>
                                                                                                                                                                                                                                                                                                                                                                                                                    <w:left w:val="none" w:sz="0" w:space="0" w:color="auto"/>
                                                                                                                                                                                                                                                                                                                                                                                                                    <w:bottom w:val="none" w:sz="0" w:space="0" w:color="auto"/>
                                                                                                                                                                                                                                                                                                                                                                                                                    <w:right w:val="none" w:sz="0" w:space="0" w:color="auto"/>
                                                                                                                                                                                                                                                                                                                                                                                                                  </w:divBdr>
                                                                                                                                                                                                                                                                                                                                                                                                                  <w:divsChild>
                                                                                                                                                                                                                                                                                                                                                                                                                    <w:div w:id="2067758240">
                                                                                                                                                                                                                                                                                                                                                                                                                      <w:marLeft w:val="0"/>
                                                                                                                                                                                                                                                                                                                                                                                                                      <w:marRight w:val="0"/>
                                                                                                                                                                                                                                                                                                                                                                                                                      <w:marTop w:val="0"/>
                                                                                                                                                                                                                                                                                                                                                                                                                      <w:marBottom w:val="0"/>
                                                                                                                                                                                                                                                                                                                                                                                                                      <w:divBdr>
                                                                                                                                                                                                                                                                                                                                                                                                                        <w:top w:val="none" w:sz="0" w:space="0" w:color="auto"/>
                                                                                                                                                                                                                                                                                                                                                                                                                        <w:left w:val="none" w:sz="0" w:space="0" w:color="auto"/>
                                                                                                                                                                                                                                                                                                                                                                                                                        <w:bottom w:val="none" w:sz="0" w:space="0" w:color="auto"/>
                                                                                                                                                                                                                                                                                                                                                                                                                        <w:right w:val="none" w:sz="0" w:space="0" w:color="auto"/>
                                                                                                                                                                                                                                                                                                                                                                                                                      </w:divBdr>
                                                                                                                                                                                                                                                                                                                                                                                                                      <w:divsChild>
                                                                                                                                                                                                                                                                                                                                                                                                                        <w:div w:id="1420523964">
                                                                                                                                                                                                                                                                                                                                                                                                                          <w:marLeft w:val="0"/>
                                                                                                                                                                                                                                                                                                                                                                                                                          <w:marRight w:val="0"/>
                                                                                                                                                                                                                                                                                                                                                                                                                          <w:marTop w:val="0"/>
                                                                                                                                                                                                                                                                                                                                                                                                                          <w:marBottom w:val="0"/>
                                                                                                                                                                                                                                                                                                                                                                                                                          <w:divBdr>
                                                                                                                                                                                                                                                                                                                                                                                                                            <w:top w:val="none" w:sz="0" w:space="0" w:color="auto"/>
                                                                                                                                                                                                                                                                                                                                                                                                                            <w:left w:val="none" w:sz="0" w:space="0" w:color="auto"/>
                                                                                                                                                                                                                                                                                                                                                                                                                            <w:bottom w:val="none" w:sz="0" w:space="0" w:color="auto"/>
                                                                                                                                                                                                                                                                                                                                                                                                                            <w:right w:val="none" w:sz="0" w:space="0" w:color="auto"/>
                                                                                                                                                                                                                                                                                                                                                                                                                          </w:divBdr>
                                                                                                                                                                                                                                                                                                                                                                                                                          <w:divsChild>
                                                                                                                                                                                                                                                                                                                                                                                                                            <w:div w:id="1970239438">
                                                                                                                                                                                                                                                                                                                                                                                                                              <w:marLeft w:val="0"/>
                                                                                                                                                                                                                                                                                                                                                                                                                              <w:marRight w:val="0"/>
                                                                                                                                                                                                                                                                                                                                                                                                                              <w:marTop w:val="0"/>
                                                                                                                                                                                                                                                                                                                                                                                                                              <w:marBottom w:val="0"/>
                                                                                                                                                                                                                                                                                                                                                                                                                              <w:divBdr>
                                                                                                                                                                                                                                                                                                                                                                                                                                <w:top w:val="none" w:sz="0" w:space="0" w:color="auto"/>
                                                                                                                                                                                                                                                                                                                                                                                                                                <w:left w:val="none" w:sz="0" w:space="0" w:color="auto"/>
                                                                                                                                                                                                                                                                                                                                                                                                                                <w:bottom w:val="none" w:sz="0" w:space="0" w:color="auto"/>
                                                                                                                                                                                                                                                                                                                                                                                                                                <w:right w:val="none" w:sz="0" w:space="0" w:color="auto"/>
                                                                                                                                                                                                                                                                                                                                                                                                                              </w:divBdr>
                                                                                                                                                                                                                                                                                                                                                                                                                              <w:divsChild>
                                                                                                                                                                                                                                                                                                                                                                                                                                <w:div w:id="1468088078">
                                                                                                                                                                                                                                                                                                                                                                                                                                  <w:marLeft w:val="0"/>
                                                                                                                                                                                                                                                                                                                                                                                                                                  <w:marRight w:val="0"/>
                                                                                                                                                                                                                                                                                                                                                                                                                                  <w:marTop w:val="0"/>
                                                                                                                                                                                                                                                                                                                                                                                                                                  <w:marBottom w:val="0"/>
                                                                                                                                                                                                                                                                                                                                                                                                                                  <w:divBdr>
                                                                                                                                                                                                                                                                                                                                                                                                                                    <w:top w:val="none" w:sz="0" w:space="0" w:color="auto"/>
                                                                                                                                                                                                                                                                                                                                                                                                                                    <w:left w:val="none" w:sz="0" w:space="0" w:color="auto"/>
                                                                                                                                                                                                                                                                                                                                                                                                                                    <w:bottom w:val="none" w:sz="0" w:space="0" w:color="auto"/>
                                                                                                                                                                                                                                                                                                                                                                                                                                    <w:right w:val="none" w:sz="0" w:space="0" w:color="auto"/>
                                                                                                                                                                                                                                                                                                                                                                                                                                  </w:divBdr>
                                                                                                                                                                                                                                                                                                                                                                                                                                  <w:divsChild>
                                                                                                                                                                                                                                                                                                                                                                                                                                    <w:div w:id="485903925">
                                                                                                                                                                                                                                                                                                                                                                                                                                      <w:marLeft w:val="0"/>
                                                                                                                                                                                                                                                                                                                                                                                                                                      <w:marRight w:val="0"/>
                                                                                                                                                                                                                                                                                                                                                                                                                                      <w:marTop w:val="0"/>
                                                                                                                                                                                                                                                                                                                                                                                                                                      <w:marBottom w:val="0"/>
                                                                                                                                                                                                                                                                                                                                                                                                                                      <w:divBdr>
                                                                                                                                                                                                                                                                                                                                                                                                                                        <w:top w:val="none" w:sz="0" w:space="0" w:color="auto"/>
                                                                                                                                                                                                                                                                                                                                                                                                                                        <w:left w:val="none" w:sz="0" w:space="0" w:color="auto"/>
                                                                                                                                                                                                                                                                                                                                                                                                                                        <w:bottom w:val="none" w:sz="0" w:space="0" w:color="auto"/>
                                                                                                                                                                                                                                                                                                                                                                                                                                        <w:right w:val="none" w:sz="0" w:space="0" w:color="auto"/>
                                                                                                                                                                                                                                                                                                                                                                                                                                      </w:divBdr>
                                                                                                                                                                                                                                                                                                                                                                                                                                      <w:divsChild>
                                                                                                                                                                                                                                                                                                                                                                                                                                        <w:div w:id="720986227">
                                                                                                                                                                                                                                                                                                                                                                                                                                          <w:marLeft w:val="0"/>
                                                                                                                                                                                                                                                                                                                                                                                                                                          <w:marRight w:val="0"/>
                                                                                                                                                                                                                                                                                                                                                                                                                                          <w:marTop w:val="0"/>
                                                                                                                                                                                                                                                                                                                                                                                                                                          <w:marBottom w:val="0"/>
                                                                                                                                                                                                                                                                                                                                                                                                                                          <w:divBdr>
                                                                                                                                                                                                                                                                                                                                                                                                                                            <w:top w:val="none" w:sz="0" w:space="0" w:color="auto"/>
                                                                                                                                                                                                                                                                                                                                                                                                                                            <w:left w:val="none" w:sz="0" w:space="0" w:color="auto"/>
                                                                                                                                                                                                                                                                                                                                                                                                                                            <w:bottom w:val="none" w:sz="0" w:space="0" w:color="auto"/>
                                                                                                                                                                                                                                                                                                                                                                                                                                            <w:right w:val="none" w:sz="0" w:space="0" w:color="auto"/>
                                                                                                                                                                                                                                                                                                                                                                                                                                          </w:divBdr>
                                                                                                                                                                                                                                                                                                                                                                                                                                          <w:divsChild>
                                                                                                                                                                                                                                                                                                                                                                                                                                            <w:div w:id="477261239">
                                                                                                                                                                                                                                                                                                                                                                                                                                              <w:marLeft w:val="0"/>
                                                                                                                                                                                                                                                                                                                                                                                                                                              <w:marRight w:val="0"/>
                                                                                                                                                                                                                                                                                                                                                                                                                                              <w:marTop w:val="0"/>
                                                                                                                                                                                                                                                                                                                                                                                                                                              <w:marBottom w:val="0"/>
                                                                                                                                                                                                                                                                                                                                                                                                                                              <w:divBdr>
                                                                                                                                                                                                                                                                                                                                                                                                                                                <w:top w:val="none" w:sz="0" w:space="0" w:color="auto"/>
                                                                                                                                                                                                                                                                                                                                                                                                                                                <w:left w:val="none" w:sz="0" w:space="0" w:color="auto"/>
                                                                                                                                                                                                                                                                                                                                                                                                                                                <w:bottom w:val="none" w:sz="0" w:space="0" w:color="auto"/>
                                                                                                                                                                                                                                                                                                                                                                                                                                                <w:right w:val="none" w:sz="0" w:space="0" w:color="auto"/>
                                                                                                                                                                                                                                                                                                                                                                                                                                              </w:divBdr>
                                                                                                                                                                                                                                                                                                                                                                                                                                              <w:divsChild>
                                                                                                                                                                                                                                                                                                                                                                                                                                                <w:div w:id="1804155149">
                                                                                                                                                                                                                                                                                                                                                                                                                                                  <w:marLeft w:val="0"/>
                                                                                                                                                                                                                                                                                                                                                                                                                                                  <w:marRight w:val="0"/>
                                                                                                                                                                                                                                                                                                                                                                                                                                                  <w:marTop w:val="0"/>
                                                                                                                                                                                                                                                                                                                                                                                                                                                  <w:marBottom w:val="0"/>
                                                                                                                                                                                                                                                                                                                                                                                                                                                  <w:divBdr>
                                                                                                                                                                                                                                                                                                                                                                                                                                                    <w:top w:val="none" w:sz="0" w:space="0" w:color="auto"/>
                                                                                                                                                                                                                                                                                                                                                                                                                                                    <w:left w:val="none" w:sz="0" w:space="0" w:color="auto"/>
                                                                                                                                                                                                                                                                                                                                                                                                                                                    <w:bottom w:val="none" w:sz="0" w:space="0" w:color="auto"/>
                                                                                                                                                                                                                                                                                                                                                                                                                                                    <w:right w:val="none" w:sz="0" w:space="0" w:color="auto"/>
                                                                                                                                                                                                                                                                                                                                                                                                                                                  </w:divBdr>
                                                                                                                                                                                                                                                                                                                                                                                                                                                  <w:divsChild>
                                                                                                                                                                                                                                                                                                                                                                                                                                                    <w:div w:id="613823863">
                                                                                                                                                                                                                                                                                                                                                                                                                                                      <w:marLeft w:val="0"/>
                                                                                                                                                                                                                                                                                                                                                                                                                                                      <w:marRight w:val="0"/>
                                                                                                                                                                                                                                                                                                                                                                                                                                                      <w:marTop w:val="0"/>
                                                                                                                                                                                                                                                                                                                                                                                                                                                      <w:marBottom w:val="0"/>
                                                                                                                                                                                                                                                                                                                                                                                                                                                      <w:divBdr>
                                                                                                                                                                                                                                                                                                                                                                                                                                                        <w:top w:val="none" w:sz="0" w:space="0" w:color="auto"/>
                                                                                                                                                                                                                                                                                                                                                                                                                                                        <w:left w:val="none" w:sz="0" w:space="0" w:color="auto"/>
                                                                                                                                                                                                                                                                                                                                                                                                                                                        <w:bottom w:val="none" w:sz="0" w:space="0" w:color="auto"/>
                                                                                                                                                                                                                                                                                                                                                                                                                                                        <w:right w:val="none" w:sz="0" w:space="0" w:color="auto"/>
                                                                                                                                                                                                                                                                                                                                                                                                                                                      </w:divBdr>
                                                                                                                                                                                                                                                                                                                                                                                                                                                      <w:divsChild>
                                                                                                                                                                                                                                                                                                                                                                                                                                                        <w:div w:id="2007126139">
                                                                                                                                                                                                                                                                                                                                                                                                                                                          <w:marLeft w:val="0"/>
                                                                                                                                                                                                                                                                                                                                                                                                                                                          <w:marRight w:val="0"/>
                                                                                                                                                                                                                                                                                                                                                                                                                                                          <w:marTop w:val="0"/>
                                                                                                                                                                                                                                                                                                                                                                                                                                                          <w:marBottom w:val="0"/>
                                                                                                                                                                                                                                                                                                                                                                                                                                                          <w:divBdr>
                                                                                                                                                                                                                                                                                                                                                                                                                                                            <w:top w:val="none" w:sz="0" w:space="0" w:color="auto"/>
                                                                                                                                                                                                                                                                                                                                                                                                                                                            <w:left w:val="none" w:sz="0" w:space="0" w:color="auto"/>
                                                                                                                                                                                                                                                                                                                                                                                                                                                            <w:bottom w:val="none" w:sz="0" w:space="0" w:color="auto"/>
                                                                                                                                                                                                                                                                                                                                                                                                                                                            <w:right w:val="none" w:sz="0" w:space="0" w:color="auto"/>
                                                                                                                                                                                                                                                                                                                                                                                                                                                          </w:divBdr>
                                                                                                                                                                                                                                                                                                                                                                                                                                                          <w:divsChild>
                                                                                                                                                                                                                                                                                                                                                                                                                                                            <w:div w:id="1763448996">
                                                                                                                                                                                                                                                                                                                                                                                                                                                              <w:marLeft w:val="0"/>
                                                                                                                                                                                                                                                                                                                                                                                                                                                              <w:marRight w:val="0"/>
                                                                                                                                                                                                                                                                                                                                                                                                                                                              <w:marTop w:val="0"/>
                                                                                                                                                                                                                                                                                                                                                                                                                                                              <w:marBottom w:val="0"/>
                                                                                                                                                                                                                                                                                                                                                                                                                                                              <w:divBdr>
                                                                                                                                                                                                                                                                                                                                                                                                                                                                <w:top w:val="none" w:sz="0" w:space="0" w:color="auto"/>
                                                                                                                                                                                                                                                                                                                                                                                                                                                                <w:left w:val="none" w:sz="0" w:space="0" w:color="auto"/>
                                                                                                                                                                                                                                                                                                                                                                                                                                                                <w:bottom w:val="none" w:sz="0" w:space="0" w:color="auto"/>
                                                                                                                                                                                                                                                                                                                                                                                                                                                                <w:right w:val="none" w:sz="0" w:space="0" w:color="auto"/>
                                                                                                                                                                                                                                                                                                                                                                                                                                                              </w:divBdr>
                                                                                                                                                                                                                                                                                                                                                                                                                                                              <w:divsChild>
                                                                                                                                                                                                                                                                                                                                                                                                                                                                <w:div w:id="1408457569">
                                                                                                                                                                                                                                                                                                                                                                                                                                                                  <w:marLeft w:val="0"/>
                                                                                                                                                                                                                                                                                                                                                                                                                                                                  <w:marRight w:val="0"/>
                                                                                                                                                                                                                                                                                                                                                                                                                                                                  <w:marTop w:val="0"/>
                                                                                                                                                                                                                                                                                                                                                                                                                                                                  <w:marBottom w:val="0"/>
                                                                                                                                                                                                                                                                                                                                                                                                                                                                  <w:divBdr>
                                                                                                                                                                                                                                                                                                                                                                                                                                                                    <w:top w:val="none" w:sz="0" w:space="0" w:color="auto"/>
                                                                                                                                                                                                                                                                                                                                                                                                                                                                    <w:left w:val="none" w:sz="0" w:space="0" w:color="auto"/>
                                                                                                                                                                                                                                                                                                                                                                                                                                                                    <w:bottom w:val="none" w:sz="0" w:space="0" w:color="auto"/>
                                                                                                                                                                                                                                                                                                                                                                                                                                                                    <w:right w:val="none" w:sz="0" w:space="0" w:color="auto"/>
                                                                                                                                                                                                                                                                                                                                                                                                                                                                  </w:divBdr>
                                                                                                                                                                                                                                                                                                                                                                                                                                                                  <w:divsChild>
                                                                                                                                                                                                                                                                                                                                                                                                                                                                    <w:div w:id="1403866524">
                                                                                                                                                                                                                                                                                                                                                                                                                                                                      <w:marLeft w:val="0"/>
                                                                                                                                                                                                                                                                                                                                                                                                                                                                      <w:marRight w:val="0"/>
                                                                                                                                                                                                                                                                                                                                                                                                                                                                      <w:marTop w:val="0"/>
                                                                                                                                                                                                                                                                                                                                                                                                                                                                      <w:marBottom w:val="0"/>
                                                                                                                                                                                                                                                                                                                                                                                                                                                                      <w:divBdr>
                                                                                                                                                                                                                                                                                                                                                                                                                                                                        <w:top w:val="none" w:sz="0" w:space="0" w:color="auto"/>
                                                                                                                                                                                                                                                                                                                                                                                                                                                                        <w:left w:val="none" w:sz="0" w:space="0" w:color="auto"/>
                                                                                                                                                                                                                                                                                                                                                                                                                                                                        <w:bottom w:val="none" w:sz="0" w:space="0" w:color="auto"/>
                                                                                                                                                                                                                                                                                                                                                                                                                                                                        <w:right w:val="none" w:sz="0" w:space="0" w:color="auto"/>
                                                                                                                                                                                                                                                                                                                                                                                                                                                                      </w:divBdr>
                                                                                                                                                                                                                                                                                                                                                                                                                                                                      <w:divsChild>
                                                                                                                                                                                                                                                                                                                                                                                                                                                                        <w:div w:id="50006022">
                                                                                                                                                                                                                                                                                                                                                                                                                                                                          <w:marLeft w:val="0"/>
                                                                                                                                                                                                                                                                                                                                                                                                                                                                          <w:marRight w:val="0"/>
                                                                                                                                                                                                                                                                                                                                                                                                                                                                          <w:marTop w:val="0"/>
                                                                                                                                                                                                                                                                                                                                                                                                                                                                          <w:marBottom w:val="0"/>
                                                                                                                                                                                                                                                                                                                                                                                                                                                                          <w:divBdr>
                                                                                                                                                                                                                                                                                                                                                                                                                                                                            <w:top w:val="none" w:sz="0" w:space="0" w:color="auto"/>
                                                                                                                                                                                                                                                                                                                                                                                                                                                                            <w:left w:val="none" w:sz="0" w:space="0" w:color="auto"/>
                                                                                                                                                                                                                                                                                                                                                                                                                                                                            <w:bottom w:val="none" w:sz="0" w:space="0" w:color="auto"/>
                                                                                                                                                                                                                                                                                                                                                                                                                                                                            <w:right w:val="none" w:sz="0" w:space="0" w:color="auto"/>
                                                                                                                                                                                                                                                                                                                                                                                                                                                                          </w:divBdr>
                                                                                                                                                                                                                                                                                                                                                                                                                                                                          <w:divsChild>
                                                                                                                                                                                                                                                                                                                                                                                                                                                                            <w:div w:id="1574506328">
                                                                                                                                                                                                                                                                                                                                                                                                                                                                              <w:marLeft w:val="0"/>
                                                                                                                                                                                                                                                                                                                                                                                                                                                                              <w:marRight w:val="0"/>
                                                                                                                                                                                                                                                                                                                                                                                                                                                                              <w:marTop w:val="0"/>
                                                                                                                                                                                                                                                                                                                                                                                                                                                                              <w:marBottom w:val="0"/>
                                                                                                                                                                                                                                                                                                                                                                                                                                                                              <w:divBdr>
                                                                                                                                                                                                                                                                                                                                                                                                                                                                                <w:top w:val="none" w:sz="0" w:space="0" w:color="auto"/>
                                                                                                                                                                                                                                                                                                                                                                                                                                                                                <w:left w:val="none" w:sz="0" w:space="0" w:color="auto"/>
                                                                                                                                                                                                                                                                                                                                                                                                                                                                                <w:bottom w:val="none" w:sz="0" w:space="0" w:color="auto"/>
                                                                                                                                                                                                                                                                                                                                                                                                                                                                                <w:right w:val="none" w:sz="0" w:space="0" w:color="auto"/>
                                                                                                                                                                                                                                                                                                                                                                                                                                                                              </w:divBdr>
                                                                                                                                                                                                                                                                                                                                                                                                                                                                              <w:divsChild>
                                                                                                                                                                                                                                                                                                                                                                                                                                                                                <w:div w:id="430012309">
                                                                                                                                                                                                                                                                                                                                                                                                                                                                                  <w:marLeft w:val="0"/>
                                                                                                                                                                                                                                                                                                                                                                                                                                                                                  <w:marRight w:val="0"/>
                                                                                                                                                                                                                                                                                                                                                                                                                                                                                  <w:marTop w:val="0"/>
                                                                                                                                                                                                                                                                                                                                                                                                                                                                                  <w:marBottom w:val="0"/>
                                                                                                                                                                                                                                                                                                                                                                                                                                                                                  <w:divBdr>
                                                                                                                                                                                                                                                                                                                                                                                                                                                                                    <w:top w:val="none" w:sz="0" w:space="0" w:color="auto"/>
                                                                                                                                                                                                                                                                                                                                                                                                                                                                                    <w:left w:val="none" w:sz="0" w:space="0" w:color="auto"/>
                                                                                                                                                                                                                                                                                                                                                                                                                                                                                    <w:bottom w:val="none" w:sz="0" w:space="0" w:color="auto"/>
                                                                                                                                                                                                                                                                                                                                                                                                                                                                                    <w:right w:val="none" w:sz="0" w:space="0" w:color="auto"/>
                                                                                                                                                                                                                                                                                                                                                                                                                                                                                  </w:divBdr>
                                                                                                                                                                                                                                                                                                                                                                                                                                                                                  <w:divsChild>
                                                                                                                                                                                                                                                                                                                                                                                                                                                                                    <w:div w:id="10186530">
                                                                                                                                                                                                                                                                                                                                                                                                                                                                                      <w:marLeft w:val="0"/>
                                                                                                                                                                                                                                                                                                                                                                                                                                                                                      <w:marRight w:val="0"/>
                                                                                                                                                                                                                                                                                                                                                                                                                                                                                      <w:marTop w:val="0"/>
                                                                                                                                                                                                                                                                                                                                                                                                                                                                                      <w:marBottom w:val="0"/>
                                                                                                                                                                                                                                                                                                                                                                                                                                                                                      <w:divBdr>
                                                                                                                                                                                                                                                                                                                                                                                                                                                                                        <w:top w:val="none" w:sz="0" w:space="0" w:color="auto"/>
                                                                                                                                                                                                                                                                                                                                                                                                                                                                                        <w:left w:val="none" w:sz="0" w:space="0" w:color="auto"/>
                                                                                                                                                                                                                                                                                                                                                                                                                                                                                        <w:bottom w:val="none" w:sz="0" w:space="0" w:color="auto"/>
                                                                                                                                                                                                                                                                                                                                                                                                                                                                                        <w:right w:val="none" w:sz="0" w:space="0" w:color="auto"/>
                                                                                                                                                                                                                                                                                                                                                                                                                                                                                      </w:divBdr>
                                                                                                                                                                                                                                                                                                                                                                                                                                                                                      <w:divsChild>
                                                                                                                                                                                                                                                                                                                                                                                                                                                                                        <w:div w:id="657076530">
                                                                                                                                                                                                                                                                                                                                                                                                                                                                                          <w:marLeft w:val="0"/>
                                                                                                                                                                                                                                                                                                                                                                                                                                                                                          <w:marRight w:val="0"/>
                                                                                                                                                                                                                                                                                                                                                                                                                                                                                          <w:marTop w:val="0"/>
                                                                                                                                                                                                                                                                                                                                                                                                                                                                                          <w:marBottom w:val="0"/>
                                                                                                                                                                                                                                                                                                                                                                                                                                                                                          <w:divBdr>
                                                                                                                                                                                                                                                                                                                                                                                                                                                                                            <w:top w:val="none" w:sz="0" w:space="0" w:color="auto"/>
                                                                                                                                                                                                                                                                                                                                                                                                                                                                                            <w:left w:val="none" w:sz="0" w:space="0" w:color="auto"/>
                                                                                                                                                                                                                                                                                                                                                                                                                                                                                            <w:bottom w:val="none" w:sz="0" w:space="0" w:color="auto"/>
                                                                                                                                                                                                                                                                                                                                                                                                                                                                                            <w:right w:val="none" w:sz="0" w:space="0" w:color="auto"/>
                                                                                                                                                                                                                                                                                                                                                                                                                                                                                          </w:divBdr>
                                                                                                                                                                                                                                                                                                                                                                                                                                                                                          <w:divsChild>
                                                                                                                                                                                                                                                                                                                                                                                                                                                                                            <w:div w:id="535657263">
                                                                                                                                                                                                                                                                                                                                                                                                                                                                                              <w:marLeft w:val="0"/>
                                                                                                                                                                                                                                                                                                                                                                                                                                                                                              <w:marRight w:val="0"/>
                                                                                                                                                                                                                                                                                                                                                                                                                                                                                              <w:marTop w:val="0"/>
                                                                                                                                                                                                                                                                                                                                                                                                                                                                                              <w:marBottom w:val="0"/>
                                                                                                                                                                                                                                                                                                                                                                                                                                                                                              <w:divBdr>
                                                                                                                                                                                                                                                                                                                                                                                                                                                                                                <w:top w:val="none" w:sz="0" w:space="0" w:color="auto"/>
                                                                                                                                                                                                                                                                                                                                                                                                                                                                                                <w:left w:val="none" w:sz="0" w:space="0" w:color="auto"/>
                                                                                                                                                                                                                                                                                                                                                                                                                                                                                                <w:bottom w:val="none" w:sz="0" w:space="0" w:color="auto"/>
                                                                                                                                                                                                                                                                                                                                                                                                                                                                                                <w:right w:val="none" w:sz="0" w:space="0" w:color="auto"/>
                                                                                                                                                                                                                                                                                                                                                                                                                                                                                              </w:divBdr>
                                                                                                                                                                                                                                                                                                                                                                                                                                                                                              <w:divsChild>
                                                                                                                                                                                                                                                                                                                                                                                                                                                                                                <w:div w:id="93864928">
                                                                                                                                                                                                                                                                                                                                                                                                                                                                                                  <w:marLeft w:val="0"/>
                                                                                                                                                                                                                                                                                                                                                                                                                                                                                                  <w:marRight w:val="0"/>
                                                                                                                                                                                                                                                                                                                                                                                                                                                                                                  <w:marTop w:val="0"/>
                                                                                                                                                                                                                                                                                                                                                                                                                                                                                                  <w:marBottom w:val="0"/>
                                                                                                                                                                                                                                                                                                                                                                                                                                                                                                  <w:divBdr>
                                                                                                                                                                                                                                                                                                                                                                                                                                                                                                    <w:top w:val="none" w:sz="0" w:space="0" w:color="auto"/>
                                                                                                                                                                                                                                                                                                                                                                                                                                                                                                    <w:left w:val="none" w:sz="0" w:space="0" w:color="auto"/>
                                                                                                                                                                                                                                                                                                                                                                                                                                                                                                    <w:bottom w:val="none" w:sz="0" w:space="0" w:color="auto"/>
                                                                                                                                                                                                                                                                                                                                                                                                                                                                                                    <w:right w:val="none" w:sz="0" w:space="0" w:color="auto"/>
                                                                                                                                                                                                                                                                                                                                                                                                                                                                                                  </w:divBdr>
                                                                                                                                                                                                                                                                                                                                                                                                                                                                                                  <w:divsChild>
                                                                                                                                                                                                                                                                                                                                                                                                                                                                                                    <w:div w:id="1048340683">
                                                                                                                                                                                                                                                                                                                                                                                                                                                                                                      <w:marLeft w:val="0"/>
                                                                                                                                                                                                                                                                                                                                                                                                                                                                                                      <w:marRight w:val="0"/>
                                                                                                                                                                                                                                                                                                                                                                                                                                                                                                      <w:marTop w:val="0"/>
                                                                                                                                                                                                                                                                                                                                                                                                                                                                                                      <w:marBottom w:val="0"/>
                                                                                                                                                                                                                                                                                                                                                                                                                                                                                                      <w:divBdr>
                                                                                                                                                                                                                                                                                                                                                                                                                                                                                                        <w:top w:val="none" w:sz="0" w:space="0" w:color="auto"/>
                                                                                                                                                                                                                                                                                                                                                                                                                                                                                                        <w:left w:val="none" w:sz="0" w:space="0" w:color="auto"/>
                                                                                                                                                                                                                                                                                                                                                                                                                                                                                                        <w:bottom w:val="none" w:sz="0" w:space="0" w:color="auto"/>
                                                                                                                                                                                                                                                                                                                                                                                                                                                                                                        <w:right w:val="none" w:sz="0" w:space="0" w:color="auto"/>
                                                                                                                                                                                                                                                                                                                                                                                                                                                                                                      </w:divBdr>
                                                                                                                                                                                                                                                                                                                                                                                                                                                                                                      <w:divsChild>
                                                                                                                                                                                                                                                                                                                                                                                                                                                                                                        <w:div w:id="526411710">
                                                                                                                                                                                                                                                                                                                                                                                                                                                                                                          <w:marLeft w:val="0"/>
                                                                                                                                                                                                                                                                                                                                                                                                                                                                                                          <w:marRight w:val="0"/>
                                                                                                                                                                                                                                                                                                                                                                                                                                                                                                          <w:marTop w:val="0"/>
                                                                                                                                                                                                                                                                                                                                                                                                                                                                                                          <w:marBottom w:val="0"/>
                                                                                                                                                                                                                                                                                                                                                                                                                                                                                                          <w:divBdr>
                                                                                                                                                                                                                                                                                                                                                                                                                                                                                                            <w:top w:val="none" w:sz="0" w:space="0" w:color="auto"/>
                                                                                                                                                                                                                                                                                                                                                                                                                                                                                                            <w:left w:val="none" w:sz="0" w:space="0" w:color="auto"/>
                                                                                                                                                                                                                                                                                                                                                                                                                                                                                                            <w:bottom w:val="none" w:sz="0" w:space="0" w:color="auto"/>
                                                                                                                                                                                                                                                                                                                                                                                                                                                                                                            <w:right w:val="none" w:sz="0" w:space="0" w:color="auto"/>
                                                                                                                                                                                                                                                                                                                                                                                                                                                                                                          </w:divBdr>
                                                                                                                                                                                                                                                                                                                                                                                                                                                                                                          <w:divsChild>
                                                                                                                                                                                                                                                                                                                                                                                                                                                                                                            <w:div w:id="860433734">
                                                                                                                                                                                                                                                                                                                                                                                                                                                                                                              <w:marLeft w:val="0"/>
                                                                                                                                                                                                                                                                                                                                                                                                                                                                                                              <w:marRight w:val="0"/>
                                                                                                                                                                                                                                                                                                                                                                                                                                                                                                              <w:marTop w:val="0"/>
                                                                                                                                                                                                                                                                                                                                                                                                                                                                                                              <w:marBottom w:val="0"/>
                                                                                                                                                                                                                                                                                                                                                                                                                                                                                                              <w:divBdr>
                                                                                                                                                                                                                                                                                                                                                                                                                                                                                                                <w:top w:val="none" w:sz="0" w:space="0" w:color="auto"/>
                                                                                                                                                                                                                                                                                                                                                                                                                                                                                                                <w:left w:val="none" w:sz="0" w:space="0" w:color="auto"/>
                                                                                                                                                                                                                                                                                                                                                                                                                                                                                                                <w:bottom w:val="none" w:sz="0" w:space="0" w:color="auto"/>
                                                                                                                                                                                                                                                                                                                                                                                                                                                                                                                <w:right w:val="none" w:sz="0" w:space="0" w:color="auto"/>
                                                                                                                                                                                                                                                                                                                                                                                                                                                                                                              </w:divBdr>
                                                                                                                                                                                                                                                                                                                                                                                                                                                                                                              <w:divsChild>
                                                                                                                                                                                                                                                                                                                                                                                                                                                                                                                <w:div w:id="1421490513">
                                                                                                                                                                                                                                                                                                                                                                                                                                                                                                                  <w:marLeft w:val="0"/>
                                                                                                                                                                                                                                                                                                                                                                                                                                                                                                                  <w:marRight w:val="0"/>
                                                                                                                                                                                                                                                                                                                                                                                                                                                                                                                  <w:marTop w:val="0"/>
                                                                                                                                                                                                                                                                                                                                                                                                                                                                                                                  <w:marBottom w:val="0"/>
                                                                                                                                                                                                                                                                                                                                                                                                                                                                                                                  <w:divBdr>
                                                                                                                                                                                                                                                                                                                                                                                                                                                                                                                    <w:top w:val="none" w:sz="0" w:space="0" w:color="auto"/>
                                                                                                                                                                                                                                                                                                                                                                                                                                                                                                                    <w:left w:val="none" w:sz="0" w:space="0" w:color="auto"/>
                                                                                                                                                                                                                                                                                                                                                                                                                                                                                                                    <w:bottom w:val="none" w:sz="0" w:space="0" w:color="auto"/>
                                                                                                                                                                                                                                                                                                                                                                                                                                                                                                                    <w:right w:val="none" w:sz="0" w:space="0" w:color="auto"/>
                                                                                                                                                                                                                                                                                                                                                                                                                                                                                                                  </w:divBdr>
                                                                                                                                                                                                                                                                                                                                                                                                                                                                                                                  <w:divsChild>
                                                                                                                                                                                                                                                                                                                                                                                                                                                                                                                    <w:div w:id="63375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61436">
      <w:bodyDiv w:val="1"/>
      <w:marLeft w:val="0"/>
      <w:marRight w:val="0"/>
      <w:marTop w:val="0"/>
      <w:marBottom w:val="0"/>
      <w:divBdr>
        <w:top w:val="none" w:sz="0" w:space="0" w:color="auto"/>
        <w:left w:val="none" w:sz="0" w:space="0" w:color="auto"/>
        <w:bottom w:val="none" w:sz="0" w:space="0" w:color="auto"/>
        <w:right w:val="none" w:sz="0" w:space="0" w:color="auto"/>
      </w:divBdr>
    </w:div>
    <w:div w:id="452482111">
      <w:bodyDiv w:val="1"/>
      <w:marLeft w:val="0"/>
      <w:marRight w:val="0"/>
      <w:marTop w:val="0"/>
      <w:marBottom w:val="0"/>
      <w:divBdr>
        <w:top w:val="none" w:sz="0" w:space="0" w:color="auto"/>
        <w:left w:val="none" w:sz="0" w:space="0" w:color="auto"/>
        <w:bottom w:val="none" w:sz="0" w:space="0" w:color="auto"/>
        <w:right w:val="none" w:sz="0" w:space="0" w:color="auto"/>
      </w:divBdr>
    </w:div>
    <w:div w:id="480273507">
      <w:bodyDiv w:val="1"/>
      <w:marLeft w:val="0"/>
      <w:marRight w:val="0"/>
      <w:marTop w:val="0"/>
      <w:marBottom w:val="0"/>
      <w:divBdr>
        <w:top w:val="none" w:sz="0" w:space="0" w:color="auto"/>
        <w:left w:val="none" w:sz="0" w:space="0" w:color="auto"/>
        <w:bottom w:val="none" w:sz="0" w:space="0" w:color="auto"/>
        <w:right w:val="none" w:sz="0" w:space="0" w:color="auto"/>
      </w:divBdr>
    </w:div>
    <w:div w:id="481196198">
      <w:bodyDiv w:val="1"/>
      <w:marLeft w:val="0"/>
      <w:marRight w:val="0"/>
      <w:marTop w:val="0"/>
      <w:marBottom w:val="0"/>
      <w:divBdr>
        <w:top w:val="none" w:sz="0" w:space="0" w:color="auto"/>
        <w:left w:val="none" w:sz="0" w:space="0" w:color="auto"/>
        <w:bottom w:val="none" w:sz="0" w:space="0" w:color="auto"/>
        <w:right w:val="none" w:sz="0" w:space="0" w:color="auto"/>
      </w:divBdr>
    </w:div>
    <w:div w:id="811599227">
      <w:bodyDiv w:val="1"/>
      <w:marLeft w:val="0"/>
      <w:marRight w:val="0"/>
      <w:marTop w:val="0"/>
      <w:marBottom w:val="0"/>
      <w:divBdr>
        <w:top w:val="none" w:sz="0" w:space="0" w:color="auto"/>
        <w:left w:val="none" w:sz="0" w:space="0" w:color="auto"/>
        <w:bottom w:val="none" w:sz="0" w:space="0" w:color="auto"/>
        <w:right w:val="none" w:sz="0" w:space="0" w:color="auto"/>
      </w:divBdr>
    </w:div>
    <w:div w:id="895164211">
      <w:bodyDiv w:val="1"/>
      <w:marLeft w:val="0"/>
      <w:marRight w:val="0"/>
      <w:marTop w:val="0"/>
      <w:marBottom w:val="0"/>
      <w:divBdr>
        <w:top w:val="none" w:sz="0" w:space="0" w:color="auto"/>
        <w:left w:val="none" w:sz="0" w:space="0" w:color="auto"/>
        <w:bottom w:val="none" w:sz="0" w:space="0" w:color="auto"/>
        <w:right w:val="none" w:sz="0" w:space="0" w:color="auto"/>
      </w:divBdr>
    </w:div>
    <w:div w:id="980694020">
      <w:bodyDiv w:val="1"/>
      <w:marLeft w:val="0"/>
      <w:marRight w:val="0"/>
      <w:marTop w:val="0"/>
      <w:marBottom w:val="0"/>
      <w:divBdr>
        <w:top w:val="none" w:sz="0" w:space="0" w:color="auto"/>
        <w:left w:val="none" w:sz="0" w:space="0" w:color="auto"/>
        <w:bottom w:val="none" w:sz="0" w:space="0" w:color="auto"/>
        <w:right w:val="none" w:sz="0" w:space="0" w:color="auto"/>
      </w:divBdr>
    </w:div>
    <w:div w:id="1032615801">
      <w:bodyDiv w:val="1"/>
      <w:marLeft w:val="0"/>
      <w:marRight w:val="0"/>
      <w:marTop w:val="0"/>
      <w:marBottom w:val="0"/>
      <w:divBdr>
        <w:top w:val="none" w:sz="0" w:space="0" w:color="auto"/>
        <w:left w:val="none" w:sz="0" w:space="0" w:color="auto"/>
        <w:bottom w:val="none" w:sz="0" w:space="0" w:color="auto"/>
        <w:right w:val="none" w:sz="0" w:space="0" w:color="auto"/>
      </w:divBdr>
    </w:div>
    <w:div w:id="1330446993">
      <w:bodyDiv w:val="1"/>
      <w:marLeft w:val="0"/>
      <w:marRight w:val="0"/>
      <w:marTop w:val="0"/>
      <w:marBottom w:val="0"/>
      <w:divBdr>
        <w:top w:val="none" w:sz="0" w:space="0" w:color="auto"/>
        <w:left w:val="none" w:sz="0" w:space="0" w:color="auto"/>
        <w:bottom w:val="none" w:sz="0" w:space="0" w:color="auto"/>
        <w:right w:val="none" w:sz="0" w:space="0" w:color="auto"/>
      </w:divBdr>
      <w:divsChild>
        <w:div w:id="332686480">
          <w:marLeft w:val="0"/>
          <w:marRight w:val="0"/>
          <w:marTop w:val="0"/>
          <w:marBottom w:val="0"/>
          <w:divBdr>
            <w:top w:val="none" w:sz="0" w:space="0" w:color="auto"/>
            <w:left w:val="none" w:sz="0" w:space="0" w:color="auto"/>
            <w:bottom w:val="none" w:sz="0" w:space="0" w:color="auto"/>
            <w:right w:val="none" w:sz="0" w:space="0" w:color="auto"/>
          </w:divBdr>
          <w:divsChild>
            <w:div w:id="567769271">
              <w:marLeft w:val="0"/>
              <w:marRight w:val="0"/>
              <w:marTop w:val="0"/>
              <w:marBottom w:val="0"/>
              <w:divBdr>
                <w:top w:val="none" w:sz="0" w:space="0" w:color="auto"/>
                <w:left w:val="none" w:sz="0" w:space="0" w:color="auto"/>
                <w:bottom w:val="none" w:sz="0" w:space="0" w:color="auto"/>
                <w:right w:val="none" w:sz="0" w:space="0" w:color="auto"/>
              </w:divBdr>
              <w:divsChild>
                <w:div w:id="337393728">
                  <w:marLeft w:val="0"/>
                  <w:marRight w:val="0"/>
                  <w:marTop w:val="0"/>
                  <w:marBottom w:val="0"/>
                  <w:divBdr>
                    <w:top w:val="none" w:sz="0" w:space="0" w:color="auto"/>
                    <w:left w:val="none" w:sz="0" w:space="0" w:color="auto"/>
                    <w:bottom w:val="none" w:sz="0" w:space="0" w:color="auto"/>
                    <w:right w:val="none" w:sz="0" w:space="0" w:color="auto"/>
                  </w:divBdr>
                  <w:divsChild>
                    <w:div w:id="1503622900">
                      <w:marLeft w:val="0"/>
                      <w:marRight w:val="0"/>
                      <w:marTop w:val="0"/>
                      <w:marBottom w:val="0"/>
                      <w:divBdr>
                        <w:top w:val="none" w:sz="0" w:space="0" w:color="auto"/>
                        <w:left w:val="none" w:sz="0" w:space="0" w:color="auto"/>
                        <w:bottom w:val="none" w:sz="0" w:space="0" w:color="auto"/>
                        <w:right w:val="none" w:sz="0" w:space="0" w:color="auto"/>
                      </w:divBdr>
                      <w:divsChild>
                        <w:div w:id="1780879547">
                          <w:marLeft w:val="0"/>
                          <w:marRight w:val="0"/>
                          <w:marTop w:val="0"/>
                          <w:marBottom w:val="0"/>
                          <w:divBdr>
                            <w:top w:val="none" w:sz="0" w:space="0" w:color="auto"/>
                            <w:left w:val="none" w:sz="0" w:space="0" w:color="auto"/>
                            <w:bottom w:val="none" w:sz="0" w:space="0" w:color="auto"/>
                            <w:right w:val="none" w:sz="0" w:space="0" w:color="auto"/>
                          </w:divBdr>
                          <w:divsChild>
                            <w:div w:id="282882639">
                              <w:marLeft w:val="0"/>
                              <w:marRight w:val="0"/>
                              <w:marTop w:val="0"/>
                              <w:marBottom w:val="0"/>
                              <w:divBdr>
                                <w:top w:val="none" w:sz="0" w:space="0" w:color="auto"/>
                                <w:left w:val="none" w:sz="0" w:space="0" w:color="auto"/>
                                <w:bottom w:val="none" w:sz="0" w:space="0" w:color="auto"/>
                                <w:right w:val="none" w:sz="0" w:space="0" w:color="auto"/>
                              </w:divBdr>
                              <w:divsChild>
                                <w:div w:id="349525271">
                                  <w:marLeft w:val="0"/>
                                  <w:marRight w:val="0"/>
                                  <w:marTop w:val="0"/>
                                  <w:marBottom w:val="0"/>
                                  <w:divBdr>
                                    <w:top w:val="none" w:sz="0" w:space="0" w:color="auto"/>
                                    <w:left w:val="none" w:sz="0" w:space="0" w:color="auto"/>
                                    <w:bottom w:val="none" w:sz="0" w:space="0" w:color="auto"/>
                                    <w:right w:val="none" w:sz="0" w:space="0" w:color="auto"/>
                                  </w:divBdr>
                                  <w:divsChild>
                                    <w:div w:id="2055230809">
                                      <w:marLeft w:val="0"/>
                                      <w:marRight w:val="0"/>
                                      <w:marTop w:val="0"/>
                                      <w:marBottom w:val="0"/>
                                      <w:divBdr>
                                        <w:top w:val="none" w:sz="0" w:space="0" w:color="auto"/>
                                        <w:left w:val="none" w:sz="0" w:space="0" w:color="auto"/>
                                        <w:bottom w:val="none" w:sz="0" w:space="0" w:color="auto"/>
                                        <w:right w:val="none" w:sz="0" w:space="0" w:color="auto"/>
                                      </w:divBdr>
                                      <w:divsChild>
                                        <w:div w:id="1052775451">
                                          <w:marLeft w:val="0"/>
                                          <w:marRight w:val="0"/>
                                          <w:marTop w:val="0"/>
                                          <w:marBottom w:val="0"/>
                                          <w:divBdr>
                                            <w:top w:val="none" w:sz="0" w:space="0" w:color="auto"/>
                                            <w:left w:val="none" w:sz="0" w:space="0" w:color="auto"/>
                                            <w:bottom w:val="none" w:sz="0" w:space="0" w:color="auto"/>
                                            <w:right w:val="none" w:sz="0" w:space="0" w:color="auto"/>
                                          </w:divBdr>
                                          <w:divsChild>
                                            <w:div w:id="856381689">
                                              <w:marLeft w:val="0"/>
                                              <w:marRight w:val="0"/>
                                              <w:marTop w:val="0"/>
                                              <w:marBottom w:val="0"/>
                                              <w:divBdr>
                                                <w:top w:val="none" w:sz="0" w:space="0" w:color="auto"/>
                                                <w:left w:val="none" w:sz="0" w:space="0" w:color="auto"/>
                                                <w:bottom w:val="none" w:sz="0" w:space="0" w:color="auto"/>
                                                <w:right w:val="none" w:sz="0" w:space="0" w:color="auto"/>
                                              </w:divBdr>
                                              <w:divsChild>
                                                <w:div w:id="1653557464">
                                                  <w:marLeft w:val="0"/>
                                                  <w:marRight w:val="0"/>
                                                  <w:marTop w:val="0"/>
                                                  <w:marBottom w:val="0"/>
                                                  <w:divBdr>
                                                    <w:top w:val="none" w:sz="0" w:space="0" w:color="auto"/>
                                                    <w:left w:val="none" w:sz="0" w:space="0" w:color="auto"/>
                                                    <w:bottom w:val="none" w:sz="0" w:space="0" w:color="auto"/>
                                                    <w:right w:val="none" w:sz="0" w:space="0" w:color="auto"/>
                                                  </w:divBdr>
                                                  <w:divsChild>
                                                    <w:div w:id="92896078">
                                                      <w:marLeft w:val="0"/>
                                                      <w:marRight w:val="0"/>
                                                      <w:marTop w:val="0"/>
                                                      <w:marBottom w:val="0"/>
                                                      <w:divBdr>
                                                        <w:top w:val="none" w:sz="0" w:space="0" w:color="auto"/>
                                                        <w:left w:val="none" w:sz="0" w:space="0" w:color="auto"/>
                                                        <w:bottom w:val="none" w:sz="0" w:space="0" w:color="auto"/>
                                                        <w:right w:val="none" w:sz="0" w:space="0" w:color="auto"/>
                                                      </w:divBdr>
                                                      <w:divsChild>
                                                        <w:div w:id="637299704">
                                                          <w:marLeft w:val="0"/>
                                                          <w:marRight w:val="0"/>
                                                          <w:marTop w:val="0"/>
                                                          <w:marBottom w:val="0"/>
                                                          <w:divBdr>
                                                            <w:top w:val="none" w:sz="0" w:space="0" w:color="auto"/>
                                                            <w:left w:val="none" w:sz="0" w:space="0" w:color="auto"/>
                                                            <w:bottom w:val="none" w:sz="0" w:space="0" w:color="auto"/>
                                                            <w:right w:val="none" w:sz="0" w:space="0" w:color="auto"/>
                                                          </w:divBdr>
                                                          <w:divsChild>
                                                            <w:div w:id="1935046800">
                                                              <w:marLeft w:val="0"/>
                                                              <w:marRight w:val="0"/>
                                                              <w:marTop w:val="0"/>
                                                              <w:marBottom w:val="0"/>
                                                              <w:divBdr>
                                                                <w:top w:val="none" w:sz="0" w:space="0" w:color="auto"/>
                                                                <w:left w:val="none" w:sz="0" w:space="0" w:color="auto"/>
                                                                <w:bottom w:val="none" w:sz="0" w:space="0" w:color="auto"/>
                                                                <w:right w:val="none" w:sz="0" w:space="0" w:color="auto"/>
                                                              </w:divBdr>
                                                              <w:divsChild>
                                                                <w:div w:id="973216722">
                                                                  <w:marLeft w:val="0"/>
                                                                  <w:marRight w:val="0"/>
                                                                  <w:marTop w:val="0"/>
                                                                  <w:marBottom w:val="0"/>
                                                                  <w:divBdr>
                                                                    <w:top w:val="none" w:sz="0" w:space="0" w:color="auto"/>
                                                                    <w:left w:val="none" w:sz="0" w:space="0" w:color="auto"/>
                                                                    <w:bottom w:val="none" w:sz="0" w:space="0" w:color="auto"/>
                                                                    <w:right w:val="none" w:sz="0" w:space="0" w:color="auto"/>
                                                                  </w:divBdr>
                                                                  <w:divsChild>
                                                                    <w:div w:id="1451168443">
                                                                      <w:marLeft w:val="0"/>
                                                                      <w:marRight w:val="0"/>
                                                                      <w:marTop w:val="0"/>
                                                                      <w:marBottom w:val="0"/>
                                                                      <w:divBdr>
                                                                        <w:top w:val="none" w:sz="0" w:space="0" w:color="auto"/>
                                                                        <w:left w:val="none" w:sz="0" w:space="0" w:color="auto"/>
                                                                        <w:bottom w:val="none" w:sz="0" w:space="0" w:color="auto"/>
                                                                        <w:right w:val="none" w:sz="0" w:space="0" w:color="auto"/>
                                                                      </w:divBdr>
                                                                      <w:divsChild>
                                                                        <w:div w:id="1883786848">
                                                                          <w:marLeft w:val="0"/>
                                                                          <w:marRight w:val="0"/>
                                                                          <w:marTop w:val="0"/>
                                                                          <w:marBottom w:val="0"/>
                                                                          <w:divBdr>
                                                                            <w:top w:val="none" w:sz="0" w:space="0" w:color="auto"/>
                                                                            <w:left w:val="none" w:sz="0" w:space="0" w:color="auto"/>
                                                                            <w:bottom w:val="none" w:sz="0" w:space="0" w:color="auto"/>
                                                                            <w:right w:val="none" w:sz="0" w:space="0" w:color="auto"/>
                                                                          </w:divBdr>
                                                                          <w:divsChild>
                                                                            <w:div w:id="1000694520">
                                                                              <w:marLeft w:val="0"/>
                                                                              <w:marRight w:val="0"/>
                                                                              <w:marTop w:val="0"/>
                                                                              <w:marBottom w:val="0"/>
                                                                              <w:divBdr>
                                                                                <w:top w:val="none" w:sz="0" w:space="0" w:color="auto"/>
                                                                                <w:left w:val="none" w:sz="0" w:space="0" w:color="auto"/>
                                                                                <w:bottom w:val="none" w:sz="0" w:space="0" w:color="auto"/>
                                                                                <w:right w:val="none" w:sz="0" w:space="0" w:color="auto"/>
                                                                              </w:divBdr>
                                                                              <w:divsChild>
                                                                                <w:div w:id="480804478">
                                                                                  <w:marLeft w:val="0"/>
                                                                                  <w:marRight w:val="0"/>
                                                                                  <w:marTop w:val="0"/>
                                                                                  <w:marBottom w:val="0"/>
                                                                                  <w:divBdr>
                                                                                    <w:top w:val="none" w:sz="0" w:space="0" w:color="auto"/>
                                                                                    <w:left w:val="none" w:sz="0" w:space="0" w:color="auto"/>
                                                                                    <w:bottom w:val="none" w:sz="0" w:space="0" w:color="auto"/>
                                                                                    <w:right w:val="none" w:sz="0" w:space="0" w:color="auto"/>
                                                                                  </w:divBdr>
                                                                                  <w:divsChild>
                                                                                    <w:div w:id="1624650682">
                                                                                      <w:marLeft w:val="0"/>
                                                                                      <w:marRight w:val="0"/>
                                                                                      <w:marTop w:val="0"/>
                                                                                      <w:marBottom w:val="0"/>
                                                                                      <w:divBdr>
                                                                                        <w:top w:val="none" w:sz="0" w:space="0" w:color="auto"/>
                                                                                        <w:left w:val="none" w:sz="0" w:space="0" w:color="auto"/>
                                                                                        <w:bottom w:val="none" w:sz="0" w:space="0" w:color="auto"/>
                                                                                        <w:right w:val="none" w:sz="0" w:space="0" w:color="auto"/>
                                                                                      </w:divBdr>
                                                                                      <w:divsChild>
                                                                                        <w:div w:id="138688078">
                                                                                          <w:marLeft w:val="0"/>
                                                                                          <w:marRight w:val="0"/>
                                                                                          <w:marTop w:val="0"/>
                                                                                          <w:marBottom w:val="0"/>
                                                                                          <w:divBdr>
                                                                                            <w:top w:val="none" w:sz="0" w:space="0" w:color="auto"/>
                                                                                            <w:left w:val="none" w:sz="0" w:space="0" w:color="auto"/>
                                                                                            <w:bottom w:val="none" w:sz="0" w:space="0" w:color="auto"/>
                                                                                            <w:right w:val="none" w:sz="0" w:space="0" w:color="auto"/>
                                                                                          </w:divBdr>
                                                                                          <w:divsChild>
                                                                                            <w:div w:id="1712921948">
                                                                                              <w:marLeft w:val="0"/>
                                                                                              <w:marRight w:val="0"/>
                                                                                              <w:marTop w:val="0"/>
                                                                                              <w:marBottom w:val="0"/>
                                                                                              <w:divBdr>
                                                                                                <w:top w:val="none" w:sz="0" w:space="0" w:color="auto"/>
                                                                                                <w:left w:val="none" w:sz="0" w:space="0" w:color="auto"/>
                                                                                                <w:bottom w:val="none" w:sz="0" w:space="0" w:color="auto"/>
                                                                                                <w:right w:val="none" w:sz="0" w:space="0" w:color="auto"/>
                                                                                              </w:divBdr>
                                                                                              <w:divsChild>
                                                                                                <w:div w:id="24139046">
                                                                                                  <w:marLeft w:val="0"/>
                                                                                                  <w:marRight w:val="0"/>
                                                                                                  <w:marTop w:val="0"/>
                                                                                                  <w:marBottom w:val="0"/>
                                                                                                  <w:divBdr>
                                                                                                    <w:top w:val="none" w:sz="0" w:space="0" w:color="auto"/>
                                                                                                    <w:left w:val="none" w:sz="0" w:space="0" w:color="auto"/>
                                                                                                    <w:bottom w:val="none" w:sz="0" w:space="0" w:color="auto"/>
                                                                                                    <w:right w:val="none" w:sz="0" w:space="0" w:color="auto"/>
                                                                                                  </w:divBdr>
                                                                                                  <w:divsChild>
                                                                                                    <w:div w:id="1533609251">
                                                                                                      <w:marLeft w:val="0"/>
                                                                                                      <w:marRight w:val="0"/>
                                                                                                      <w:marTop w:val="0"/>
                                                                                                      <w:marBottom w:val="0"/>
                                                                                                      <w:divBdr>
                                                                                                        <w:top w:val="none" w:sz="0" w:space="0" w:color="auto"/>
                                                                                                        <w:left w:val="none" w:sz="0" w:space="0" w:color="auto"/>
                                                                                                        <w:bottom w:val="none" w:sz="0" w:space="0" w:color="auto"/>
                                                                                                        <w:right w:val="none" w:sz="0" w:space="0" w:color="auto"/>
                                                                                                      </w:divBdr>
                                                                                                      <w:divsChild>
                                                                                                        <w:div w:id="2074883830">
                                                                                                          <w:marLeft w:val="0"/>
                                                                                                          <w:marRight w:val="0"/>
                                                                                                          <w:marTop w:val="0"/>
                                                                                                          <w:marBottom w:val="0"/>
                                                                                                          <w:divBdr>
                                                                                                            <w:top w:val="none" w:sz="0" w:space="0" w:color="auto"/>
                                                                                                            <w:left w:val="none" w:sz="0" w:space="0" w:color="auto"/>
                                                                                                            <w:bottom w:val="none" w:sz="0" w:space="0" w:color="auto"/>
                                                                                                            <w:right w:val="none" w:sz="0" w:space="0" w:color="auto"/>
                                                                                                          </w:divBdr>
                                                                                                          <w:divsChild>
                                                                                                            <w:div w:id="777872675">
                                                                                                              <w:marLeft w:val="0"/>
                                                                                                              <w:marRight w:val="0"/>
                                                                                                              <w:marTop w:val="0"/>
                                                                                                              <w:marBottom w:val="0"/>
                                                                                                              <w:divBdr>
                                                                                                                <w:top w:val="none" w:sz="0" w:space="0" w:color="auto"/>
                                                                                                                <w:left w:val="none" w:sz="0" w:space="0" w:color="auto"/>
                                                                                                                <w:bottom w:val="none" w:sz="0" w:space="0" w:color="auto"/>
                                                                                                                <w:right w:val="none" w:sz="0" w:space="0" w:color="auto"/>
                                                                                                              </w:divBdr>
                                                                                                              <w:divsChild>
                                                                                                                <w:div w:id="727143529">
                                                                                                                  <w:marLeft w:val="0"/>
                                                                                                                  <w:marRight w:val="0"/>
                                                                                                                  <w:marTop w:val="0"/>
                                                                                                                  <w:marBottom w:val="0"/>
                                                                                                                  <w:divBdr>
                                                                                                                    <w:top w:val="none" w:sz="0" w:space="0" w:color="auto"/>
                                                                                                                    <w:left w:val="none" w:sz="0" w:space="0" w:color="auto"/>
                                                                                                                    <w:bottom w:val="none" w:sz="0" w:space="0" w:color="auto"/>
                                                                                                                    <w:right w:val="none" w:sz="0" w:space="0" w:color="auto"/>
                                                                                                                  </w:divBdr>
                                                                                                                  <w:divsChild>
                                                                                                                    <w:div w:id="2106488234">
                                                                                                                      <w:marLeft w:val="0"/>
                                                                                                                      <w:marRight w:val="0"/>
                                                                                                                      <w:marTop w:val="0"/>
                                                                                                                      <w:marBottom w:val="0"/>
                                                                                                                      <w:divBdr>
                                                                                                                        <w:top w:val="none" w:sz="0" w:space="0" w:color="auto"/>
                                                                                                                        <w:left w:val="none" w:sz="0" w:space="0" w:color="auto"/>
                                                                                                                        <w:bottom w:val="none" w:sz="0" w:space="0" w:color="auto"/>
                                                                                                                        <w:right w:val="none" w:sz="0" w:space="0" w:color="auto"/>
                                                                                                                      </w:divBdr>
                                                                                                                      <w:divsChild>
                                                                                                                        <w:div w:id="2066097229">
                                                                                                                          <w:marLeft w:val="0"/>
                                                                                                                          <w:marRight w:val="0"/>
                                                                                                                          <w:marTop w:val="0"/>
                                                                                                                          <w:marBottom w:val="0"/>
                                                                                                                          <w:divBdr>
                                                                                                                            <w:top w:val="none" w:sz="0" w:space="0" w:color="auto"/>
                                                                                                                            <w:left w:val="none" w:sz="0" w:space="0" w:color="auto"/>
                                                                                                                            <w:bottom w:val="none" w:sz="0" w:space="0" w:color="auto"/>
                                                                                                                            <w:right w:val="none" w:sz="0" w:space="0" w:color="auto"/>
                                                                                                                          </w:divBdr>
                                                                                                                          <w:divsChild>
                                                                                                                            <w:div w:id="809595662">
                                                                                                                              <w:marLeft w:val="0"/>
                                                                                                                              <w:marRight w:val="0"/>
                                                                                                                              <w:marTop w:val="0"/>
                                                                                                                              <w:marBottom w:val="0"/>
                                                                                                                              <w:divBdr>
                                                                                                                                <w:top w:val="none" w:sz="0" w:space="0" w:color="auto"/>
                                                                                                                                <w:left w:val="none" w:sz="0" w:space="0" w:color="auto"/>
                                                                                                                                <w:bottom w:val="none" w:sz="0" w:space="0" w:color="auto"/>
                                                                                                                                <w:right w:val="none" w:sz="0" w:space="0" w:color="auto"/>
                                                                                                                              </w:divBdr>
                                                                                                                              <w:divsChild>
                                                                                                                                <w:div w:id="1234194050">
                                                                                                                                  <w:marLeft w:val="0"/>
                                                                                                                                  <w:marRight w:val="0"/>
                                                                                                                                  <w:marTop w:val="0"/>
                                                                                                                                  <w:marBottom w:val="0"/>
                                                                                                                                  <w:divBdr>
                                                                                                                                    <w:top w:val="none" w:sz="0" w:space="0" w:color="auto"/>
                                                                                                                                    <w:left w:val="none" w:sz="0" w:space="0" w:color="auto"/>
                                                                                                                                    <w:bottom w:val="none" w:sz="0" w:space="0" w:color="auto"/>
                                                                                                                                    <w:right w:val="none" w:sz="0" w:space="0" w:color="auto"/>
                                                                                                                                  </w:divBdr>
                                                                                                                                  <w:divsChild>
                                                                                                                                    <w:div w:id="9261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3294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jacob.galson@paediatrics.ox.ac.uk" TargetMode="External"/><Relationship Id="rId10"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C4144-0432-EF48-B1A1-A5201286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36677</Words>
  <Characters>209061</Characters>
  <Application>Microsoft Macintosh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245248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Galson</dc:creator>
  <cp:lastModifiedBy>Jake Galson</cp:lastModifiedBy>
  <cp:revision>2</cp:revision>
  <cp:lastPrinted>2014-09-22T15:24:00Z</cp:lastPrinted>
  <dcterms:created xsi:type="dcterms:W3CDTF">2016-03-01T09:28:00Z</dcterms:created>
  <dcterms:modified xsi:type="dcterms:W3CDTF">2016-03-01T09:28:00Z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jake.galson@me.com@www.mendeley.com</vt:lpwstr>
  </property>
  <property fmtid="{D5CDD505-2E9C-101B-9397-08002B2CF9AE}" pid="4" name="Mendeley Citation Style_1">
    <vt:lpwstr>http://www.zotero.org/styles/nature-publishing-group-vancouver</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http://www.zotero.org/styles/european-journal-of-immunology</vt:lpwstr>
  </property>
  <property fmtid="{D5CDD505-2E9C-101B-9397-08002B2CF9AE}" pid="10" name="Mendeley Recent Style Name 2_1">
    <vt:lpwstr>European Journal of Immunology</vt:lpwstr>
  </property>
  <property fmtid="{D5CDD505-2E9C-101B-9397-08002B2CF9AE}" pid="11" name="Mendeley Recent Style Id 3_1">
    <vt:lpwstr>http://www.zotero.org/styles/nature-cell-biology</vt:lpwstr>
  </property>
  <property fmtid="{D5CDD505-2E9C-101B-9397-08002B2CF9AE}" pid="12" name="Mendeley Recent Style Name 3_1">
    <vt:lpwstr>Nature Cell Biology</vt:lpwstr>
  </property>
  <property fmtid="{D5CDD505-2E9C-101B-9397-08002B2CF9AE}" pid="13" name="Mendeley Recent Style Id 4_1">
    <vt:lpwstr>http://www.zotero.org/styles/nature-publishing-group-vancouver</vt:lpwstr>
  </property>
  <property fmtid="{D5CDD505-2E9C-101B-9397-08002B2CF9AE}" pid="14" name="Mendeley Recent Style Name 4_1">
    <vt:lpwstr>Nature Publishing Group Vancouver</vt:lpwstr>
  </property>
  <property fmtid="{D5CDD505-2E9C-101B-9397-08002B2CF9AE}" pid="15" name="Mendeley Recent Style Id 5_1">
    <vt:lpwstr>http://www.zotero.org/styles/pnas</vt:lpwstr>
  </property>
  <property fmtid="{D5CDD505-2E9C-101B-9397-08002B2CF9AE}" pid="16" name="Mendeley Recent Style Name 5_1">
    <vt:lpwstr>Proceedings of the National Academy of Sciences of the United States of America</vt:lpwstr>
  </property>
  <property fmtid="{D5CDD505-2E9C-101B-9397-08002B2CF9AE}" pid="17" name="Mendeley Recent Style Id 6_1">
    <vt:lpwstr>http://www.zotero.org/styles/sage-harvard</vt:lpwstr>
  </property>
  <property fmtid="{D5CDD505-2E9C-101B-9397-08002B2CF9AE}" pid="18" name="Mendeley Recent Style Name 6_1">
    <vt:lpwstr>SAGE Harvard</vt:lpwstr>
  </property>
  <property fmtid="{D5CDD505-2E9C-101B-9397-08002B2CF9AE}" pid="19" name="Mendeley Recent Style Id 7_1">
    <vt:lpwstr>http://csl.mendeley.com/styles/17830371/science-translational-medicine-2</vt:lpwstr>
  </property>
  <property fmtid="{D5CDD505-2E9C-101B-9397-08002B2CF9AE}" pid="20" name="Mendeley Recent Style Name 7_1">
    <vt:lpwstr>Science Translational Medicine - Jake Galson</vt:lpwstr>
  </property>
  <property fmtid="{D5CDD505-2E9C-101B-9397-08002B2CF9AE}" pid="21" name="Mendeley Recent Style Id 8_1">
    <vt:lpwstr>http://www.zotero.org/styles/the-journal-of-immunology</vt:lpwstr>
  </property>
  <property fmtid="{D5CDD505-2E9C-101B-9397-08002B2CF9AE}" pid="22" name="Mendeley Recent Style Name 8_1">
    <vt:lpwstr>The Journal of Immunology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