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6D" w:rsidRDefault="009D236D" w:rsidP="009D236D">
      <w:pPr>
        <w:spacing w:before="240" w:line="480" w:lineRule="auto"/>
        <w:rPr>
          <w:rFonts w:asciiTheme="minorHAnsi" w:hAnsiTheme="minorHAnsi" w:cstheme="minorHAnsi"/>
          <w:b/>
        </w:rPr>
      </w:pPr>
      <w:r w:rsidRPr="00821ADE">
        <w:rPr>
          <w:rFonts w:asciiTheme="minorHAnsi" w:hAnsiTheme="minorHAnsi" w:cstheme="minorHAnsi"/>
          <w:b/>
        </w:rPr>
        <w:t xml:space="preserve">Supplementary Table 1 </w:t>
      </w:r>
      <w:proofErr w:type="spellStart"/>
      <w:r w:rsidRPr="00821ADE">
        <w:rPr>
          <w:rFonts w:asciiTheme="minorHAnsi" w:hAnsiTheme="minorHAnsi" w:cstheme="minorHAnsi"/>
          <w:b/>
        </w:rPr>
        <w:t>Univariable</w:t>
      </w:r>
      <w:proofErr w:type="spellEnd"/>
      <w:r w:rsidRPr="00821ADE">
        <w:rPr>
          <w:rFonts w:asciiTheme="minorHAnsi" w:hAnsiTheme="minorHAnsi" w:cstheme="minorHAnsi"/>
          <w:b/>
        </w:rPr>
        <w:t xml:space="preserve"> summary statistics of all factors considered</w:t>
      </w:r>
    </w:p>
    <w:tbl>
      <w:tblPr>
        <w:tblStyle w:val="TableGrid5"/>
        <w:tblW w:w="0" w:type="auto"/>
        <w:tblInd w:w="-113" w:type="dxa"/>
        <w:tblLook w:val="04A0" w:firstRow="1" w:lastRow="0" w:firstColumn="1" w:lastColumn="0" w:noHBand="0" w:noVBand="1"/>
      </w:tblPr>
      <w:tblGrid>
        <w:gridCol w:w="3510"/>
        <w:gridCol w:w="993"/>
        <w:gridCol w:w="1417"/>
        <w:gridCol w:w="1418"/>
        <w:gridCol w:w="992"/>
        <w:gridCol w:w="1030"/>
      </w:tblGrid>
      <w:tr w:rsidR="009D236D" w:rsidTr="009F14D7">
        <w:tc>
          <w:tcPr>
            <w:tcW w:w="3510" w:type="dxa"/>
            <w:shd w:val="clear" w:color="000000" w:fill="A6A6A6"/>
            <w:vAlign w:val="center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Candidate predictor</w:t>
            </w:r>
          </w:p>
        </w:tc>
        <w:tc>
          <w:tcPr>
            <w:tcW w:w="993" w:type="dxa"/>
            <w:shd w:val="clear" w:color="000000" w:fill="A6A6A6"/>
            <w:vAlign w:val="center"/>
          </w:tcPr>
          <w:p w:rsidR="009D236D" w:rsidRDefault="009D236D" w:rsidP="009F14D7">
            <w:pPr>
              <w:spacing w:line="480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N (%) missing (N=3894)</w:t>
            </w:r>
          </w:p>
        </w:tc>
        <w:tc>
          <w:tcPr>
            <w:tcW w:w="1417" w:type="dxa"/>
            <w:shd w:val="clear" w:color="000000" w:fill="A6A6A6"/>
            <w:vAlign w:val="center"/>
          </w:tcPr>
          <w:p w:rsidR="009D236D" w:rsidRDefault="009D236D" w:rsidP="009F14D7">
            <w:pPr>
              <w:spacing w:line="480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Readmitted (N=682, col % or median (IQR))</w:t>
            </w:r>
          </w:p>
        </w:tc>
        <w:tc>
          <w:tcPr>
            <w:tcW w:w="1418" w:type="dxa"/>
            <w:shd w:val="clear" w:color="000000" w:fill="A6A6A6"/>
            <w:vAlign w:val="center"/>
          </w:tcPr>
          <w:p w:rsidR="009D236D" w:rsidRDefault="009D236D" w:rsidP="009F14D7">
            <w:pPr>
              <w:spacing w:line="480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Not readmitted (N=3212, col % or median (IQR))</w:t>
            </w:r>
          </w:p>
        </w:tc>
        <w:tc>
          <w:tcPr>
            <w:tcW w:w="992" w:type="dxa"/>
            <w:shd w:val="clear" w:color="000000" w:fill="A6A6A6"/>
            <w:vAlign w:val="center"/>
          </w:tcPr>
          <w:p w:rsidR="009D236D" w:rsidRDefault="009D236D" w:rsidP="009F14D7">
            <w:pPr>
              <w:spacing w:line="480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SHR</w:t>
            </w:r>
          </w:p>
        </w:tc>
        <w:tc>
          <w:tcPr>
            <w:tcW w:w="1030" w:type="dxa"/>
            <w:shd w:val="clear" w:color="000000" w:fill="A6A6A6"/>
            <w:vAlign w:val="center"/>
          </w:tcPr>
          <w:p w:rsidR="009D236D" w:rsidRDefault="009D236D" w:rsidP="009F14D7">
            <w:pPr>
              <w:spacing w:line="480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95% CI</w:t>
            </w:r>
          </w:p>
        </w:tc>
      </w:tr>
      <w:tr w:rsidR="009D236D" w:rsidTr="009F14D7">
        <w:tc>
          <w:tcPr>
            <w:tcW w:w="0" w:type="auto"/>
            <w:gridSpan w:val="6"/>
            <w:shd w:val="clear" w:color="000000" w:fill="BFBFBF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Demographics at original admission</w:t>
            </w:r>
          </w:p>
        </w:tc>
      </w:tr>
      <w:tr w:rsidR="009D236D" w:rsidTr="009F14D7">
        <w:trPr>
          <w:trHeight w:val="811"/>
        </w:trPr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Site -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Mbale</w:t>
            </w:r>
            <w:proofErr w:type="spellEnd"/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Blantyre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Mulago</w:t>
            </w:r>
            <w:proofErr w:type="spellEnd"/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Soroti</w:t>
            </w:r>
            <w:proofErr w:type="spellEnd"/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  <w:p w:rsidR="009D236D" w:rsidRDefault="009D236D" w:rsidP="009F14D7">
            <w:pPr>
              <w:spacing w:line="480" w:lineRule="auto"/>
            </w:pP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278 (41%)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53 (8%)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136 (20%)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215 (32%)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1203 (37%)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402 (13%)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776 (24%)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831 (26%)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0.61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0.79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0.45-0.82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0.65-0.97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0.90-1.29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Age at admission (months, HR per year younger)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38 (17, 60)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34 (17, 62)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0.98-1.03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Sex (male vs female)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390 (57%)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1812 (56%)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1.03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0.89-1.20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Height for age z-score at admission (per unit higher)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-1.1 (-2.0, -0.1)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-1.2 (-2.1, -0.2)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1.00-1.10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Weight for age z-score at admission (per unit higher)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112 (3%)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-1.3 (-2.1, -0.6)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-1.3 (-2.1, -0.6)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1.03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0.97-1.09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MUAC for age z-score at admission (per unit higher)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-1.0 (-1.8, -0.4)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-1.1 (-1.8, -0.4)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1.02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0.96-1.09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HIV positive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191 (5%)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 (4%)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81 (3%)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1.52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1.02-2.28</w:t>
            </w:r>
          </w:p>
        </w:tc>
      </w:tr>
      <w:tr w:rsidR="009D236D" w:rsidTr="009F14D7">
        <w:trPr>
          <w:trHeight w:val="811"/>
        </w:trPr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Sickle cell genotype- AA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AS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SS, unknown at discharge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SS, known at discharge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35 (1%)</w:t>
            </w:r>
          </w:p>
          <w:p w:rsidR="009D236D" w:rsidRDefault="009D236D" w:rsidP="009F14D7">
            <w:pPr>
              <w:spacing w:line="480" w:lineRule="auto"/>
            </w:pP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458 (67%)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25 (4%)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122 (18%)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73 (11%)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2243 (70%)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99 (3%)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486 (15%)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353 (11%)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1.23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1.15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0.98</w:t>
            </w:r>
          </w:p>
        </w:tc>
        <w:tc>
          <w:tcPr>
            <w:tcW w:w="1030" w:type="dxa"/>
          </w:tcPr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0.82-1.84</w:t>
            </w:r>
          </w:p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0.94-1.39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0.77-1.25</w:t>
            </w:r>
          </w:p>
        </w:tc>
      </w:tr>
      <w:tr w:rsidR="009D236D" w:rsidTr="009F14D7">
        <w:trPr>
          <w:trHeight w:val="811"/>
        </w:trPr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Blood group- A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B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AB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O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153 (4%)</w:t>
            </w:r>
          </w:p>
          <w:p w:rsidR="009D236D" w:rsidRDefault="009D236D" w:rsidP="009F14D7">
            <w:pPr>
              <w:spacing w:line="480" w:lineRule="auto"/>
            </w:pP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168 (25%)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166 (24%)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34 (5%)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296 (43%)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847 (26%)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756 (24%)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164 (5%)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1310 (41%)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1.04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1.13</w:t>
            </w:r>
          </w:p>
        </w:tc>
        <w:tc>
          <w:tcPr>
            <w:tcW w:w="1030" w:type="dxa"/>
          </w:tcPr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0.88-1.36</w:t>
            </w:r>
          </w:p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0.72-1.51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0.93-1.36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Two or more hospital admission in past year prior to primary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36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250 (37%)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651 (20%)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2.05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1.76-2.40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Received blood transfusion ever, prior to this illness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31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341 (50%)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939 (29%)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2.17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1.87-2.52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Able to walk without support before this illness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74 (2%)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558 (82%)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2600 (81%)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1.07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0.87-1.31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Child's mother attended secondary school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86 (2%)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145 (21%)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781 (24%)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0.71-1.02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Both parents still alive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652 (96%)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3068 (96%)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0.62-1.31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Child sleeps under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bednet</w:t>
            </w:r>
            <w:proofErr w:type="spellEnd"/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48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594 (87%)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2680 (83%)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1.27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1.01-1.61</w:t>
            </w:r>
          </w:p>
        </w:tc>
      </w:tr>
      <w:tr w:rsidR="009D236D" w:rsidTr="009F14D7">
        <w:trPr>
          <w:trHeight w:val="606"/>
        </w:trPr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Type of homestead- Urban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Semi urban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Rural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25 (1%)</w:t>
            </w:r>
          </w:p>
          <w:p w:rsidR="009D236D" w:rsidRDefault="009D236D" w:rsidP="009F14D7">
            <w:pPr>
              <w:spacing w:line="480" w:lineRule="auto"/>
            </w:pP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66 (10%)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59 (9%)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555 (81%)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393 (12%)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398 (12%)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2398 (75%)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0.89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1.31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0.63-1.27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1.02-1.70</w:t>
            </w:r>
          </w:p>
        </w:tc>
      </w:tr>
      <w:tr w:rsidR="009D236D" w:rsidTr="009F14D7">
        <w:trPr>
          <w:trHeight w:val="1017"/>
        </w:trPr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Number of siblings- 0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1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2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3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4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 (1%)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 (1%)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 (1%)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 (1%)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67 (10%)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104 (15%)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120 (18%)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126 (18%)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261 (38%)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435 (14%)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594 (18%)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540 (17%)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475 (15%)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1146 (36%)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1.13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1.40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1.63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1.43</w:t>
            </w:r>
          </w:p>
        </w:tc>
        <w:tc>
          <w:tcPr>
            <w:tcW w:w="1030" w:type="dxa"/>
          </w:tcPr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0.83-1.53</w:t>
            </w:r>
          </w:p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1.04-1.89</w:t>
            </w:r>
          </w:p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1.21-2.19</w:t>
            </w:r>
          </w:p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1.09-1.86</w:t>
            </w:r>
          </w:p>
        </w:tc>
      </w:tr>
      <w:tr w:rsidR="009D236D" w:rsidTr="009F14D7">
        <w:tc>
          <w:tcPr>
            <w:tcW w:w="0" w:type="auto"/>
            <w:gridSpan w:val="6"/>
            <w:shd w:val="clear" w:color="000000" w:fill="BFBFBF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Vital signs at primary admission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Heart rate (bpm)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148 (133, 161)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146 (130, 160)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1.00-1.01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Temperature (°C)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37.3 (36.7, 38.0)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37.3 (36.7, 37.9)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1.04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0.96-1.12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Systolic blood pressure (mmHg)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92 (84, 99)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91 (84, 99)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0.99-1.01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Diastolic blood pressure (mmHg)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54.5 (46, 61)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54 (48, 62)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0.99-1.00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Oxygen saturation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97 (95, 99)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98 (95, 99)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0.96-1.00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Respiratory rate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41 (34, 50)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40 (33, 49)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1.00-1.01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Received glucose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27 (4%)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72 (2%)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1.65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1.14-2.41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Received oxygen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43 (6%)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161 (5%)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0.94-1.76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Capillary refill time &gt;2 seconds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179 (26%)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683 (21%)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1.08-1.52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Temperature gradient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63 (9%)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275 (9%)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1.09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0.84-1.42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Weak radial pulse volume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20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17 (2%)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75 (2%)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0.68-1.78</w:t>
            </w:r>
          </w:p>
        </w:tc>
      </w:tr>
      <w:tr w:rsidR="009D236D" w:rsidTr="009F14D7">
        <w:tc>
          <w:tcPr>
            <w:tcW w:w="0" w:type="auto"/>
            <w:gridSpan w:val="6"/>
            <w:shd w:val="clear" w:color="000000" w:fill="BFBFBF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Clinical history of presenting illness at primary admission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History of fever for more than 14 days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33 (5%)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155 (5%)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0.73-1.49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History of cough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459 (67%)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1973 (61%)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1.27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1.08-1.49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Increased work of breathing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174 (26%)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710 (22%)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1.19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1.00-1.41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Indrawing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on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118 (17%)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378 (12%)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1.51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1.24-1.84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Vomiting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415 (61%)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1832 (57%)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0.98-1.34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Haemoglobinuria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 this illness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18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136 (20%)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471 (15%)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1.42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1.17-1.72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Fits in this illness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38 (6%)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214 (7%)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0.87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0.63-1.22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Prostrate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151 (22%)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663 (21%)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0.93-1.33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Blantyre Coma Score (per increase of 1)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 (5, 5)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 (5, 5)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0.81-1.01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Deep breathing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118 (17%)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465 (14%)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1.23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1.01-1.51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Crackles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32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60 (9%)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194 (6%)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1.44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1.10-1.87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Sunken eyes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48 (7%)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166 (5%)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1.33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0.99-1.77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Cold hands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30 (4%)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86 (3%)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1.59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1.10-2.28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Liver &gt;2cm below costal margin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193 (28%)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637 (20%)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1.54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1.30-1.82</w:t>
            </w:r>
          </w:p>
        </w:tc>
      </w:tr>
      <w:tr w:rsidR="009D236D" w:rsidTr="009F14D7">
        <w:trPr>
          <w:trHeight w:val="606"/>
        </w:trPr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Splenomegaly- Not palpable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Enlarged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Gross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 (0%)</w:t>
            </w:r>
          </w:p>
          <w:p w:rsidR="009D236D" w:rsidRDefault="009D236D" w:rsidP="009F14D7">
            <w:pPr>
              <w:spacing w:line="480" w:lineRule="auto"/>
            </w:pP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363 (53%)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248 (36%)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71 (10%)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2132 (66%)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884 (28%)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190 (6%)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1.57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2.02</w:t>
            </w:r>
          </w:p>
        </w:tc>
        <w:tc>
          <w:tcPr>
            <w:tcW w:w="1030" w:type="dxa"/>
          </w:tcPr>
          <w:p w:rsidR="009D236D" w:rsidRPr="009A129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1.33-1.84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1.57-2.61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Diarrhoea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on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68 (10%)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437 (14%)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0.72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0.56-0.92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Jaundice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303 (44%)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1026 (32%)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1.61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1.38-1.87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Kwashiorkor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18 (3%)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109 (3%)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0.79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0.49-1.26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Admitted for over 24 hours into another hospital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87 (13%)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413 (13%)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0.99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0.79-1.23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 or more doses of IV or IM quinine/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artesunate</w:t>
            </w:r>
            <w:proofErr w:type="spellEnd"/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91 (2%)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135 (20%)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652 (20%)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0.79-1.15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Received oral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antimalarials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 last week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47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359 (53%)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1529 (48%)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1.04-1.41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Received oral antibiotics in last week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83 (2%)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223 (33%)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893 (28%)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1.06-1.47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Received traditional medicine in last week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25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90 (13%)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362 (11%)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1.17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0.94-1.46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Received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antihelminths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 last 6 months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89 (2%)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169 (25%)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798 (25%)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0.85-1.20</w:t>
            </w:r>
          </w:p>
        </w:tc>
      </w:tr>
      <w:tr w:rsidR="009D236D" w:rsidTr="009F14D7">
        <w:tc>
          <w:tcPr>
            <w:tcW w:w="0" w:type="auto"/>
            <w:gridSpan w:val="6"/>
            <w:shd w:val="clear" w:color="000000" w:fill="BFBFBF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Laboratory tests at primary admission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Haemoglobin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at screening (per 1g/dl lower)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4.3 (3.4, 5.1)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4.6 (3.7, 5.4)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1.19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1.11-1.27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Glucose at admission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mmol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/L)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32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5.6 (5.0, 6.3)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5.6 (4.9, 6.4)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0.92-1.04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Lactate at admission (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mmol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/L)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37 (1%)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2.8 (1.9, 4.4)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2.7 (1.8, 4.1)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1.03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1.01-1.06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Malaria (rapid diagnostic test or blood slide)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404 (59%)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2085 (65%)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0.69-0.93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Positive blood culture at screening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526 (14%)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 (3%)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100 (3%)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0.99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0.64-1.52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Received antibiotics on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489 (72%)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2178 (68%)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1.00-1.40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White blood cell count (per 10 x 10</w:t>
            </w:r>
            <w:r w:rsidRPr="009A1292">
              <w:rPr>
                <w:rFonts w:ascii="Calibri" w:eastAsia="Calibri" w:hAnsi="Calibri" w:cs="Calibri"/>
                <w:sz w:val="16"/>
                <w:vertAlign w:val="superscript"/>
              </w:rPr>
              <w:t>9</w:t>
            </w:r>
            <w:r>
              <w:rPr>
                <w:rFonts w:ascii="Calibri" w:eastAsia="Calibri" w:hAnsi="Calibri" w:cs="Calibri"/>
                <w:sz w:val="16"/>
              </w:rPr>
              <w:t>/L) on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146 (4%)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15.1 (9.2, 26.9)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14.9 (8.9, 25.1)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1.00-1.01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MCV at admission (per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fL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126 (3%)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80.0 (73.8, 86.8)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79.1 (72.5, 86.4)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1.00-1.01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MCH at admission (per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picogram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124 (3%)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25.9 (23.6, 28.3)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25.5 (23.1, 27.9)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1.02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1.01-1.04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MCHC at admission (per g/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133 (3%)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31.9 (30.0, 33.8)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31.9 (30.0, 33.7)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1.01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0.99-1.04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Platelets (per 10 x 10</w:t>
            </w:r>
            <w:r w:rsidRPr="009A1292">
              <w:rPr>
                <w:rFonts w:ascii="Calibri" w:eastAsia="Calibri" w:hAnsi="Calibri" w:cs="Calibri"/>
                <w:sz w:val="16"/>
                <w:vertAlign w:val="superscript"/>
              </w:rPr>
              <w:t>9</w:t>
            </w:r>
            <w:r>
              <w:rPr>
                <w:rFonts w:ascii="Calibri" w:eastAsia="Calibri" w:hAnsi="Calibri" w:cs="Calibri"/>
                <w:sz w:val="16"/>
              </w:rPr>
              <w:t>/L) at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134 (3%)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174.0 (100.0, 300.0)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176.0 (96.0, 302.0)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1.00-1.00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CRP (per 10 mg/L) at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192 (5%)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56.5 (18.5, 97.5)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61.6 (23.6, 116.8)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1.00-1.00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Lymphocytes  (per 10 x 10</w:t>
            </w:r>
            <w:r w:rsidRPr="009A1292">
              <w:rPr>
                <w:rFonts w:ascii="Calibri" w:eastAsia="Calibri" w:hAnsi="Calibri" w:cs="Calibri"/>
                <w:sz w:val="16"/>
                <w:vertAlign w:val="superscript"/>
              </w:rPr>
              <w:t>9</w:t>
            </w:r>
            <w:r>
              <w:rPr>
                <w:rFonts w:ascii="Calibri" w:eastAsia="Calibri" w:hAnsi="Calibri" w:cs="Calibri"/>
                <w:sz w:val="16"/>
              </w:rPr>
              <w:t>/L) at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576 (15%)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5.7 (3.2, 10.5)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5.7 (3.1, 10.4)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0.89-1.08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Granulocytes (per 10 x 10</w:t>
            </w:r>
            <w:r w:rsidRPr="009A1292">
              <w:rPr>
                <w:rFonts w:ascii="Calibri" w:eastAsia="Calibri" w:hAnsi="Calibri" w:cs="Calibri"/>
                <w:sz w:val="16"/>
                <w:vertAlign w:val="superscript"/>
              </w:rPr>
              <w:t>9</w:t>
            </w:r>
            <w:r>
              <w:rPr>
                <w:rFonts w:ascii="Calibri" w:eastAsia="Calibri" w:hAnsi="Calibri" w:cs="Calibri"/>
                <w:sz w:val="16"/>
              </w:rPr>
              <w:t>/L) at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604 (16%)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6.6 (3.6, 11.4)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5.9 (3.3, 10.6)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1.03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0.94-1.14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Monocytes (per 10</w:t>
            </w:r>
            <w:r w:rsidRPr="009A1292">
              <w:rPr>
                <w:rFonts w:ascii="Calibri" w:eastAsia="Calibri" w:hAnsi="Calibri" w:cs="Calibri"/>
                <w:sz w:val="16"/>
                <w:vertAlign w:val="superscript"/>
              </w:rPr>
              <w:t>9</w:t>
            </w:r>
            <w:r>
              <w:rPr>
                <w:rFonts w:ascii="Calibri" w:eastAsia="Calibri" w:hAnsi="Calibri" w:cs="Calibri"/>
                <w:sz w:val="16"/>
              </w:rPr>
              <w:t>/L) at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582 (15%)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 (0.5, 1.9)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 (0.6, 1.9)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0.99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0.94-1.05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Last recorded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haemoglobin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 admission (per g/dl)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7.1 (5.7, 8.4)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7.1 (5.9, 8.5)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0.96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0.93-1.00</w:t>
            </w:r>
          </w:p>
        </w:tc>
      </w:tr>
      <w:tr w:rsidR="009D236D" w:rsidTr="009F14D7">
        <w:tc>
          <w:tcPr>
            <w:tcW w:w="0" w:type="auto"/>
            <w:gridSpan w:val="6"/>
            <w:shd w:val="clear" w:color="000000" w:fill="BFBFBF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Original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hospitalisation</w:t>
            </w:r>
            <w:proofErr w:type="spellEnd"/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Randomised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&gt; 24h after admission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37 (5%)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131 (4%)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1.28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0.92-1.77</w:t>
            </w:r>
          </w:p>
        </w:tc>
      </w:tr>
      <w:tr w:rsidR="009D236D" w:rsidTr="009F14D7">
        <w:trPr>
          <w:trHeight w:val="811"/>
        </w:trPr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TRACT A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TRACT B, immediate transfusion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TRACT B, deferred transfusion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ab/>
              <w:t>TRACT B, no transfusion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 (0%)</w:t>
            </w:r>
          </w:p>
          <w:p w:rsidR="009D236D" w:rsidRDefault="009D236D" w:rsidP="009F14D7">
            <w:pPr>
              <w:spacing w:line="480" w:lineRule="auto"/>
            </w:pP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452 (66%)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122 (18%)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69 (10%)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39 (6%)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1884 (59%)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655 (20%)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312 (10%)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361 (11%)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1.00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0.78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0.91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0.48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 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0.64-0.95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0.71-1.17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0.35-0.67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 xml:space="preserve">Blood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pack age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if transfused (days, HR per 7 days)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 (7, 20)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 (7, 17)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1.03-1.18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Blood pack type- settled (vs whole) (if transfused)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403 (10%)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346 (51%)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1556 (48%)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1.10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0.95-1.28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Randomisation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1- immediate (vs triggered)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2336 (60%)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122 (18%)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655 (20%)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1.13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0.87-1.46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Randomisation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1- 30mls (vs 20mls)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781 (20%)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297 (44%)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1259 (39%)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1.07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0.91-1.26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Randomisation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2- MVMM (vs iron folate)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335 (49%)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1623 (51%)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0.82-1.11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Randomisation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3- Cotrimoxazole (vs no cotrimoxazole)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332 (49%)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1614 (50%)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0.95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0.82-1.10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Length of stay (per day)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 (2, 5)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 (2, 4)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1.03-1.07</w:t>
            </w:r>
          </w:p>
        </w:tc>
      </w:tr>
      <w:tr w:rsidR="009D236D" w:rsidTr="009F14D7">
        <w:tc>
          <w:tcPr>
            <w:tcW w:w="0" w:type="auto"/>
            <w:gridSpan w:val="6"/>
            <w:shd w:val="clear" w:color="000000" w:fill="BFBFBF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Follow up</w:t>
            </w:r>
          </w:p>
        </w:tc>
      </w:tr>
      <w:tr w:rsidR="009D236D" w:rsidTr="009F14D7">
        <w:tc>
          <w:tcPr>
            <w:tcW w:w="351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Missed dose of MVMM, iron folate or cotrimoxazole by 28 day visit</w:t>
            </w:r>
          </w:p>
        </w:tc>
        <w:tc>
          <w:tcPr>
            <w:tcW w:w="993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 (0%)</w:t>
            </w:r>
          </w:p>
        </w:tc>
        <w:tc>
          <w:tcPr>
            <w:tcW w:w="1417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245 (36%)</w:t>
            </w:r>
          </w:p>
        </w:tc>
        <w:tc>
          <w:tcPr>
            <w:tcW w:w="141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925 (29%)</w:t>
            </w:r>
          </w:p>
        </w:tc>
        <w:tc>
          <w:tcPr>
            <w:tcW w:w="992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1.35</w:t>
            </w:r>
          </w:p>
        </w:tc>
        <w:tc>
          <w:tcPr>
            <w:tcW w:w="103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1.15-1.58</w:t>
            </w:r>
          </w:p>
        </w:tc>
      </w:tr>
    </w:tbl>
    <w:p w:rsidR="009D236D" w:rsidRPr="00821ADE" w:rsidRDefault="009D236D" w:rsidP="009D236D">
      <w:pPr>
        <w:spacing w:line="480" w:lineRule="auto"/>
        <w:rPr>
          <w:rFonts w:asciiTheme="minorHAnsi" w:hAnsiTheme="minorHAnsi" w:cstheme="minorHAnsi"/>
          <w:sz w:val="18"/>
        </w:rPr>
      </w:pPr>
      <w:r w:rsidRPr="00821ADE">
        <w:rPr>
          <w:rFonts w:asciiTheme="minorHAnsi" w:hAnsiTheme="minorHAnsi" w:cstheme="minorHAnsi"/>
          <w:sz w:val="18"/>
        </w:rPr>
        <w:t xml:space="preserve">Note: TRACT A=severe complicated anaemia (randomised to 30 vs 20 </w:t>
      </w:r>
      <w:proofErr w:type="spellStart"/>
      <w:r w:rsidRPr="00821ADE">
        <w:rPr>
          <w:rFonts w:asciiTheme="minorHAnsi" w:hAnsiTheme="minorHAnsi" w:cstheme="minorHAnsi"/>
          <w:sz w:val="18"/>
        </w:rPr>
        <w:t>mls</w:t>
      </w:r>
      <w:proofErr w:type="spellEnd"/>
      <w:r w:rsidRPr="00821ADE">
        <w:rPr>
          <w:rFonts w:asciiTheme="minorHAnsi" w:hAnsiTheme="minorHAnsi" w:cstheme="minorHAnsi"/>
          <w:sz w:val="18"/>
        </w:rPr>
        <w:t>/kg transfusion). TRACT B=severe uncomplicated anaemia (randomised to immediate transfusion vs triggered transfusion; those who ultimately received a transfusion are labelled “deferred transfusion” and those who did not “no transfusion”).</w:t>
      </w:r>
    </w:p>
    <w:p w:rsidR="009D236D" w:rsidRPr="00821ADE" w:rsidRDefault="009D236D" w:rsidP="009D236D">
      <w:pPr>
        <w:spacing w:line="480" w:lineRule="auto"/>
        <w:rPr>
          <w:rFonts w:asciiTheme="minorHAnsi" w:hAnsiTheme="minorHAnsi" w:cstheme="minorHAnsi"/>
          <w:sz w:val="18"/>
        </w:rPr>
      </w:pPr>
      <w:r w:rsidRPr="00821ADE">
        <w:rPr>
          <w:rFonts w:asciiTheme="minorHAnsi" w:hAnsiTheme="minorHAnsi" w:cstheme="minorHAnsi"/>
          <w:sz w:val="18"/>
        </w:rPr>
        <w:br w:type="page"/>
      </w:r>
    </w:p>
    <w:p w:rsidR="009D236D" w:rsidRPr="00821ADE" w:rsidRDefault="009D236D" w:rsidP="009D236D">
      <w:pPr>
        <w:spacing w:line="480" w:lineRule="auto"/>
        <w:rPr>
          <w:rFonts w:asciiTheme="minorHAnsi" w:hAnsiTheme="minorHAnsi" w:cstheme="minorHAnsi"/>
          <w:b/>
          <w:u w:val="single"/>
        </w:rPr>
        <w:sectPr w:rsidR="009D236D" w:rsidRPr="00821ADE" w:rsidSect="009D236D">
          <w:footerReference w:type="default" r:id="rId8"/>
          <w:pgSz w:w="11906" w:h="16838"/>
          <w:pgMar w:top="1134" w:right="1134" w:bottom="1134" w:left="1134" w:header="709" w:footer="709" w:gutter="0"/>
          <w:lnNumType w:countBy="1"/>
          <w:cols w:space="708"/>
          <w:docGrid w:linePitch="360"/>
        </w:sectPr>
      </w:pPr>
    </w:p>
    <w:p w:rsidR="009D236D" w:rsidRPr="00821ADE" w:rsidRDefault="009D236D" w:rsidP="009D236D">
      <w:pPr>
        <w:spacing w:line="480" w:lineRule="auto"/>
        <w:rPr>
          <w:rFonts w:asciiTheme="minorHAnsi" w:hAnsiTheme="minorHAnsi" w:cstheme="minorHAnsi"/>
          <w:b/>
        </w:rPr>
      </w:pPr>
      <w:r w:rsidRPr="00821ADE">
        <w:rPr>
          <w:rFonts w:asciiTheme="minorHAnsi" w:hAnsiTheme="minorHAnsi" w:cstheme="minorHAnsi"/>
          <w:b/>
        </w:rPr>
        <w:lastRenderedPageBreak/>
        <w:t>Supplementary Table 2 Risk score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5"/>
        <w:gridCol w:w="1417"/>
        <w:gridCol w:w="2051"/>
      </w:tblGrid>
      <w:tr w:rsidR="009D236D" w:rsidRPr="00821ADE" w:rsidTr="009F14D7">
        <w:tc>
          <w:tcPr>
            <w:tcW w:w="5115" w:type="dxa"/>
            <w:shd w:val="clear" w:color="auto" w:fill="A6A6A6" w:themeFill="background1" w:themeFillShade="A6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b/>
                <w:sz w:val="16"/>
              </w:rPr>
              <w:t>Predictor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b/>
                <w:sz w:val="16"/>
              </w:rPr>
              <w:t>Multivariate HR (95% CI)</w:t>
            </w:r>
          </w:p>
        </w:tc>
        <w:tc>
          <w:tcPr>
            <w:tcW w:w="2051" w:type="dxa"/>
            <w:shd w:val="clear" w:color="auto" w:fill="A6A6A6" w:themeFill="background1" w:themeFillShade="A6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b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b/>
                <w:sz w:val="16"/>
              </w:rPr>
              <w:t>Score value given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 xml:space="preserve">Site - </w:t>
            </w:r>
            <w:proofErr w:type="spellStart"/>
            <w:r w:rsidRPr="00821ADE">
              <w:rPr>
                <w:rFonts w:asciiTheme="minorHAnsi" w:eastAsia="Calibri" w:hAnsiTheme="minorHAnsi" w:cstheme="minorHAnsi"/>
                <w:sz w:val="16"/>
              </w:rPr>
              <w:t>Mbale</w:t>
            </w:r>
            <w:proofErr w:type="spellEnd"/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Blantyre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</w:r>
            <w:proofErr w:type="spellStart"/>
            <w:r w:rsidRPr="00821ADE">
              <w:rPr>
                <w:rFonts w:asciiTheme="minorHAnsi" w:eastAsia="Calibri" w:hAnsiTheme="minorHAnsi" w:cstheme="minorHAnsi"/>
                <w:sz w:val="16"/>
              </w:rPr>
              <w:t>Mulago</w:t>
            </w:r>
            <w:proofErr w:type="spellEnd"/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</w:r>
            <w:proofErr w:type="spellStart"/>
            <w:r w:rsidRPr="00821ADE">
              <w:rPr>
                <w:rFonts w:asciiTheme="minorHAnsi" w:eastAsia="Calibri" w:hAnsiTheme="minorHAnsi" w:cstheme="minorHAnsi"/>
                <w:sz w:val="16"/>
              </w:rPr>
              <w:t>Soroti</w:t>
            </w:r>
            <w:proofErr w:type="spellEnd"/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0.80 (0.57-1.12)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0.82 (0.65-1.02)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0.97 (0.79-1.19)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Age at primary admission (per year younger)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1.07 (1.03-1.10)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+1 if &lt;7 years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HIV positive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2.48 (1.63-3.77)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2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Sickle status - AA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AS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SS, unknown at discharge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SS, known at discharge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1.17 (0.75-1.81)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0.97 (0.77-1.21)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0.60 (0.45-0.80)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Two or more hospital admissions in the last year before primary admission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1.45 (1.20-1.75)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Received blood transfusion ever, prior to this illness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1.48 (1.13-1.94)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History of cough at primary admission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1.13 (0.95-1.35)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proofErr w:type="spellStart"/>
            <w:r w:rsidRPr="00821ADE">
              <w:rPr>
                <w:rFonts w:asciiTheme="minorHAnsi" w:eastAsia="Calibri" w:hAnsiTheme="minorHAnsi" w:cstheme="minorHAnsi"/>
                <w:sz w:val="16"/>
              </w:rPr>
              <w:t>Indrawing</w:t>
            </w:r>
            <w:proofErr w:type="spellEnd"/>
            <w:r w:rsidRPr="00821ADE">
              <w:rPr>
                <w:rFonts w:asciiTheme="minorHAnsi" w:eastAsia="Calibri" w:hAnsiTheme="minorHAnsi" w:cstheme="minorHAnsi"/>
                <w:sz w:val="16"/>
              </w:rPr>
              <w:t xml:space="preserve"> on admission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1.36 (1.09-1.71)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Diarrhoea on admission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0.71 (0.54-0.93)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Splenomegaly on admission - Not palpable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Enlarged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Gross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1.26 (1.06-1.50)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1.47 (1.10-1.97)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 xml:space="preserve">Received oral </w:t>
            </w:r>
            <w:proofErr w:type="spellStart"/>
            <w:r w:rsidRPr="00821ADE">
              <w:rPr>
                <w:rFonts w:asciiTheme="minorHAnsi" w:eastAsia="Calibri" w:hAnsiTheme="minorHAnsi" w:cstheme="minorHAnsi"/>
                <w:sz w:val="16"/>
              </w:rPr>
              <w:t>antimalarials</w:t>
            </w:r>
            <w:proofErr w:type="spellEnd"/>
            <w:r w:rsidRPr="00821ADE">
              <w:rPr>
                <w:rFonts w:asciiTheme="minorHAnsi" w:eastAsia="Calibri" w:hAnsiTheme="minorHAnsi" w:cstheme="minorHAnsi"/>
                <w:sz w:val="16"/>
              </w:rPr>
              <w:t xml:space="preserve"> in last week before primary admission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1.08 (0.92-1.27)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Malaria positive at primary admission, no previous blood transfusion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0.60 (0.47-0.77)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+1 if no malaria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Malaria positive at primary admission, previous blood transfusion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1.58 (1.22-2.04)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Randomised &gt;24h after admission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1.36 (0.96-1.93)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Strata - TRACT A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TRACT B, immediate transfusion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TRACT B, deferred transfusion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ab/>
              <w:t>TRACT B, no transfusion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1.00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0.92 (0.74-1.16)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1.04 (0.78-1.38)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0.67 (0.47-0.96)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0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 xml:space="preserve">Blood </w:t>
            </w:r>
            <w:proofErr w:type="spellStart"/>
            <w:r w:rsidRPr="00821ADE">
              <w:rPr>
                <w:rFonts w:asciiTheme="minorHAnsi" w:eastAsia="Calibri" w:hAnsiTheme="minorHAnsi" w:cstheme="minorHAnsi"/>
                <w:sz w:val="16"/>
              </w:rPr>
              <w:t>pack age</w:t>
            </w:r>
            <w:proofErr w:type="spellEnd"/>
            <w:r w:rsidRPr="00821ADE">
              <w:rPr>
                <w:rFonts w:asciiTheme="minorHAnsi" w:eastAsia="Calibri" w:hAnsiTheme="minorHAnsi" w:cstheme="minorHAnsi"/>
                <w:sz w:val="16"/>
              </w:rPr>
              <w:t xml:space="preserve"> (per week older)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1.07 (0.99-1.14)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+1 if &gt;5 weeks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Length of stay (per day longer)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1.03 (1.00-1.06)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+1 if &gt;7 days</w:t>
            </w:r>
          </w:p>
        </w:tc>
      </w:tr>
      <w:tr w:rsidR="009D236D" w:rsidRPr="00821ADE" w:rsidTr="009F14D7">
        <w:tc>
          <w:tcPr>
            <w:tcW w:w="5115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Missed dose of MVMM, iron folate or cotrimoxazole by 28 days</w:t>
            </w:r>
          </w:p>
        </w:tc>
        <w:tc>
          <w:tcPr>
            <w:tcW w:w="1417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1.43 (1.21-1.69)</w:t>
            </w:r>
          </w:p>
        </w:tc>
        <w:tc>
          <w:tcPr>
            <w:tcW w:w="2051" w:type="dxa"/>
          </w:tcPr>
          <w:p w:rsidR="009D236D" w:rsidRPr="00821ADE" w:rsidRDefault="009D236D" w:rsidP="009F14D7">
            <w:pPr>
              <w:spacing w:line="480" w:lineRule="auto"/>
              <w:rPr>
                <w:rFonts w:asciiTheme="minorHAnsi" w:eastAsia="Calibri" w:hAnsiTheme="minorHAnsi" w:cstheme="minorHAnsi"/>
                <w:sz w:val="16"/>
              </w:rPr>
            </w:pPr>
            <w:r w:rsidRPr="00821ADE">
              <w:rPr>
                <w:rFonts w:asciiTheme="minorHAnsi" w:eastAsia="Calibri" w:hAnsiTheme="minorHAnsi" w:cstheme="minorHAnsi"/>
                <w:sz w:val="16"/>
              </w:rPr>
              <w:t>1</w:t>
            </w:r>
          </w:p>
        </w:tc>
      </w:tr>
    </w:tbl>
    <w:p w:rsidR="009D236D" w:rsidRPr="00821ADE" w:rsidRDefault="009D236D" w:rsidP="009D236D">
      <w:pPr>
        <w:spacing w:line="480" w:lineRule="auto"/>
        <w:rPr>
          <w:rFonts w:asciiTheme="minorHAnsi" w:hAnsiTheme="minorHAnsi" w:cstheme="minorHAnsi"/>
          <w:b/>
          <w:u w:val="single"/>
        </w:rPr>
      </w:pPr>
    </w:p>
    <w:p w:rsidR="009D236D" w:rsidRPr="00821ADE" w:rsidRDefault="009D236D" w:rsidP="009D236D">
      <w:pPr>
        <w:spacing w:line="480" w:lineRule="auto"/>
        <w:rPr>
          <w:rFonts w:asciiTheme="minorHAnsi" w:hAnsiTheme="minorHAnsi" w:cstheme="minorHAnsi"/>
          <w:b/>
          <w:u w:val="single"/>
        </w:rPr>
      </w:pPr>
      <w:r w:rsidRPr="00821ADE">
        <w:rPr>
          <w:rFonts w:asciiTheme="minorHAnsi" w:hAnsiTheme="minorHAnsi" w:cstheme="minorHAnsi"/>
          <w:b/>
          <w:u w:val="single"/>
        </w:rPr>
        <w:br w:type="page"/>
      </w:r>
    </w:p>
    <w:p w:rsidR="009D236D" w:rsidRDefault="009D236D" w:rsidP="009D236D">
      <w:pPr>
        <w:spacing w:line="480" w:lineRule="auto"/>
        <w:rPr>
          <w:rFonts w:asciiTheme="minorHAnsi" w:hAnsiTheme="minorHAnsi" w:cstheme="minorHAnsi"/>
          <w:b/>
          <w:u w:val="single"/>
        </w:rPr>
      </w:pPr>
      <w:r w:rsidRPr="00821ADE">
        <w:rPr>
          <w:rFonts w:asciiTheme="minorHAnsi" w:hAnsiTheme="minorHAnsi" w:cstheme="minorHAnsi"/>
          <w:b/>
          <w:u w:val="single"/>
        </w:rPr>
        <w:lastRenderedPageBreak/>
        <w:t xml:space="preserve">Supplementary Table 3 Description of clusters </w:t>
      </w:r>
    </w:p>
    <w:tbl>
      <w:tblPr>
        <w:tblStyle w:val="TableGrid4"/>
        <w:tblW w:w="9574" w:type="dxa"/>
        <w:tblInd w:w="-113" w:type="dxa"/>
        <w:tblLook w:val="04A0" w:firstRow="1" w:lastRow="0" w:firstColumn="1" w:lastColumn="0" w:noHBand="0" w:noVBand="1"/>
      </w:tblPr>
      <w:tblGrid>
        <w:gridCol w:w="3226"/>
        <w:gridCol w:w="1400"/>
        <w:gridCol w:w="1400"/>
        <w:gridCol w:w="1400"/>
        <w:gridCol w:w="1400"/>
        <w:gridCol w:w="748"/>
      </w:tblGrid>
      <w:tr w:rsidR="009D236D" w:rsidTr="009F14D7">
        <w:tc>
          <w:tcPr>
            <w:tcW w:w="3226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Outcome</w:t>
            </w:r>
          </w:p>
        </w:tc>
        <w:tc>
          <w:tcPr>
            <w:tcW w:w="1400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Cluster 1</w:t>
            </w:r>
          </w:p>
        </w:tc>
        <w:tc>
          <w:tcPr>
            <w:tcW w:w="1400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Cluster 2</w:t>
            </w:r>
          </w:p>
        </w:tc>
        <w:tc>
          <w:tcPr>
            <w:tcW w:w="1400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Cluster 3</w:t>
            </w:r>
          </w:p>
        </w:tc>
        <w:tc>
          <w:tcPr>
            <w:tcW w:w="1400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Cluster 4</w:t>
            </w:r>
          </w:p>
        </w:tc>
        <w:tc>
          <w:tcPr>
            <w:tcW w:w="748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p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N (row 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1567 (47%)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767 (23%)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710 (21%)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322 (10%)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Readmissions - all cause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310 (20%)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143 (19%)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110 (15%)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44 (14%)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Readmissions -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anaemia</w:t>
            </w:r>
            <w:proofErr w:type="spellEnd"/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230 (15%)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83 (11%)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67 (9%)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29 (9%)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Readmissions - malaria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138 (9%)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36 (5%)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44 (6%)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 (3%)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Readmissions - DUS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102 (7%)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 (1%)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35 (5%)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 (2%)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Death without readmission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74 (5%)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 (3%)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24 (3%)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17 (5%)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0.06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Deaths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110 (7%)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33 (4%)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35 (5%)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32 (10%)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Mean risk score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5.6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5.1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5.3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4.8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Predictor</w:t>
            </w:r>
          </w:p>
        </w:tc>
        <w:tc>
          <w:tcPr>
            <w:tcW w:w="1400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</w:p>
        </w:tc>
        <w:tc>
          <w:tcPr>
            <w:tcW w:w="1400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</w:p>
        </w:tc>
        <w:tc>
          <w:tcPr>
            <w:tcW w:w="1400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</w:p>
        </w:tc>
        <w:tc>
          <w:tcPr>
            <w:tcW w:w="1400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</w:p>
        </w:tc>
        <w:tc>
          <w:tcPr>
            <w:tcW w:w="748" w:type="dxa"/>
            <w:shd w:val="clear" w:color="000000" w:fill="A6A6A6"/>
          </w:tcPr>
          <w:p w:rsidR="009D236D" w:rsidRDefault="009D236D" w:rsidP="009F14D7">
            <w:pPr>
              <w:spacing w:line="480" w:lineRule="auto"/>
            </w:pPr>
          </w:p>
        </w:tc>
      </w:tr>
      <w:tr w:rsidR="009D236D" w:rsidTr="009F14D7">
        <w:trPr>
          <w:trHeight w:val="606"/>
        </w:trPr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Type of homestead - Urban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Semi urban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Rural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82%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65%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77%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75%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Age at primary admission (months)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45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57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33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HIV positive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0.08</w:t>
            </w:r>
          </w:p>
        </w:tc>
      </w:tr>
      <w:tr w:rsidR="009D236D" w:rsidTr="009F14D7">
        <w:trPr>
          <w:trHeight w:val="811"/>
        </w:trPr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Sickle status - AA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AS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SS, unknown at discharge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SS, known at discharge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74%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57%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33%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63%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91%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  <w:p w:rsidR="009D236D" w:rsidRDefault="009D236D" w:rsidP="009F14D7">
            <w:pPr>
              <w:spacing w:line="480" w:lineRule="auto"/>
            </w:pP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Two or more hospital admissions in the last year before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30%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Received blood transfusion ever, prior to this illness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41%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16%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48%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Able to walk unaided before this illness at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98%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34%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98%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95%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Respiratory distress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29%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17%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Impaired consciousness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12%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28%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Temperature gradient at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11%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History of cough at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60%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71%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50%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Indrawing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on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Diarrhoea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on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30%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8%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Haemoglobinuria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 this illness at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18%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10%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Liver &gt;2cm below costal margin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26%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21%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18%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17%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rPr>
          <w:trHeight w:val="606"/>
        </w:trPr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Splenomegaly on admission - Not palpable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Enlarged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ab/>
              <w:t>Gross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56%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35%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68%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27%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74%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20%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63%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30%</w:t>
            </w: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7%</w:t>
            </w:r>
          </w:p>
        </w:tc>
        <w:tc>
          <w:tcPr>
            <w:tcW w:w="748" w:type="dxa"/>
          </w:tcPr>
          <w:p w:rsidR="009D236D" w:rsidRPr="009074C2" w:rsidRDefault="009D236D" w:rsidP="009F14D7">
            <w:pPr>
              <w:spacing w:line="480" w:lineRule="auto"/>
              <w:rPr>
                <w:rFonts w:ascii="Calibri" w:eastAsia="Calibri" w:hAnsi="Calibri" w:cs="Calibri"/>
                <w:sz w:val="16"/>
              </w:rPr>
            </w:pPr>
          </w:p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Admitted &gt;24 hours into another hospital at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15%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9%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14%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0.003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Received oral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antimalarials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in last week before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56%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40%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51%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39%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Haemoglobin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at admission (g/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dL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3.7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5.0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5.5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5.0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Malaria positive at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72%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45%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59%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78%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Positive blood culture at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5%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0.16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Platelets (10</w:t>
            </w:r>
            <w:r w:rsidRPr="009074C2">
              <w:rPr>
                <w:rFonts w:ascii="Calibri" w:eastAsia="Calibri" w:hAnsi="Calibri" w:cs="Calibri"/>
                <w:sz w:val="16"/>
                <w:vertAlign w:val="superscript"/>
              </w:rPr>
              <w:t>9</w:t>
            </w:r>
            <w:r>
              <w:rPr>
                <w:rFonts w:ascii="Calibri" w:eastAsia="Calibri" w:hAnsi="Calibri" w:cs="Calibri"/>
                <w:sz w:val="16"/>
              </w:rPr>
              <w:t>/L) at primary admission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195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187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195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40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Length of stay (days)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0.01</w:t>
            </w:r>
          </w:p>
        </w:tc>
      </w:tr>
      <w:tr w:rsidR="009D236D" w:rsidTr="009F14D7">
        <w:tc>
          <w:tcPr>
            <w:tcW w:w="3226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Missed dose of MVMM, iron folate or cotrimoxazole by 28 days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33%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32%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29%</w:t>
            </w:r>
          </w:p>
        </w:tc>
        <w:tc>
          <w:tcPr>
            <w:tcW w:w="1400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22%</w:t>
            </w:r>
          </w:p>
        </w:tc>
        <w:tc>
          <w:tcPr>
            <w:tcW w:w="748" w:type="dxa"/>
          </w:tcPr>
          <w:p w:rsidR="009D236D" w:rsidRDefault="009D236D" w:rsidP="009F14D7">
            <w:pPr>
              <w:spacing w:line="480" w:lineRule="auto"/>
            </w:pPr>
            <w:r>
              <w:rPr>
                <w:rFonts w:ascii="Calibri" w:eastAsia="Calibri" w:hAnsi="Calibri" w:cs="Calibri"/>
                <w:sz w:val="16"/>
              </w:rPr>
              <w:t>&lt;0.001</w:t>
            </w:r>
          </w:p>
        </w:tc>
      </w:tr>
    </w:tbl>
    <w:p w:rsidR="009D236D" w:rsidRPr="00821ADE" w:rsidRDefault="009D236D" w:rsidP="009D236D">
      <w:pPr>
        <w:spacing w:line="480" w:lineRule="auto"/>
        <w:rPr>
          <w:rFonts w:asciiTheme="minorHAnsi" w:hAnsiTheme="minorHAnsi" w:cstheme="minorHAnsi"/>
          <w:sz w:val="18"/>
        </w:rPr>
      </w:pPr>
      <w:r w:rsidRPr="00821ADE">
        <w:rPr>
          <w:rFonts w:asciiTheme="minorHAnsi" w:hAnsiTheme="minorHAnsi" w:cstheme="minorHAnsi"/>
          <w:sz w:val="18"/>
        </w:rPr>
        <w:t xml:space="preserve">Note: all percentages are column percentages of total children in each Cluster, except where shown, for categorical data and means for continuous data. </w:t>
      </w:r>
    </w:p>
    <w:p w:rsidR="0097055F" w:rsidRDefault="00F57C0F">
      <w:bookmarkStart w:id="0" w:name="_GoBack"/>
      <w:bookmarkEnd w:id="0"/>
    </w:p>
    <w:sectPr w:rsidR="0097055F" w:rsidSect="00F57C0F">
      <w:type w:val="nextPage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0F" w:rsidRDefault="00F57C0F" w:rsidP="00F57C0F">
      <w:r>
        <w:separator/>
      </w:r>
    </w:p>
  </w:endnote>
  <w:endnote w:type="continuationSeparator" w:id="0">
    <w:p w:rsidR="00F57C0F" w:rsidRDefault="00F57C0F" w:rsidP="00F5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08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C0F" w:rsidRDefault="00F57C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57C0F" w:rsidRDefault="00F5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0F" w:rsidRDefault="00F57C0F" w:rsidP="00F57C0F">
      <w:r>
        <w:separator/>
      </w:r>
    </w:p>
  </w:footnote>
  <w:footnote w:type="continuationSeparator" w:id="0">
    <w:p w:rsidR="00F57C0F" w:rsidRDefault="00F57C0F" w:rsidP="00F5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B94"/>
    <w:multiLevelType w:val="hybridMultilevel"/>
    <w:tmpl w:val="8F3E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4B3E"/>
    <w:multiLevelType w:val="hybridMultilevel"/>
    <w:tmpl w:val="ABD4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E6A86"/>
    <w:multiLevelType w:val="hybridMultilevel"/>
    <w:tmpl w:val="E08AB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133C8"/>
    <w:multiLevelType w:val="hybridMultilevel"/>
    <w:tmpl w:val="3AB0E988"/>
    <w:lvl w:ilvl="0" w:tplc="040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6D"/>
    <w:rsid w:val="008C79C8"/>
    <w:rsid w:val="009B5E2A"/>
    <w:rsid w:val="009D236D"/>
    <w:rsid w:val="00F5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4F16E-2771-4B29-87C0-DDED909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36D"/>
    <w:pPr>
      <w:keepNext/>
      <w:keepLines/>
      <w:spacing w:before="40" w:line="360" w:lineRule="auto"/>
      <w:outlineLvl w:val="1"/>
    </w:pPr>
    <w:rPr>
      <w:rFonts w:ascii="Calibri" w:eastAsiaTheme="majorEastAsia" w:hAnsi="Calibr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236D"/>
    <w:rPr>
      <w:rFonts w:ascii="Calibri" w:eastAsiaTheme="majorEastAsia" w:hAnsi="Calibri" w:cstheme="majorBidi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9D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36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2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36D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6D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qFormat/>
    <w:rsid w:val="009D2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9D236D"/>
    <w:pPr>
      <w:spacing w:line="276" w:lineRule="auto"/>
      <w:jc w:val="center"/>
    </w:pPr>
    <w:rPr>
      <w:rFonts w:ascii="Calibri" w:eastAsiaTheme="minorHAnsi" w:hAnsi="Calibri" w:cs="Calibri"/>
      <w:noProof/>
      <w:sz w:val="22"/>
      <w:szCs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236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D236D"/>
    <w:pPr>
      <w:spacing w:after="200"/>
    </w:pPr>
    <w:rPr>
      <w:rFonts w:ascii="Calibri" w:eastAsiaTheme="minorHAnsi" w:hAnsi="Calibri" w:cs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D236D"/>
    <w:rPr>
      <w:rFonts w:ascii="Calibri" w:hAnsi="Calibri" w:cs="Calibri"/>
      <w:noProof/>
      <w:lang w:val="en-US"/>
    </w:rPr>
  </w:style>
  <w:style w:type="paragraph" w:styleId="BodyText">
    <w:name w:val="Body Text"/>
    <w:basedOn w:val="Normal"/>
    <w:link w:val="BodyTextChar"/>
    <w:uiPriority w:val="99"/>
    <w:rsid w:val="009D236D"/>
    <w:pPr>
      <w:spacing w:after="120" w:line="360" w:lineRule="auto"/>
    </w:pPr>
    <w:rPr>
      <w:rFonts w:eastAsia="Cambr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D236D"/>
    <w:rPr>
      <w:rFonts w:ascii="Times New Roman" w:eastAsia="Cambria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D23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236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236D"/>
  </w:style>
  <w:style w:type="paragraph" w:styleId="Footer">
    <w:name w:val="footer"/>
    <w:basedOn w:val="Normal"/>
    <w:link w:val="FooterChar"/>
    <w:uiPriority w:val="99"/>
    <w:unhideWhenUsed/>
    <w:rsid w:val="009D236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236D"/>
  </w:style>
  <w:style w:type="paragraph" w:styleId="NormalWeb">
    <w:name w:val="Normal (Web)"/>
    <w:basedOn w:val="Normal"/>
    <w:uiPriority w:val="99"/>
    <w:semiHidden/>
    <w:unhideWhenUsed/>
    <w:rsid w:val="009D236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236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3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236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23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236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236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D236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D23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36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6D"/>
    <w:rPr>
      <w:color w:val="605E5C"/>
      <w:shd w:val="clear" w:color="auto" w:fill="E1DFDD"/>
    </w:rPr>
  </w:style>
  <w:style w:type="paragraph" w:customStyle="1" w:styleId="Default">
    <w:name w:val="Default"/>
    <w:rsid w:val="009D23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9D23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D23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9D23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9D23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D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ECC1-7785-44DB-ADD4-6A3C15E3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Connon</dc:creator>
  <cp:keywords/>
  <dc:description/>
  <cp:lastModifiedBy>Roisin Connon</cp:lastModifiedBy>
  <cp:revision>2</cp:revision>
  <dcterms:created xsi:type="dcterms:W3CDTF">2020-10-22T16:35:00Z</dcterms:created>
  <dcterms:modified xsi:type="dcterms:W3CDTF">2020-10-22T16:37:00Z</dcterms:modified>
</cp:coreProperties>
</file>