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34D34" w14:textId="5EDEE6E2" w:rsidR="002408D0" w:rsidRPr="00CE4032" w:rsidRDefault="002408D0" w:rsidP="00CE4032">
      <w:pPr>
        <w:jc w:val="center"/>
        <w:rPr>
          <w:b/>
          <w:sz w:val="28"/>
          <w:szCs w:val="28"/>
        </w:rPr>
      </w:pPr>
      <w:r>
        <w:rPr>
          <w:b/>
          <w:sz w:val="28"/>
          <w:szCs w:val="28"/>
        </w:rPr>
        <w:t>Against Self-Interest</w:t>
      </w:r>
      <w:r w:rsidR="00C017EA">
        <w:rPr>
          <w:b/>
          <w:sz w:val="28"/>
          <w:szCs w:val="28"/>
        </w:rPr>
        <w:t xml:space="preserve">: Trollope and </w:t>
      </w:r>
      <w:r w:rsidR="00A37FC5">
        <w:rPr>
          <w:b/>
          <w:sz w:val="28"/>
          <w:szCs w:val="28"/>
        </w:rPr>
        <w:t xml:space="preserve">Realism </w:t>
      </w:r>
    </w:p>
    <w:p w14:paraId="133591E5" w14:textId="77777777" w:rsidR="002408D0" w:rsidRDefault="002408D0" w:rsidP="002408D0">
      <w:pPr>
        <w:jc w:val="center"/>
      </w:pPr>
      <w:r>
        <w:t>HELEN SMALL</w:t>
      </w:r>
    </w:p>
    <w:p w14:paraId="467018F9" w14:textId="77777777" w:rsidR="002408D0" w:rsidRDefault="002408D0" w:rsidP="002408D0"/>
    <w:p w14:paraId="575BF292" w14:textId="358B2F5A" w:rsidR="004615BA" w:rsidRDefault="00D31DB4" w:rsidP="002408D0">
      <w:r>
        <w:t xml:space="preserve">It is a striking </w:t>
      </w:r>
      <w:r w:rsidR="00930EE2">
        <w:t>trait</w:t>
      </w:r>
      <w:r>
        <w:t xml:space="preserve"> of</w:t>
      </w:r>
      <w:r w:rsidR="00E26B57">
        <w:t xml:space="preserve"> many Trollope </w:t>
      </w:r>
      <w:r w:rsidR="002408D0">
        <w:t>protagonists, Stephen Wa</w:t>
      </w:r>
      <w:r w:rsidR="004E1F22">
        <w:t>ll observes in his fine study</w:t>
      </w:r>
      <w:r w:rsidR="002408D0">
        <w:t xml:space="preserve"> </w:t>
      </w:r>
      <w:r w:rsidR="002408D0">
        <w:rPr>
          <w:i/>
        </w:rPr>
        <w:t>Trollope and Character</w:t>
      </w:r>
      <w:r w:rsidR="004E1F22">
        <w:t xml:space="preserve"> (1988)</w:t>
      </w:r>
      <w:r w:rsidR="003F1925">
        <w:t xml:space="preserve">, </w:t>
      </w:r>
      <w:r w:rsidR="002408D0">
        <w:t>that they act ‘against self-interest’.</w:t>
      </w:r>
      <w:r w:rsidR="002408D0">
        <w:rPr>
          <w:rStyle w:val="FootnoteReference"/>
        </w:rPr>
        <w:footnoteReference w:id="1"/>
      </w:r>
      <w:r w:rsidR="002408D0">
        <w:t xml:space="preserve"> </w:t>
      </w:r>
      <w:r w:rsidR="00C75D8C">
        <w:t xml:space="preserve">They </w:t>
      </w:r>
      <w:r w:rsidR="00E73810">
        <w:t>are capable of discerning what it</w:t>
      </w:r>
      <w:r w:rsidR="009506FB">
        <w:t xml:space="preserve"> </w:t>
      </w:r>
      <w:r w:rsidR="00E26B57">
        <w:t>would be best for them</w:t>
      </w:r>
      <w:r w:rsidR="00C75D8C">
        <w:t xml:space="preserve"> to do</w:t>
      </w:r>
      <w:r w:rsidR="00E26B57">
        <w:t xml:space="preserve">, </w:t>
      </w:r>
      <w:r w:rsidR="003F1925">
        <w:t>in the sense that it would tend</w:t>
      </w:r>
      <w:r>
        <w:t xml:space="preserve"> to promote</w:t>
      </w:r>
      <w:r w:rsidR="00E26B57">
        <w:t xml:space="preserve"> their worldly advantage or their personal happiness, </w:t>
      </w:r>
      <w:r w:rsidR="00C75D8C">
        <w:t xml:space="preserve">but </w:t>
      </w:r>
      <w:r w:rsidR="004615BA">
        <w:t>how they</w:t>
      </w:r>
      <w:r w:rsidR="00A001FD">
        <w:t xml:space="preserve"> behave</w:t>
      </w:r>
      <w:r w:rsidR="00C75D8C">
        <w:t xml:space="preserve"> is </w:t>
      </w:r>
      <w:r w:rsidR="009506FB">
        <w:t>not in accordance</w:t>
      </w:r>
      <w:r w:rsidR="00034FBA">
        <w:t xml:space="preserve"> with</w:t>
      </w:r>
      <w:r w:rsidR="00DC1A33">
        <w:t xml:space="preserve"> that</w:t>
      </w:r>
      <w:r w:rsidR="00857031">
        <w:t xml:space="preserve"> judgement</w:t>
      </w:r>
      <w:r w:rsidR="00C75D8C">
        <w:t>.</w:t>
      </w:r>
      <w:r>
        <w:t xml:space="preserve"> </w:t>
      </w:r>
      <w:r w:rsidR="006C78C5">
        <w:t xml:space="preserve">Their acting </w:t>
      </w:r>
      <w:r w:rsidR="009E02D5">
        <w:t xml:space="preserve">so </w:t>
      </w:r>
      <w:r w:rsidR="00A57E4F">
        <w:t xml:space="preserve">disadvantageously to themselves, in ways that are not explained by alternative calculations or even clear </w:t>
      </w:r>
      <w:r w:rsidR="00E73810">
        <w:t xml:space="preserve">emotional </w:t>
      </w:r>
      <w:r w:rsidR="00A57E4F">
        <w:t>imperatives</w:t>
      </w:r>
      <w:r w:rsidR="00DC1A33">
        <w:t>,</w:t>
      </w:r>
      <w:r w:rsidR="009506FB">
        <w:t xml:space="preserve"> </w:t>
      </w:r>
      <w:r w:rsidR="00A57E4F">
        <w:t xml:space="preserve">has moreover </w:t>
      </w:r>
      <w:r w:rsidR="009506FB">
        <w:t xml:space="preserve">a </w:t>
      </w:r>
      <w:r w:rsidR="00DC1A33">
        <w:t xml:space="preserve">vital </w:t>
      </w:r>
      <w:r w:rsidR="009506FB">
        <w:t>bearing on</w:t>
      </w:r>
      <w:r w:rsidR="00E26B57">
        <w:t xml:space="preserve"> the reader’s </w:t>
      </w:r>
      <w:r w:rsidR="00CE4032">
        <w:t>apprehension</w:t>
      </w:r>
      <w:r>
        <w:t xml:space="preserve"> </w:t>
      </w:r>
      <w:r w:rsidR="008955A9">
        <w:t xml:space="preserve">of </w:t>
      </w:r>
      <w:r>
        <w:t>their ‘reality’</w:t>
      </w:r>
      <w:r w:rsidR="00E26B57">
        <w:t xml:space="preserve">. </w:t>
      </w:r>
      <w:r w:rsidR="007131A0">
        <w:t>‘</w:t>
      </w:r>
      <w:r w:rsidR="004615BA">
        <w:t>Casualties of their own wills</w:t>
      </w:r>
      <w:r w:rsidR="007131A0">
        <w:t>’</w:t>
      </w:r>
      <w:r w:rsidR="008457B8">
        <w:t xml:space="preserve"> as they are</w:t>
      </w:r>
      <w:r w:rsidR="00E81BA8">
        <w:t xml:space="preserve">, </w:t>
      </w:r>
      <w:r w:rsidR="00DC1A33">
        <w:t>in Wall’s</w:t>
      </w:r>
      <w:r w:rsidR="00034FBA">
        <w:t xml:space="preserve"> deft phrase</w:t>
      </w:r>
      <w:r w:rsidR="008457B8">
        <w:t>,</w:t>
      </w:r>
      <w:r w:rsidR="007131A0">
        <w:rPr>
          <w:rStyle w:val="FootnoteReference"/>
        </w:rPr>
        <w:footnoteReference w:id="2"/>
      </w:r>
      <w:r w:rsidR="008457B8">
        <w:t xml:space="preserve"> their propensity for </w:t>
      </w:r>
      <w:r w:rsidR="00A57E4F">
        <w:t>self-sabotage</w:t>
      </w:r>
      <w:r w:rsidR="008457B8">
        <w:t xml:space="preserve"> </w:t>
      </w:r>
      <w:r w:rsidR="00194992">
        <w:t>confirms</w:t>
      </w:r>
      <w:r w:rsidR="004615BA">
        <w:t xml:space="preserve"> Trollope’s ‘intense respect for the</w:t>
      </w:r>
      <w:r w:rsidR="008457B8">
        <w:t>[ir]</w:t>
      </w:r>
      <w:r w:rsidR="004615BA">
        <w:t xml:space="preserve"> experience</w:t>
      </w:r>
      <w:r w:rsidR="008457B8">
        <w:t>’</w:t>
      </w:r>
      <w:r w:rsidR="00BB425F">
        <w:t>: they</w:t>
      </w:r>
      <w:r w:rsidR="008457B8">
        <w:t xml:space="preserve"> ‘live in </w:t>
      </w:r>
      <w:r w:rsidR="00BB425F">
        <w:t>his mind’ in a way that</w:t>
      </w:r>
      <w:r w:rsidR="008457B8">
        <w:t xml:space="preserve"> ‘</w:t>
      </w:r>
      <w:r w:rsidR="004615BA">
        <w:t>seem</w:t>
      </w:r>
      <w:r w:rsidR="008457B8">
        <w:t>s to preclude any thought of […]</w:t>
      </w:r>
      <w:r w:rsidR="004615BA">
        <w:t xml:space="preserve"> ethical or rhetorical exploitation by the novelist’ (61).</w:t>
      </w:r>
    </w:p>
    <w:p w14:paraId="670F9E3E" w14:textId="46D7BFC5" w:rsidR="00C12B92" w:rsidRDefault="00C12B92" w:rsidP="00C12B92">
      <w:pPr>
        <w:ind w:firstLine="720"/>
      </w:pPr>
      <w:r>
        <w:t>To argue so is, up to a point, to say something familiarly within the traditions of description for classic realism. Characters impress us with their reality in so far as they establish their singularity, escaping or pre-empting the characterological straitjackets of genre, mode, stereotype, and moral formula. In Trollope’s most persuasive endeavours at rendering ‘the authe</w:t>
      </w:r>
      <w:r w:rsidR="00CD31BA">
        <w:t>nticity of presence’ (</w:t>
      </w:r>
      <w:r w:rsidR="00B07F9B">
        <w:t>76)</w:t>
      </w:r>
      <w:r>
        <w:t xml:space="preserve"> there is </w:t>
      </w:r>
      <w:r w:rsidR="004B7362">
        <w:t xml:space="preserve">a touch of </w:t>
      </w:r>
      <w:r>
        <w:t>that quality Auerbach admired in Flaubert</w:t>
      </w:r>
      <w:r w:rsidR="008F784F">
        <w:rPr>
          <w:rStyle w:val="FootnoteReference"/>
        </w:rPr>
        <w:footnoteReference w:id="3"/>
      </w:r>
      <w:r>
        <w:t>: a sense of some</w:t>
      </w:r>
      <w:r w:rsidR="00CD31BA">
        <w:t>thing ‘unget-at-able’</w:t>
      </w:r>
      <w:r>
        <w:t xml:space="preserve"> in </w:t>
      </w:r>
      <w:r w:rsidR="00292950">
        <w:t>an individual</w:t>
      </w:r>
      <w:r>
        <w:t xml:space="preserve"> nature, troubling the ch</w:t>
      </w:r>
      <w:r w:rsidR="007131A0">
        <w:t>aracter him or herself and</w:t>
      </w:r>
      <w:r>
        <w:t xml:space="preserve"> reinforced by the writer’s more or less resigned awareness that literary representation cannot </w:t>
      </w:r>
      <w:r w:rsidR="009D13CB">
        <w:t>(</w:t>
      </w:r>
      <w:r w:rsidR="00C221C5">
        <w:t xml:space="preserve">should </w:t>
      </w:r>
      <w:r w:rsidR="00C221C5">
        <w:lastRenderedPageBreak/>
        <w:t>not</w:t>
      </w:r>
      <w:r w:rsidR="009D13CB">
        <w:t>?</w:t>
      </w:r>
      <w:r w:rsidR="00C221C5">
        <w:t xml:space="preserve">) </w:t>
      </w:r>
      <w:r>
        <w:t>hope to do better tha</w:t>
      </w:r>
      <w:r w:rsidR="007131A0">
        <w:t xml:space="preserve">n the </w:t>
      </w:r>
      <w:r w:rsidR="009D13CB">
        <w:t>character themselves in this respect</w:t>
      </w:r>
      <w:r w:rsidR="007131A0">
        <w:t xml:space="preserve">, </w:t>
      </w:r>
      <w:r w:rsidR="007C6EDC">
        <w:t>and</w:t>
      </w:r>
      <w:r>
        <w:t xml:space="preserve"> must accept the ‘hopelessly inexplicable’ aspects of motive</w:t>
      </w:r>
      <w:r w:rsidR="00117AD4">
        <w:t xml:space="preserve"> (76</w:t>
      </w:r>
      <w:r w:rsidR="00C221C5">
        <w:t>)</w:t>
      </w:r>
      <w:r>
        <w:t>.</w:t>
      </w:r>
      <w:r w:rsidR="00A65BD0">
        <w:t xml:space="preserve"> </w:t>
      </w:r>
      <w:r>
        <w:t>This is, Wall suggests, largely w</w:t>
      </w:r>
      <w:r w:rsidR="00CD31BA">
        <w:t>hat we mean by respect for the autonomy</w:t>
      </w:r>
      <w:r>
        <w:t xml:space="preserve"> of others: </w:t>
      </w:r>
      <w:r w:rsidR="00810B65">
        <w:t xml:space="preserve">accepting </w:t>
      </w:r>
      <w:r>
        <w:t>the impossibility of subduing them, in art as in life, to a purpose, a rational</w:t>
      </w:r>
      <w:r w:rsidR="007131A0">
        <w:t>e</w:t>
      </w:r>
      <w:r w:rsidR="00CD31BA">
        <w:t>, a law</w:t>
      </w:r>
      <w:r w:rsidR="00810B65">
        <w:t xml:space="preserve"> of behaviour; recognising that they will behave with no </w:t>
      </w:r>
      <w:r w:rsidR="00A65BD0">
        <w:t xml:space="preserve">more </w:t>
      </w:r>
      <w:r w:rsidR="00810B65">
        <w:t>perfect a</w:t>
      </w:r>
      <w:r w:rsidR="004B33C6">
        <w:t xml:space="preserve"> lucidity or</w:t>
      </w:r>
      <w:r w:rsidR="00810B65">
        <w:t xml:space="preserve"> </w:t>
      </w:r>
      <w:r w:rsidR="00E73810">
        <w:t>coherence of motives</w:t>
      </w:r>
      <w:r>
        <w:t xml:space="preserve"> than a just appreh</w:t>
      </w:r>
      <w:r w:rsidR="006E6068">
        <w:t>ension of our own behaviour would</w:t>
      </w:r>
      <w:r>
        <w:t xml:space="preserve"> lead us to </w:t>
      </w:r>
      <w:r w:rsidR="007131A0">
        <w:t>discover</w:t>
      </w:r>
      <w:r>
        <w:t xml:space="preserve"> in ourselves.</w:t>
      </w:r>
    </w:p>
    <w:p w14:paraId="658D3559" w14:textId="5A907630" w:rsidR="00483042" w:rsidRPr="006407D7" w:rsidRDefault="007131A0" w:rsidP="00E73810">
      <w:pPr>
        <w:ind w:firstLine="720"/>
      </w:pPr>
      <w:r>
        <w:t>T</w:t>
      </w:r>
      <w:r w:rsidR="00C12B92">
        <w:t xml:space="preserve">here is, however, something in Trollope’s </w:t>
      </w:r>
      <w:r w:rsidR="00091340">
        <w:t>attention to</w:t>
      </w:r>
      <w:r w:rsidR="00C12B92">
        <w:t xml:space="preserve"> </w:t>
      </w:r>
      <w:r w:rsidR="006C78C5">
        <w:t>characters</w:t>
      </w:r>
      <w:r w:rsidR="00C12B92">
        <w:t xml:space="preserve"> </w:t>
      </w:r>
      <w:r w:rsidR="00810B65">
        <w:t xml:space="preserve">acting against </w:t>
      </w:r>
      <w:r w:rsidR="00194992">
        <w:t xml:space="preserve">self-interest that </w:t>
      </w:r>
      <w:r w:rsidR="0096685D">
        <w:t>goes beyond</w:t>
      </w:r>
      <w:r w:rsidR="00194992">
        <w:t xml:space="preserve"> </w:t>
      </w:r>
      <w:r w:rsidR="00C12B92">
        <w:t xml:space="preserve">the standard </w:t>
      </w:r>
      <w:r w:rsidR="00194992">
        <w:t xml:space="preserve">association of the realist </w:t>
      </w:r>
      <w:r w:rsidR="00AC4CA9">
        <w:t xml:space="preserve">character </w:t>
      </w:r>
      <w:r w:rsidR="00194992">
        <w:t>effect with</w:t>
      </w:r>
      <w:r w:rsidR="00CD114A">
        <w:t xml:space="preserve"> </w:t>
      </w:r>
      <w:r w:rsidR="009D13CB">
        <w:t xml:space="preserve">resistance to formal </w:t>
      </w:r>
      <w:r w:rsidR="006C78C5">
        <w:t xml:space="preserve">literary </w:t>
      </w:r>
      <w:r w:rsidR="009D13CB">
        <w:t>constraints</w:t>
      </w:r>
      <w:r>
        <w:t xml:space="preserve"> or ethical expectation</w:t>
      </w:r>
      <w:r w:rsidR="008F784F">
        <w:t>s</w:t>
      </w:r>
      <w:r w:rsidR="009908A4">
        <w:t xml:space="preserve">, and that puts </w:t>
      </w:r>
      <w:r w:rsidR="005816EF">
        <w:t xml:space="preserve">him somewhat at a slant to the dominant </w:t>
      </w:r>
      <w:r w:rsidR="009908A4">
        <w:t xml:space="preserve">accounts of how and why the </w:t>
      </w:r>
      <w:r w:rsidR="005816EF">
        <w:t>emergence</w:t>
      </w:r>
      <w:r w:rsidR="009908A4">
        <w:t xml:space="preserve"> of realism </w:t>
      </w:r>
      <w:r w:rsidR="004B33C6">
        <w:t>can be seen as closely</w:t>
      </w:r>
      <w:r w:rsidR="004567A3">
        <w:t xml:space="preserve"> connected</w:t>
      </w:r>
      <w:r w:rsidR="009908A4">
        <w:t xml:space="preserve"> with that of </w:t>
      </w:r>
      <w:r w:rsidR="00E73810">
        <w:t>self-interest</w:t>
      </w:r>
      <w:r w:rsidR="008F784F">
        <w:t xml:space="preserve">. </w:t>
      </w:r>
      <w:r w:rsidR="00A0660F">
        <w:t>Not everyone resolves that their life</w:t>
      </w:r>
      <w:r w:rsidR="009D7CEE">
        <w:t xml:space="preserve"> should be a success</w:t>
      </w:r>
      <w:r w:rsidR="004B11E1">
        <w:t>, he as</w:t>
      </w:r>
      <w:r w:rsidR="004B7362">
        <w:t>s</w:t>
      </w:r>
      <w:r w:rsidR="004B11E1">
        <w:t>erts</w:t>
      </w:r>
      <w:r w:rsidR="00A0660F">
        <w:t xml:space="preserve"> in </w:t>
      </w:r>
      <w:r w:rsidR="00A0660F">
        <w:rPr>
          <w:i/>
        </w:rPr>
        <w:t xml:space="preserve">The Small House at Allington </w:t>
      </w:r>
      <w:r w:rsidR="00A0660F">
        <w:t>(1864)</w:t>
      </w:r>
      <w:r w:rsidR="00224B0B">
        <w:t>—and there is some provocation in the elaboration that follows</w:t>
      </w:r>
      <w:r w:rsidR="00A0660F">
        <w:t>: ‘</w:t>
      </w:r>
      <w:r w:rsidR="00E73810">
        <w:t>the majority of men, as I take it, make no such resolution, and very many men resolve that they will be unsuccessful’</w:t>
      </w:r>
      <w:r w:rsidR="00A0660F">
        <w:t xml:space="preserve"> (499). </w:t>
      </w:r>
      <w:r w:rsidR="008F784F" w:rsidRPr="00A0660F">
        <w:t>To</w:t>
      </w:r>
      <w:r w:rsidR="00227C47">
        <w:t xml:space="preserve"> </w:t>
      </w:r>
      <w:r w:rsidR="008F784F">
        <w:t>weaken</w:t>
      </w:r>
      <w:r w:rsidR="00C017EA">
        <w:t xml:space="preserve"> the authority of</w:t>
      </w:r>
      <w:r w:rsidR="004843E8">
        <w:t xml:space="preserve"> self-interest so</w:t>
      </w:r>
      <w:r w:rsidR="00920065">
        <w:t xml:space="preserve"> </w:t>
      </w:r>
      <w:r w:rsidR="00805F94">
        <w:t>pointedly</w:t>
      </w:r>
      <w:r w:rsidR="004567A3">
        <w:t xml:space="preserve"> as </w:t>
      </w:r>
      <w:r w:rsidR="004B33C6">
        <w:t>he</w:t>
      </w:r>
      <w:r w:rsidR="00AD44F2">
        <w:t xml:space="preserve"> regularly</w:t>
      </w:r>
      <w:r w:rsidR="004B33C6">
        <w:t xml:space="preserve"> does </w:t>
      </w:r>
      <w:r w:rsidR="008F784F">
        <w:t xml:space="preserve">is to flout </w:t>
      </w:r>
      <w:r w:rsidR="00E71113">
        <w:t>an</w:t>
      </w:r>
      <w:r w:rsidR="00CD114A">
        <w:t xml:space="preserve"> orthodoxy of his own</w:t>
      </w:r>
      <w:r w:rsidR="008F784F">
        <w:t xml:space="preserve"> day</w:t>
      </w:r>
      <w:r w:rsidR="00CD114A">
        <w:t xml:space="preserve"> and ours</w:t>
      </w:r>
      <w:r w:rsidR="008F784F">
        <w:t xml:space="preserve"> about </w:t>
      </w:r>
      <w:r w:rsidR="00920065">
        <w:t>human motive</w:t>
      </w:r>
      <w:r w:rsidR="008F784F">
        <w:t>s</w:t>
      </w:r>
      <w:r w:rsidR="00483042">
        <w:t xml:space="preserve"> which </w:t>
      </w:r>
      <w:r w:rsidR="00967F60">
        <w:t xml:space="preserve">would give </w:t>
      </w:r>
      <w:r w:rsidR="00AD44F2">
        <w:t>it</w:t>
      </w:r>
      <w:r w:rsidR="00E73810">
        <w:t xml:space="preserve"> rather</w:t>
      </w:r>
      <w:r w:rsidR="00805F94">
        <w:t xml:space="preserve"> </w:t>
      </w:r>
      <w:r w:rsidR="00292950">
        <w:t xml:space="preserve">greater </w:t>
      </w:r>
      <w:r w:rsidR="00FA39A2">
        <w:t>salienc</w:t>
      </w:r>
      <w:r w:rsidR="00483042">
        <w:t>e</w:t>
      </w:r>
      <w:r w:rsidR="00224B0B">
        <w:t>—n</w:t>
      </w:r>
      <w:r w:rsidR="00C05970">
        <w:t>ot</w:t>
      </w:r>
      <w:r w:rsidR="00483042">
        <w:t xml:space="preserve"> unchallenged </w:t>
      </w:r>
      <w:r w:rsidR="00FA39A2">
        <w:t>priority</w:t>
      </w:r>
      <w:r w:rsidR="00483042">
        <w:t xml:space="preserve">, but </w:t>
      </w:r>
      <w:r w:rsidR="00E73810">
        <w:t>considerabl</w:t>
      </w:r>
      <w:r w:rsidR="004B33C6">
        <w:t>e</w:t>
      </w:r>
      <w:r w:rsidR="00B7022E">
        <w:t xml:space="preserve"> prominence</w:t>
      </w:r>
      <w:r w:rsidR="00F12415">
        <w:t xml:space="preserve">. </w:t>
      </w:r>
      <w:r w:rsidR="00483042">
        <w:t xml:space="preserve">As Charles Taylor observes, the moral sources of our </w:t>
      </w:r>
      <w:r w:rsidR="00A57E4F">
        <w:t>lives</w:t>
      </w:r>
      <w:r w:rsidR="00483042">
        <w:t xml:space="preserve"> have always been plural, and self-interest has </w:t>
      </w:r>
      <w:r w:rsidR="00F12415">
        <w:t>been</w:t>
      </w:r>
      <w:r w:rsidR="00C05970">
        <w:t xml:space="preserve"> variously </w:t>
      </w:r>
      <w:r w:rsidR="00483042">
        <w:t xml:space="preserve">supplemented, constrained, ‘made sense’ of by </w:t>
      </w:r>
      <w:r w:rsidR="004B11E1">
        <w:t xml:space="preserve">many other moral imperatives: </w:t>
      </w:r>
      <w:r w:rsidR="004B37B9">
        <w:t xml:space="preserve">in the post-Enlightenment period, </w:t>
      </w:r>
      <w:r w:rsidR="004843E8">
        <w:t>where Taylor</w:t>
      </w:r>
      <w:r w:rsidR="00F37312">
        <w:t xml:space="preserve"> concentrates his attention, </w:t>
      </w:r>
      <w:r w:rsidR="00C05970">
        <w:t xml:space="preserve">by </w:t>
      </w:r>
      <w:r w:rsidR="00483042">
        <w:t>benevolence, by concern for the greatest number, by notions of human dignity, and st</w:t>
      </w:r>
      <w:r w:rsidR="00C05970">
        <w:t>andards of universal justice</w:t>
      </w:r>
      <w:r w:rsidR="00E73810">
        <w:t>.</w:t>
      </w:r>
      <w:r w:rsidR="00820FF5">
        <w:rPr>
          <w:rStyle w:val="FootnoteReference"/>
        </w:rPr>
        <w:footnoteReference w:id="4"/>
      </w:r>
      <w:r w:rsidR="00E73810">
        <w:t xml:space="preserve"> Still,</w:t>
      </w:r>
      <w:r w:rsidR="00820FF5">
        <w:t xml:space="preserve"> </w:t>
      </w:r>
      <w:r w:rsidR="004B7362">
        <w:t>few moral theories deny</w:t>
      </w:r>
      <w:r w:rsidR="00F12415">
        <w:t xml:space="preserve"> its force.</w:t>
      </w:r>
      <w:r w:rsidR="004B33C6">
        <w:t xml:space="preserve"> The term is</w:t>
      </w:r>
      <w:r w:rsidR="006407D7">
        <w:t xml:space="preserve"> of </w:t>
      </w:r>
      <w:r w:rsidR="004843E8">
        <w:t xml:space="preserve">seventeenth-century origin, </w:t>
      </w:r>
      <w:r w:rsidR="006407D7">
        <w:t xml:space="preserve">but the broad motive of concern for one’s own </w:t>
      </w:r>
      <w:r w:rsidR="00224B0B">
        <w:t>gain</w:t>
      </w:r>
      <w:r w:rsidR="006407D7">
        <w:t xml:space="preserve"> that it </w:t>
      </w:r>
      <w:r w:rsidR="004B33C6">
        <w:t>describes</w:t>
      </w:r>
      <w:r w:rsidR="006407D7">
        <w:t xml:space="preserve"> has </w:t>
      </w:r>
      <w:r w:rsidR="004B33C6">
        <w:t>surely always been with us (</w:t>
      </w:r>
      <w:r w:rsidR="006407D7">
        <w:t>essential</w:t>
      </w:r>
      <w:r w:rsidR="004B33C6">
        <w:t xml:space="preserve">, </w:t>
      </w:r>
      <w:r w:rsidR="00224B0B">
        <w:t>no doubt</w:t>
      </w:r>
      <w:r w:rsidR="004B33C6">
        <w:t>, to our species’ evolution</w:t>
      </w:r>
      <w:r w:rsidR="00224B0B">
        <w:t>, even if the selfish gene is not entirely selfish</w:t>
      </w:r>
      <w:r w:rsidR="004B33C6">
        <w:t xml:space="preserve">). Human beings necessarily </w:t>
      </w:r>
      <w:r w:rsidR="00AD44F2">
        <w:t>exhibit</w:t>
      </w:r>
      <w:r w:rsidR="006407D7">
        <w:t xml:space="preserve"> ‘</w:t>
      </w:r>
      <w:r w:rsidR="00AD44F2">
        <w:t>[r]egard to, or pursuit of, [their]</w:t>
      </w:r>
      <w:r w:rsidR="006407D7" w:rsidRPr="006407D7">
        <w:t xml:space="preserve"> own advantage or welfare</w:t>
      </w:r>
      <w:r w:rsidR="004B33C6">
        <w:t xml:space="preserve">’; often, but </w:t>
      </w:r>
      <w:r w:rsidR="004843E8">
        <w:t xml:space="preserve">not as necessarily, they </w:t>
      </w:r>
      <w:r w:rsidR="00AD44F2">
        <w:t>do so</w:t>
      </w:r>
      <w:r w:rsidR="004843E8">
        <w:t xml:space="preserve"> </w:t>
      </w:r>
      <w:r w:rsidR="004B33C6">
        <w:t>‘</w:t>
      </w:r>
      <w:r w:rsidR="006407D7" w:rsidRPr="006407D7">
        <w:t>esp. to the</w:t>
      </w:r>
      <w:r w:rsidR="004B33C6">
        <w:t xml:space="preserve"> exclusion of regard for others</w:t>
      </w:r>
      <w:r w:rsidR="006407D7">
        <w:t>’ (</w:t>
      </w:r>
      <w:r w:rsidR="006407D7">
        <w:rPr>
          <w:i/>
        </w:rPr>
        <w:t>OED</w:t>
      </w:r>
      <w:r w:rsidR="006407D7">
        <w:t xml:space="preserve"> n. 2).</w:t>
      </w:r>
      <w:r w:rsidR="006407D7">
        <w:rPr>
          <w:rStyle w:val="FootnoteReference"/>
        </w:rPr>
        <w:footnoteReference w:id="5"/>
      </w:r>
    </w:p>
    <w:p w14:paraId="41448C3A" w14:textId="2B9EDC90" w:rsidR="00C017EA" w:rsidRDefault="00967F60" w:rsidP="00AC4CA9">
      <w:pPr>
        <w:ind w:firstLine="720"/>
      </w:pPr>
      <w:r>
        <w:t>Trollope had</w:t>
      </w:r>
      <w:r w:rsidR="004B33C6">
        <w:t xml:space="preserve"> as keen a perception of self-interest at work</w:t>
      </w:r>
      <w:r w:rsidR="00F12415">
        <w:t xml:space="preserve"> as any Victorian novelist</w:t>
      </w:r>
      <w:r w:rsidR="005D0D48">
        <w:t xml:space="preserve"> (he was, after al</w:t>
      </w:r>
      <w:r w:rsidR="009A5C54">
        <w:t xml:space="preserve">l, the creator of extreme pursuers </w:t>
      </w:r>
      <w:r w:rsidR="008D4ACD">
        <w:t xml:space="preserve">of </w:t>
      </w:r>
      <w:r w:rsidR="00F57916">
        <w:t>personal gain</w:t>
      </w:r>
      <w:r w:rsidR="008D4ACD">
        <w:t>: Augustus Melmotte</w:t>
      </w:r>
      <w:r w:rsidR="009A5C54">
        <w:t>, Obadiah Slope, Lizzie Eustace, Mr Emilius)</w:t>
      </w:r>
      <w:r w:rsidR="00AD44F2">
        <w:t>. A</w:t>
      </w:r>
      <w:r w:rsidR="00820FF5">
        <w:t>nd yet</w:t>
      </w:r>
      <w:r w:rsidR="00F12415">
        <w:t>, a</w:t>
      </w:r>
      <w:r w:rsidR="008F784F">
        <w:t>s Wall observes,</w:t>
      </w:r>
      <w:r w:rsidR="00C60285">
        <w:t xml:space="preserve"> </w:t>
      </w:r>
      <w:r w:rsidR="00AC4CA9">
        <w:t xml:space="preserve">he seems </w:t>
      </w:r>
      <w:r w:rsidR="008D4ACD">
        <w:t xml:space="preserve">especially drawn to </w:t>
      </w:r>
      <w:r w:rsidR="00091340">
        <w:t>imagining characters</w:t>
      </w:r>
      <w:r w:rsidR="008D4ACD">
        <w:t xml:space="preserve"> who fail, as it were, </w:t>
      </w:r>
      <w:r w:rsidR="006407D7">
        <w:t>in</w:t>
      </w:r>
      <w:r w:rsidR="004B33C6">
        <w:t xml:space="preserve"> maintaining</w:t>
      </w:r>
      <w:r w:rsidR="006407D7">
        <w:t xml:space="preserve"> a proper </w:t>
      </w:r>
      <w:r w:rsidR="00275B7E">
        <w:t>minimum of self-interest</w:t>
      </w:r>
      <w:r w:rsidR="00091340">
        <w:t>: men and women</w:t>
      </w:r>
      <w:r w:rsidR="00F12415">
        <w:t xml:space="preserve"> who</w:t>
      </w:r>
      <w:r w:rsidR="008D4ACD">
        <w:t xml:space="preserve"> are</w:t>
      </w:r>
      <w:r w:rsidR="00091340">
        <w:t xml:space="preserve"> not models of disinterest or</w:t>
      </w:r>
      <w:r w:rsidR="008D4ACD">
        <w:t xml:space="preserve"> selflessness, </w:t>
      </w:r>
      <w:r w:rsidR="005816EF">
        <w:t>but</w:t>
      </w:r>
      <w:r w:rsidR="008D4ACD">
        <w:t xml:space="preserve"> </w:t>
      </w:r>
      <w:r w:rsidR="00864E72">
        <w:t xml:space="preserve">rather </w:t>
      </w:r>
      <w:r w:rsidR="00F12415">
        <w:t xml:space="preserve">find themselves </w:t>
      </w:r>
      <w:r w:rsidR="005816EF">
        <w:t>in</w:t>
      </w:r>
      <w:r w:rsidR="008D4ACD">
        <w:t xml:space="preserve"> ‘impossible</w:t>
      </w:r>
      <w:r w:rsidR="005816EF">
        <w:t xml:space="preserve"> position[s]</w:t>
      </w:r>
      <w:r w:rsidR="00802B6C">
        <w:t xml:space="preserve">’ </w:t>
      </w:r>
      <w:r w:rsidR="005816EF">
        <w:t xml:space="preserve">of </w:t>
      </w:r>
      <w:r w:rsidR="00C60285">
        <w:t>conflict</w:t>
      </w:r>
      <w:r w:rsidR="005816EF">
        <w:t xml:space="preserve"> between</w:t>
      </w:r>
      <w:r w:rsidR="00C60285">
        <w:t xml:space="preserve"> external </w:t>
      </w:r>
      <w:r w:rsidR="00802B6C">
        <w:t>circumstance and</w:t>
      </w:r>
      <w:r w:rsidR="00AC4CA9">
        <w:t xml:space="preserve"> inner compulsion</w:t>
      </w:r>
      <w:r w:rsidR="005816EF">
        <w:t xml:space="preserve"> (216</w:t>
      </w:r>
      <w:r w:rsidR="00802B6C">
        <w:t>)</w:t>
      </w:r>
      <w:r w:rsidR="004B33C6">
        <w:t xml:space="preserve"> where i</w:t>
      </w:r>
      <w:r w:rsidR="007A7DF5">
        <w:t>n</w:t>
      </w:r>
      <w:r w:rsidR="00F12415">
        <w:t xml:space="preserve">ner compulsion wins out </w:t>
      </w:r>
      <w:r w:rsidR="00820FF5">
        <w:t>at a</w:t>
      </w:r>
      <w:r w:rsidR="007A7DF5">
        <w:t xml:space="preserve"> </w:t>
      </w:r>
      <w:r w:rsidR="00091340">
        <w:t xml:space="preserve">significant </w:t>
      </w:r>
      <w:r w:rsidR="00F12415">
        <w:t xml:space="preserve">cost to </w:t>
      </w:r>
      <w:r w:rsidR="0096685D">
        <w:t>themselves</w:t>
      </w:r>
      <w:r w:rsidR="00227C47">
        <w:t xml:space="preserve">. </w:t>
      </w:r>
      <w:r w:rsidR="005816EF">
        <w:t xml:space="preserve">Think of </w:t>
      </w:r>
      <w:r w:rsidR="00C017EA">
        <w:t>Lady Mabel Grex</w:t>
      </w:r>
      <w:r w:rsidR="005816EF">
        <w:t xml:space="preserve">, </w:t>
      </w:r>
      <w:r w:rsidR="00C017EA" w:rsidRPr="00B16DD6">
        <w:t>in the last of</w:t>
      </w:r>
      <w:r w:rsidR="00C017EA">
        <w:rPr>
          <w:b/>
        </w:rPr>
        <w:t xml:space="preserve"> </w:t>
      </w:r>
      <w:r w:rsidR="00C017EA">
        <w:t xml:space="preserve">the Palliser novels, </w:t>
      </w:r>
      <w:r w:rsidR="00C017EA">
        <w:rPr>
          <w:i/>
        </w:rPr>
        <w:t xml:space="preserve">The Duke’s </w:t>
      </w:r>
      <w:r w:rsidR="00C017EA" w:rsidRPr="004E1F22">
        <w:rPr>
          <w:i/>
        </w:rPr>
        <w:t>Children</w:t>
      </w:r>
      <w:r w:rsidR="00C017EA">
        <w:t xml:space="preserve"> (1880), </w:t>
      </w:r>
      <w:r w:rsidR="00C017EA" w:rsidRPr="004E1F22">
        <w:t>who</w:t>
      </w:r>
      <w:r w:rsidR="00C017EA">
        <w:t xml:space="preserve"> ‘generally finds that, much as she calculates, she cannot keep to her calculations: her true feelings always seem to insist on expression, against self-interest, even against self-respect’</w:t>
      </w:r>
      <w:r w:rsidR="00AD44F2">
        <w:t xml:space="preserve"> (215)</w:t>
      </w:r>
      <w:r w:rsidR="00C017EA">
        <w:t xml:space="preserve">. Like Lady Laura </w:t>
      </w:r>
      <w:r w:rsidR="00F12415">
        <w:t>Stanhope before her</w:t>
      </w:r>
      <w:r w:rsidR="00264DB1">
        <w:t xml:space="preserve">, she </w:t>
      </w:r>
      <w:r w:rsidR="00F12415">
        <w:t>goes</w:t>
      </w:r>
      <w:r w:rsidR="00C017EA">
        <w:t xml:space="preserve"> ‘a</w:t>
      </w:r>
      <w:r w:rsidR="00CD114A">
        <w:t>g</w:t>
      </w:r>
      <w:r w:rsidR="00F12415">
        <w:t>ainst the grain of her nature’ and risks</w:t>
      </w:r>
      <w:r w:rsidR="00C017EA">
        <w:t xml:space="preserve"> </w:t>
      </w:r>
      <w:r w:rsidR="00F12415">
        <w:t>‘</w:t>
      </w:r>
      <w:r w:rsidR="00C017EA">
        <w:t>doing some violence to it’ (215).</w:t>
      </w:r>
      <w:r w:rsidR="00CD114A">
        <w:t xml:space="preserve"> Or take</w:t>
      </w:r>
      <w:r w:rsidR="00C017EA">
        <w:t xml:space="preserve"> Lily Dale, the heroine of </w:t>
      </w:r>
      <w:r w:rsidR="00C017EA">
        <w:rPr>
          <w:i/>
        </w:rPr>
        <w:t>The Small House at Allington</w:t>
      </w:r>
      <w:r w:rsidR="00A0660F">
        <w:t xml:space="preserve"> </w:t>
      </w:r>
      <w:r w:rsidR="00C017EA">
        <w:t xml:space="preserve">and </w:t>
      </w:r>
      <w:r w:rsidR="00C017EA">
        <w:rPr>
          <w:i/>
        </w:rPr>
        <w:t>The Last Chronicle of Barset</w:t>
      </w:r>
      <w:r w:rsidR="00A0660F">
        <w:rPr>
          <w:i/>
        </w:rPr>
        <w:t xml:space="preserve"> </w:t>
      </w:r>
      <w:r w:rsidR="00A0660F">
        <w:t>(1867)</w:t>
      </w:r>
      <w:r w:rsidR="00C017EA">
        <w:t xml:space="preserve">, revealing in the midst of her </w:t>
      </w:r>
      <w:r w:rsidR="00B35C89">
        <w:t xml:space="preserve">brief </w:t>
      </w:r>
      <w:r w:rsidR="00820FF5">
        <w:t>engagement to</w:t>
      </w:r>
      <w:r w:rsidR="00C017EA">
        <w:t xml:space="preserve"> Adolphus Crosbie ‘almost a desire</w:t>
      </w:r>
      <w:r w:rsidR="00264DB1">
        <w:t xml:space="preserve"> for things to go wrong’ (</w:t>
      </w:r>
      <w:r w:rsidR="00C017EA">
        <w:t xml:space="preserve">57), since the level of intensity cannot be expected to last. Trollope’s men are </w:t>
      </w:r>
      <w:r w:rsidR="00805F94">
        <w:t>equally</w:t>
      </w:r>
      <w:r w:rsidR="00C017EA">
        <w:t xml:space="preserve"> prone to self-sabotage. Consider</w:t>
      </w:r>
      <w:r w:rsidR="00C017EA" w:rsidRPr="004E1F22">
        <w:t xml:space="preserve"> Mr Crawley </w:t>
      </w:r>
      <w:r w:rsidR="00C017EA">
        <w:t xml:space="preserve">(in </w:t>
      </w:r>
      <w:r w:rsidR="00C017EA">
        <w:rPr>
          <w:i/>
        </w:rPr>
        <w:t xml:space="preserve">The Last </w:t>
      </w:r>
      <w:r w:rsidR="00C017EA" w:rsidRPr="00B30D0E">
        <w:rPr>
          <w:i/>
        </w:rPr>
        <w:t>Chronicle</w:t>
      </w:r>
      <w:r w:rsidR="00C017EA">
        <w:t xml:space="preserve">) </w:t>
      </w:r>
      <w:r w:rsidR="00C017EA" w:rsidRPr="00B30D0E">
        <w:t>with</w:t>
      </w:r>
      <w:r w:rsidR="00C017EA" w:rsidRPr="004E1F22">
        <w:t xml:space="preserve"> his perverse hostility to good fortune and nostalgia for bad’ (85); or Septimus Harding </w:t>
      </w:r>
      <w:r w:rsidR="00C017EA">
        <w:t>(the hero</w:t>
      </w:r>
      <w:r w:rsidR="00802B6C">
        <w:t>, if that is the word,</w:t>
      </w:r>
      <w:r w:rsidR="00C017EA">
        <w:t xml:space="preserve"> of </w:t>
      </w:r>
      <w:r w:rsidR="00C017EA">
        <w:rPr>
          <w:i/>
        </w:rPr>
        <w:t xml:space="preserve">The </w:t>
      </w:r>
      <w:r w:rsidR="00C017EA" w:rsidRPr="00B30D0E">
        <w:rPr>
          <w:i/>
        </w:rPr>
        <w:t>Warden</w:t>
      </w:r>
      <w:r w:rsidR="00C017EA">
        <w:rPr>
          <w:i/>
        </w:rPr>
        <w:t xml:space="preserve"> </w:t>
      </w:r>
      <w:r w:rsidR="00C017EA">
        <w:t xml:space="preserve">[1855]) </w:t>
      </w:r>
      <w:r w:rsidR="00B35C89">
        <w:t>who</w:t>
      </w:r>
      <w:r w:rsidR="00264DB1">
        <w:t>se ‘excessive sensitivity’ (22) leads him to</w:t>
      </w:r>
      <w:r w:rsidR="00B7022E">
        <w:t xml:space="preserve"> resign</w:t>
      </w:r>
      <w:r w:rsidR="00C017EA">
        <w:t xml:space="preserve"> </w:t>
      </w:r>
      <w:r w:rsidR="00C017EA" w:rsidRPr="004E1F22">
        <w:t>his</w:t>
      </w:r>
      <w:r w:rsidR="00B7022E">
        <w:t xml:space="preserve"> interest in the w</w:t>
      </w:r>
      <w:r w:rsidR="00C017EA">
        <w:t xml:space="preserve">ardenship of Hiram’s Hospital </w:t>
      </w:r>
      <w:r w:rsidR="00B35C89">
        <w:t>though</w:t>
      </w:r>
      <w:r w:rsidR="00C017EA" w:rsidRPr="004E1F22">
        <w:t xml:space="preserve"> the Church </w:t>
      </w:r>
      <w:r w:rsidR="00B35C89">
        <w:t>and</w:t>
      </w:r>
      <w:r w:rsidR="00C017EA">
        <w:t xml:space="preserve"> the law </w:t>
      </w:r>
      <w:r w:rsidR="00B35C89">
        <w:t xml:space="preserve">seem set </w:t>
      </w:r>
      <w:r w:rsidR="00C017EA" w:rsidRPr="004E1F22">
        <w:t xml:space="preserve">to </w:t>
      </w:r>
      <w:r w:rsidR="00C60285">
        <w:t>confirm his entitlement</w:t>
      </w:r>
      <w:r w:rsidR="00264DB1">
        <w:t>; or</w:t>
      </w:r>
      <w:r w:rsidR="00C017EA">
        <w:t xml:space="preserve"> </w:t>
      </w:r>
      <w:r w:rsidR="00C017EA" w:rsidRPr="004E1F22">
        <w:t>Phineas Finn</w:t>
      </w:r>
      <w:r w:rsidR="00264DB1">
        <w:t>,</w:t>
      </w:r>
      <w:r w:rsidR="00C017EA" w:rsidRPr="004E1F22">
        <w:t xml:space="preserve"> declining Madame Max Goestler’s offer of </w:t>
      </w:r>
      <w:r w:rsidR="00C017EA">
        <w:t>herself and her financial support for his</w:t>
      </w:r>
      <w:r w:rsidR="00C017EA" w:rsidRPr="004E1F22">
        <w:t xml:space="preserve"> parliamentary career to marry </w:t>
      </w:r>
      <w:r w:rsidR="00CD31BA">
        <w:t xml:space="preserve">instead </w:t>
      </w:r>
      <w:r w:rsidR="00C017EA" w:rsidRPr="004E1F22">
        <w:t xml:space="preserve">the sweet </w:t>
      </w:r>
      <w:r w:rsidR="00C017EA">
        <w:t xml:space="preserve">Irish girl, Mary Flood Jones: </w:t>
      </w:r>
      <w:r w:rsidR="00C017EA" w:rsidRPr="004E1F22">
        <w:t>‘His first feeling, I thi</w:t>
      </w:r>
      <w:r w:rsidR="00C017EA">
        <w:t>nk, was one of pure and utter disappointment’ (</w:t>
      </w:r>
      <w:r w:rsidR="00C017EA">
        <w:rPr>
          <w:i/>
        </w:rPr>
        <w:t>Phineas Finn</w:t>
      </w:r>
      <w:r w:rsidR="00C017EA">
        <w:t xml:space="preserve"> [1869]</w:t>
      </w:r>
      <w:r w:rsidR="00C017EA" w:rsidRPr="004E1F22">
        <w:t>, cited 150).</w:t>
      </w:r>
    </w:p>
    <w:p w14:paraId="6A3F8827" w14:textId="68A0CBD7" w:rsidR="00374486" w:rsidRDefault="00C017EA" w:rsidP="00B7022E">
      <w:pPr>
        <w:ind w:firstLine="720"/>
      </w:pPr>
      <w:r>
        <w:t>T</w:t>
      </w:r>
      <w:r w:rsidR="005816EF">
        <w:t xml:space="preserve">here are distinct psychologies </w:t>
      </w:r>
      <w:r>
        <w:t>at work i</w:t>
      </w:r>
      <w:r w:rsidR="00C60285">
        <w:t>n these examples</w:t>
      </w:r>
      <w:r w:rsidR="000B0779">
        <w:t>. Only Harding</w:t>
      </w:r>
      <w:r w:rsidR="00F12415">
        <w:t xml:space="preserve"> is in any degree </w:t>
      </w:r>
      <w:r w:rsidR="00C05970">
        <w:t>a moral exemplum</w:t>
      </w:r>
      <w:r w:rsidR="00F12415">
        <w:t xml:space="preserve">, </w:t>
      </w:r>
      <w:r w:rsidR="005816EF">
        <w:t>‘</w:t>
      </w:r>
      <w:r w:rsidR="00820FF5">
        <w:t>inner compulsion</w:t>
      </w:r>
      <w:r w:rsidR="005816EF">
        <w:t>’</w:t>
      </w:r>
      <w:r w:rsidR="00091340">
        <w:t xml:space="preserve"> in his case</w:t>
      </w:r>
      <w:r w:rsidR="00820FF5">
        <w:t xml:space="preserve"> being, clearly,</w:t>
      </w:r>
      <w:r w:rsidR="00F12415">
        <w:t xml:space="preserve"> </w:t>
      </w:r>
      <w:r w:rsidR="00B07F9B">
        <w:t>‘</w:t>
      </w:r>
      <w:r w:rsidR="00F12415">
        <w:t>conscience</w:t>
      </w:r>
      <w:r w:rsidR="00B07F9B">
        <w:t>’</w:t>
      </w:r>
      <w:r w:rsidR="00BE3CB5">
        <w:t>.</w:t>
      </w:r>
      <w:r w:rsidR="000B0779">
        <w:t xml:space="preserve"> The other </w:t>
      </w:r>
      <w:r w:rsidR="00805F94">
        <w:t>examples</w:t>
      </w:r>
      <w:r w:rsidR="00F12415">
        <w:t xml:space="preserve"> </w:t>
      </w:r>
      <w:r w:rsidR="00802B6C">
        <w:t>less</w:t>
      </w:r>
      <w:r w:rsidR="005816EF">
        <w:t xml:space="preserve"> plainly have to do with morals</w:t>
      </w:r>
      <w:r w:rsidR="00CD31BA">
        <w:t xml:space="preserve"> (and even in Harding’s case the priority of morality might be disputed).</w:t>
      </w:r>
      <w:r w:rsidR="008D4ACD">
        <w:t xml:space="preserve"> </w:t>
      </w:r>
      <w:r w:rsidR="00AF46AF">
        <w:t>They have little</w:t>
      </w:r>
      <w:r w:rsidR="001D72E1">
        <w:t>, also,</w:t>
      </w:r>
      <w:r w:rsidR="00AF46AF">
        <w:t xml:space="preserve"> to do with Christian principle or sentiment</w:t>
      </w:r>
      <w:r w:rsidR="001D72E1">
        <w:t>,</w:t>
      </w:r>
      <w:r w:rsidR="00AF46AF">
        <w:t xml:space="preserve"> Trollope’s interest i</w:t>
      </w:r>
      <w:r w:rsidR="00F37312">
        <w:t xml:space="preserve">n the </w:t>
      </w:r>
      <w:r w:rsidR="00791E31">
        <w:t xml:space="preserve">church </w:t>
      </w:r>
      <w:r w:rsidR="001D72E1">
        <w:t>being</w:t>
      </w:r>
      <w:r w:rsidR="00F37312">
        <w:t xml:space="preserve"> </w:t>
      </w:r>
      <w:r w:rsidR="009D7CEE">
        <w:t>famous</w:t>
      </w:r>
      <w:r w:rsidR="001D72E1">
        <w:t>ly secular (</w:t>
      </w:r>
      <w:r w:rsidR="00791E31">
        <w:t xml:space="preserve">his subject </w:t>
      </w:r>
      <w:r w:rsidR="001D72E1">
        <w:t>was</w:t>
      </w:r>
      <w:r w:rsidR="00791E31">
        <w:t xml:space="preserve"> the social life of the clergy not their theology</w:t>
      </w:r>
      <w:r w:rsidR="001D72E1">
        <w:t>)</w:t>
      </w:r>
      <w:r w:rsidR="00791E31">
        <w:t>.</w:t>
      </w:r>
      <w:r w:rsidR="00AF46AF">
        <w:t xml:space="preserve"> </w:t>
      </w:r>
      <w:r w:rsidR="00456AFD">
        <w:t xml:space="preserve">In </w:t>
      </w:r>
      <w:r w:rsidR="00791E31">
        <w:t>all of these cases</w:t>
      </w:r>
      <w:r w:rsidR="00456AFD">
        <w:t>, ‘f</w:t>
      </w:r>
      <w:r w:rsidR="008D4ACD">
        <w:t>eelings’,</w:t>
      </w:r>
      <w:r w:rsidR="00805F94">
        <w:t xml:space="preserve"> ‘desire’</w:t>
      </w:r>
      <w:r w:rsidR="008D4ACD">
        <w:t xml:space="preserve">, </w:t>
      </w:r>
      <w:r w:rsidR="00CD31BA">
        <w:t xml:space="preserve">‘will’ </w:t>
      </w:r>
      <w:r w:rsidR="00292950">
        <w:t>(</w:t>
      </w:r>
      <w:r w:rsidR="00F12415">
        <w:t>Wall’s choice</w:t>
      </w:r>
      <w:r w:rsidR="00CD31BA">
        <w:t xml:space="preserve"> of word) </w:t>
      </w:r>
      <w:r w:rsidR="00456AFD">
        <w:t>seem like</w:t>
      </w:r>
      <w:r w:rsidR="00BE3CB5">
        <w:t xml:space="preserve"> placeholders for a</w:t>
      </w:r>
      <w:r w:rsidR="000B0779">
        <w:t xml:space="preserve"> </w:t>
      </w:r>
      <w:r w:rsidR="001D72E1">
        <w:t xml:space="preserve">clearer </w:t>
      </w:r>
      <w:r w:rsidR="000B0779">
        <w:t>psychological explanation</w:t>
      </w:r>
      <w:r w:rsidR="00AE3556">
        <w:t xml:space="preserve"> not </w:t>
      </w:r>
      <w:r w:rsidR="00292950">
        <w:t>on offer</w:t>
      </w:r>
      <w:r w:rsidR="00805F94">
        <w:t xml:space="preserve"> in the novels</w:t>
      </w:r>
      <w:r w:rsidR="00963A8D">
        <w:t>.</w:t>
      </w:r>
      <w:r w:rsidR="00F57916">
        <w:t xml:space="preserve"> (One of the con</w:t>
      </w:r>
      <w:r w:rsidR="006725EB">
        <w:t>s</w:t>
      </w:r>
      <w:r w:rsidR="00F57916">
        <w:t xml:space="preserve">traints on </w:t>
      </w:r>
      <w:r w:rsidR="004B7362">
        <w:t>Trol</w:t>
      </w:r>
      <w:r w:rsidR="006725EB">
        <w:t>l</w:t>
      </w:r>
      <w:r w:rsidR="004B7362">
        <w:t>ope criticism</w:t>
      </w:r>
      <w:r w:rsidR="00F57916">
        <w:t xml:space="preserve"> is that his own language plainly guides us towards moral rather than deep-psychological explanations. There is little encouragement to read him</w:t>
      </w:r>
      <w:r w:rsidR="00FD32CB">
        <w:t>, for example,</w:t>
      </w:r>
      <w:r w:rsidR="00F57916">
        <w:t xml:space="preserve"> as one can C</w:t>
      </w:r>
      <w:r w:rsidR="00FD32CB">
        <w:t xml:space="preserve">harlotte Brontë or George Eliot </w:t>
      </w:r>
      <w:r w:rsidR="004B7362">
        <w:t>for signs of engagement</w:t>
      </w:r>
      <w:r w:rsidR="00F57916">
        <w:t xml:space="preserve"> with contemporary </w:t>
      </w:r>
      <w:r w:rsidR="004B7362">
        <w:t>ideas about</w:t>
      </w:r>
      <w:r w:rsidR="00F57916">
        <w:t xml:space="preserve"> unconscious volition.)</w:t>
      </w:r>
      <w:r w:rsidR="00963A8D">
        <w:t xml:space="preserve"> </w:t>
      </w:r>
      <w:r w:rsidR="006725EB">
        <w:t>Amanda Anderson rightly observes that Trollope deals in ‘recalcitrant psychologies’: characters who ‘seem obsessively dedicated to, or trapped by, their own psychological postures, which in themselves often express an excessive or unreflective relation to a position or principle that cannot be relinquished.’</w:t>
      </w:r>
      <w:r w:rsidR="006725EB">
        <w:rPr>
          <w:rStyle w:val="FootnoteReference"/>
        </w:rPr>
        <w:footnoteReference w:id="6"/>
      </w:r>
      <w:r w:rsidR="006725EB">
        <w:t xml:space="preserve"> </w:t>
      </w:r>
      <w:r w:rsidR="00B07F9B">
        <w:t>The sympathy they at</w:t>
      </w:r>
      <w:r w:rsidR="005D5531">
        <w:t>tract can</w:t>
      </w:r>
      <w:r w:rsidR="008D4ACD">
        <w:t xml:space="preserve">, for that reason, </w:t>
      </w:r>
      <w:r w:rsidR="00821B7E">
        <w:t>feel</w:t>
      </w:r>
      <w:r w:rsidR="005D5531">
        <w:t xml:space="preserve"> </w:t>
      </w:r>
      <w:r w:rsidR="004B1366">
        <w:t>paradoxical</w:t>
      </w:r>
      <w:r w:rsidR="00B07F9B">
        <w:t>. When they</w:t>
      </w:r>
      <w:r w:rsidR="00B35C89">
        <w:t xml:space="preserve"> go ‘aga</w:t>
      </w:r>
      <w:r w:rsidR="00CD114A">
        <w:t xml:space="preserve">inst self-interest’, </w:t>
      </w:r>
      <w:r w:rsidR="00B35C89">
        <w:t xml:space="preserve">they not only act </w:t>
      </w:r>
      <w:r w:rsidR="00791E31">
        <w:t xml:space="preserve">in defiance of good reasons and </w:t>
      </w:r>
      <w:r w:rsidR="00275B7E">
        <w:t xml:space="preserve">common </w:t>
      </w:r>
      <w:r w:rsidR="00791E31">
        <w:t>emotional intuitions about how they should want to act</w:t>
      </w:r>
      <w:r w:rsidR="00B35C89">
        <w:t xml:space="preserve">; they go also against a public or quasi-public interest in their actions or choices articulated (in the first place) by other participants in the narrative, but that </w:t>
      </w:r>
      <w:r w:rsidR="009643D9">
        <w:t>is also held to</w:t>
      </w:r>
      <w:r w:rsidR="000A5177">
        <w:t xml:space="preserve"> belong</w:t>
      </w:r>
      <w:r w:rsidR="00B35C89">
        <w:t xml:space="preserve"> to ‘us’ the re</w:t>
      </w:r>
      <w:r w:rsidR="000A5177">
        <w:t>aders of their fictions and</w:t>
      </w:r>
      <w:r w:rsidR="00864E72">
        <w:t xml:space="preserve">, </w:t>
      </w:r>
      <w:r w:rsidR="00091340">
        <w:t xml:space="preserve">as </w:t>
      </w:r>
      <w:r w:rsidR="00B35C89">
        <w:t xml:space="preserve">Trollope </w:t>
      </w:r>
      <w:r w:rsidR="00456AFD">
        <w:t>will sometimes</w:t>
      </w:r>
      <w:r w:rsidR="00091340">
        <w:t xml:space="preserve"> have it</w:t>
      </w:r>
      <w:r w:rsidR="00864E72">
        <w:t xml:space="preserve">, </w:t>
      </w:r>
      <w:r w:rsidR="00C80DE1">
        <w:t>to their author</w:t>
      </w:r>
      <w:r w:rsidR="00374486">
        <w:t>.</w:t>
      </w:r>
    </w:p>
    <w:p w14:paraId="496FD0F7" w14:textId="1D78C5EE" w:rsidR="0076294D" w:rsidRDefault="00920065" w:rsidP="00C60285">
      <w:pPr>
        <w:ind w:firstLine="720"/>
      </w:pPr>
      <w:r>
        <w:t xml:space="preserve">This essay explores the </w:t>
      </w:r>
      <w:r w:rsidR="005D5531">
        <w:t>logic</w:t>
      </w:r>
      <w:r>
        <w:t xml:space="preserve"> of </w:t>
      </w:r>
      <w:r w:rsidR="008F784F">
        <w:t xml:space="preserve">the connection </w:t>
      </w:r>
      <w:r w:rsidR="00CD114A">
        <w:t>posited</w:t>
      </w:r>
      <w:r w:rsidR="008F784F">
        <w:t xml:space="preserve"> by Wall</w:t>
      </w:r>
      <w:r w:rsidR="00802B6C">
        <w:t xml:space="preserve"> between</w:t>
      </w:r>
      <w:r w:rsidR="00C60285">
        <w:t xml:space="preserve"> </w:t>
      </w:r>
      <w:r w:rsidR="00864E72">
        <w:t>going against</w:t>
      </w:r>
      <w:r w:rsidR="00374486">
        <w:t xml:space="preserve"> </w:t>
      </w:r>
      <w:r w:rsidR="00C60285">
        <w:t>self-interest</w:t>
      </w:r>
      <w:r>
        <w:t xml:space="preserve"> and the</w:t>
      </w:r>
      <w:r w:rsidR="00B07F9B">
        <w:t xml:space="preserve"> novelistic</w:t>
      </w:r>
      <w:r>
        <w:t xml:space="preserve"> ‘</w:t>
      </w:r>
      <w:r w:rsidR="008F784F">
        <w:t>apprehension of the real’ (</w:t>
      </w:r>
      <w:r>
        <w:t>388)</w:t>
      </w:r>
      <w:r w:rsidR="008F784F">
        <w:t xml:space="preserve">. I begin by examining, briefly, the role </w:t>
      </w:r>
      <w:r w:rsidR="00745E05">
        <w:t>standardly</w:t>
      </w:r>
      <w:r w:rsidR="008F784F">
        <w:t xml:space="preserve"> afforded to self-interest in histories of the English novel</w:t>
      </w:r>
      <w:r w:rsidR="00AF0B77">
        <w:t xml:space="preserve">, before turning to the </w:t>
      </w:r>
      <w:r w:rsidR="00821B7E">
        <w:t>ill-fitting</w:t>
      </w:r>
      <w:r w:rsidR="006C4744">
        <w:t xml:space="preserve"> </w:t>
      </w:r>
      <w:r w:rsidR="00BE3CB5">
        <w:t>case of</w:t>
      </w:r>
      <w:r w:rsidR="00AF0B77">
        <w:t xml:space="preserve"> Trollope. The peculiar quality and intensity of his resistance to self-interest as </w:t>
      </w:r>
      <w:r w:rsidR="00745E05">
        <w:t>a presumed</w:t>
      </w:r>
      <w:r w:rsidR="00CF59B8">
        <w:t xml:space="preserve"> </w:t>
      </w:r>
      <w:r w:rsidR="00C05970">
        <w:t>motive</w:t>
      </w:r>
      <w:r w:rsidR="00AF0B77">
        <w:t xml:space="preserve"> for action stems</w:t>
      </w:r>
      <w:r w:rsidR="00864E72">
        <w:t xml:space="preserve"> in part </w:t>
      </w:r>
      <w:r w:rsidR="00AF0B77">
        <w:t xml:space="preserve">from his perception of the degree to which </w:t>
      </w:r>
      <w:r w:rsidR="00AE3556">
        <w:t xml:space="preserve">what is called </w:t>
      </w:r>
      <w:r w:rsidR="00AF0B77">
        <w:t>self</w:t>
      </w:r>
      <w:r w:rsidR="003968C4">
        <w:t>-interest</w:t>
      </w:r>
      <w:r w:rsidR="00374486">
        <w:t xml:space="preserve"> </w:t>
      </w:r>
      <w:r w:rsidR="00AF0B77">
        <w:t xml:space="preserve">is </w:t>
      </w:r>
      <w:r w:rsidR="00B07F9B">
        <w:t>often not</w:t>
      </w:r>
      <w:r w:rsidR="00AE3556">
        <w:t xml:space="preserve"> self-generated but </w:t>
      </w:r>
      <w:r w:rsidR="00B07F9B">
        <w:t>externally presented to</w:t>
      </w:r>
      <w:r w:rsidR="00AF0B77">
        <w:t xml:space="preserve"> </w:t>
      </w:r>
      <w:r w:rsidR="00AE3556">
        <w:t>us</w:t>
      </w:r>
      <w:r w:rsidR="00AF0B77">
        <w:t xml:space="preserve"> in</w:t>
      </w:r>
      <w:r w:rsidR="003968C4">
        <w:t xml:space="preserve"> the collective </w:t>
      </w:r>
      <w:r w:rsidR="00AF0B77">
        <w:t xml:space="preserve">view of </w:t>
      </w:r>
      <w:r w:rsidR="005D5531">
        <w:t xml:space="preserve">a person’s </w:t>
      </w:r>
      <w:r w:rsidR="00AF0B77">
        <w:t xml:space="preserve">interests </w:t>
      </w:r>
      <w:r w:rsidR="00B07F9B">
        <w:t>held</w:t>
      </w:r>
      <w:r w:rsidR="00AF0B77">
        <w:t xml:space="preserve"> by others</w:t>
      </w:r>
      <w:r w:rsidR="00374486">
        <w:t xml:space="preserve">, and </w:t>
      </w:r>
      <w:r w:rsidR="00AF0B77">
        <w:t>submitted</w:t>
      </w:r>
      <w:r w:rsidR="00374486">
        <w:t xml:space="preserve"> to</w:t>
      </w:r>
      <w:r w:rsidR="005D5531">
        <w:t xml:space="preserve">, when it </w:t>
      </w:r>
      <w:r w:rsidR="005D5531" w:rsidRPr="00456AFD">
        <w:rPr>
          <w:i/>
        </w:rPr>
        <w:t>is</w:t>
      </w:r>
      <w:r w:rsidR="005D5531">
        <w:t xml:space="preserve"> submitted to,</w:t>
      </w:r>
      <w:r w:rsidR="00374486">
        <w:t xml:space="preserve"> by virtue of </w:t>
      </w:r>
      <w:r w:rsidR="005D5531">
        <w:t>the</w:t>
      </w:r>
      <w:r w:rsidR="00C05970">
        <w:t xml:space="preserve"> individual</w:t>
      </w:r>
      <w:r w:rsidR="00AF0B77">
        <w:t xml:space="preserve"> </w:t>
      </w:r>
      <w:r w:rsidR="00374486">
        <w:t>being part of a family, a society, a social class, a professional grouping</w:t>
      </w:r>
      <w:r>
        <w:t>.</w:t>
      </w:r>
      <w:r w:rsidR="00374486">
        <w:t xml:space="preserve"> For Trollope this external </w:t>
      </w:r>
      <w:r w:rsidR="00AF0B77">
        <w:t>rendering of</w:t>
      </w:r>
      <w:r w:rsidR="00374486">
        <w:t xml:space="preserve"> self-interest has </w:t>
      </w:r>
      <w:r w:rsidR="0039054F">
        <w:t xml:space="preserve">legitimate </w:t>
      </w:r>
      <w:r w:rsidR="00374486">
        <w:t>socia</w:t>
      </w:r>
      <w:r w:rsidR="00AF0B77">
        <w:t xml:space="preserve">l </w:t>
      </w:r>
      <w:r w:rsidR="00B7022E">
        <w:t>effects</w:t>
      </w:r>
      <w:r w:rsidR="005D5531">
        <w:t>. I</w:t>
      </w:r>
      <w:r w:rsidR="00AF0B77">
        <w:t xml:space="preserve">t is one of the main </w:t>
      </w:r>
      <w:r w:rsidR="00F57916">
        <w:t>prompts to</w:t>
      </w:r>
      <w:r w:rsidR="00FD32CB">
        <w:t xml:space="preserve"> plot</w:t>
      </w:r>
      <w:r w:rsidR="00AF0B77">
        <w:t xml:space="preserve">; it is presented to us </w:t>
      </w:r>
      <w:r w:rsidR="00CF59B8">
        <w:t>as a view of interest</w:t>
      </w:r>
      <w:r w:rsidR="00AF0B77">
        <w:t xml:space="preserve"> that we subscribe to in our own lives and would adopt</w:t>
      </w:r>
      <w:r w:rsidR="00CD114A">
        <w:t xml:space="preserve"> were we on </w:t>
      </w:r>
      <w:r w:rsidR="00C05970">
        <w:t>close</w:t>
      </w:r>
      <w:r w:rsidR="00CD114A">
        <w:t xml:space="preserve"> terms with the person concerned</w:t>
      </w:r>
      <w:r w:rsidR="005D5531">
        <w:t>. A</w:t>
      </w:r>
      <w:r w:rsidR="009643D9">
        <w:t xml:space="preserve">nd yet it has, time and again, </w:t>
      </w:r>
      <w:r w:rsidR="00453F54">
        <w:t>in</w:t>
      </w:r>
      <w:r w:rsidR="005D5531">
        <w:t>sufficient</w:t>
      </w:r>
      <w:r w:rsidR="009643D9">
        <w:t xml:space="preserve"> </w:t>
      </w:r>
      <w:r w:rsidR="00E345F6">
        <w:t xml:space="preserve">authority with </w:t>
      </w:r>
      <w:r w:rsidR="00AE3556">
        <w:t>the</w:t>
      </w:r>
      <w:r w:rsidR="00E345F6">
        <w:t xml:space="preserve"> characters</w:t>
      </w:r>
      <w:r w:rsidR="00AE3556">
        <w:t xml:space="preserve"> who attract him</w:t>
      </w:r>
      <w:r w:rsidR="00466A50">
        <w:t>. The</w:t>
      </w:r>
      <w:r w:rsidR="00AF0B77">
        <w:t xml:space="preserve"> Trollopean</w:t>
      </w:r>
      <w:r w:rsidR="00E345F6">
        <w:t xml:space="preserve"> reality effect</w:t>
      </w:r>
      <w:r w:rsidR="00AF0B77">
        <w:t xml:space="preserve"> </w:t>
      </w:r>
      <w:r w:rsidR="001D72E1">
        <w:t xml:space="preserve">as Wall describes it (one of many reality effects, of course) </w:t>
      </w:r>
      <w:r w:rsidR="00AF0B77">
        <w:t>emerges at the point where the individual</w:t>
      </w:r>
      <w:r w:rsidR="00466A50">
        <w:t xml:space="preserve"> </w:t>
      </w:r>
      <w:r w:rsidR="00AF0B77">
        <w:t>pits themselv</w:t>
      </w:r>
      <w:r w:rsidR="00B7022E">
        <w:t xml:space="preserve">es against the collective view </w:t>
      </w:r>
      <w:r w:rsidR="00AF0B77">
        <w:t xml:space="preserve">and against our supposed share in it as readers—generating, in the process, </w:t>
      </w:r>
      <w:r w:rsidR="00671CB1">
        <w:t>some</w:t>
      </w:r>
      <w:r w:rsidR="00FD0BB0">
        <w:t xml:space="preserve"> </w:t>
      </w:r>
      <w:r w:rsidR="00864E72">
        <w:t>strikingly</w:t>
      </w:r>
      <w:r w:rsidR="00FD0BB0">
        <w:t xml:space="preserve"> </w:t>
      </w:r>
      <w:r w:rsidR="00C61D55">
        <w:t>contrarian</w:t>
      </w:r>
      <w:r w:rsidR="009643D9">
        <w:t xml:space="preserve"> </w:t>
      </w:r>
      <w:r w:rsidR="00821B7E">
        <w:t xml:space="preserve">statements of Trollope’s </w:t>
      </w:r>
      <w:r w:rsidR="00456AFD">
        <w:t xml:space="preserve">imagined </w:t>
      </w:r>
      <w:r w:rsidR="00821B7E">
        <w:t xml:space="preserve">relation to his </w:t>
      </w:r>
      <w:r w:rsidR="00C61D55">
        <w:t xml:space="preserve">own characters and </w:t>
      </w:r>
      <w:r w:rsidR="009643D9">
        <w:t xml:space="preserve">his </w:t>
      </w:r>
      <w:r w:rsidR="00453F54">
        <w:t xml:space="preserve">first </w:t>
      </w:r>
      <w:r w:rsidR="009643D9">
        <w:t>readers</w:t>
      </w:r>
      <w:r w:rsidR="00821B7E">
        <w:t>.</w:t>
      </w:r>
      <w:r w:rsidR="00671CB1">
        <w:t xml:space="preserve"> </w:t>
      </w:r>
      <w:r w:rsidR="00453F54">
        <w:t>(</w:t>
      </w:r>
      <w:r w:rsidR="00821B7E">
        <w:t>T</w:t>
      </w:r>
      <w:r w:rsidR="005D5531">
        <w:t>his is not</w:t>
      </w:r>
      <w:r w:rsidR="00671CB1">
        <w:t xml:space="preserve"> Dickens’s model of his readership as </w:t>
      </w:r>
      <w:r w:rsidR="00453F54">
        <w:t>an</w:t>
      </w:r>
      <w:r w:rsidR="00671CB1">
        <w:t xml:space="preserve"> extended version of private or f</w:t>
      </w:r>
      <w:r w:rsidR="00453F54">
        <w:t xml:space="preserve">amilial reading, </w:t>
      </w:r>
      <w:r w:rsidR="005D5531">
        <w:t>nor</w:t>
      </w:r>
      <w:r w:rsidR="00453F54">
        <w:t xml:space="preserve"> Eliot</w:t>
      </w:r>
      <w:r w:rsidR="005D5531">
        <w:t>’s of reading as a means to extending the reluctant sympathies of ordinary men and women to a wider portion of humanity</w:t>
      </w:r>
      <w:r w:rsidR="00671CB1">
        <w:t>)</w:t>
      </w:r>
      <w:r w:rsidR="00374486">
        <w:t>.</w:t>
      </w:r>
      <w:r w:rsidR="004B0336">
        <w:t xml:space="preserve"> </w:t>
      </w:r>
      <w:r w:rsidR="00B35C89">
        <w:t xml:space="preserve">In part </w:t>
      </w:r>
      <w:r w:rsidR="0035385F">
        <w:t>my aim is</w:t>
      </w:r>
      <w:r w:rsidR="00B35C89">
        <w:t xml:space="preserve"> to try to</w:t>
      </w:r>
      <w:r w:rsidR="00B35C89">
        <w:rPr>
          <w:b/>
        </w:rPr>
        <w:t xml:space="preserve"> </w:t>
      </w:r>
      <w:r w:rsidR="00671CB1">
        <w:t xml:space="preserve">connect up </w:t>
      </w:r>
      <w:r w:rsidR="00374486">
        <w:t xml:space="preserve">Wall’s insights </w:t>
      </w:r>
      <w:r w:rsidR="00B35C89" w:rsidRPr="003968C4">
        <w:t xml:space="preserve">with </w:t>
      </w:r>
      <w:r w:rsidR="00CF59B8">
        <w:t>wider theories of realism</w:t>
      </w:r>
      <w:r w:rsidR="00374486">
        <w:t xml:space="preserve"> and </w:t>
      </w:r>
      <w:r w:rsidR="00821B7E">
        <w:t>more</w:t>
      </w:r>
      <w:r w:rsidR="0035385F">
        <w:t xml:space="preserve"> recent </w:t>
      </w:r>
      <w:r w:rsidR="00CF59B8">
        <w:t xml:space="preserve">thinking </w:t>
      </w:r>
      <w:r w:rsidR="0035385F">
        <w:t xml:space="preserve">about </w:t>
      </w:r>
      <w:r w:rsidR="0039054F">
        <w:t xml:space="preserve">Victorian </w:t>
      </w:r>
      <w:r w:rsidR="008E0502">
        <w:t>ideas of</w:t>
      </w:r>
      <w:r w:rsidR="0039054F">
        <w:t xml:space="preserve"> self-interest</w:t>
      </w:r>
      <w:r w:rsidR="00264DB1">
        <w:t xml:space="preserve">; </w:t>
      </w:r>
      <w:r w:rsidR="003968C4">
        <w:t>prima</w:t>
      </w:r>
      <w:r w:rsidR="003E49DF">
        <w:t>rily I want to try to fathom</w:t>
      </w:r>
      <w:r w:rsidR="003968C4">
        <w:t xml:space="preserve"> </w:t>
      </w:r>
      <w:r w:rsidR="00FD0BB0">
        <w:t xml:space="preserve">how and </w:t>
      </w:r>
      <w:r w:rsidR="003968C4">
        <w:t xml:space="preserve">why, as Wall </w:t>
      </w:r>
      <w:r w:rsidR="0042597A">
        <w:t>perceived</w:t>
      </w:r>
      <w:r w:rsidR="000F520C">
        <w:t xml:space="preserve">, </w:t>
      </w:r>
      <w:r w:rsidR="00466A50">
        <w:t>the pressure Trollope places ‘against self-interest, even against self-respect’</w:t>
      </w:r>
      <w:r w:rsidR="001A43A0">
        <w:t xml:space="preserve"> </w:t>
      </w:r>
      <w:r w:rsidR="00FD0BB0">
        <w:t xml:space="preserve">should </w:t>
      </w:r>
      <w:r w:rsidR="00C61D55">
        <w:t xml:space="preserve">be </w:t>
      </w:r>
      <w:r w:rsidR="005D5531">
        <w:t>deemed</w:t>
      </w:r>
      <w:r w:rsidR="00C61D55">
        <w:t xml:space="preserve"> to </w:t>
      </w:r>
      <w:r w:rsidR="00D805D6">
        <w:t xml:space="preserve">generate a reality </w:t>
      </w:r>
      <w:r w:rsidR="00FD0BB0">
        <w:t xml:space="preserve">effect </w:t>
      </w:r>
      <w:r w:rsidR="00C61D55">
        <w:t xml:space="preserve">at once </w:t>
      </w:r>
      <w:r w:rsidR="00FD0BB0">
        <w:t xml:space="preserve">peculiarly </w:t>
      </w:r>
      <w:r w:rsidR="00864E72">
        <w:t>strong</w:t>
      </w:r>
      <w:r w:rsidR="00C61D55">
        <w:t xml:space="preserve"> and </w:t>
      </w:r>
      <w:r w:rsidR="00105066">
        <w:t>at odds with</w:t>
      </w:r>
      <w:r w:rsidR="00C61D55">
        <w:t xml:space="preserve"> the </w:t>
      </w:r>
      <w:r w:rsidR="00105066">
        <w:t xml:space="preserve">dominant </w:t>
      </w:r>
      <w:r w:rsidR="00C61D55">
        <w:t>traditions of English realism</w:t>
      </w:r>
      <w:r w:rsidR="00745E05">
        <w:t>.</w:t>
      </w:r>
    </w:p>
    <w:p w14:paraId="2F01FD04" w14:textId="77777777" w:rsidR="00583EF3" w:rsidRDefault="00583EF3" w:rsidP="00C60285">
      <w:pPr>
        <w:ind w:firstLine="720"/>
      </w:pPr>
    </w:p>
    <w:p w14:paraId="7A544450" w14:textId="0DCDA44E" w:rsidR="00583EF3" w:rsidRDefault="00583EF3" w:rsidP="00583EF3">
      <w:pPr>
        <w:ind w:firstLine="720"/>
        <w:jc w:val="center"/>
      </w:pPr>
      <w:r>
        <w:t>*</w:t>
      </w:r>
    </w:p>
    <w:p w14:paraId="538AD5D6" w14:textId="77777777" w:rsidR="00A62BDD" w:rsidRDefault="00A62BDD" w:rsidP="00A62BDD"/>
    <w:p w14:paraId="4A1F7E27" w14:textId="0B0659B4" w:rsidR="00F94F3D" w:rsidRDefault="00E4160A" w:rsidP="00A62BDD">
      <w:r>
        <w:t xml:space="preserve">That the English </w:t>
      </w:r>
      <w:r w:rsidR="00AE3556">
        <w:t xml:space="preserve">realist </w:t>
      </w:r>
      <w:r>
        <w:t xml:space="preserve">novel </w:t>
      </w:r>
      <w:r w:rsidR="00810E9B">
        <w:t xml:space="preserve">was from its </w:t>
      </w:r>
      <w:r w:rsidR="00A17B3C">
        <w:t>eighteenth-century ‘</w:t>
      </w:r>
      <w:r w:rsidR="00810E9B">
        <w:t>origins</w:t>
      </w:r>
      <w:r w:rsidR="00A17B3C">
        <w:t>’</w:t>
      </w:r>
      <w:r w:rsidR="008457B8">
        <w:t xml:space="preserve"> closely </w:t>
      </w:r>
      <w:r w:rsidR="009B7A42">
        <w:t xml:space="preserve">allied </w:t>
      </w:r>
      <w:r w:rsidR="008457B8">
        <w:t>with the development</w:t>
      </w:r>
      <w:r w:rsidR="00810E9B">
        <w:t xml:space="preserve"> of </w:t>
      </w:r>
      <w:r w:rsidR="00E573D4">
        <w:t>individualism</w:t>
      </w:r>
      <w:r w:rsidR="00810E9B">
        <w:t xml:space="preserve"> is a</w:t>
      </w:r>
      <w:r w:rsidR="008457B8">
        <w:t xml:space="preserve"> </w:t>
      </w:r>
      <w:r w:rsidR="00CD114A">
        <w:t>familiar</w:t>
      </w:r>
      <w:r w:rsidR="008457B8">
        <w:t xml:space="preserve"> </w:t>
      </w:r>
      <w:r w:rsidR="00C60285">
        <w:t xml:space="preserve">enough </w:t>
      </w:r>
      <w:r w:rsidR="006F218C">
        <w:t xml:space="preserve">(and </w:t>
      </w:r>
      <w:r w:rsidR="00947A6C">
        <w:t>much debated</w:t>
      </w:r>
      <w:r w:rsidR="006F218C">
        <w:t xml:space="preserve">) </w:t>
      </w:r>
      <w:r w:rsidR="00947A6C">
        <w:t>contention</w:t>
      </w:r>
      <w:r w:rsidR="008457B8">
        <w:t xml:space="preserve">. </w:t>
      </w:r>
      <w:r w:rsidR="00E573D4">
        <w:t xml:space="preserve">But self-interest, though </w:t>
      </w:r>
      <w:r w:rsidR="00947A6C">
        <w:t xml:space="preserve">logically </w:t>
      </w:r>
      <w:r w:rsidR="00E573D4">
        <w:t>connected to the idea of the individual</w:t>
      </w:r>
      <w:r w:rsidR="005D0C9F">
        <w:t xml:space="preserve"> and roughly contemporaneous with it in linguistic appearance</w:t>
      </w:r>
      <w:r w:rsidR="001D72E1">
        <w:t>,</w:t>
      </w:r>
      <w:r w:rsidR="005D0C9F">
        <w:rPr>
          <w:rStyle w:val="FootnoteReference"/>
        </w:rPr>
        <w:footnoteReference w:id="7"/>
      </w:r>
      <w:r w:rsidR="00E573D4">
        <w:t xml:space="preserve"> is a somewhat more specific notion</w:t>
      </w:r>
      <w:r w:rsidR="00947A6C">
        <w:t>—</w:t>
      </w:r>
      <w:r w:rsidR="00E55C74">
        <w:t xml:space="preserve">at least a more </w:t>
      </w:r>
      <w:r w:rsidR="00947A6C">
        <w:t xml:space="preserve">philosophically </w:t>
      </w:r>
      <w:r w:rsidR="00E55C74">
        <w:t>nuanced one</w:t>
      </w:r>
      <w:r w:rsidR="00E573D4">
        <w:t xml:space="preserve">. </w:t>
      </w:r>
      <w:r w:rsidR="005D0C9F">
        <w:t>The identific</w:t>
      </w:r>
      <w:r w:rsidR="00947A6C">
        <w:t>ation of personal interests was and still is</w:t>
      </w:r>
      <w:r w:rsidR="005D0C9F">
        <w:t xml:space="preserve"> </w:t>
      </w:r>
      <w:r w:rsidR="00583EF3">
        <w:t xml:space="preserve">construed as </w:t>
      </w:r>
      <w:r w:rsidR="005D0C9F">
        <w:t>at once an ob</w:t>
      </w:r>
      <w:r w:rsidR="00E55C74">
        <w:t xml:space="preserve">jective and </w:t>
      </w:r>
      <w:r w:rsidR="004843E8">
        <w:t>a subjective matter,</w:t>
      </w:r>
      <w:r w:rsidR="00E55C74">
        <w:t xml:space="preserve"> </w:t>
      </w:r>
      <w:r w:rsidR="009D7CEE">
        <w:t>with</w:t>
      </w:r>
      <w:r w:rsidR="00295AC8">
        <w:t xml:space="preserve"> the underlying concept of</w:t>
      </w:r>
      <w:r w:rsidR="009D7CEE">
        <w:t xml:space="preserve"> ‘interest’ a focus</w:t>
      </w:r>
      <w:r w:rsidR="00E55C74">
        <w:t xml:space="preserve"> of </w:t>
      </w:r>
      <w:r w:rsidR="00295AC8">
        <w:t>continual</w:t>
      </w:r>
      <w:r w:rsidR="00E55C74">
        <w:t xml:space="preserve"> debate </w:t>
      </w:r>
      <w:r w:rsidR="00295AC8">
        <w:t>as to</w:t>
      </w:r>
      <w:r w:rsidR="00E55C74">
        <w:t xml:space="preserve"> the extent of its rationality, </w:t>
      </w:r>
      <w:r w:rsidR="00583EF3">
        <w:t xml:space="preserve">and </w:t>
      </w:r>
      <w:r w:rsidR="00E55C74">
        <w:t xml:space="preserve">the degree to which it produces positive material and moral </w:t>
      </w:r>
      <w:r w:rsidR="001D72E1">
        <w:rPr>
          <w:sz w:val="26"/>
        </w:rPr>
        <w:t>‘</w:t>
      </w:r>
      <w:r w:rsidR="00E55C74">
        <w:t>outcomes</w:t>
      </w:r>
      <w:r w:rsidR="001D72E1">
        <w:t>’</w:t>
      </w:r>
      <w:r w:rsidR="00E55C74">
        <w:t xml:space="preserve"> for society and for the individual.</w:t>
      </w:r>
      <w:r w:rsidR="00E55C74">
        <w:rPr>
          <w:rStyle w:val="FootnoteReference"/>
        </w:rPr>
        <w:footnoteReference w:id="8"/>
      </w:r>
      <w:r w:rsidR="00947A6C">
        <w:t xml:space="preserve"> The wide appeal of the idea </w:t>
      </w:r>
      <w:r w:rsidR="009D7CEE">
        <w:t xml:space="preserve">of self-interest </w:t>
      </w:r>
      <w:r w:rsidR="00947A6C">
        <w:t xml:space="preserve">for Enlightenment thinkers arose, as John Bender </w:t>
      </w:r>
      <w:r w:rsidR="00275B7E">
        <w:t>notes</w:t>
      </w:r>
      <w:r w:rsidR="00947A6C">
        <w:t xml:space="preserve">, from its perceived ability to ‘mediate’ between reason and passion </w:t>
      </w:r>
      <w:r w:rsidR="00562AE5">
        <w:t xml:space="preserve">(subsequently between reason and emotion) </w:t>
      </w:r>
      <w:r w:rsidR="00947A6C">
        <w:t xml:space="preserve">as the supposed </w:t>
      </w:r>
      <w:r w:rsidR="00F57916">
        <w:t>drivers to</w:t>
      </w:r>
      <w:r w:rsidR="00947A6C">
        <w:t xml:space="preserve"> the pursuit of </w:t>
      </w:r>
      <w:r w:rsidR="004843E8">
        <w:t>‘</w:t>
      </w:r>
      <w:r w:rsidR="00947A6C">
        <w:t>personal objectives</w:t>
      </w:r>
      <w:r w:rsidR="004843E8">
        <w:t>’</w:t>
      </w:r>
      <w:r w:rsidR="00947A6C">
        <w:t>.</w:t>
      </w:r>
      <w:r w:rsidR="00947A6C">
        <w:rPr>
          <w:rStyle w:val="FootnoteReference"/>
        </w:rPr>
        <w:footnoteReference w:id="9"/>
      </w:r>
    </w:p>
    <w:p w14:paraId="38E1524F" w14:textId="2BD55821" w:rsidR="00843419" w:rsidRDefault="00F94F3D" w:rsidP="00947A6C">
      <w:pPr>
        <w:ind w:firstLine="720"/>
      </w:pPr>
      <w:r>
        <w:t>That literary critics should</w:t>
      </w:r>
      <w:r w:rsidR="00662920">
        <w:t xml:space="preserve"> only fairly</w:t>
      </w:r>
      <w:r>
        <w:t xml:space="preserve"> recently</w:t>
      </w:r>
      <w:r w:rsidR="00662920">
        <w:t xml:space="preserve"> have started paying close</w:t>
      </w:r>
      <w:r>
        <w:t xml:space="preserve"> </w:t>
      </w:r>
      <w:r w:rsidR="00662920">
        <w:t>attention</w:t>
      </w:r>
      <w:r>
        <w:t xml:space="preserve"> is</w:t>
      </w:r>
      <w:r w:rsidR="004B1366">
        <w:t>,</w:t>
      </w:r>
      <w:r w:rsidR="00362B20">
        <w:t xml:space="preserve"> as</w:t>
      </w:r>
      <w:r>
        <w:t xml:space="preserve"> </w:t>
      </w:r>
      <w:r w:rsidR="00583EF3">
        <w:t xml:space="preserve">Yota </w:t>
      </w:r>
      <w:r>
        <w:t>Batsaki observes, ‘the more surprising’ given the extent of the concentration on economic individualism as a ke</w:t>
      </w:r>
      <w:r w:rsidR="003206C6">
        <w:t>y</w:t>
      </w:r>
      <w:r>
        <w:t xml:space="preserve"> condition </w:t>
      </w:r>
      <w:r w:rsidR="00662920">
        <w:t xml:space="preserve">for </w:t>
      </w:r>
      <w:r w:rsidR="00583EF3">
        <w:t xml:space="preserve">novelistic </w:t>
      </w:r>
      <w:r w:rsidR="00662920">
        <w:t>realism</w:t>
      </w:r>
      <w:r>
        <w:t>.</w:t>
      </w:r>
      <w:r w:rsidR="003206C6">
        <w:rPr>
          <w:rStyle w:val="FootnoteReference"/>
        </w:rPr>
        <w:footnoteReference w:id="10"/>
      </w:r>
      <w:r>
        <w:t xml:space="preserve"> </w:t>
      </w:r>
      <w:r w:rsidR="00662920">
        <w:t>The assumption that individualism and care for one’s</w:t>
      </w:r>
      <w:r w:rsidR="004B7362">
        <w:t xml:space="preserve"> own</w:t>
      </w:r>
      <w:r w:rsidR="00662920">
        <w:t xml:space="preserve"> </w:t>
      </w:r>
      <w:r w:rsidR="004B7362">
        <w:t>good</w:t>
      </w:r>
      <w:r w:rsidR="00D57EAF">
        <w:t xml:space="preserve"> </w:t>
      </w:r>
      <w:r w:rsidR="00662920">
        <w:t xml:space="preserve">go together </w:t>
      </w:r>
      <w:r w:rsidR="00843419">
        <w:t>might</w:t>
      </w:r>
      <w:r w:rsidR="00662920">
        <w:t xml:space="preserve"> </w:t>
      </w:r>
      <w:r w:rsidR="00583EF3">
        <w:t xml:space="preserve">presumably have </w:t>
      </w:r>
      <w:r w:rsidR="00662920">
        <w:t>be</w:t>
      </w:r>
      <w:r w:rsidR="00583EF3">
        <w:t>en</w:t>
      </w:r>
      <w:r w:rsidR="00662920">
        <w:t xml:space="preserve"> taken as read; but Ian Watt’s </w:t>
      </w:r>
      <w:r w:rsidR="00662920">
        <w:rPr>
          <w:i/>
        </w:rPr>
        <w:t>The Rise of the Novel</w:t>
      </w:r>
      <w:r w:rsidR="00843419">
        <w:t xml:space="preserve"> </w:t>
      </w:r>
      <w:r w:rsidR="005E19DC">
        <w:t>claimed importance for the stronger version</w:t>
      </w:r>
      <w:r w:rsidR="004B1366">
        <w:t xml:space="preserve"> of self-interest </w:t>
      </w:r>
      <w:r w:rsidR="00D57EAF">
        <w:t xml:space="preserve">as </w:t>
      </w:r>
      <w:r w:rsidR="00843419">
        <w:t>vigilant pursuit of personal advantage. Self-interest is, in his acco</w:t>
      </w:r>
      <w:r w:rsidR="00F57916">
        <w:t>unt, a primary historical determinant for</w:t>
      </w:r>
      <w:r w:rsidR="00843419">
        <w:t xml:space="preserve"> the realist novel—to a degree </w:t>
      </w:r>
      <w:r w:rsidR="00843419">
        <w:rPr>
          <w:i/>
        </w:rPr>
        <w:t xml:space="preserve">the </w:t>
      </w:r>
      <w:r w:rsidR="00843419">
        <w:t xml:space="preserve">primary </w:t>
      </w:r>
      <w:r w:rsidR="00F57916">
        <w:t>determinant</w:t>
      </w:r>
      <w:r w:rsidR="00843419">
        <w:t xml:space="preserve">, since for Watt Daniel Defoe usurps the claims of either Bunyan or Richardson to be the first father of the English novel. </w:t>
      </w:r>
      <w:r w:rsidR="00662920">
        <w:t>Defoe was ‘not ashamed to make economic self-interest his major premise in life; he did not think such a premise conflicted either with social or religious values; and nor did his age.’</w:t>
      </w:r>
      <w:r w:rsidR="00662920">
        <w:rPr>
          <w:rStyle w:val="FootnoteReference"/>
        </w:rPr>
        <w:footnoteReference w:id="11"/>
      </w:r>
    </w:p>
    <w:p w14:paraId="5401D6F0" w14:textId="34853531" w:rsidR="005D5531" w:rsidRDefault="0008708E" w:rsidP="0008708E">
      <w:pPr>
        <w:ind w:firstLine="720"/>
      </w:pPr>
      <w:r>
        <w:t>Subsequent theorists of the novel have</w:t>
      </w:r>
      <w:r w:rsidR="0042597A">
        <w:t xml:space="preserve"> disputed</w:t>
      </w:r>
      <w:r w:rsidR="000851BA">
        <w:t xml:space="preserve"> </w:t>
      </w:r>
      <w:r w:rsidR="00745E05">
        <w:rPr>
          <w:i/>
        </w:rPr>
        <w:t>The Rise of the Novel</w:t>
      </w:r>
      <w:r w:rsidR="00745E05">
        <w:t xml:space="preserve">’s </w:t>
      </w:r>
      <w:r w:rsidR="001D72E1">
        <w:t>interpretation on</w:t>
      </w:r>
      <w:r w:rsidR="000851BA">
        <w:t xml:space="preserve"> </w:t>
      </w:r>
      <w:r>
        <w:t>many</w:t>
      </w:r>
      <w:r w:rsidR="000851BA">
        <w:t xml:space="preserve"> counts. T</w:t>
      </w:r>
      <w:r w:rsidR="003C2581">
        <w:t>he</w:t>
      </w:r>
      <w:r w:rsidR="006C1464">
        <w:t xml:space="preserve"> dominance and the generic integrity of realism</w:t>
      </w:r>
      <w:r w:rsidR="000851BA">
        <w:t xml:space="preserve"> have repeatedly been </w:t>
      </w:r>
      <w:r w:rsidR="00354D57">
        <w:t>contest</w:t>
      </w:r>
      <w:r w:rsidR="000851BA">
        <w:t>ed</w:t>
      </w:r>
      <w:r w:rsidR="003E49DF">
        <w:t>,</w:t>
      </w:r>
      <w:r w:rsidR="003C2581">
        <w:t xml:space="preserve"> </w:t>
      </w:r>
      <w:r w:rsidR="00354D57">
        <w:t>as have</w:t>
      </w:r>
      <w:r w:rsidR="000851BA">
        <w:t xml:space="preserve"> </w:t>
      </w:r>
      <w:r w:rsidR="00354D57">
        <w:t xml:space="preserve">the </w:t>
      </w:r>
      <w:r w:rsidR="00736EF3">
        <w:t>association of individualism with ‘the middle class’</w:t>
      </w:r>
      <w:r w:rsidR="003E49DF">
        <w:t xml:space="preserve">, the evenness and completeness of the </w:t>
      </w:r>
      <w:r w:rsidR="00FD0BB0">
        <w:t>assumed move</w:t>
      </w:r>
      <w:r w:rsidR="003E49DF">
        <w:t>ment towa</w:t>
      </w:r>
      <w:r w:rsidR="00745E05">
        <w:t>rds secular modernity</w:t>
      </w:r>
      <w:r>
        <w:t>, and Watt’s assumpti</w:t>
      </w:r>
      <w:r w:rsidR="003E779E">
        <w:t xml:space="preserve">on that the existence of such a </w:t>
      </w:r>
      <w:r w:rsidR="003E50A0">
        <w:t>t</w:t>
      </w:r>
      <w:r>
        <w:t xml:space="preserve">hing as </w:t>
      </w:r>
      <w:r w:rsidR="00275B7E">
        <w:t>an individual self must precede</w:t>
      </w:r>
      <w:r>
        <w:t xml:space="preserve"> its representation</w:t>
      </w:r>
      <w:r w:rsidR="003E49DF" w:rsidRPr="00F25BF9">
        <w:t>.</w:t>
      </w:r>
      <w:r w:rsidR="00420B30">
        <w:rPr>
          <w:rStyle w:val="FootnoteReference"/>
        </w:rPr>
        <w:footnoteReference w:id="12"/>
      </w:r>
      <w:r w:rsidR="003C2581">
        <w:t xml:space="preserve"> </w:t>
      </w:r>
      <w:r w:rsidR="00562AE5">
        <w:t>T</w:t>
      </w:r>
      <w:r w:rsidR="009E4894">
        <w:t>wo (related)</w:t>
      </w:r>
      <w:r w:rsidR="00736EF3">
        <w:t xml:space="preserve"> ground</w:t>
      </w:r>
      <w:r w:rsidR="009E4894">
        <w:t>s of objection have</w:t>
      </w:r>
      <w:r w:rsidR="000851BA">
        <w:t xml:space="preserve"> special relevance here: the </w:t>
      </w:r>
      <w:r w:rsidR="00745E05">
        <w:t>claim</w:t>
      </w:r>
      <w:r w:rsidR="000851BA">
        <w:t xml:space="preserve"> that fictions of individualism</w:t>
      </w:r>
      <w:r w:rsidR="003E779E">
        <w:t xml:space="preserve"> (however refined their treatment of the concept)</w:t>
      </w:r>
      <w:r w:rsidR="000851BA">
        <w:t xml:space="preserve"> are a true </w:t>
      </w:r>
      <w:r w:rsidR="00B87028">
        <w:t>mimesis</w:t>
      </w:r>
      <w:r w:rsidR="000851BA">
        <w:t xml:space="preserve"> of th</w:t>
      </w:r>
      <w:r w:rsidR="00583EF3">
        <w:t>e structures of society and</w:t>
      </w:r>
      <w:r w:rsidR="005D5531">
        <w:t xml:space="preserve"> </w:t>
      </w:r>
      <w:r w:rsidR="000851BA">
        <w:t>processes of history that generat</w:t>
      </w:r>
      <w:r w:rsidR="004459F3">
        <w:t>e them</w:t>
      </w:r>
      <w:r w:rsidR="009E4894">
        <w:t xml:space="preserve">; and the </w:t>
      </w:r>
      <w:r w:rsidR="003E779E">
        <w:t>accent (qualified though it was in Watt) on self-interest</w:t>
      </w:r>
      <w:r w:rsidR="004B1366">
        <w:t>, especially economic self-interest,</w:t>
      </w:r>
      <w:r w:rsidR="003E779E">
        <w:t xml:space="preserve"> </w:t>
      </w:r>
      <w:r w:rsidR="00583EF3">
        <w:t>at the expense of</w:t>
      </w:r>
      <w:r w:rsidR="003E779E">
        <w:t xml:space="preserve"> other ethical motives that may correct or conflict with it—disinterest, altruism, self-sacrifice</w:t>
      </w:r>
      <w:r w:rsidR="009E4894">
        <w:t>.</w:t>
      </w:r>
    </w:p>
    <w:p w14:paraId="41FEBE93" w14:textId="309D8BCB" w:rsidR="002A7170" w:rsidRDefault="004459F3" w:rsidP="00562AE5">
      <w:pPr>
        <w:ind w:firstLine="720"/>
      </w:pPr>
      <w:r>
        <w:t>Unsurprisingly, the strongest expressions of sce</w:t>
      </w:r>
      <w:r w:rsidR="0042597A">
        <w:t>pticism</w:t>
      </w:r>
      <w:r w:rsidR="00A01AE4">
        <w:t xml:space="preserve"> on the first score</w:t>
      </w:r>
      <w:r w:rsidR="0042597A">
        <w:t xml:space="preserve"> </w:t>
      </w:r>
      <w:r w:rsidR="00736EF3">
        <w:t xml:space="preserve">have </w:t>
      </w:r>
      <w:r w:rsidR="008E7563">
        <w:t>come from critics working</w:t>
      </w:r>
      <w:r>
        <w:t xml:space="preserve"> in the Marxist </w:t>
      </w:r>
      <w:r w:rsidR="008E7563">
        <w:t xml:space="preserve">and psychoanalytic </w:t>
      </w:r>
      <w:r>
        <w:t>tradition</w:t>
      </w:r>
      <w:r w:rsidR="008E7563">
        <w:t>s</w:t>
      </w:r>
      <w:r w:rsidR="00562AE5">
        <w:t>, where the</w:t>
      </w:r>
      <w:r w:rsidR="003E50A0">
        <w:t xml:space="preserve">re is strong resistance to the </w:t>
      </w:r>
      <w:r w:rsidR="00562AE5">
        <w:t xml:space="preserve">humanist </w:t>
      </w:r>
      <w:r w:rsidR="003E50A0">
        <w:t>‘</w:t>
      </w:r>
      <w:r w:rsidR="00562AE5">
        <w:t xml:space="preserve">illusion’ </w:t>
      </w:r>
      <w:r w:rsidR="00C70D7E">
        <w:t xml:space="preserve">that the </w:t>
      </w:r>
      <w:r w:rsidR="009E4894">
        <w:t>genre</w:t>
      </w:r>
      <w:r w:rsidR="00C70D7E">
        <w:t xml:space="preserve"> mirrors back to a newly empowered social group the novelty of its liberation into the specificity and variety of individual desire</w:t>
      </w:r>
      <w:r>
        <w:t>.</w:t>
      </w:r>
      <w:r w:rsidR="00565DD8" w:rsidRPr="00C70D7E">
        <w:t xml:space="preserve"> Individual consciousness</w:t>
      </w:r>
      <w:r w:rsidR="00565DD8">
        <w:rPr>
          <w:b/>
        </w:rPr>
        <w:t xml:space="preserve"> </w:t>
      </w:r>
      <w:r w:rsidR="00C70D7E" w:rsidRPr="003206EF">
        <w:t>in</w:t>
      </w:r>
      <w:r w:rsidR="00C70D7E">
        <w:rPr>
          <w:b/>
        </w:rPr>
        <w:t xml:space="preserve"> </w:t>
      </w:r>
      <w:r w:rsidR="00C70D7E" w:rsidRPr="00C70D7E">
        <w:t>this reading is not ‘something lived’, it is</w:t>
      </w:r>
      <w:r w:rsidR="00736EF3">
        <w:t xml:space="preserve"> ‘</w:t>
      </w:r>
      <w:r w:rsidR="005D7D86">
        <w:t>an “effect of structure”’</w:t>
      </w:r>
      <w:r w:rsidR="00B87028">
        <w:t>.</w:t>
      </w:r>
      <w:r w:rsidR="00240444">
        <w:rPr>
          <w:rStyle w:val="FootnoteReference"/>
        </w:rPr>
        <w:footnoteReference w:id="13"/>
      </w:r>
      <w:r w:rsidR="00562AE5">
        <w:rPr>
          <w:rStyle w:val="FootnoteReference"/>
        </w:rPr>
        <w:t xml:space="preserve"> </w:t>
      </w:r>
      <w:r w:rsidR="00562AE5">
        <w:t>The consequent fissure that ran through much scholarship on the theory of the n</w:t>
      </w:r>
      <w:r w:rsidR="003E50A0">
        <w:t>ovel during the 1970s and ’80s</w:t>
      </w:r>
      <w:r w:rsidR="00562AE5">
        <w:t>—s</w:t>
      </w:r>
      <w:r w:rsidR="00C70D7E">
        <w:t xml:space="preserve">elf-interest as the </w:t>
      </w:r>
      <w:r w:rsidR="0042597A">
        <w:t>historical driver</w:t>
      </w:r>
      <w:r w:rsidR="00C70D7E">
        <w:t xml:space="preserve"> that </w:t>
      </w:r>
      <w:r w:rsidR="00F331D6">
        <w:t>makes possible</w:t>
      </w:r>
      <w:r w:rsidR="00C70D7E">
        <w:t xml:space="preserve"> the novel’s emergence and </w:t>
      </w:r>
      <w:r w:rsidR="00F331D6">
        <w:t>occasions</w:t>
      </w:r>
      <w:r w:rsidR="00C70D7E">
        <w:t xml:space="preserve"> its </w:t>
      </w:r>
      <w:r w:rsidR="00723B13">
        <w:t>loose</w:t>
      </w:r>
      <w:r w:rsidR="00C70D7E">
        <w:t xml:space="preserve"> forms </w:t>
      </w:r>
      <w:r w:rsidR="00C70D7E">
        <w:rPr>
          <w:i/>
        </w:rPr>
        <w:t>v</w:t>
      </w:r>
      <w:r w:rsidR="00C70D7E">
        <w:t>. self-interes</w:t>
      </w:r>
      <w:r>
        <w:t>t as an ideological fantasy</w:t>
      </w:r>
      <w:r w:rsidR="00723B13">
        <w:t xml:space="preserve"> which it is the task of the novel critic to </w:t>
      </w:r>
      <w:r w:rsidR="00AD7C6E">
        <w:t xml:space="preserve">decipher </w:t>
      </w:r>
      <w:r w:rsidR="008155D1">
        <w:t>(</w:t>
      </w:r>
      <w:r w:rsidR="00AD7C6E">
        <w:t xml:space="preserve">and </w:t>
      </w:r>
      <w:r w:rsidR="00736EF3">
        <w:t>in doing so</w:t>
      </w:r>
      <w:r w:rsidR="00AD7C6E">
        <w:t xml:space="preserve"> evoke better objects for desire</w:t>
      </w:r>
      <w:r w:rsidR="008155D1">
        <w:t>)</w:t>
      </w:r>
      <w:r w:rsidR="00562AE5">
        <w:t>—no longer looks quite as necessary as it once did. Recent work on the novel has tended to reduce the</w:t>
      </w:r>
      <w:r w:rsidR="00D82BAB">
        <w:t xml:space="preserve"> </w:t>
      </w:r>
      <w:r w:rsidR="002D6E4B">
        <w:t xml:space="preserve">explanatory weight placed on </w:t>
      </w:r>
      <w:r w:rsidR="00D82BAB">
        <w:t>self-interes</w:t>
      </w:r>
      <w:r w:rsidR="002D6E4B">
        <w:t>t in its most aggressive guises and</w:t>
      </w:r>
      <w:r w:rsidR="00562AE5">
        <w:t xml:space="preserve"> pay</w:t>
      </w:r>
      <w:r w:rsidR="00D82BAB">
        <w:t xml:space="preserve"> more attention to counter</w:t>
      </w:r>
      <w:r w:rsidR="00240444">
        <w:t xml:space="preserve"> </w:t>
      </w:r>
      <w:r w:rsidR="00D82BAB">
        <w:t xml:space="preserve">motives, </w:t>
      </w:r>
      <w:r w:rsidR="00240444">
        <w:t>from disinterest through</w:t>
      </w:r>
      <w:r w:rsidR="002871C5">
        <w:t xml:space="preserve"> to </w:t>
      </w:r>
      <w:r w:rsidR="00240444">
        <w:t>self-sacrifice.</w:t>
      </w:r>
      <w:r w:rsidR="00240444">
        <w:rPr>
          <w:rStyle w:val="FootnoteReference"/>
        </w:rPr>
        <w:footnoteReference w:id="14"/>
      </w:r>
      <w:r w:rsidR="0050398B">
        <w:t xml:space="preserve"> </w:t>
      </w:r>
      <w:r w:rsidR="002D6E4B">
        <w:t>This latter approach is</w:t>
      </w:r>
      <w:r w:rsidR="005D7D86">
        <w:t xml:space="preserve"> more</w:t>
      </w:r>
      <w:r w:rsidR="002D6E4B">
        <w:t xml:space="preserve"> </w:t>
      </w:r>
      <w:r w:rsidR="004843E8">
        <w:t>hospitable</w:t>
      </w:r>
      <w:r w:rsidR="002D6E4B">
        <w:t xml:space="preserve"> ground for a reading of Trollope’s relation to self-interest than the earlier </w:t>
      </w:r>
      <w:r w:rsidR="004843E8">
        <w:t xml:space="preserve">theoretical </w:t>
      </w:r>
      <w:r w:rsidR="002D6E4B">
        <w:t xml:space="preserve">yoking of realism to a more aggressive </w:t>
      </w:r>
      <w:r w:rsidR="004B1366">
        <w:t>pursuit of one’s own good</w:t>
      </w:r>
      <w:r w:rsidR="002D6E4B">
        <w:t>. And yet, in one respect, it is worth observing, the terms in which we are being invited to understand the</w:t>
      </w:r>
      <w:r w:rsidR="00EB080E">
        <w:t xml:space="preserve"> emergence of the novel </w:t>
      </w:r>
      <w:r w:rsidR="003E50A0">
        <w:t>are constant</w:t>
      </w:r>
      <w:r w:rsidR="002D6E4B">
        <w:t xml:space="preserve">: the history of the novel is a genealogy of morals in which the question of self-interest (its power and its limits as a human motivator) </w:t>
      </w:r>
      <w:r w:rsidR="002A7170">
        <w:t>is often, if not always, to the fore.</w:t>
      </w:r>
    </w:p>
    <w:p w14:paraId="0D55738F" w14:textId="4D9A5E26" w:rsidR="0010626E" w:rsidRDefault="0010626E" w:rsidP="00562AE5">
      <w:pPr>
        <w:ind w:firstLine="720"/>
      </w:pPr>
      <w:r>
        <w:t>Trollope has</w:t>
      </w:r>
      <w:r w:rsidR="005E19DC">
        <w:t xml:space="preserve"> not played a very promine</w:t>
      </w:r>
      <w:r>
        <w:t>nt role in explanations of realism aimed at de</w:t>
      </w:r>
      <w:r w:rsidR="005E19DC">
        <w:t>termini</w:t>
      </w:r>
      <w:r>
        <w:t xml:space="preserve">ng the </w:t>
      </w:r>
      <w:r w:rsidR="00EB080E">
        <w:t xml:space="preserve">general </w:t>
      </w:r>
      <w:r>
        <w:t xml:space="preserve">conditions for its emergence and development. This is in part because of the </w:t>
      </w:r>
      <w:r w:rsidR="005E19DC">
        <w:t xml:space="preserve">largely </w:t>
      </w:r>
      <w:r>
        <w:t xml:space="preserve">eighteenth-century focus of the ‘origins’ debate; in part because </w:t>
      </w:r>
      <w:r w:rsidR="005D7D86">
        <w:t xml:space="preserve">accounts of </w:t>
      </w:r>
      <w:r>
        <w:t xml:space="preserve">mid-nineteenth-century </w:t>
      </w:r>
      <w:r w:rsidR="005D7D86">
        <w:t>developments</w:t>
      </w:r>
      <w:r>
        <w:t xml:space="preserve"> </w:t>
      </w:r>
      <w:r w:rsidR="005E19DC">
        <w:t xml:space="preserve">have </w:t>
      </w:r>
      <w:r>
        <w:t xml:space="preserve">been dominated by the distinction between Dickens’s ‘Romantic realism’ and George Eliot’s ‘moral realism’; </w:t>
      </w:r>
      <w:r w:rsidR="005D7D86">
        <w:t>and in part</w:t>
      </w:r>
      <w:r>
        <w:t xml:space="preserve"> </w:t>
      </w:r>
      <w:r w:rsidR="005E19DC">
        <w:t>it is a</w:t>
      </w:r>
      <w:r>
        <w:t xml:space="preserve"> judgement of merit. Trollope, a</w:t>
      </w:r>
      <w:r w:rsidR="004B1366">
        <w:t>fter all, considered himself a second-rank</w:t>
      </w:r>
      <w:r>
        <w:t xml:space="preserve"> novelist, though he h</w:t>
      </w:r>
      <w:r w:rsidR="005D7D86">
        <w:t>as always had strong defenders (</w:t>
      </w:r>
      <w:r>
        <w:t>Henry James among them</w:t>
      </w:r>
      <w:r w:rsidR="005D7D86">
        <w:t>)</w:t>
      </w:r>
      <w:r>
        <w:t xml:space="preserve">. But </w:t>
      </w:r>
      <w:r w:rsidR="00EB080E">
        <w:t>recalling Wall’s observation of</w:t>
      </w:r>
      <w:r>
        <w:t xml:space="preserve"> the importance</w:t>
      </w:r>
      <w:r w:rsidR="00EB080E">
        <w:t xml:space="preserve"> to Trollope’s realism of </w:t>
      </w:r>
      <w:r w:rsidR="005D7D86">
        <w:t xml:space="preserve">some </w:t>
      </w:r>
      <w:r>
        <w:t xml:space="preserve">resistance to ‘self-interest’ as a motive for human action, it seems worth asking how far his marginality to the standard accounts of </w:t>
      </w:r>
      <w:r w:rsidR="00EB080E">
        <w:t>the novel</w:t>
      </w:r>
      <w:r>
        <w:t xml:space="preserve"> might also have something to do </w:t>
      </w:r>
      <w:r w:rsidR="005D7D86">
        <w:t>with his fiction operating</w:t>
      </w:r>
      <w:r>
        <w:t xml:space="preserve"> at a remove from, or even </w:t>
      </w:r>
      <w:r w:rsidR="005D7D86">
        <w:t>presenting a</w:t>
      </w:r>
      <w:r>
        <w:t xml:space="preserve"> challenge to, the prominence of self-interest in the picture of human motives.</w:t>
      </w:r>
    </w:p>
    <w:p w14:paraId="06D68687" w14:textId="57928D83" w:rsidR="008705AE" w:rsidRPr="00C270F2" w:rsidRDefault="00C91B16" w:rsidP="00931BB8">
      <w:pPr>
        <w:ind w:firstLine="720"/>
      </w:pPr>
      <w:r>
        <w:t xml:space="preserve">Any </w:t>
      </w:r>
      <w:r w:rsidR="00EB080E">
        <w:t xml:space="preserve">development of this hypothesis by way of history </w:t>
      </w:r>
      <w:r w:rsidR="001A3B4D">
        <w:t>needs</w:t>
      </w:r>
      <w:r>
        <w:t xml:space="preserve"> to take a narrower </w:t>
      </w:r>
      <w:r w:rsidR="007579D6">
        <w:t>perspective</w:t>
      </w:r>
      <w:r>
        <w:t xml:space="preserve"> than the wide lens </w:t>
      </w:r>
      <w:r w:rsidR="00EB080E">
        <w:t>required</w:t>
      </w:r>
      <w:r>
        <w:t xml:space="preserve"> </w:t>
      </w:r>
      <w:r w:rsidR="007579D6">
        <w:t>for</w:t>
      </w:r>
      <w:r>
        <w:t xml:space="preserve"> ‘the rise of the novel’ or </w:t>
      </w:r>
      <w:r w:rsidR="007579D6">
        <w:t>transformations in</w:t>
      </w:r>
      <w:r>
        <w:t xml:space="preserve"> ‘the political unconscious’. </w:t>
      </w:r>
      <w:r w:rsidR="008705AE">
        <w:t xml:space="preserve">There is ample encouragement in recent Victorian historiography and literary criticism to adopt the more </w:t>
      </w:r>
      <w:r w:rsidR="005E19DC">
        <w:t>complex</w:t>
      </w:r>
      <w:r w:rsidR="008705AE">
        <w:t xml:space="preserve"> view of self-interest now characteristic of work on the </w:t>
      </w:r>
      <w:r w:rsidR="004B1366">
        <w:t>previous century</w:t>
      </w:r>
      <w:r w:rsidR="008705AE">
        <w:t>. Particularly relevant to Trollope is the rapidly ex</w:t>
      </w:r>
      <w:r w:rsidR="001A3B4D">
        <w:t xml:space="preserve">panding critical literature on </w:t>
      </w:r>
      <w:r w:rsidR="008705AE">
        <w:t>Victorian liberalism’s concern with ‘disinterest’ and that form of ‘indirect self-interest’ involved in concern for the common good.</w:t>
      </w:r>
      <w:r w:rsidR="008705AE">
        <w:rPr>
          <w:rStyle w:val="FootnoteReference"/>
        </w:rPr>
        <w:footnoteReference w:id="15"/>
      </w:r>
      <w:r w:rsidR="008705AE">
        <w:t xml:space="preserve"> Elaine Hadley is right, for example, to draw out the many aspects of Trollope’s fiction that wrestle with problems of how to live out a principled disinterest without doing damage to the coherence and credibility of oneself. She also persuasively treats his ‘public signature’ (positioning him within liberal moves to end the practice of anonymity in journalism) as evidence of his commitment to an ideal alignment of ‘the public author who writes for the common good with the individualized mental labor of literature’.</w:t>
      </w:r>
      <w:r w:rsidR="008705AE">
        <w:rPr>
          <w:rStyle w:val="FootnoteReference"/>
        </w:rPr>
        <w:footnoteReference w:id="16"/>
      </w:r>
      <w:r w:rsidR="008705AE">
        <w:rPr>
          <w:b/>
        </w:rPr>
        <w:t xml:space="preserve"> </w:t>
      </w:r>
    </w:p>
    <w:p w14:paraId="6AB9B4D8" w14:textId="62FECEEC" w:rsidR="00BF5212" w:rsidRDefault="00C91B16" w:rsidP="00C91B16">
      <w:pPr>
        <w:ind w:firstLine="720"/>
      </w:pPr>
      <w:r>
        <w:t>At least one recent critic has th</w:t>
      </w:r>
      <w:r w:rsidR="008705AE">
        <w:t xml:space="preserve">ought that Trollope might serve, indeed, as </w:t>
      </w:r>
      <w:r>
        <w:t xml:space="preserve">a </w:t>
      </w:r>
      <w:r w:rsidR="002D6E4B">
        <w:t xml:space="preserve">fairly representative respondent to the complexity of Victorian thinking about self-interest, rather than a </w:t>
      </w:r>
      <w:r>
        <w:t xml:space="preserve">rare </w:t>
      </w:r>
      <w:r w:rsidR="002D6E4B">
        <w:t>defector from a putative consensus about its power and ubiquity.</w:t>
      </w:r>
      <w:r w:rsidR="00EB080E">
        <w:t xml:space="preserve"> </w:t>
      </w:r>
      <w:r>
        <w:t xml:space="preserve">In </w:t>
      </w:r>
      <w:r>
        <w:rPr>
          <w:i/>
        </w:rPr>
        <w:t>Pleasures of Benthamism</w:t>
      </w:r>
      <w:r>
        <w:t xml:space="preserve"> (2009), Kathleen Blake examines </w:t>
      </w:r>
      <w:r w:rsidR="002D6E4B">
        <w:t>some of the many encouragements</w:t>
      </w:r>
      <w:r w:rsidR="00BF5212">
        <w:t xml:space="preserve"> </w:t>
      </w:r>
      <w:r w:rsidR="002D6E4B">
        <w:t>to critical reflection on self-interest</w:t>
      </w:r>
      <w:r w:rsidR="00BF5212">
        <w:t xml:space="preserve"> during the 1850s-’70s</w:t>
      </w:r>
      <w:r w:rsidR="002D6E4B">
        <w:t>: Benthamite political economy and its Millian revisions, most obviously; but, as germane to Trollope’s fiction, the debate within the Christian church over reform of its ‘endowments, salaries, patronage, and sinecures’,</w:t>
      </w:r>
      <w:r w:rsidR="002D6E4B">
        <w:rPr>
          <w:rStyle w:val="FootnoteReference"/>
        </w:rPr>
        <w:footnoteReference w:id="17"/>
      </w:r>
      <w:r w:rsidR="002D6E4B">
        <w:t xml:space="preserve"> and wider arguments about the opposing claims of the old political and economic patronage system and the new meritocracy. </w:t>
      </w:r>
      <w:r w:rsidR="00EB080E">
        <w:t>Trollope’s view of human motivation wa</w:t>
      </w:r>
      <w:r w:rsidR="002D6E4B">
        <w:t>s, as Blake represents it, in line with a right reading of utilitarianism not always kept sight of by</w:t>
      </w:r>
      <w:r w:rsidR="00EB080E">
        <w:t xml:space="preserve"> later</w:t>
      </w:r>
      <w:r w:rsidR="002D6E4B">
        <w:t xml:space="preserve"> English literary criticism (especially at the height of Lea</w:t>
      </w:r>
      <w:r w:rsidR="004B1366">
        <w:t>vis’s influence). He</w:t>
      </w:r>
      <w:r w:rsidR="00EB080E">
        <w:t xml:space="preserve"> understood</w:t>
      </w:r>
      <w:r w:rsidR="002D6E4B">
        <w:t xml:space="preserve"> that the desire for pleasure guides human beings towards the general good as well as towards individual gains. </w:t>
      </w:r>
      <w:r w:rsidR="00F5467D">
        <w:t>He understood also that satisfaction may involve deferred or complex pleasures that look superficially more like pains (the imaginative and playful pleasures of work, for example). And he had a healthy suspicion that much of what goes by the name of self-sacrifice is amply satisfying to those who practice it.</w:t>
      </w:r>
      <w:r w:rsidR="00F5467D">
        <w:rPr>
          <w:rStyle w:val="FootnoteReference"/>
        </w:rPr>
        <w:footnoteReference w:id="18"/>
      </w:r>
    </w:p>
    <w:p w14:paraId="6BE1BC9B" w14:textId="4C05903E" w:rsidR="002D6E4B" w:rsidRDefault="00F5467D" w:rsidP="00C91B16">
      <w:pPr>
        <w:ind w:firstLine="720"/>
      </w:pPr>
      <w:r>
        <w:t xml:space="preserve">This </w:t>
      </w:r>
      <w:r w:rsidR="00BF5212">
        <w:t xml:space="preserve">reading </w:t>
      </w:r>
      <w:r>
        <w:t xml:space="preserve">puts Trollope rather closer to Benthamite radicalism than one might expect, his very intermittent radicalism certainly falling a long way short of endorsing the Benthamite calculus. </w:t>
      </w:r>
      <w:r w:rsidR="002D6E4B">
        <w:t xml:space="preserve">Indeed, </w:t>
      </w:r>
      <w:r w:rsidR="00BF5212">
        <w:t>just though her observations are on Trollope’s thinking about motivational pleasures and pains,</w:t>
      </w:r>
      <w:r w:rsidR="00EB080E">
        <w:t xml:space="preserve"> </w:t>
      </w:r>
      <w:r w:rsidR="002D6E4B">
        <w:t xml:space="preserve">the </w:t>
      </w:r>
      <w:r>
        <w:t>utilitarian</w:t>
      </w:r>
      <w:r w:rsidR="002D6E4B">
        <w:t xml:space="preserve"> focus </w:t>
      </w:r>
      <w:r w:rsidR="00BF5212">
        <w:t>skews Blake’s</w:t>
      </w:r>
      <w:r w:rsidR="002D6E4B">
        <w:t xml:space="preserve"> reading </w:t>
      </w:r>
      <w:r w:rsidR="00BF5212">
        <w:t xml:space="preserve">rather </w:t>
      </w:r>
      <w:r w:rsidR="00EB080E">
        <w:t>far from the broader</w:t>
      </w:r>
      <w:r w:rsidR="002D6E4B">
        <w:t xml:space="preserve"> </w:t>
      </w:r>
      <w:r w:rsidR="00EB080E">
        <w:t>contexts</w:t>
      </w:r>
      <w:r w:rsidR="002D6E4B">
        <w:t xml:space="preserve"> of secular and religious debate </w:t>
      </w:r>
      <w:r w:rsidR="005E3A57">
        <w:t>through which</w:t>
      </w:r>
      <w:r w:rsidR="002D6E4B">
        <w:t xml:space="preserve"> the Victorian public </w:t>
      </w:r>
      <w:r w:rsidR="008705AE">
        <w:t>in the main understood</w:t>
      </w:r>
      <w:r w:rsidR="005E3A57">
        <w:t xml:space="preserve"> the limits on</w:t>
      </w:r>
      <w:r w:rsidR="002D6E4B">
        <w:t xml:space="preserve"> </w:t>
      </w:r>
      <w:r w:rsidR="005E3A57">
        <w:t>self-interest</w:t>
      </w:r>
      <w:r w:rsidR="002D6E4B">
        <w:t>. Li</w:t>
      </w:r>
      <w:r w:rsidR="005E3A57">
        <w:t>ke many of his contemporaries, Jan-Melissa Schramm</w:t>
      </w:r>
      <w:r w:rsidR="002D6E4B">
        <w:t xml:space="preserve"> argues, Trollope drew upon ideas of </w:t>
      </w:r>
      <w:r w:rsidR="005E3A57">
        <w:t xml:space="preserve">self-sacrifice and </w:t>
      </w:r>
      <w:r w:rsidR="002D6E4B">
        <w:t xml:space="preserve">atonement as a corrective </w:t>
      </w:r>
      <w:r w:rsidR="008705AE">
        <w:t>to self-interest</w:t>
      </w:r>
      <w:r w:rsidR="005E3A57">
        <w:t xml:space="preserve">ed </w:t>
      </w:r>
      <w:r w:rsidR="002D6E4B">
        <w:t>calculations of the value of life, though, by comparison with Dickens, she finds him noticeably less willing to commit to the Christian hope fo</w:t>
      </w:r>
      <w:r w:rsidR="005E3A57">
        <w:t>r</w:t>
      </w:r>
      <w:r w:rsidR="002D6E4B">
        <w:t xml:space="preserve"> ‘readerly repentance and spiritual renewal’.</w:t>
      </w:r>
      <w:r w:rsidR="002D6E4B">
        <w:rPr>
          <w:rStyle w:val="FootnoteReference"/>
        </w:rPr>
        <w:footnoteReference w:id="19"/>
      </w:r>
    </w:p>
    <w:p w14:paraId="4E0D83F6" w14:textId="72854A76" w:rsidR="002D6E4B" w:rsidRDefault="002D6E4B" w:rsidP="002D6E4B">
      <w:r>
        <w:tab/>
      </w:r>
      <w:r w:rsidR="008705AE">
        <w:t>There are various ways</w:t>
      </w:r>
      <w:r>
        <w:t xml:space="preserve"> in which </w:t>
      </w:r>
      <w:r w:rsidR="00BF5212">
        <w:t xml:space="preserve">such </w:t>
      </w:r>
      <w:r w:rsidR="008705AE">
        <w:t>closer</w:t>
      </w:r>
      <w:r>
        <w:t xml:space="preserve"> historicization of self-interest </w:t>
      </w:r>
      <w:r w:rsidR="005E3A57">
        <w:t>might</w:t>
      </w:r>
      <w:r>
        <w:t xml:space="preserve"> help to </w:t>
      </w:r>
      <w:r w:rsidR="008705AE">
        <w:t>account for</w:t>
      </w:r>
      <w:r>
        <w:t xml:space="preserve"> </w:t>
      </w:r>
      <w:r w:rsidR="005E3A57">
        <w:t>Trollope’s characterological realism, as Wall described it</w:t>
      </w:r>
      <w:r w:rsidR="008705AE">
        <w:t>. Most</w:t>
      </w:r>
      <w:r w:rsidR="00883940">
        <w:t xml:space="preserve"> simply they</w:t>
      </w:r>
      <w:r w:rsidR="00BF5212">
        <w:t xml:space="preserve"> enco</w:t>
      </w:r>
      <w:r w:rsidR="00883940">
        <w:t>urage</w:t>
      </w:r>
      <w:r w:rsidR="00BF5212">
        <w:t xml:space="preserve"> us to credit</w:t>
      </w:r>
      <w:r>
        <w:t xml:space="preserve"> Trollope with a more accurate reflection of human motives than is provided for by a theory of the novel </w:t>
      </w:r>
      <w:r w:rsidR="005E3A57">
        <w:t xml:space="preserve">largely </w:t>
      </w:r>
      <w:r>
        <w:t>founded on</w:t>
      </w:r>
      <w:r w:rsidR="005E3A57">
        <w:t xml:space="preserve"> its</w:t>
      </w:r>
      <w:r>
        <w:t xml:space="preserve"> imitation and gratification of individual desire. In this version of mimesis, it would be at least as true that the novel gives its readers pains as that it gives pleasures. Its frustrations would be as valid as its satisfactions. We are not dealing here with the grave problem of why tragedy gives pleasure (none of the Trollopean cases in view is tragic); rather, with why frustration or irritation can do so—why, in other words, the accusation of ‘perversity’ is not fatal to the felt attraction of Trollope’s characters.</w:t>
      </w:r>
    </w:p>
    <w:p w14:paraId="778C65BB" w14:textId="7172799B" w:rsidR="002D6E4B" w:rsidRDefault="002D6E4B" w:rsidP="002D6E4B">
      <w:r>
        <w:tab/>
      </w:r>
      <w:r w:rsidR="005E3A57">
        <w:t>The more complex account of Victorian</w:t>
      </w:r>
      <w:r>
        <w:t xml:space="preserve"> </w:t>
      </w:r>
      <w:r w:rsidR="005E3A57">
        <w:t xml:space="preserve">self-interest in recent work might also encourage some </w:t>
      </w:r>
      <w:r>
        <w:t>speculation about what the contemplation of characters acting inimically to their own interests does to us, the novel’s readers, psychologically or even morally. Charles Taylor sketches out a related line of logic when he comments on the attraction of realism’s ‘unveiling of things in their meaninglessness’: there is, he suggests, a form of pleasure to be found here which ‘has something to do with our own power to confront the truth and acknowledge it; … this power crucially depends on the closure which makes the entrapment in banality and emptiness a kind of fate which we can contemplate. […</w:t>
      </w:r>
      <w:r w:rsidR="008C702F">
        <w:t xml:space="preserve"> B]</w:t>
      </w:r>
      <w:r>
        <w:t>eing able to contemplate it […] frees us from the entrapment’ (431). In the Trollopean case</w:t>
      </w:r>
      <w:r w:rsidR="00A40B68">
        <w:t>, by analogy,</w:t>
      </w:r>
      <w:r>
        <w:t xml:space="preserve"> being able to contemplate </w:t>
      </w:r>
      <w:r w:rsidR="005E3A57">
        <w:t>motives for action that are</w:t>
      </w:r>
      <w:r>
        <w:t xml:space="preserve"> indefensible</w:t>
      </w:r>
      <w:r w:rsidR="005E3A57">
        <w:t>, even inscrutable,</w:t>
      </w:r>
      <w:r>
        <w:t xml:space="preserve"> according to ordinary measures of self-interest </w:t>
      </w:r>
      <w:r w:rsidR="008705AE">
        <w:t>could help to free us from entrapment by</w:t>
      </w:r>
      <w:r w:rsidR="008C702F">
        <w:t xml:space="preserve"> a</w:t>
      </w:r>
      <w:r>
        <w:t xml:space="preserve"> </w:t>
      </w:r>
      <w:r w:rsidR="005E3A57">
        <w:t>pres</w:t>
      </w:r>
      <w:r>
        <w:t xml:space="preserve">umption </w:t>
      </w:r>
      <w:r w:rsidR="005E3A57">
        <w:t>that</w:t>
      </w:r>
      <w:r>
        <w:t xml:space="preserve"> self-interest</w:t>
      </w:r>
      <w:r w:rsidR="005E3A57">
        <w:t xml:space="preserve"> ought to have higher authority with us</w:t>
      </w:r>
      <w:r>
        <w:t>—</w:t>
      </w:r>
      <w:r w:rsidR="00A40B68">
        <w:t xml:space="preserve">but that cannot work, in this </w:t>
      </w:r>
      <w:r w:rsidR="000815EB">
        <w:t>instance</w:t>
      </w:r>
      <w:r w:rsidR="00A40B68">
        <w:t xml:space="preserve">. There </w:t>
      </w:r>
      <w:r>
        <w:t>is little sense in Trollope of the idealist’s panic on looking into the materialist void which pushe</w:t>
      </w:r>
      <w:r w:rsidR="008705AE">
        <w:t>s Taylor to enlist literature as</w:t>
      </w:r>
      <w:r>
        <w:t xml:space="preserve"> (elsewhere) he </w:t>
      </w:r>
      <w:r w:rsidR="008705AE">
        <w:t>enlists</w:t>
      </w:r>
      <w:r>
        <w:t xml:space="preserve"> religion as a salve to the soul. </w:t>
      </w:r>
    </w:p>
    <w:p w14:paraId="01CD424D" w14:textId="19594912" w:rsidR="00F47574" w:rsidRPr="005E3A57" w:rsidRDefault="005E3A57" w:rsidP="005E3A57">
      <w:pPr>
        <w:ind w:firstLine="720"/>
      </w:pPr>
      <w:r>
        <w:t>All this is germane</w:t>
      </w:r>
      <w:r w:rsidR="00A40B68">
        <w:t xml:space="preserve"> speculation</w:t>
      </w:r>
      <w:r>
        <w:t>, and yet</w:t>
      </w:r>
      <w:r w:rsidR="00A40B68">
        <w:t xml:space="preserve"> it doesn’t</w:t>
      </w:r>
      <w:r w:rsidR="00C37894">
        <w:t xml:space="preserve"> get to the heart of why Trollope’s realism should for so long have seemed not representative of but eccentric to the main lines of English realism. A</w:t>
      </w:r>
      <w:r>
        <w:t>s Wall observed</w:t>
      </w:r>
      <w:r w:rsidR="00A40B68">
        <w:t xml:space="preserve"> </w:t>
      </w:r>
      <w:r>
        <w:t>something other than disinterest and not necessarily aligned with the common good, is under observation as well in these novels</w:t>
      </w:r>
      <w:r w:rsidR="00C37894">
        <w:t>: something more</w:t>
      </w:r>
      <w:r w:rsidR="00883940">
        <w:t xml:space="preserve"> cussed, pigheaded, contrarian, but not unsympathetic, </w:t>
      </w:r>
      <w:r w:rsidR="00C37894">
        <w:t>that bears a close relation to the power of the realist effect</w:t>
      </w:r>
      <w:r w:rsidR="008705AE">
        <w:t xml:space="preserve"> of certain characters</w:t>
      </w:r>
      <w:r>
        <w:t xml:space="preserve">. </w:t>
      </w:r>
      <w:r w:rsidR="007965D9">
        <w:t>To refine the a</w:t>
      </w:r>
      <w:r w:rsidR="008705AE">
        <w:t>ccount of what is happening, then</w:t>
      </w:r>
      <w:r w:rsidR="007965D9">
        <w:t>,</w:t>
      </w:r>
      <w:r w:rsidR="00C537EB">
        <w:t xml:space="preserve"> and how it </w:t>
      </w:r>
      <w:r w:rsidR="00912565">
        <w:t>modifies the more</w:t>
      </w:r>
      <w:r w:rsidR="00A40B68">
        <w:t xml:space="preserve"> standard view of nineteenth-century realism</w:t>
      </w:r>
      <w:r w:rsidR="008270FB">
        <w:t xml:space="preserve">, </w:t>
      </w:r>
      <w:r w:rsidR="006B454F">
        <w:t xml:space="preserve">I turn to </w:t>
      </w:r>
      <w:r w:rsidR="00C37894">
        <w:t>one of the most intractable and, as Trollope reporte</w:t>
      </w:r>
      <w:r w:rsidR="008705AE">
        <w:t>d, most loved of those</w:t>
      </w:r>
      <w:r w:rsidR="00C37894">
        <w:t xml:space="preserve"> characters </w:t>
      </w:r>
      <w:r w:rsidR="007965D9">
        <w:t>—</w:t>
      </w:r>
      <w:r w:rsidR="000A7911">
        <w:t xml:space="preserve">Lily Dale, of </w:t>
      </w:r>
      <w:r w:rsidR="006B454F">
        <w:rPr>
          <w:i/>
        </w:rPr>
        <w:t>The Small House at Allington</w:t>
      </w:r>
      <w:r w:rsidR="008270FB">
        <w:t xml:space="preserve"> and </w:t>
      </w:r>
      <w:r w:rsidR="008270FB">
        <w:rPr>
          <w:i/>
        </w:rPr>
        <w:t>The Last Chronicle of Barset</w:t>
      </w:r>
      <w:r w:rsidR="008270FB">
        <w:t>.</w:t>
      </w:r>
    </w:p>
    <w:p w14:paraId="7BE2F036" w14:textId="77777777" w:rsidR="006B454F" w:rsidRDefault="006B454F" w:rsidP="00EA74D7"/>
    <w:p w14:paraId="7289FF6F" w14:textId="77777777" w:rsidR="004802D6" w:rsidRDefault="004802D6" w:rsidP="00EA74D7"/>
    <w:p w14:paraId="1DF2C6BA" w14:textId="21EF5E7E" w:rsidR="00EC3EEF" w:rsidRDefault="00E666F5" w:rsidP="00EC3EEF">
      <w:r>
        <w:t>This is Lily, trying</w:t>
      </w:r>
      <w:r w:rsidR="00EC3EEF">
        <w:t xml:space="preserve"> to explain </w:t>
      </w:r>
      <w:r w:rsidR="00700711">
        <w:t>to her new friend, Emily Dunsta</w:t>
      </w:r>
      <w:r w:rsidR="00EC3EEF">
        <w:t>ble (engaged to marry Lily’s cousin Bernard) why, ten years on, marriage remains out of the question for her:</w:t>
      </w:r>
    </w:p>
    <w:p w14:paraId="05BE9BF3" w14:textId="77777777" w:rsidR="00EC3EEF" w:rsidRDefault="00EC3EEF" w:rsidP="00EC3EEF">
      <w:pPr>
        <w:pStyle w:val="Quote"/>
      </w:pPr>
      <w:r>
        <w:t>‘I do envy you,’ Lily said one day. The acknowledgement seemed to have been extorted from her involuntarily. She did not laugh as she spoke, or follow up what she had said with other words intended to take away the joke of what she had uttered—had it been a joke; but she sat silent, looking at the girl who was rearranging flowers which Bernard had brought to her.</w:t>
      </w:r>
    </w:p>
    <w:p w14:paraId="7C716C9A" w14:textId="77777777" w:rsidR="00EC3EEF" w:rsidRDefault="00EC3EEF" w:rsidP="00EC3EEF">
      <w:pPr>
        <w:pStyle w:val="Quote"/>
      </w:pPr>
      <w:r>
        <w:tab/>
        <w:t>‘I can’t give him up to you, you know,’ said Emily.</w:t>
      </w:r>
    </w:p>
    <w:p w14:paraId="26603A0C" w14:textId="77777777" w:rsidR="00EC3EEF" w:rsidRDefault="00EC3EEF" w:rsidP="00EC3EEF">
      <w:pPr>
        <w:pStyle w:val="Quote"/>
        <w:ind w:firstLine="589"/>
      </w:pPr>
      <w:r>
        <w:t>‘I don’t envy you him, but “it,”’ said Lily.</w:t>
      </w:r>
    </w:p>
    <w:p w14:paraId="549F99A0" w14:textId="77777777" w:rsidR="00EC3EEF" w:rsidRDefault="00EC3EEF" w:rsidP="00EC3EEF">
      <w:pPr>
        <w:pStyle w:val="Quote"/>
        <w:ind w:firstLine="589"/>
      </w:pPr>
      <w:r>
        <w:t>‘Then go and get and “it” for yourself. Why don’t you have an “it” for yourself? You can have an “it” tomorrow, if you like—or two or three, if all that I hear is true.’</w:t>
      </w:r>
    </w:p>
    <w:p w14:paraId="09D582F8" w14:textId="77777777" w:rsidR="00EC3EEF" w:rsidRDefault="00EC3EEF" w:rsidP="00EC3EEF">
      <w:pPr>
        <w:pStyle w:val="Quote"/>
        <w:ind w:firstLine="589"/>
      </w:pPr>
      <w:r>
        <w:t>‘No, I can’t,’ said Lily. ‘Things have gone wrong with me. Don’t ask me anything more about it. Pray don’t. I shan’t speak of it if you do.’</w:t>
      </w:r>
    </w:p>
    <w:p w14:paraId="5F0E1086" w14:textId="77777777" w:rsidR="00EC3EEF" w:rsidRDefault="00EC3EEF" w:rsidP="00EC3EEF">
      <w:pPr>
        <w:pStyle w:val="Quote"/>
      </w:pPr>
      <w:r>
        <w:tab/>
        <w:t>… ‘Things have gone wrong with me.’ She repeated the same words to herself over and over again. With all the efforts which she had made she could not quite reconcile herself […]’</w:t>
      </w:r>
      <w:r>
        <w:rPr>
          <w:rStyle w:val="FootnoteReference"/>
        </w:rPr>
        <w:footnoteReference w:id="20"/>
      </w:r>
    </w:p>
    <w:p w14:paraId="399CD9DE" w14:textId="77777777" w:rsidR="00EC3EEF" w:rsidRPr="00B15754" w:rsidRDefault="00EC3EEF" w:rsidP="00EC3EEF"/>
    <w:p w14:paraId="1FBA9B66" w14:textId="35E7C7DC" w:rsidR="008F4668" w:rsidRDefault="003A55E4" w:rsidP="00836EE8">
      <w:r>
        <w:t>Having fought off, valiantly</w:t>
      </w:r>
      <w:r w:rsidR="00836EE8">
        <w:t xml:space="preserve"> and for years, the solicitations of other people not to cond</w:t>
      </w:r>
      <w:r w:rsidR="00A40113">
        <w:t>emn herself to spinsterhood, Lily finds herself</w:t>
      </w:r>
      <w:r w:rsidR="00836EE8">
        <w:t xml:space="preserve"> besieged by moments of dissatisfaction and vague wishing for things to</w:t>
      </w:r>
      <w:r w:rsidR="0001544D">
        <w:t xml:space="preserve"> be otherwise that surprise her</w:t>
      </w:r>
      <w:r w:rsidR="00836EE8">
        <w:t xml:space="preserve"> and </w:t>
      </w:r>
      <w:r w:rsidR="00A40113">
        <w:t xml:space="preserve">that she </w:t>
      </w:r>
      <w:r w:rsidR="0001544D">
        <w:t>cannot</w:t>
      </w:r>
      <w:r w:rsidR="00A40113">
        <w:t xml:space="preserve"> explain to herself, let alone to anyone else</w:t>
      </w:r>
      <w:r w:rsidR="00836EE8">
        <w:t xml:space="preserve">. </w:t>
      </w:r>
      <w:r w:rsidR="008F4668">
        <w:t xml:space="preserve">One of the connecting preoccupations of </w:t>
      </w:r>
      <w:r w:rsidR="008F4668">
        <w:rPr>
          <w:i/>
        </w:rPr>
        <w:t xml:space="preserve">The Last </w:t>
      </w:r>
      <w:r w:rsidR="008F4668" w:rsidRPr="008F4668">
        <w:rPr>
          <w:i/>
        </w:rPr>
        <w:t>Chronicle</w:t>
      </w:r>
      <w:r w:rsidR="008F4668">
        <w:t xml:space="preserve"> is the </w:t>
      </w:r>
      <w:r w:rsidR="0001544D">
        <w:t xml:space="preserve">consequent </w:t>
      </w:r>
      <w:r w:rsidR="008F4668">
        <w:t>struggle, seen here</w:t>
      </w:r>
      <w:r w:rsidR="005E4B0E">
        <w:t xml:space="preserve"> in close up</w:t>
      </w:r>
      <w:r w:rsidR="008F4668">
        <w:t xml:space="preserve">, to know how far one should </w:t>
      </w:r>
      <w:r w:rsidR="00883940">
        <w:t xml:space="preserve">strive for one’s own good and how far </w:t>
      </w:r>
      <w:r w:rsidR="0001544D">
        <w:t>expect</w:t>
      </w:r>
      <w:r w:rsidR="008F4668">
        <w:t xml:space="preserve"> to reconcile oneself to disappointment. More precisely: how </w:t>
      </w:r>
      <w:r w:rsidR="0001544D">
        <w:t>can one</w:t>
      </w:r>
      <w:r w:rsidR="008F4668">
        <w:t xml:space="preserve"> learn to distinguish the fi</w:t>
      </w:r>
      <w:r w:rsidR="005E4B0E">
        <w:t>ne lines between acceding to loss (even the loss of something one h</w:t>
      </w:r>
      <w:r w:rsidR="0001544D">
        <w:t xml:space="preserve">as cared very greatly for), and, on the one hand, </w:t>
      </w:r>
      <w:r w:rsidR="005E4B0E">
        <w:t xml:space="preserve">mere </w:t>
      </w:r>
      <w:r w:rsidR="008F4668">
        <w:t xml:space="preserve">self-abnegation (as Mr Crawley puts it: </w:t>
      </w:r>
      <w:r w:rsidR="005E4B0E">
        <w:t xml:space="preserve">the view that </w:t>
      </w:r>
      <w:r w:rsidR="008F4668">
        <w:t>‘</w:t>
      </w:r>
      <w:r w:rsidR="008F4668" w:rsidRPr="008F4668">
        <w:t>a man should force himself to endure anything that might be sent upon him, not only without outward grumbling, but also without grumbling inwardly’</w:t>
      </w:r>
      <w:r w:rsidR="008C702F">
        <w:t xml:space="preserve"> [</w:t>
      </w:r>
      <w:r w:rsidR="005E4B0E">
        <w:t>646</w:t>
      </w:r>
      <w:r w:rsidR="008C702F">
        <w:t>]</w:t>
      </w:r>
      <w:r w:rsidR="008F4668" w:rsidRPr="008F4668">
        <w:t>)</w:t>
      </w:r>
      <w:r w:rsidR="0001544D">
        <w:t>, on the other,</w:t>
      </w:r>
      <w:r w:rsidR="005E4B0E">
        <w:t xml:space="preserve"> </w:t>
      </w:r>
      <w:r w:rsidR="0001544D">
        <w:t>a</w:t>
      </w:r>
      <w:r w:rsidR="005E4B0E">
        <w:t xml:space="preserve"> perverse pleasure in giving things up (‘</w:t>
      </w:r>
      <w:r w:rsidR="005E4B0E" w:rsidRPr="005E4B0E">
        <w:t>There is, perhaps, nothing so pleasant as the</w:t>
      </w:r>
      <w:r w:rsidR="00931BB8">
        <w:t xml:space="preserve"> preparation for self-sacrifice</w:t>
      </w:r>
      <w:r w:rsidR="005E4B0E">
        <w:t>’ [603</w:t>
      </w:r>
      <w:r w:rsidR="005E4B0E" w:rsidRPr="005E4B0E">
        <w:t>])</w:t>
      </w:r>
      <w:r w:rsidR="008F4668" w:rsidRPr="005E4B0E">
        <w:t>.</w:t>
      </w:r>
      <w:r w:rsidR="008F4668">
        <w:t xml:space="preserve"> This is</w:t>
      </w:r>
      <w:r w:rsidR="0001544D">
        <w:t xml:space="preserve"> the connective tissue of </w:t>
      </w:r>
      <w:r w:rsidR="0001544D">
        <w:rPr>
          <w:i/>
        </w:rPr>
        <w:t>The Last Chronicle</w:t>
      </w:r>
      <w:r w:rsidR="0001544D">
        <w:t>: the question, perhaps unanswerable,</w:t>
      </w:r>
      <w:r w:rsidR="008F4668">
        <w:t xml:space="preserve"> that links the beleaguered Mr Crawley</w:t>
      </w:r>
      <w:r w:rsidR="0001544D">
        <w:t>,</w:t>
      </w:r>
      <w:r w:rsidR="008F4668">
        <w:t xml:space="preserve"> wanting to know how far he is justified in continuing his ministry</w:t>
      </w:r>
      <w:r w:rsidR="0001544D">
        <w:t xml:space="preserve"> when an accusation of theft </w:t>
      </w:r>
      <w:r w:rsidR="000815EB">
        <w:t xml:space="preserve">hangs over him; </w:t>
      </w:r>
      <w:r w:rsidR="008F4668">
        <w:t xml:space="preserve">Major Grantly, wanting to marry Mr Crawley’s daughter but facing disinheritance by his father if he does so without permission; </w:t>
      </w:r>
      <w:r w:rsidR="001865D0">
        <w:t xml:space="preserve">Plantagenet Palliser, told he must extricate himself from rumours of an affair with a friend’s wife and immediately </w:t>
      </w:r>
      <w:r w:rsidR="00883940">
        <w:t>inclined to pursue it in earnest</w:t>
      </w:r>
      <w:r w:rsidR="001865D0">
        <w:t xml:space="preserve">; </w:t>
      </w:r>
      <w:r w:rsidR="008F4668">
        <w:t>Mrs. Proudie coming very late (too late) to the realization that her striving after ‘personal dominion’ has been greatly damagin</w:t>
      </w:r>
      <w:r w:rsidR="0001544D">
        <w:t>g to herse</w:t>
      </w:r>
      <w:r w:rsidR="000815EB">
        <w:t xml:space="preserve">lf and all around her; and </w:t>
      </w:r>
      <w:r w:rsidR="0001544D">
        <w:t>Lily, contemplating the lived reality of undertaking never to marry.</w:t>
      </w:r>
    </w:p>
    <w:p w14:paraId="68277983" w14:textId="6110E2AF" w:rsidR="00836EE8" w:rsidRDefault="00836EE8" w:rsidP="00836EE8">
      <w:pPr>
        <w:ind w:firstLine="720"/>
      </w:pPr>
      <w:r>
        <w:t xml:space="preserve">Lily’s determination has attained such fixity in her own mind that she can make it the subject of a vow to Johnny Eames no less binding for being a perversion of the desired vow of fidelity: ‘I will go home and I will write in my book, this very day, Lilian Dale, Old Maid. If ever I make that false, do you come and ask me for the page’ (354). The vow asserts a power of self-making that is at once an ethical ideal of character and an impossibility: a denial of the degree to which she is what she is because of what has been done to her. </w:t>
      </w:r>
      <w:r w:rsidR="0001544D">
        <w:t>As</w:t>
      </w:r>
      <w:r>
        <w:t xml:space="preserve"> the Loeb </w:t>
      </w:r>
      <w:r w:rsidR="00883940">
        <w:t>commentator</w:t>
      </w:r>
      <w:r w:rsidR="0001544D">
        <w:t xml:space="preserve"> glosses the famous passage of Aristotle’s</w:t>
      </w:r>
      <w:r>
        <w:rPr>
          <w:i/>
        </w:rPr>
        <w:t xml:space="preserve"> Poetics</w:t>
      </w:r>
      <w:r>
        <w:t>, ‘</w:t>
      </w:r>
      <w:r>
        <w:rPr>
          <w:i/>
        </w:rPr>
        <w:t>we become what we do</w:t>
      </w:r>
      <w:r>
        <w:t>, … our acts harden into character’</w:t>
      </w:r>
      <w:r>
        <w:rPr>
          <w:rStyle w:val="FootnoteReference"/>
        </w:rPr>
        <w:footnoteReference w:id="21"/>
      </w:r>
      <w:r>
        <w:t>—and some of what we do, some of that hardening, is a consequence of what is done to us.</w:t>
      </w:r>
    </w:p>
    <w:p w14:paraId="4C296817" w14:textId="0EC1E8BD" w:rsidR="00836EE8" w:rsidRPr="00501FFD" w:rsidRDefault="00836EE8" w:rsidP="00501FFD">
      <w:pPr>
        <w:ind w:firstLine="720"/>
        <w:rPr>
          <w:b/>
        </w:rPr>
      </w:pPr>
      <w:r>
        <w:t>In Lily’s preferred version of character making</w:t>
      </w:r>
      <w:r w:rsidR="003A55E4">
        <w:t>,</w:t>
      </w:r>
      <w:r>
        <w:t xml:space="preserve"> </w:t>
      </w:r>
      <w:r w:rsidR="003A55E4">
        <w:t>one writes one’s own character—</w:t>
      </w:r>
      <w:r>
        <w:t xml:space="preserve">the </w:t>
      </w:r>
      <w:r w:rsidR="003A55E4">
        <w:t>‘page of my book’ here being the</w:t>
      </w:r>
      <w:r>
        <w:t xml:space="preserve"> concrete form</w:t>
      </w:r>
      <w:r w:rsidR="003A55E4">
        <w:t xml:space="preserve"> of her endeavour to do just that</w:t>
      </w:r>
      <w:r w:rsidR="00883940">
        <w:t>. I</w:t>
      </w:r>
      <w:r>
        <w:t>n ‘real life’ (as realism constantly reminds us) characters are written for us—</w:t>
      </w:r>
      <w:r w:rsidR="008C702F">
        <w:t xml:space="preserve">in her case </w:t>
      </w:r>
      <w:r>
        <w:t xml:space="preserve">by Crosbie, by Trollope, by (too) sympathetic </w:t>
      </w:r>
      <w:r w:rsidR="008C702F">
        <w:t xml:space="preserve">family and </w:t>
      </w:r>
      <w:r>
        <w:t xml:space="preserve">friends. To be jilted is an almost too perfect illustration. Lily can choose not to act out one set of conventional consequences that would make her life more or less a tragedy and she can go a long way to transforming disappointment into Christian acceptance, asserting the pleasures of a life with a loving mother, a stable home, and sufficient financial independence. But she cannot transform the genre altogether, and there would be something wrong (something insufficiently real) about her if she could. For all her public resistance to disaster, she recognises in moments such as this </w:t>
      </w:r>
      <w:r w:rsidR="00883940">
        <w:t xml:space="preserve">a sabotaging of her interests for </w:t>
      </w:r>
      <w:r w:rsidR="00931BB8">
        <w:t>which she can assume only parti</w:t>
      </w:r>
      <w:r w:rsidR="00883940">
        <w:t>al responsibility:</w:t>
      </w:r>
      <w:r w:rsidR="005E4B0E">
        <w:t xml:space="preserve"> </w:t>
      </w:r>
      <w:r w:rsidR="00501FFD">
        <w:t xml:space="preserve">‘Things have gone wrong with me’. </w:t>
      </w:r>
      <w:r w:rsidR="005E4B0E">
        <w:t xml:space="preserve">Her wishing for an ‘it’ is close to comedy in its merest gesturalism (Lily parodies the euphemistic expressions of desire conventional to Victorian romance writing) but the predicament ‘it’ conceals is no ‘joke’. What does she want? A man? marriage? a future family life? </w:t>
      </w:r>
      <w:r w:rsidR="008C702F">
        <w:t xml:space="preserve">flowers, and all that they represent? </w:t>
      </w:r>
      <w:r w:rsidR="00501FFD">
        <w:t>In Emily’s tactful taking up of the term one hears a gentle attempt to encourage the germ of resurgent self-interest in Lily: ‘You can have an “it” tomorrow</w:t>
      </w:r>
      <w:r w:rsidR="0001544D">
        <w:t>, if you like—or two or three’. But what Lily is experiencing is not a surplus of choices; rather, volitional vacancy.</w:t>
      </w:r>
    </w:p>
    <w:p w14:paraId="234B75E0" w14:textId="669DE3CC" w:rsidR="00A62647" w:rsidRDefault="00A62647" w:rsidP="00EC3EEF">
      <w:pPr>
        <w:ind w:firstLine="720"/>
      </w:pPr>
      <w:r>
        <w:t>One of the ironies</w:t>
      </w:r>
      <w:r w:rsidR="006E1B7B">
        <w:t xml:space="preserve">, </w:t>
      </w:r>
      <w:r w:rsidR="000A7911">
        <w:t>Wall observes, of</w:t>
      </w:r>
      <w:r w:rsidR="00CA7BB7">
        <w:t xml:space="preserve"> </w:t>
      </w:r>
      <w:r w:rsidR="000A7911">
        <w:t>Johnny Eames</w:t>
      </w:r>
      <w:r w:rsidR="00912565">
        <w:t>’s</w:t>
      </w:r>
      <w:r w:rsidR="000A7911">
        <w:t xml:space="preserve"> pursuing </w:t>
      </w:r>
      <w:r>
        <w:t>Lily Dale</w:t>
      </w:r>
      <w:r w:rsidR="000A7911">
        <w:t xml:space="preserve"> for upward of ten years</w:t>
      </w:r>
      <w:r w:rsidR="003A55E4">
        <w:t>, in spite of her best efforts to make him know her resolve,</w:t>
      </w:r>
      <w:r>
        <w:t xml:space="preserve"> </w:t>
      </w:r>
      <w:r w:rsidR="00CA7BB7">
        <w:t>is that they ‘are two of a kind’, both</w:t>
      </w:r>
      <w:r w:rsidR="0001544D">
        <w:t xml:space="preserve"> </w:t>
      </w:r>
      <w:r w:rsidR="00AD5F39">
        <w:t xml:space="preserve">committed to </w:t>
      </w:r>
      <w:r w:rsidR="00883940">
        <w:t>an impairment of</w:t>
      </w:r>
      <w:r w:rsidR="00AD5F39">
        <w:t xml:space="preserve"> self-interest</w:t>
      </w:r>
      <w:r w:rsidR="00CA7BB7">
        <w:t xml:space="preserve"> </w:t>
      </w:r>
      <w:r w:rsidR="0001544D">
        <w:t>‘</w:t>
      </w:r>
      <w:r w:rsidR="00CA7BB7">
        <w:t>out of which they seem unable to break</w:t>
      </w:r>
      <w:r w:rsidR="000A7911">
        <w:t>’</w:t>
      </w:r>
      <w:r w:rsidR="00AD5F39">
        <w:t xml:space="preserve"> (72)</w:t>
      </w:r>
      <w:r w:rsidR="00CA7BB7">
        <w:t xml:space="preserve">. </w:t>
      </w:r>
      <w:r w:rsidR="00634F79">
        <w:t>S</w:t>
      </w:r>
      <w:r w:rsidR="000A7911">
        <w:t>he knows</w:t>
      </w:r>
      <w:r w:rsidR="002D2ACB">
        <w:t xml:space="preserve"> that to live as though</w:t>
      </w:r>
      <w:r w:rsidR="000A7911">
        <w:t xml:space="preserve"> Crosbie we</w:t>
      </w:r>
      <w:r w:rsidR="007A184E">
        <w:t>re the only possible man she could love</w:t>
      </w:r>
      <w:r w:rsidR="00CA7BB7">
        <w:t xml:space="preserve"> </w:t>
      </w:r>
      <w:r w:rsidR="000A7911">
        <w:t>‘</w:t>
      </w:r>
      <w:r w:rsidR="00CA7BB7">
        <w:t>cripplingly reduces the possibilities of life for her</w:t>
      </w:r>
      <w:r w:rsidR="000A7911">
        <w:t>’</w:t>
      </w:r>
      <w:r w:rsidR="00CA7BB7">
        <w:t xml:space="preserve">, </w:t>
      </w:r>
      <w:r w:rsidR="000A7911">
        <w:t xml:space="preserve">especially </w:t>
      </w:r>
      <w:r w:rsidR="00634F79">
        <w:t>after</w:t>
      </w:r>
      <w:r w:rsidR="000A7911">
        <w:t xml:space="preserve"> re</w:t>
      </w:r>
      <w:r w:rsidR="00B7003C">
        <w:t>-en</w:t>
      </w:r>
      <w:r w:rsidR="000A7911">
        <w:t xml:space="preserve">countering him </w:t>
      </w:r>
      <w:r w:rsidR="00634F79">
        <w:t>strips</w:t>
      </w:r>
      <w:r w:rsidR="000A7911">
        <w:t xml:space="preserve"> him of much o</w:t>
      </w:r>
      <w:r w:rsidR="00634F79">
        <w:t xml:space="preserve">f his former glory in her eyes; </w:t>
      </w:r>
      <w:r w:rsidR="000A7911">
        <w:t>still ‘</w:t>
      </w:r>
      <w:r w:rsidR="00CA7BB7">
        <w:t xml:space="preserve">she cannot stop </w:t>
      </w:r>
      <w:r w:rsidR="002D2ACB">
        <w:t>this attenuating retrospection’</w:t>
      </w:r>
      <w:r w:rsidR="00CA7BB7">
        <w:t xml:space="preserve"> (</w:t>
      </w:r>
      <w:r w:rsidR="002D2ACB">
        <w:t xml:space="preserve">Wall, </w:t>
      </w:r>
      <w:r w:rsidR="00CA7BB7">
        <w:t xml:space="preserve">72). </w:t>
      </w:r>
      <w:r w:rsidR="0070100F">
        <w:t>But i</w:t>
      </w:r>
      <w:r w:rsidR="00CA7BB7">
        <w:t xml:space="preserve">f this psychological arrest is a drama </w:t>
      </w:r>
      <w:r w:rsidR="00CA7BB7" w:rsidRPr="00CA7BB7">
        <w:rPr>
          <w:i/>
        </w:rPr>
        <w:t>à deux</w:t>
      </w:r>
      <w:r w:rsidR="00CA7BB7">
        <w:t xml:space="preserve"> it also appears to be </w:t>
      </w:r>
      <w:r w:rsidR="007A184E">
        <w:t>the source for</w:t>
      </w:r>
      <w:r w:rsidR="00B7003C">
        <w:t xml:space="preserve"> </w:t>
      </w:r>
      <w:r w:rsidR="00CA7BB7">
        <w:t>a collective fantasy</w:t>
      </w:r>
      <w:r w:rsidR="00B7003C">
        <w:t xml:space="preserve"> of remediation</w:t>
      </w:r>
      <w:r w:rsidR="00CA7BB7">
        <w:t xml:space="preserve">. At various times her mother, her uncle, his benefactor, the benefactor’s sister, </w:t>
      </w:r>
      <w:r w:rsidR="00403776">
        <w:t xml:space="preserve">and </w:t>
      </w:r>
      <w:r w:rsidR="00634F79">
        <w:t>an older female friend</w:t>
      </w:r>
      <w:r w:rsidR="007A184E">
        <w:t xml:space="preserve"> of the family</w:t>
      </w:r>
      <w:r w:rsidR="00403776">
        <w:t xml:space="preserve">, </w:t>
      </w:r>
      <w:r w:rsidR="002D2ACB">
        <w:t>all try</w:t>
      </w:r>
      <w:r w:rsidR="000A7911">
        <w:t xml:space="preserve"> </w:t>
      </w:r>
      <w:r w:rsidR="00CA7BB7">
        <w:t xml:space="preserve">to save Lily from herself. </w:t>
      </w:r>
      <w:r w:rsidR="001A1D7B">
        <w:t>The last, and most forthright, to make the attempt is the Dean’s wife, Mrs Arabin, whose ‘interest’ in the question derives from her having been tracked down by Johnny in Italy, and accompanied back to England in time to avert a miscarriage of justice that only</w:t>
      </w:r>
      <w:r w:rsidR="00B7003C">
        <w:t xml:space="preserve"> she can prevent</w:t>
      </w:r>
      <w:r w:rsidR="00AD5F39">
        <w:t xml:space="preserve">. With Mrs Arabin Trollope offers one of many confrontations in the novel that give some clarity to the question of how </w:t>
      </w:r>
      <w:r w:rsidR="00883940">
        <w:t xml:space="preserve">others—including </w:t>
      </w:r>
      <w:r w:rsidR="0070100F">
        <w:t>readers—routinely offer</w:t>
      </w:r>
      <w:r w:rsidR="00AD5F39">
        <w:t xml:space="preserve"> to </w:t>
      </w:r>
      <w:r w:rsidR="00883940">
        <w:t>shape the interests of those</w:t>
      </w:r>
      <w:r w:rsidR="00AD5F39">
        <w:t xml:space="preserve"> </w:t>
      </w:r>
      <w:r w:rsidR="00883940">
        <w:t>they</w:t>
      </w:r>
      <w:r w:rsidR="00AD5F39">
        <w:t xml:space="preserve"> care about: </w:t>
      </w:r>
    </w:p>
    <w:p w14:paraId="4409509F" w14:textId="42BE8B5D" w:rsidR="001A1D7B" w:rsidRDefault="001A1D7B" w:rsidP="001A1D7B">
      <w:pPr>
        <w:pStyle w:val="Quote"/>
      </w:pPr>
      <w:r>
        <w:t>‘I’ve come to look for Mr Eames’s reward.’</w:t>
      </w:r>
    </w:p>
    <w:p w14:paraId="22F5384B" w14:textId="29A7D02E" w:rsidR="001A1D7B" w:rsidRDefault="000A7911" w:rsidP="001A1D7B">
      <w:pPr>
        <w:pStyle w:val="Quote"/>
      </w:pPr>
      <w:r>
        <w:t>‘His reward</w:t>
      </w:r>
      <w:r w:rsidR="001A1D7B">
        <w:t>, Mrs Arabin.’</w:t>
      </w:r>
    </w:p>
    <w:p w14:paraId="347D4FFE" w14:textId="4C4605FC" w:rsidR="001A1D7B" w:rsidRDefault="001A1D7B" w:rsidP="001A1D7B">
      <w:pPr>
        <w:pStyle w:val="Quote"/>
      </w:pPr>
      <w:r>
        <w:tab/>
        <w:t>‘Yes, or rather to plead for him. You will not, I hope, be angry with him because he has told me much of his history while we were travelling home together.’</w:t>
      </w:r>
    </w:p>
    <w:p w14:paraId="04DBD95D" w14:textId="1A5575C4" w:rsidR="00403776" w:rsidRPr="00403776" w:rsidRDefault="001A1D7B" w:rsidP="00403776">
      <w:pPr>
        <w:pStyle w:val="Quote"/>
      </w:pPr>
      <w:r>
        <w:tab/>
        <w:t xml:space="preserve">‘Oh, no,’ said Lily, smiling. </w:t>
      </w:r>
      <w:r w:rsidR="00403776">
        <w:t>‘</w:t>
      </w:r>
      <w:r w:rsidR="00403776" w:rsidRPr="00403776">
        <w:t xml:space="preserve">How could he have chosen a </w:t>
      </w:r>
      <w:r w:rsidR="00403776">
        <w:t>better friend in whom to trust?’</w:t>
      </w:r>
    </w:p>
    <w:p w14:paraId="012E7F4F" w14:textId="60B8265E" w:rsidR="00403776" w:rsidRPr="00403776" w:rsidRDefault="00403776" w:rsidP="00403776">
      <w:pPr>
        <w:pStyle w:val="Quote"/>
        <w:ind w:firstLine="589"/>
      </w:pPr>
      <w:r>
        <w:t>‘</w:t>
      </w:r>
      <w:r w:rsidRPr="00403776">
        <w:t>He could certainly have chosen none who would take his part more sincerely. He is so good and so amiable! He is so pleasant in his ways, and so fitted to make a woman happy! And then, Mi</w:t>
      </w:r>
      <w:r>
        <w:t>ss Dale, he is also so devoted!’</w:t>
      </w:r>
    </w:p>
    <w:p w14:paraId="306B2D4B" w14:textId="59E8197E" w:rsidR="00403776" w:rsidRPr="00403776" w:rsidRDefault="00403776" w:rsidP="007A184E">
      <w:pPr>
        <w:pStyle w:val="Quote"/>
        <w:ind w:firstLine="589"/>
      </w:pPr>
      <w:r>
        <w:t>‘</w:t>
      </w:r>
      <w:r w:rsidRPr="00403776">
        <w:t>He is an o</w:t>
      </w:r>
      <w:r>
        <w:t>ld friend of ours, Mrs. Arabin</w:t>
      </w:r>
      <w:r w:rsidR="007A184E">
        <w:t>. […]</w:t>
      </w:r>
      <w:r w:rsidRPr="00403776">
        <w:t xml:space="preserve"> Mamma and</w:t>
      </w:r>
      <w:r>
        <w:t xml:space="preserve"> my uncle are both fond of him.’</w:t>
      </w:r>
    </w:p>
    <w:p w14:paraId="1AB554BD" w14:textId="7BB0C8C1" w:rsidR="00403776" w:rsidRPr="00403776" w:rsidRDefault="00403776" w:rsidP="00403776">
      <w:pPr>
        <w:pStyle w:val="Quote"/>
        <w:ind w:firstLine="589"/>
      </w:pPr>
      <w:r>
        <w:t>‘</w:t>
      </w:r>
      <w:r w:rsidRPr="00403776">
        <w:t>A</w:t>
      </w:r>
      <w:r>
        <w:t>nd does not that go a long way?’</w:t>
      </w:r>
      <w:r w:rsidRPr="00403776">
        <w:t xml:space="preserve"> said Mrs. Arabin.</w:t>
      </w:r>
    </w:p>
    <w:p w14:paraId="39809CDE" w14:textId="20A0C4BE" w:rsidR="00403776" w:rsidRPr="00403776" w:rsidRDefault="00403776" w:rsidP="00403776">
      <w:pPr>
        <w:pStyle w:val="Quote"/>
        <w:ind w:firstLine="589"/>
      </w:pPr>
      <w:r>
        <w:t>‘It ought not to do so,’ said Lily. ‘</w:t>
      </w:r>
      <w:r w:rsidRPr="00403776">
        <w:t>It ought not to go an</w:t>
      </w:r>
      <w:r>
        <w:t>y way at all.’</w:t>
      </w:r>
    </w:p>
    <w:p w14:paraId="160ED20F" w14:textId="45996979" w:rsidR="00403776" w:rsidRPr="00403776" w:rsidRDefault="00403776" w:rsidP="00403776">
      <w:pPr>
        <w:pStyle w:val="Quote"/>
        <w:ind w:firstLine="589"/>
      </w:pPr>
      <w:r>
        <w:t>‘</w:t>
      </w:r>
      <w:r w:rsidRPr="00403776">
        <w:t>Ought it not? It seems to me that I could never have brought myself to marry any one who</w:t>
      </w:r>
      <w:r>
        <w:t>m my old friends had not liked.’</w:t>
      </w:r>
    </w:p>
    <w:p w14:paraId="519D4205" w14:textId="6CCBC886" w:rsidR="00403776" w:rsidRPr="00403776" w:rsidRDefault="00403776" w:rsidP="00403776">
      <w:pPr>
        <w:pStyle w:val="Quote"/>
        <w:ind w:firstLine="589"/>
      </w:pPr>
      <w:r>
        <w:t>‘Ah! that is another thing.’</w:t>
      </w:r>
    </w:p>
    <w:p w14:paraId="71D49C67" w14:textId="275E99B5" w:rsidR="001A1D7B" w:rsidRDefault="00403776" w:rsidP="00403776">
      <w:pPr>
        <w:pStyle w:val="Quote"/>
        <w:ind w:firstLine="589"/>
      </w:pPr>
      <w:r>
        <w:t>‘</w:t>
      </w:r>
      <w:r w:rsidRPr="00403776">
        <w:t>But is it not a recommendation to a man that he has been so successful with your friends as to make them all feel that you might trust yours</w:t>
      </w:r>
      <w:r>
        <w:t>elf to him with perfect safety?’</w:t>
      </w:r>
      <w:r w:rsidRPr="00403776">
        <w:t xml:space="preserve"> To this Lily made no answer, and Mrs. Ara</w:t>
      </w:r>
      <w:r w:rsidR="000A7911">
        <w:t>bin went on to plead her friend’</w:t>
      </w:r>
      <w:r w:rsidRPr="00403776">
        <w:t xml:space="preserve">s cause with all the eloquence she could use, </w:t>
      </w:r>
      <w:r>
        <w:t>[…]</w:t>
      </w:r>
      <w:r w:rsidRPr="00403776">
        <w:t xml:space="preserve"> Still Lily made no answer. She had promised Mrs. Arabin that she would not regard her interference as impertinent, and therefore she refrained from any word that might seem to show offence. Nor did she feel offence. It was something gained by John Eames in Lily's estimation that he should have such a friend as Mrs. Arabin to take an interest in his welfare. But there was a self-dependence, perhaps one may call it an obstinacy about Lily Dale, which made her determined that she would not be driven hither or thither by any pressure from without.</w:t>
      </w:r>
      <w:r>
        <w:t xml:space="preserve"> (787-8)</w:t>
      </w:r>
    </w:p>
    <w:p w14:paraId="4132063D" w14:textId="77777777" w:rsidR="00403776" w:rsidRDefault="00403776" w:rsidP="00403776"/>
    <w:p w14:paraId="4EE2E8A1" w14:textId="0566607C" w:rsidR="00403776" w:rsidRDefault="00403776" w:rsidP="006E1B7B">
      <w:r>
        <w:t>Among the oddities of this scene is the degree to which its i</w:t>
      </w:r>
      <w:r w:rsidR="009F2F1E">
        <w:t xml:space="preserve">nitiating actor, Mrs Arabin, </w:t>
      </w:r>
      <w:r w:rsidR="007A184E">
        <w:t>assumes a</w:t>
      </w:r>
      <w:r>
        <w:t xml:space="preserve"> license to behave (on any ordinary reading of politeness) outrageously, </w:t>
      </w:r>
      <w:r w:rsidR="0070100F">
        <w:t>pressing</w:t>
      </w:r>
      <w:r w:rsidR="007A184E">
        <w:t xml:space="preserve"> her </w:t>
      </w:r>
      <w:r>
        <w:t>rules of engagemen</w:t>
      </w:r>
      <w:r w:rsidR="002D2ACB">
        <w:t xml:space="preserve">t </w:t>
      </w:r>
      <w:r w:rsidR="007A184E">
        <w:t xml:space="preserve">on Lily at the outset. </w:t>
      </w:r>
      <w:r w:rsidR="00883940">
        <w:t xml:space="preserve">Having undertaken </w:t>
      </w:r>
      <w:r>
        <w:t>not to be offended, Lily is not offended—though</w:t>
      </w:r>
      <w:r w:rsidR="007A184E">
        <w:t xml:space="preserve"> </w:t>
      </w:r>
      <w:r w:rsidR="00501FFD">
        <w:t>o</w:t>
      </w:r>
      <w:r>
        <w:t>ffence wo</w:t>
      </w:r>
      <w:r w:rsidR="003A4E94">
        <w:t>uld be in order, given that the two women</w:t>
      </w:r>
      <w:r>
        <w:t xml:space="preserve"> have never met before, and</w:t>
      </w:r>
      <w:r w:rsidR="009F2F1E">
        <w:t xml:space="preserve"> Mrs Arabin has no way of knowing what Lily’s </w:t>
      </w:r>
      <w:r w:rsidR="00883940">
        <w:t>view of her own life might</w:t>
      </w:r>
      <w:r w:rsidR="009F2F1E">
        <w:t xml:space="preserve"> be</w:t>
      </w:r>
      <w:r w:rsidR="003A4E94">
        <w:t xml:space="preserve">. </w:t>
      </w:r>
      <w:r w:rsidR="009F2F1E">
        <w:t xml:space="preserve">Lily’s smiling through </w:t>
      </w:r>
      <w:r w:rsidR="003A4E94">
        <w:t xml:space="preserve">so much ‘pressure from without’ is </w:t>
      </w:r>
      <w:r w:rsidR="0070100F">
        <w:t>unexpected</w:t>
      </w:r>
      <w:r w:rsidR="003A4E94">
        <w:t>. She has, after all, s</w:t>
      </w:r>
      <w:r w:rsidR="009F2F1E">
        <w:t xml:space="preserve">at through a very similar onslaught </w:t>
      </w:r>
      <w:r w:rsidR="003A4E94">
        <w:t xml:space="preserve">already </w:t>
      </w:r>
      <w:r w:rsidR="009F2F1E">
        <w:t>from he</w:t>
      </w:r>
      <w:r w:rsidR="005B7CE3">
        <w:t xml:space="preserve">r </w:t>
      </w:r>
      <w:r w:rsidR="007A184E">
        <w:t xml:space="preserve">London </w:t>
      </w:r>
      <w:r w:rsidR="005B7CE3">
        <w:t xml:space="preserve">hostess, Mrs Thorne, </w:t>
      </w:r>
      <w:r w:rsidR="009F2F1E">
        <w:t xml:space="preserve">and on that occasion did take umbrage a little, </w:t>
      </w:r>
      <w:r w:rsidR="00B7003C">
        <w:t>privately, at the interference.</w:t>
      </w:r>
      <w:r w:rsidR="006E1B7B">
        <w:t xml:space="preserve"> </w:t>
      </w:r>
      <w:r w:rsidR="009F2F1E">
        <w:t xml:space="preserve">Clearly Mrs Arabin’s social status as the Dean’s wife is one reason why Lily is prepared to </w:t>
      </w:r>
      <w:r w:rsidR="00AD5F39">
        <w:t xml:space="preserve">bear so much, but there is </w:t>
      </w:r>
      <w:r w:rsidR="009F2F1E">
        <w:t xml:space="preserve">something of the atmosphere of a theatrical </w:t>
      </w:r>
      <w:r w:rsidR="003A4E94">
        <w:t>entertainment</w:t>
      </w:r>
      <w:r w:rsidR="009F2F1E">
        <w:t xml:space="preserve"> about the whole: the intrepid lady come to plead the hero’</w:t>
      </w:r>
      <w:r w:rsidR="005B7CE3">
        <w:t>s cause with the reluctant lady</w:t>
      </w:r>
      <w:r w:rsidR="009F2F1E">
        <w:t>. Both women know that they are acting parts; the crucial difference being th</w:t>
      </w:r>
      <w:r w:rsidR="009E5F0E">
        <w:t xml:space="preserve">at Mrs Arabin hopes to </w:t>
      </w:r>
      <w:r w:rsidR="009F2F1E">
        <w:t>carry off the scene with ‘sincerity’, whereas Lily</w:t>
      </w:r>
      <w:r w:rsidR="003A55E4">
        <w:t xml:space="preserve"> (stronger than she was with Emily)</w:t>
      </w:r>
      <w:r w:rsidR="009F2F1E">
        <w:t xml:space="preserve"> is determined to </w:t>
      </w:r>
      <w:r w:rsidR="007A184E">
        <w:t>turn</w:t>
      </w:r>
      <w:r w:rsidR="00874626">
        <w:t xml:space="preserve"> it in the direction of comedy. (‘May I not say a word of comfort to him?’, said Mrs Arabin. ‘He will be very comfortable without any such word,’ said Lily laughing’ [789]).</w:t>
      </w:r>
    </w:p>
    <w:p w14:paraId="73B8EFBE" w14:textId="63930CB2" w:rsidR="00874626" w:rsidRDefault="00874626" w:rsidP="00403776">
      <w:r>
        <w:tab/>
        <w:t xml:space="preserve">Mrs Arabin’s </w:t>
      </w:r>
      <w:r w:rsidR="00AD5F39">
        <w:t>‘</w:t>
      </w:r>
      <w:r>
        <w:t>interest</w:t>
      </w:r>
      <w:r w:rsidR="00AD5F39">
        <w:t>’</w:t>
      </w:r>
      <w:r>
        <w:t xml:space="preserve"> </w:t>
      </w:r>
      <w:r w:rsidR="0070100F">
        <w:t>in John and Lily</w:t>
      </w:r>
      <w:r>
        <w:t xml:space="preserve"> is no more (and no less) than that of a captivated reader: someone who has heard this man’s history and would ‘take his part’ (as </w:t>
      </w:r>
      <w:r w:rsidR="0070100F">
        <w:t>others have done</w:t>
      </w:r>
      <w:r>
        <w:t xml:space="preserve">) by pleading his virtues and attractions better than he can himself. </w:t>
      </w:r>
      <w:r w:rsidR="003A55E4">
        <w:t>Trollope consistently repre</w:t>
      </w:r>
      <w:r w:rsidR="000815EB">
        <w:t xml:space="preserve">sents our imagined interests as being like hers: </w:t>
      </w:r>
      <w:r w:rsidR="003A55E4">
        <w:t>wanting</w:t>
      </w:r>
      <w:r w:rsidR="003A4D59">
        <w:t xml:space="preserve"> the romantic outcome and an end to Lily’s singleness. </w:t>
      </w:r>
      <w:r w:rsidR="00AD5F39">
        <w:t>The problem is that</w:t>
      </w:r>
      <w:r w:rsidR="003A4D59">
        <w:t xml:space="preserve"> right readers of the novel </w:t>
      </w:r>
      <w:r w:rsidR="0070100F">
        <w:t>do not in fact want</w:t>
      </w:r>
      <w:r w:rsidR="003A4D59">
        <w:t xml:space="preserve"> that. They will, rather, respect Lily’s autonomy, and marshal all the reasons </w:t>
      </w:r>
      <w:r w:rsidR="003A4E94">
        <w:t xml:space="preserve">Trollope gives us as to </w:t>
      </w:r>
      <w:r w:rsidR="003A4D59">
        <w:t>why Johnny is not an adequate repla</w:t>
      </w:r>
      <w:r w:rsidR="003A4E94">
        <w:t>cement for Adolphus Crosbie. They will</w:t>
      </w:r>
      <w:r w:rsidR="003A4D59">
        <w:t xml:space="preserve"> meditate on how absurd it is that only this one </w:t>
      </w:r>
      <w:r w:rsidR="003A4E94">
        <w:t xml:space="preserve">man </w:t>
      </w:r>
      <w:r w:rsidR="003A4D59">
        <w:t xml:space="preserve">should be </w:t>
      </w:r>
      <w:r w:rsidR="003A4E94">
        <w:t>offered</w:t>
      </w:r>
      <w:r w:rsidR="00836EE8">
        <w:t xml:space="preserve"> (repeatedly)</w:t>
      </w:r>
      <w:r w:rsidR="003A4E94">
        <w:t xml:space="preserve"> to</w:t>
      </w:r>
      <w:r w:rsidR="003A4D59">
        <w:t xml:space="preserve"> Lily, </w:t>
      </w:r>
      <w:r w:rsidR="007A184E">
        <w:t xml:space="preserve">recognise his continuing immaturity, </w:t>
      </w:r>
      <w:r w:rsidR="003A4D59">
        <w:t xml:space="preserve">and sympathise with her difficulty </w:t>
      </w:r>
      <w:r w:rsidR="003A4E94">
        <w:t>in articulating</w:t>
      </w:r>
      <w:r w:rsidR="005B7CE3">
        <w:t xml:space="preserve"> reasons </w:t>
      </w:r>
      <w:r w:rsidR="009E5F0E">
        <w:t>why her self-interest, as understood by others, is not a more important motive with her</w:t>
      </w:r>
      <w:r w:rsidR="003A4E94">
        <w:t>.</w:t>
      </w:r>
    </w:p>
    <w:p w14:paraId="2D46C16A" w14:textId="4E4765A2" w:rsidR="002701EF" w:rsidRDefault="00DF6418" w:rsidP="0058445E">
      <w:r>
        <w:tab/>
        <w:t xml:space="preserve">The interest </w:t>
      </w:r>
      <w:r w:rsidR="008E5912">
        <w:t xml:space="preserve">of the </w:t>
      </w:r>
      <w:r w:rsidR="0070100F">
        <w:t xml:space="preserve">imagined </w:t>
      </w:r>
      <w:r w:rsidR="008D757F">
        <w:t>reader</w:t>
      </w:r>
      <w:r w:rsidR="0070100F">
        <w:t xml:space="preserve"> (and some real readers)</w:t>
      </w:r>
      <w:r w:rsidR="008D757F">
        <w:t xml:space="preserve">, </w:t>
      </w:r>
      <w:r w:rsidR="0070100F">
        <w:t xml:space="preserve">Trollope indicates, is, like that of </w:t>
      </w:r>
      <w:r w:rsidR="00AD5F39">
        <w:t>Mrs Arabin</w:t>
      </w:r>
      <w:r w:rsidR="0070100F">
        <w:t>, excessive</w:t>
      </w:r>
      <w:r w:rsidR="00AD5F39">
        <w:t xml:space="preserve">: </w:t>
      </w:r>
      <w:r w:rsidR="0070100F">
        <w:t>the interest of a</w:t>
      </w:r>
      <w:r w:rsidR="003A4E94">
        <w:t xml:space="preserve"> </w:t>
      </w:r>
      <w:r w:rsidR="007A184E">
        <w:t xml:space="preserve">well-disposed </w:t>
      </w:r>
      <w:r w:rsidR="005B7CE3">
        <w:t>social acquaintance</w:t>
      </w:r>
      <w:r w:rsidR="00AD5F39">
        <w:t xml:space="preserve"> who has no </w:t>
      </w:r>
      <w:r w:rsidR="000815EB">
        <w:t xml:space="preserve">absolute </w:t>
      </w:r>
      <w:r w:rsidR="00AD5F39">
        <w:t>right to interfere</w:t>
      </w:r>
      <w:r w:rsidR="000815EB">
        <w:t xml:space="preserve">, </w:t>
      </w:r>
      <w:r w:rsidR="0070100F">
        <w:t xml:space="preserve">but assumes </w:t>
      </w:r>
      <w:r w:rsidR="000815EB">
        <w:t>a sufficient right.</w:t>
      </w:r>
      <w:r w:rsidR="005B7CE3">
        <w:t xml:space="preserve"> G</w:t>
      </w:r>
      <w:r w:rsidR="008D757F">
        <w:t>iven that Johnny and Lily are both of age and financially secure,</w:t>
      </w:r>
      <w:r>
        <w:t xml:space="preserve"> </w:t>
      </w:r>
      <w:r w:rsidR="00A40B68">
        <w:t>the</w:t>
      </w:r>
      <w:r>
        <w:t xml:space="preserve"> legitimate ‘interest’ </w:t>
      </w:r>
      <w:r w:rsidR="00A40B68">
        <w:t xml:space="preserve">of others </w:t>
      </w:r>
      <w:r>
        <w:t xml:space="preserve">in </w:t>
      </w:r>
      <w:r w:rsidR="008D757F">
        <w:t>their marriage</w:t>
      </w:r>
      <w:r>
        <w:t xml:space="preserve"> </w:t>
      </w:r>
      <w:r w:rsidR="00A40B68">
        <w:t>has obvious limits</w:t>
      </w:r>
      <w:r>
        <w:t>.</w:t>
      </w:r>
      <w:r w:rsidR="00A40B68">
        <w:t xml:space="preserve"> Marriage is a social act, but n</w:t>
      </w:r>
      <w:r>
        <w:t xml:space="preserve">o </w:t>
      </w:r>
      <w:r w:rsidR="002701EF">
        <w:t xml:space="preserve">degree of </w:t>
      </w:r>
      <w:r w:rsidR="00A40B68">
        <w:t xml:space="preserve">social expectation or </w:t>
      </w:r>
      <w:r w:rsidR="002701EF">
        <w:t>imaginative e</w:t>
      </w:r>
      <w:r w:rsidR="0070100F">
        <w:t>ngagement</w:t>
      </w:r>
      <w:r w:rsidR="00A40B68">
        <w:t xml:space="preserve"> from others</w:t>
      </w:r>
      <w:r>
        <w:t xml:space="preserve"> </w:t>
      </w:r>
      <w:r w:rsidR="0070100F">
        <w:t>can</w:t>
      </w:r>
      <w:r>
        <w:t xml:space="preserve"> </w:t>
      </w:r>
      <w:r w:rsidR="00A40B68">
        <w:t xml:space="preserve">generate </w:t>
      </w:r>
      <w:r w:rsidR="00D43841">
        <w:t xml:space="preserve">internal reasons that will have sufficient force </w:t>
      </w:r>
      <w:r w:rsidR="000815EB">
        <w:t xml:space="preserve">with someone who values </w:t>
      </w:r>
      <w:r w:rsidR="00FF515E">
        <w:t>their singleness more highly</w:t>
      </w:r>
      <w:r w:rsidR="00D43841">
        <w:t>.</w:t>
      </w:r>
      <w:r>
        <w:t xml:space="preserve"> Like </w:t>
      </w:r>
      <w:r w:rsidR="00AE14E7">
        <w:t>Archdeacon Grantly</w:t>
      </w:r>
      <w:r>
        <w:t>,</w:t>
      </w:r>
      <w:r w:rsidR="00AE14E7">
        <w:t xml:space="preserve"> with all h</w:t>
      </w:r>
      <w:r w:rsidR="007F40EE">
        <w:t>is defences—law, religion, propriety, convention</w:t>
      </w:r>
      <w:r w:rsidR="00AE14E7">
        <w:t xml:space="preserve">—marshalled to the dignity of clergy and the family, but powerless to alter Septimus Harding’s decision to resign; or the Bishop and Mrs Proudie, </w:t>
      </w:r>
      <w:r w:rsidR="00E13F84">
        <w:t>unable to quash</w:t>
      </w:r>
      <w:r w:rsidR="00AE14E7">
        <w:t xml:space="preserve"> Mr Crawley’s beleaguered but </w:t>
      </w:r>
      <w:r w:rsidR="00A55BE7">
        <w:t>f</w:t>
      </w:r>
      <w:r w:rsidR="005B7CE3">
        <w:t xml:space="preserve">ierce </w:t>
      </w:r>
      <w:r w:rsidR="00E13F84">
        <w:t>devotion to</w:t>
      </w:r>
      <w:r w:rsidR="00AE14E7">
        <w:t xml:space="preserve"> his duties </w:t>
      </w:r>
      <w:r w:rsidR="00E13F84">
        <w:t>by her</w:t>
      </w:r>
      <w:r w:rsidR="00AE14E7">
        <w:t xml:space="preserve"> view of the </w:t>
      </w:r>
      <w:r w:rsidR="007F40EE">
        <w:t>propriety of the church—</w:t>
      </w:r>
      <w:r w:rsidR="008D757F">
        <w:t xml:space="preserve">Mrs Arabin purports </w:t>
      </w:r>
      <w:r w:rsidR="00AE14E7">
        <w:t xml:space="preserve">to </w:t>
      </w:r>
      <w:r w:rsidR="00990A65">
        <w:t>appeal</w:t>
      </w:r>
      <w:r w:rsidR="008D757F">
        <w:t xml:space="preserve"> to Lily’s</w:t>
      </w:r>
      <w:r w:rsidR="007F40EE">
        <w:t xml:space="preserve"> self-interest </w:t>
      </w:r>
      <w:r w:rsidR="00A55BE7">
        <w:t>(</w:t>
      </w:r>
      <w:r w:rsidR="008E5912">
        <w:t>as well as John Eames’s deserts</w:t>
      </w:r>
      <w:r w:rsidR="00A55BE7">
        <w:t xml:space="preserve">) </w:t>
      </w:r>
      <w:r w:rsidR="00AE14E7">
        <w:t xml:space="preserve">but in </w:t>
      </w:r>
      <w:r w:rsidR="0070100F">
        <w:t>truth</w:t>
      </w:r>
      <w:r w:rsidR="00AE14E7">
        <w:t xml:space="preserve"> speak</w:t>
      </w:r>
      <w:r w:rsidR="007F40EE">
        <w:t xml:space="preserve">s </w:t>
      </w:r>
      <w:r w:rsidR="00D43841">
        <w:t xml:space="preserve">from an external view of that self-interest that does not equate with </w:t>
      </w:r>
      <w:r w:rsidR="00FF515E">
        <w:t>the view the person concerned</w:t>
      </w:r>
      <w:r w:rsidR="002701EF">
        <w:t>.</w:t>
      </w:r>
    </w:p>
    <w:p w14:paraId="60CB7C85" w14:textId="01176412" w:rsidR="00403776" w:rsidRDefault="00E13F84" w:rsidP="002701EF">
      <w:pPr>
        <w:ind w:firstLine="720"/>
      </w:pPr>
      <w:r>
        <w:t xml:space="preserve">One might </w:t>
      </w:r>
      <w:r w:rsidR="00D43841">
        <w:t>give these</w:t>
      </w:r>
      <w:r w:rsidR="008D757F">
        <w:t xml:space="preserve"> </w:t>
      </w:r>
      <w:r w:rsidR="002701EF">
        <w:t>readerly</w:t>
      </w:r>
      <w:r w:rsidR="005B7CE3">
        <w:t xml:space="preserve"> interest</w:t>
      </w:r>
      <w:r w:rsidR="00D43841">
        <w:t>s</w:t>
      </w:r>
      <w:r w:rsidR="005B7CE3">
        <w:t xml:space="preserve"> </w:t>
      </w:r>
      <w:r w:rsidR="00990A65">
        <w:t>some</w:t>
      </w:r>
      <w:r w:rsidR="005B7CE3">
        <w:t xml:space="preserve"> increase in </w:t>
      </w:r>
      <w:r w:rsidR="008D757F">
        <w:t xml:space="preserve">weight by observing that </w:t>
      </w:r>
      <w:r w:rsidR="00D43841">
        <w:t>they tally</w:t>
      </w:r>
      <w:r w:rsidR="008D757F">
        <w:t xml:space="preserve"> with a </w:t>
      </w:r>
      <w:r w:rsidR="00A55BE7">
        <w:t>theoretical</w:t>
      </w:r>
      <w:r w:rsidR="008D757F">
        <w:t xml:space="preserve"> public interest in seeing others happy, or </w:t>
      </w:r>
      <w:r w:rsidR="00607135">
        <w:t>an obligation to try to prevent</w:t>
      </w:r>
      <w:r w:rsidR="008D757F">
        <w:t xml:space="preserve"> </w:t>
      </w:r>
      <w:r w:rsidR="00607135">
        <w:t xml:space="preserve">harm </w:t>
      </w:r>
      <w:r w:rsidR="00836EE8">
        <w:t xml:space="preserve">to others </w:t>
      </w:r>
      <w:r w:rsidR="00607135">
        <w:t>when doing so is within our power</w:t>
      </w:r>
      <w:r w:rsidR="008D757F">
        <w:t xml:space="preserve">; but the public interest thus invoked must remain </w:t>
      </w:r>
      <w:r w:rsidR="00D43841">
        <w:t xml:space="preserve">notional </w:t>
      </w:r>
      <w:r w:rsidR="008D757F">
        <w:t xml:space="preserve">since it depends on </w:t>
      </w:r>
      <w:r w:rsidR="00607135">
        <w:t xml:space="preserve">an </w:t>
      </w:r>
      <w:r w:rsidR="008D757F">
        <w:t>unstated ‘principle’ that women must be h</w:t>
      </w:r>
      <w:r w:rsidR="00FF515E">
        <w:t>appier married than not married,</w:t>
      </w:r>
      <w:r w:rsidR="008D757F">
        <w:t xml:space="preserve"> and on a judgement of harm that can only be </w:t>
      </w:r>
      <w:r w:rsidR="00A55BE7">
        <w:t>validated</w:t>
      </w:r>
      <w:r w:rsidR="008D757F">
        <w:t xml:space="preserve"> by the person who </w:t>
      </w:r>
      <w:r w:rsidR="00990A65">
        <w:t>is its object</w:t>
      </w:r>
      <w:r w:rsidR="008D757F">
        <w:t xml:space="preserve">. </w:t>
      </w:r>
      <w:r w:rsidR="002701EF">
        <w:t xml:space="preserve">It is, in any case, </w:t>
      </w:r>
      <w:r w:rsidR="00D43841">
        <w:t>an analogy that moral realism conventionally asks us to draw between imaginative interaction with the text and social interaction with others</w:t>
      </w:r>
      <w:r w:rsidR="002701EF">
        <w:t xml:space="preserve">. </w:t>
      </w:r>
      <w:r w:rsidR="007F40EE">
        <w:t xml:space="preserve">Like </w:t>
      </w:r>
      <w:r w:rsidR="002701EF">
        <w:t>all the other</w:t>
      </w:r>
      <w:r w:rsidR="008D757F">
        <w:t xml:space="preserve"> failed persuaders</w:t>
      </w:r>
      <w:r w:rsidR="002701EF">
        <w:t xml:space="preserve"> in </w:t>
      </w:r>
      <w:r w:rsidR="002701EF">
        <w:rPr>
          <w:i/>
        </w:rPr>
        <w:t>The Last Chronicle</w:t>
      </w:r>
      <w:r w:rsidR="008D757F">
        <w:t>, Mrs Arabi</w:t>
      </w:r>
      <w:r w:rsidR="00607135">
        <w:t>n</w:t>
      </w:r>
      <w:r w:rsidR="002701EF">
        <w:t xml:space="preserve"> must be</w:t>
      </w:r>
      <w:r w:rsidR="00AE14E7">
        <w:t xml:space="preserve"> helpless before the sheer intransigence of </w:t>
      </w:r>
      <w:r w:rsidR="007F40EE">
        <w:t>another’s</w:t>
      </w:r>
      <w:r w:rsidR="00AE14E7">
        <w:t xml:space="preserve"> ‘self-dependence’</w:t>
      </w:r>
      <w:r w:rsidR="00285344">
        <w:t>—</w:t>
      </w:r>
      <w:r w:rsidR="000441AE">
        <w:t xml:space="preserve">a word </w:t>
      </w:r>
      <w:r w:rsidR="00607135">
        <w:t xml:space="preserve">contemporaneously </w:t>
      </w:r>
      <w:r w:rsidR="00990A65">
        <w:t>charged (</w:t>
      </w:r>
      <w:r w:rsidR="000441AE">
        <w:t>encumbered perhaps</w:t>
      </w:r>
      <w:r w:rsidR="00990A65">
        <w:t xml:space="preserve">, </w:t>
      </w:r>
      <w:r w:rsidR="00285344">
        <w:t>given its ungainliness</w:t>
      </w:r>
      <w:r w:rsidR="00607135">
        <w:t>)</w:t>
      </w:r>
      <w:r w:rsidR="00990A65">
        <w:t xml:space="preserve"> </w:t>
      </w:r>
      <w:r w:rsidR="000441AE">
        <w:t>with religious and political virtue</w:t>
      </w:r>
      <w:r w:rsidR="00D43841">
        <w:t>.</w:t>
      </w:r>
      <w:r w:rsidR="00607135">
        <w:rPr>
          <w:rStyle w:val="FootnoteReference"/>
        </w:rPr>
        <w:footnoteReference w:id="22"/>
      </w:r>
      <w:r w:rsidR="007F40EE">
        <w:t xml:space="preserve"> Self-dependence is</w:t>
      </w:r>
      <w:r w:rsidR="00990A65">
        <w:t xml:space="preserve"> relatively</w:t>
      </w:r>
      <w:r w:rsidR="000441AE">
        <w:t xml:space="preserve"> stable, </w:t>
      </w:r>
      <w:r w:rsidR="00B81DE8">
        <w:t>but</w:t>
      </w:r>
      <w:r>
        <w:t xml:space="preserve"> (as Wall observed)</w:t>
      </w:r>
      <w:r w:rsidR="00B81DE8">
        <w:t xml:space="preserve"> i</w:t>
      </w:r>
      <w:r w:rsidR="00836EE8">
        <w:t>n danger of being merely static</w:t>
      </w:r>
      <w:r w:rsidR="000441AE">
        <w:t>.</w:t>
      </w:r>
    </w:p>
    <w:p w14:paraId="59BE100C" w14:textId="650AAEB0" w:rsidR="00F468F6" w:rsidRDefault="00FF515E" w:rsidP="00F468F6">
      <w:pPr>
        <w:ind w:firstLine="720"/>
      </w:pPr>
      <w:r>
        <w:t>Such observations on the investment of the social group</w:t>
      </w:r>
      <w:r w:rsidR="00D43841">
        <w:t xml:space="preserve"> in the interests of </w:t>
      </w:r>
      <w:r>
        <w:t>individuals</w:t>
      </w:r>
      <w:r w:rsidR="00D06DFD">
        <w:t>, when what</w:t>
      </w:r>
      <w:r w:rsidR="00D43841">
        <w:t xml:space="preserve"> </w:t>
      </w:r>
      <w:r>
        <w:t>the individual may</w:t>
      </w:r>
      <w:r w:rsidR="00D43841">
        <w:t xml:space="preserve"> want more than attaining </w:t>
      </w:r>
      <w:r>
        <w:t>the object of their interests is preserving their</w:t>
      </w:r>
      <w:r w:rsidR="00D43841">
        <w:t xml:space="preserve"> ‘self-dependence’, </w:t>
      </w:r>
      <w:r>
        <w:t>holds out a noticeably perverse model of how Trollope’s readers respond to the text.</w:t>
      </w:r>
      <w:r w:rsidR="002701EF">
        <w:t xml:space="preserve"> </w:t>
      </w:r>
      <w:r w:rsidR="00F468F6">
        <w:t xml:space="preserve">‘In the love with which [Lily Dale] has been greeted’ by readers, </w:t>
      </w:r>
      <w:r w:rsidR="002701EF">
        <w:t>h</w:t>
      </w:r>
      <w:r w:rsidR="00F468F6">
        <w:t xml:space="preserve">e wrote in the </w:t>
      </w:r>
      <w:r w:rsidR="00F468F6">
        <w:rPr>
          <w:i/>
        </w:rPr>
        <w:t>Autobiography</w:t>
      </w:r>
      <w:r w:rsidR="00F468F6">
        <w:t>, ‘I have hardly joined with much enthusiasm, feeling that she is s</w:t>
      </w:r>
      <w:r w:rsidR="00407FAE">
        <w:t>omewhat of a female prig’</w:t>
      </w:r>
      <w:r w:rsidR="00407FAE">
        <w:rPr>
          <w:rStyle w:val="FootnoteReference"/>
        </w:rPr>
        <w:t xml:space="preserve"> </w:t>
      </w:r>
      <w:r w:rsidR="00407FAE">
        <w:t xml:space="preserve"> (117).</w:t>
      </w:r>
      <w:r w:rsidR="00F468F6">
        <w:t xml:space="preserve"> </w:t>
      </w:r>
      <w:r w:rsidR="0070100F">
        <w:t>It reads</w:t>
      </w:r>
      <w:r w:rsidR="002701EF">
        <w:t xml:space="preserve">, at first, </w:t>
      </w:r>
      <w:r w:rsidR="0070100F">
        <w:t>like</w:t>
      </w:r>
      <w:r w:rsidR="00F468F6">
        <w:t xml:space="preserve"> a caprice, given the affectionate respect with which he left her at the end of </w:t>
      </w:r>
      <w:r w:rsidR="00F468F6">
        <w:rPr>
          <w:i/>
        </w:rPr>
        <w:t>The Last Chronicle</w:t>
      </w:r>
      <w:r w:rsidR="00F468F6">
        <w:t>: ‘</w:t>
      </w:r>
      <w:r w:rsidR="00F468F6" w:rsidRPr="00D70DA1">
        <w:t>and so she passes out of our sight. I can only ask the reader to believe that she was in earnest, and express my own opinion, in this last word that I shall ever write respecting her, that she</w:t>
      </w:r>
      <w:r w:rsidR="00FB7D4A">
        <w:t xml:space="preserve"> will live and die as Lily Dale</w:t>
      </w:r>
      <w:r w:rsidR="00F468F6">
        <w:t>’</w:t>
      </w:r>
      <w:r w:rsidR="00FB7D4A">
        <w:t xml:space="preserve"> (798).</w:t>
      </w:r>
      <w:r w:rsidR="00EB2E3D">
        <w:t xml:space="preserve"> </w:t>
      </w:r>
      <w:r w:rsidR="002701EF">
        <w:t>But lest we</w:t>
      </w:r>
      <w:r w:rsidR="00FB7D4A">
        <w:t xml:space="preserve"> dismiss</w:t>
      </w:r>
      <w:r w:rsidR="0070100F">
        <w:t xml:space="preserve"> it</w:t>
      </w:r>
      <w:r w:rsidR="00FB7D4A">
        <w:t xml:space="preserve"> </w:t>
      </w:r>
      <w:r w:rsidR="002701EF">
        <w:t>too quickly</w:t>
      </w:r>
      <w:r w:rsidR="00F468F6">
        <w:t xml:space="preserve">, the </w:t>
      </w:r>
      <w:r w:rsidR="00F468F6">
        <w:rPr>
          <w:i/>
        </w:rPr>
        <w:t>Autobiography</w:t>
      </w:r>
      <w:r w:rsidR="00F468F6">
        <w:t xml:space="preserve"> gives reasons—</w:t>
      </w:r>
    </w:p>
    <w:p w14:paraId="6B7A7659" w14:textId="65A2A5F9" w:rsidR="00F468F6" w:rsidRDefault="00F468F6" w:rsidP="00F468F6">
      <w:pPr>
        <w:pStyle w:val="Quote"/>
        <w:rPr>
          <w:lang w:val="en-US"/>
        </w:rPr>
      </w:pPr>
      <w:r>
        <w:rPr>
          <w:lang w:val="en-US"/>
        </w:rPr>
        <w:t>She became first engaged to a snob, who jilted her; and then, though in truth she loved another man who was hardly good enough, she could not extricate herself sufficiently from the collapse of her first great misfortune to be able to make up her mind to be the wife of one whom, though she loved him, she did not altogether revere</w:t>
      </w:r>
      <w:r w:rsidR="00407FAE">
        <w:rPr>
          <w:lang w:val="en-US"/>
        </w:rPr>
        <w:t>nce. (117</w:t>
      </w:r>
      <w:r>
        <w:rPr>
          <w:lang w:val="en-US"/>
        </w:rPr>
        <w:t>)</w:t>
      </w:r>
    </w:p>
    <w:p w14:paraId="541B13F1" w14:textId="77777777" w:rsidR="00F468F6" w:rsidRDefault="00F468F6" w:rsidP="00F468F6">
      <w:pPr>
        <w:pStyle w:val="Quote"/>
        <w:rPr>
          <w:lang w:val="en-US"/>
        </w:rPr>
      </w:pPr>
    </w:p>
    <w:p w14:paraId="2DD8D5B3" w14:textId="77777777" w:rsidR="00F468F6" w:rsidRDefault="00F468F6" w:rsidP="00F468F6">
      <w:pPr>
        <w:pStyle w:val="Quote"/>
      </w:pPr>
      <w:r>
        <w:rPr>
          <w:lang w:val="en-US"/>
        </w:rPr>
        <w:t xml:space="preserve"> </w:t>
      </w:r>
    </w:p>
    <w:p w14:paraId="67409062" w14:textId="5344E5FD" w:rsidR="00FB7D4A" w:rsidRDefault="00F468F6" w:rsidP="00F468F6">
      <w:r>
        <w:t xml:space="preserve"> ‘Prig’ is a pungently evasive charge, at once attitudinally</w:t>
      </w:r>
      <w:r w:rsidR="00EB2E3D">
        <w:t xml:space="preserve"> sharp about Lily’s vexatious </w:t>
      </w:r>
      <w:r>
        <w:t>qualities and quite ambiguous about why they constitute failings. The word comprehends, in the period, ‘an excessively precise or particular person’; ‘</w:t>
      </w:r>
      <w:r w:rsidRPr="00993D91">
        <w:t xml:space="preserve">a person who cultivates or affects supposedly correct views on culture, learning, or </w:t>
      </w:r>
      <w:r>
        <w:t xml:space="preserve">[potentially relevant, given Lily’s injunctions to her mother about what a truly Christian forgiveness of Crosbie would entail] </w:t>
      </w:r>
      <w:r w:rsidRPr="00993D91">
        <w:t>morals, which offend or bore others’</w:t>
      </w:r>
      <w:r>
        <w:t>; and with some hint still, perhaps, of an earlier reference to non-conformity.</w:t>
      </w:r>
      <w:r>
        <w:rPr>
          <w:rStyle w:val="FootnoteReference"/>
        </w:rPr>
        <w:footnoteReference w:id="23"/>
      </w:r>
      <w:r w:rsidR="00E13F84">
        <w:t xml:space="preserve"> It makes a difference that the</w:t>
      </w:r>
      <w:r>
        <w:t xml:space="preserve"> pronouncement is made retrospectively, thirteen years after the publication of </w:t>
      </w:r>
      <w:r>
        <w:rPr>
          <w:i/>
        </w:rPr>
        <w:t>The Last Chronicle</w:t>
      </w:r>
      <w:r>
        <w:t>. In the interim Trollope has, he reports, fielded numerous letters, ‘</w:t>
      </w:r>
      <w:r w:rsidRPr="00285344">
        <w:t>the purport of which has always been to beg me to marry Lily Dale to Johnny Eames. Had I done so, however, Lily would never have so endeared herself to these people as to induce them to write letters to the author concerning her fate. It was because she could not get over her troubles that they loved h</w:t>
      </w:r>
      <w:r w:rsidR="00E13F84">
        <w:t>er</w:t>
      </w:r>
      <w:r w:rsidR="00407FAE">
        <w:t>’ (117</w:t>
      </w:r>
      <w:r>
        <w:t>)</w:t>
      </w:r>
      <w:r w:rsidR="00E13F84">
        <w:t>.</w:t>
      </w:r>
      <w:r>
        <w:t xml:space="preserve"> The </w:t>
      </w:r>
      <w:r w:rsidR="00E13F84">
        <w:t>quasi-pugilistic attitude to his actual</w:t>
      </w:r>
      <w:r>
        <w:t xml:space="preserve"> readers (who</w:t>
      </w:r>
      <w:r w:rsidR="00FB7D4A">
        <w:t xml:space="preserve"> questionably</w:t>
      </w:r>
      <w:r>
        <w:t xml:space="preserve"> ‘honour’ him with such letters) </w:t>
      </w:r>
      <w:r w:rsidR="00E13F84">
        <w:t>rebukes</w:t>
      </w:r>
      <w:r w:rsidR="00FB7D4A">
        <w:t xml:space="preserve"> them</w:t>
      </w:r>
      <w:r>
        <w:t xml:space="preserve"> for mistaking what it is they should desire: allowing a predictable, even natural, desire for the happy romantic ending potentially on offer to overrule what it is that the novel should have told them about the </w:t>
      </w:r>
      <w:r w:rsidR="00FF515E">
        <w:t>greater</w:t>
      </w:r>
      <w:r>
        <w:t xml:space="preserve"> importance of </w:t>
      </w:r>
      <w:r w:rsidR="00FF515E">
        <w:t>self-dependence</w:t>
      </w:r>
      <w:r w:rsidR="00FB7D4A">
        <w:t>.</w:t>
      </w:r>
    </w:p>
    <w:p w14:paraId="441BE87E" w14:textId="64B467C4" w:rsidR="00285344" w:rsidRDefault="002701EF" w:rsidP="00FB7D4A">
      <w:pPr>
        <w:ind w:firstLine="720"/>
      </w:pPr>
      <w:r>
        <w:t xml:space="preserve">The retrospective declaration of the author’s </w:t>
      </w:r>
      <w:r w:rsidR="0070100F">
        <w:t>hypothetical</w:t>
      </w:r>
      <w:r>
        <w:t xml:space="preserve"> non-alliance with his own readers makes plain the degree to which Trollope’s attraction to </w:t>
      </w:r>
      <w:r w:rsidR="00FF515E">
        <w:t xml:space="preserve">characters who go against self-interest </w:t>
      </w:r>
      <w:r>
        <w:t xml:space="preserve">had its roots in Tory anti-authoritarianism, at least as much as in liberalism. Explicit moralising </w:t>
      </w:r>
      <w:r w:rsidR="00E13F84">
        <w:t>on individual autonomy</w:t>
      </w:r>
      <w:r>
        <w:t xml:space="preserve"> </w:t>
      </w:r>
      <w:r w:rsidR="00FB7D4A">
        <w:t>c</w:t>
      </w:r>
      <w:r w:rsidR="00F468F6">
        <w:t>ould have no</w:t>
      </w:r>
      <w:r w:rsidR="00EB2E3D">
        <w:t xml:space="preserve"> overt</w:t>
      </w:r>
      <w:r w:rsidR="00F468F6">
        <w:t xml:space="preserve"> place in </w:t>
      </w:r>
      <w:r w:rsidR="00FB7D4A">
        <w:rPr>
          <w:i/>
        </w:rPr>
        <w:t>The Last Chronicle</w:t>
      </w:r>
      <w:r w:rsidR="00FB7D4A">
        <w:t>. It was one of Trollope’s</w:t>
      </w:r>
      <w:r w:rsidR="00F468F6">
        <w:t xml:space="preserve"> primary complaints against Dickens that he treated his characters as ‘pup</w:t>
      </w:r>
      <w:r w:rsidR="00FB7D4A">
        <w:t xml:space="preserve">pets’ to deliver moral lessons </w:t>
      </w:r>
      <w:r w:rsidR="00F468F6">
        <w:t>and got aw</w:t>
      </w:r>
      <w:r w:rsidR="00FB7D4A">
        <w:t>ay with it</w:t>
      </w:r>
      <w:r w:rsidR="00F468F6">
        <w:t xml:space="preserve"> (</w:t>
      </w:r>
      <w:r w:rsidR="00F468F6" w:rsidRPr="001A140C">
        <w:rPr>
          <w:i/>
        </w:rPr>
        <w:t>Autobiography</w:t>
      </w:r>
      <w:r w:rsidR="00407FAE">
        <w:t>, 159</w:t>
      </w:r>
      <w:r w:rsidR="00FB7D4A">
        <w:t xml:space="preserve">). </w:t>
      </w:r>
      <w:r>
        <w:t>There is, nevertheless, a</w:t>
      </w:r>
      <w:r w:rsidR="00F468F6">
        <w:t xml:space="preserve"> </w:t>
      </w:r>
      <w:r w:rsidR="00FF515E">
        <w:t>confrontational air</w:t>
      </w:r>
      <w:r w:rsidR="00F468F6">
        <w:t xml:space="preserve"> </w:t>
      </w:r>
      <w:r>
        <w:t>to Trollope’s imaginary relation with</w:t>
      </w:r>
      <w:r w:rsidR="00FB7D4A">
        <w:t xml:space="preserve"> his readership even within the novel</w:t>
      </w:r>
      <w:r w:rsidR="00F468F6">
        <w:t xml:space="preserve"> that is</w:t>
      </w:r>
      <w:r>
        <w:t xml:space="preserve"> </w:t>
      </w:r>
      <w:r w:rsidR="00FF515E">
        <w:t>a match for</w:t>
      </w:r>
      <w:r w:rsidR="00F468F6">
        <w:t xml:space="preserve"> the </w:t>
      </w:r>
      <w:r w:rsidR="00FF515E">
        <w:t>contrarian attitude of his</w:t>
      </w:r>
      <w:r w:rsidR="00F468F6">
        <w:t xml:space="preserve"> characters. </w:t>
      </w:r>
      <w:r w:rsidR="00D15053">
        <w:t>It is a</w:t>
      </w:r>
      <w:r w:rsidR="009C3E86">
        <w:t xml:space="preserve"> </w:t>
      </w:r>
      <w:r w:rsidR="00F468F6">
        <w:t>direct</w:t>
      </w:r>
      <w:r w:rsidR="009C3E86">
        <w:t xml:space="preserve"> corollary of </w:t>
      </w:r>
      <w:r w:rsidR="00FB7D4A">
        <w:t xml:space="preserve">his describing a </w:t>
      </w:r>
      <w:r w:rsidR="0058445E">
        <w:t>readerly interest in</w:t>
      </w:r>
      <w:r w:rsidR="00FB7D4A">
        <w:t xml:space="preserve"> his</w:t>
      </w:r>
      <w:r w:rsidR="0058445E">
        <w:t xml:space="preserve"> characters </w:t>
      </w:r>
      <w:r>
        <w:t>that</w:t>
      </w:r>
      <w:r w:rsidR="0058445E">
        <w:t xml:space="preserve"> is not </w:t>
      </w:r>
      <w:r w:rsidR="009C3E86">
        <w:t xml:space="preserve">in fact </w:t>
      </w:r>
      <w:r w:rsidR="00285344">
        <w:t>our</w:t>
      </w:r>
      <w:r w:rsidR="0058445E">
        <w:t xml:space="preserve"> </w:t>
      </w:r>
      <w:r w:rsidR="0070100F">
        <w:t>correct</w:t>
      </w:r>
      <w:r w:rsidR="0058445E">
        <w:t xml:space="preserve"> </w:t>
      </w:r>
      <w:r>
        <w:t xml:space="preserve">(or our likely) </w:t>
      </w:r>
      <w:r w:rsidR="0058445E">
        <w:t xml:space="preserve">interest that Trollope </w:t>
      </w:r>
      <w:r w:rsidR="00D95AB6">
        <w:t>cast</w:t>
      </w:r>
      <w:r w:rsidR="00D15053">
        <w:t>s</w:t>
      </w:r>
      <w:r w:rsidR="00285344">
        <w:t xml:space="preserve"> himself</w:t>
      </w:r>
      <w:r w:rsidR="009C3E86">
        <w:t xml:space="preserve"> </w:t>
      </w:r>
      <w:r w:rsidR="00285344">
        <w:t xml:space="preserve">in the role of defender of characters </w:t>
      </w:r>
      <w:r w:rsidR="005579DC">
        <w:t>bound to be misunderstood</w:t>
      </w:r>
      <w:r w:rsidR="00285344">
        <w:t>.</w:t>
      </w:r>
      <w:r w:rsidR="0058445E">
        <w:t xml:space="preserve"> </w:t>
      </w:r>
      <w:r w:rsidR="009C3E86">
        <w:t>T</w:t>
      </w:r>
      <w:r w:rsidR="0058445E">
        <w:t xml:space="preserve">he direction of </w:t>
      </w:r>
      <w:r w:rsidR="009C3E86">
        <w:t>his realism in these moments</w:t>
      </w:r>
      <w:r w:rsidR="0058445E">
        <w:t xml:space="preserve"> runs</w:t>
      </w:r>
      <w:r w:rsidR="009C3E86">
        <w:t>, significantly,</w:t>
      </w:r>
      <w:r w:rsidR="0058445E">
        <w:t xml:space="preserve"> in the reverse direction to that required by George Eliot’s realism</w:t>
      </w:r>
      <w:r w:rsidR="003677DC">
        <w:t>.</w:t>
      </w:r>
      <w:r w:rsidR="003677DC">
        <w:rPr>
          <w:rStyle w:val="FootnoteReference"/>
        </w:rPr>
        <w:t xml:space="preserve"> </w:t>
      </w:r>
      <w:r w:rsidR="00D95AB6">
        <w:t xml:space="preserve">Where </w:t>
      </w:r>
      <w:r w:rsidR="0058445E">
        <w:t>Eliot labours to cultivate sympathies in us that are assumed to be sluggish, or reluctant, or prejudicially p</w:t>
      </w:r>
      <w:r w:rsidR="00EB2E3D">
        <w:t>rone to concentration elsewhere</w:t>
      </w:r>
      <w:r w:rsidR="00D95AB6">
        <w:t>,</w:t>
      </w:r>
      <w:r w:rsidR="0058445E">
        <w:t xml:space="preserve"> Trollope creates </w:t>
      </w:r>
      <w:r w:rsidR="00D95AB6">
        <w:t>an imagined</w:t>
      </w:r>
      <w:r w:rsidR="0058445E">
        <w:t xml:space="preserve"> reader who errs on the side of </w:t>
      </w:r>
      <w:r w:rsidR="00D95AB6">
        <w:t xml:space="preserve">a too ready and presumptive </w:t>
      </w:r>
      <w:r w:rsidR="003677DC">
        <w:t>sympathy</w:t>
      </w:r>
      <w:r w:rsidR="0058445E">
        <w:t>.</w:t>
      </w:r>
      <w:r w:rsidR="003677DC">
        <w:t xml:space="preserve"> Even where he </w:t>
      </w:r>
      <w:r w:rsidR="00D95AB6">
        <w:t xml:space="preserve">mimics </w:t>
      </w:r>
      <w:r w:rsidR="005579DC">
        <w:t xml:space="preserve">(as he often does) </w:t>
      </w:r>
      <w:r w:rsidR="00D95AB6">
        <w:t>Eliot’s</w:t>
      </w:r>
      <w:r w:rsidR="003677DC">
        <w:t xml:space="preserve"> requests for the extension of </w:t>
      </w:r>
      <w:r w:rsidR="00D95AB6">
        <w:t>concern</w:t>
      </w:r>
      <w:r w:rsidR="003677DC">
        <w:t xml:space="preserve"> to unpromising candidates he tends to </w:t>
      </w:r>
      <w:r w:rsidR="00D95AB6">
        <w:t>oppose</w:t>
      </w:r>
      <w:r w:rsidR="003677DC">
        <w:t xml:space="preserve"> </w:t>
      </w:r>
      <w:r w:rsidR="00D95AB6">
        <w:t xml:space="preserve">himself to, rather than align himself with, the </w:t>
      </w:r>
      <w:r w:rsidR="003677DC">
        <w:t>reader. On Johnny, for example: ‘</w:t>
      </w:r>
      <w:r w:rsidR="003677DC" w:rsidRPr="003C48EB">
        <w:t>The reader</w:t>
      </w:r>
      <w:r w:rsidR="003677DC">
        <w:t xml:space="preserve"> […]</w:t>
      </w:r>
      <w:r w:rsidR="003677DC" w:rsidRPr="003C48EB">
        <w:t xml:space="preserve"> may, perhaps, think that a young man who could amuse himself with Miss Demolines was unworthy of Lily Dale. If so, I may declare for myself that I and the reader are</w:t>
      </w:r>
      <w:r w:rsidR="003677DC">
        <w:t xml:space="preserve"> not in accord about John Eames’ (785). On Mrs Proudie: ‘</w:t>
      </w:r>
      <w:r w:rsidR="003677DC" w:rsidRPr="003C48EB">
        <w:t>I fear that it may now be too late for me to excite much sympathy in the mind of any r</w:t>
      </w:r>
      <w:r w:rsidR="003677DC">
        <w:t xml:space="preserve">eader </w:t>
      </w:r>
      <w:r w:rsidR="00EB2E3D">
        <w:t>on behalf of [her]’ (483). H</w:t>
      </w:r>
      <w:r w:rsidR="003677DC">
        <w:t>e more than once impugns the reader’s competence: ‘</w:t>
      </w:r>
      <w:r w:rsidR="003677DC" w:rsidRPr="003677DC">
        <w:t>the kind and attentive reader, if such reader be in such matters intelligent</w:t>
      </w:r>
      <w:r w:rsidR="003677DC">
        <w:t xml:space="preserve"> as well as kind and attentive, …’ (140). </w:t>
      </w:r>
      <w:r w:rsidR="001A7C7B">
        <w:t xml:space="preserve">It is a </w:t>
      </w:r>
      <w:r w:rsidR="003677DC">
        <w:t xml:space="preserve">comic-rebarbative </w:t>
      </w:r>
      <w:r>
        <w:t>modelling of the reader to the reader</w:t>
      </w:r>
      <w:r w:rsidR="001A7C7B">
        <w:t xml:space="preserve"> that put</w:t>
      </w:r>
      <w:r w:rsidR="00285344">
        <w:t>s</w:t>
      </w:r>
      <w:r w:rsidR="001A7C7B">
        <w:t xml:space="preserve"> a different slant on his much quoted demurral, in the </w:t>
      </w:r>
      <w:r w:rsidR="001A7C7B">
        <w:rPr>
          <w:i/>
        </w:rPr>
        <w:t>Autobiography</w:t>
      </w:r>
      <w:r w:rsidR="001A7C7B">
        <w:t>, that for all her gr</w:t>
      </w:r>
      <w:r w:rsidR="00285344">
        <w:t>eat merits Eliot ‘</w:t>
      </w:r>
      <w:r w:rsidR="001A7C7B">
        <w:t>struggles too much to be excellent. She lacks ease.’</w:t>
      </w:r>
      <w:r w:rsidR="001A7C7B">
        <w:rPr>
          <w:rStyle w:val="FootnoteReference"/>
        </w:rPr>
        <w:footnoteReference w:id="24"/>
      </w:r>
      <w:r w:rsidR="0058445E">
        <w:t xml:space="preserve"> </w:t>
      </w:r>
      <w:r w:rsidR="001A7C7B">
        <w:t>Trollope approved of</w:t>
      </w:r>
      <w:r w:rsidR="00285344">
        <w:t xml:space="preserve"> ease at the level of the sentence; </w:t>
      </w:r>
      <w:r w:rsidR="001A7C7B">
        <w:t xml:space="preserve">at the level of sympathy he </w:t>
      </w:r>
      <w:r w:rsidR="00E13F84">
        <w:t>was ready to make</w:t>
      </w:r>
      <w:r w:rsidR="00285344">
        <w:t xml:space="preserve"> difficulties.</w:t>
      </w:r>
    </w:p>
    <w:p w14:paraId="2F9A25AA" w14:textId="5905A202" w:rsidR="00E330F9" w:rsidRDefault="00482851" w:rsidP="00C413EC">
      <w:r>
        <w:tab/>
      </w:r>
      <w:r w:rsidR="00544F8F">
        <w:t>Realism’s</w:t>
      </w:r>
      <w:r w:rsidR="005D5A75">
        <w:t xml:space="preserve"> defining resistance to convention</w:t>
      </w:r>
      <w:r w:rsidR="00FF515E">
        <w:t>,</w:t>
      </w:r>
      <w:r w:rsidR="005D5A75">
        <w:t xml:space="preserve"> then</w:t>
      </w:r>
      <w:r w:rsidR="00FF515E">
        <w:t>, must</w:t>
      </w:r>
      <w:r w:rsidR="005D5A75">
        <w:t xml:space="preserve"> include</w:t>
      </w:r>
      <w:r w:rsidR="00FF515E">
        <w:t xml:space="preserve"> also, for Trollope, </w:t>
      </w:r>
      <w:r w:rsidR="005D5A75">
        <w:t>the convention of appealing to the reader’s sympathetic interest in character and situation</w:t>
      </w:r>
      <w:r w:rsidR="000F3268">
        <w:t xml:space="preserve"> (</w:t>
      </w:r>
      <w:r w:rsidR="00D06DFD">
        <w:t xml:space="preserve">a convention </w:t>
      </w:r>
      <w:r w:rsidR="000F3268">
        <w:t>closely associated with, but not confined to moral realism). T</w:t>
      </w:r>
      <w:r w:rsidR="00FF515E">
        <w:t>he realist commitment to character</w:t>
      </w:r>
      <w:r w:rsidR="00D15053">
        <w:t xml:space="preserve"> autonomy</w:t>
      </w:r>
      <w:r w:rsidR="000F3268">
        <w:t>, also,</w:t>
      </w:r>
      <w:r w:rsidR="00D15053">
        <w:t xml:space="preserve"> is made to </w:t>
      </w:r>
      <w:r w:rsidR="00376068">
        <w:t xml:space="preserve">defer to </w:t>
      </w:r>
      <w:r w:rsidR="00D15053">
        <w:t>a high</w:t>
      </w:r>
      <w:r w:rsidR="00F9405E">
        <w:t>er</w:t>
      </w:r>
      <w:r w:rsidR="00FF515E">
        <w:t xml:space="preserve">-than-conventional </w:t>
      </w:r>
      <w:r w:rsidR="00D15053">
        <w:t xml:space="preserve">measure of </w:t>
      </w:r>
      <w:r w:rsidR="00E330F9">
        <w:t>freedom from attempts by others to shape characters’ lives</w:t>
      </w:r>
      <w:r w:rsidR="005D5A75">
        <w:t xml:space="preserve">. </w:t>
      </w:r>
      <w:r w:rsidR="00FC30F1">
        <w:t>T</w:t>
      </w:r>
      <w:r w:rsidR="00D15053">
        <w:t>he</w:t>
      </w:r>
      <w:r w:rsidR="00F9405E">
        <w:t>re is, as this essay has stressed, a degree of</w:t>
      </w:r>
      <w:r w:rsidR="00D15053">
        <w:t xml:space="preserve"> perversity </w:t>
      </w:r>
      <w:r w:rsidR="00F9405E">
        <w:t>required for this</w:t>
      </w:r>
      <w:r w:rsidR="00D15053">
        <w:t xml:space="preserve"> </w:t>
      </w:r>
      <w:r w:rsidR="00F9405E">
        <w:t>extension of</w:t>
      </w:r>
      <w:r w:rsidR="00D15053">
        <w:t xml:space="preserve"> realist principles </w:t>
      </w:r>
      <w:r w:rsidR="00F9405E">
        <w:t>as Trollope undertakes it. He p</w:t>
      </w:r>
      <w:r w:rsidR="00910AB0">
        <w:t xml:space="preserve">resents his reader not with </w:t>
      </w:r>
      <w:r w:rsidR="00F9405E">
        <w:t>familiarly difficult</w:t>
      </w:r>
      <w:r w:rsidR="00D15053">
        <w:t xml:space="preserve"> </w:t>
      </w:r>
      <w:r w:rsidR="00910AB0">
        <w:t>cases</w:t>
      </w:r>
      <w:r w:rsidR="00D15053">
        <w:t xml:space="preserve"> of </w:t>
      </w:r>
      <w:r w:rsidR="00786183">
        <w:t xml:space="preserve">Victorian </w:t>
      </w:r>
      <w:r w:rsidR="00E330F9">
        <w:t>character</w:t>
      </w:r>
      <w:r w:rsidR="00786183">
        <w:t>ization</w:t>
      </w:r>
      <w:r w:rsidR="00E330F9">
        <w:t xml:space="preserve"> defined by </w:t>
      </w:r>
      <w:r w:rsidR="00910AB0">
        <w:t>narrow or excessive</w:t>
      </w:r>
      <w:r w:rsidR="00F9405E">
        <w:t xml:space="preserve"> self-interest, but with examples of </w:t>
      </w:r>
      <w:r w:rsidR="00D15053">
        <w:t>inadequate self-interest</w:t>
      </w:r>
      <w:r w:rsidR="00F9405E">
        <w:t>—more than that, examples of persistent resistance to external solicitation</w:t>
      </w:r>
      <w:r w:rsidR="00786183">
        <w:t xml:space="preserve"> that there</w:t>
      </w:r>
      <w:r w:rsidR="00E330F9">
        <w:t xml:space="preserve"> should</w:t>
      </w:r>
      <w:r w:rsidR="00D15053">
        <w:t xml:space="preserve"> </w:t>
      </w:r>
      <w:r w:rsidR="00786183">
        <w:t>be</w:t>
      </w:r>
      <w:r w:rsidR="00D15053">
        <w:t xml:space="preserve"> a </w:t>
      </w:r>
      <w:r w:rsidR="00D15053" w:rsidRPr="00D15053">
        <w:rPr>
          <w:i/>
        </w:rPr>
        <w:t>sufficient</w:t>
      </w:r>
      <w:r w:rsidR="00D15053">
        <w:t xml:space="preserve"> self-interest</w:t>
      </w:r>
      <w:r w:rsidR="00786183">
        <w:t>. We</w:t>
      </w:r>
      <w:r w:rsidR="00F9405E">
        <w:t xml:space="preserve"> are</w:t>
      </w:r>
      <w:r w:rsidR="00786183">
        <w:t>, as a result,</w:t>
      </w:r>
      <w:r w:rsidR="00D15053">
        <w:t xml:space="preserve"> </w:t>
      </w:r>
      <w:r w:rsidR="00786183">
        <w:t>provoked</w:t>
      </w:r>
      <w:r w:rsidR="00D15053">
        <w:t xml:space="preserve"> to </w:t>
      </w:r>
      <w:r w:rsidR="00E330F9">
        <w:t>a strong temp</w:t>
      </w:r>
      <w:r w:rsidR="00786183">
        <w:t>t</w:t>
      </w:r>
      <w:r w:rsidR="00E330F9">
        <w:t>ation</w:t>
      </w:r>
      <w:r w:rsidR="00D15053">
        <w:t xml:space="preserve"> </w:t>
      </w:r>
      <w:r w:rsidR="00E330F9">
        <w:t xml:space="preserve">to </w:t>
      </w:r>
      <w:r w:rsidR="000F3268">
        <w:t>disregard</w:t>
      </w:r>
      <w:r w:rsidR="00D15053">
        <w:t xml:space="preserve"> </w:t>
      </w:r>
      <w:r w:rsidR="00786183">
        <w:t>character</w:t>
      </w:r>
      <w:r w:rsidR="00E330F9">
        <w:t xml:space="preserve"> </w:t>
      </w:r>
      <w:r w:rsidR="00D15053">
        <w:t xml:space="preserve">autonomy. The </w:t>
      </w:r>
      <w:r w:rsidR="002F2928">
        <w:t>insistence that we should hold back is not a gesture of tact but a matter of principle</w:t>
      </w:r>
      <w:r w:rsidR="00D15053">
        <w:t>, with Trollope</w:t>
      </w:r>
      <w:r w:rsidR="002F2928">
        <w:t xml:space="preserve">. And yet it is a principle </w:t>
      </w:r>
      <w:r w:rsidR="00786183">
        <w:t>he</w:t>
      </w:r>
      <w:r w:rsidR="002F2928">
        <w:t xml:space="preserve"> knows </w:t>
      </w:r>
      <w:r w:rsidR="00E13F84">
        <w:t>will be</w:t>
      </w:r>
      <w:r w:rsidR="002F2928">
        <w:t xml:space="preserve"> flouted, and that he </w:t>
      </w:r>
      <w:r w:rsidR="00744F7D">
        <w:t>himself flouts</w:t>
      </w:r>
      <w:r w:rsidR="00E330F9">
        <w:t xml:space="preserve"> repeatedly.</w:t>
      </w:r>
    </w:p>
    <w:p w14:paraId="6B2E0926" w14:textId="573528FC" w:rsidR="006E1B7B" w:rsidRPr="00E330F9" w:rsidRDefault="002F2928" w:rsidP="00E330F9">
      <w:pPr>
        <w:ind w:firstLine="720"/>
        <w:rPr>
          <w:b/>
        </w:rPr>
      </w:pPr>
      <w:r>
        <w:t>A</w:t>
      </w:r>
      <w:r w:rsidR="005579DC">
        <w:t xml:space="preserve"> </w:t>
      </w:r>
      <w:r>
        <w:t>more thorough-going</w:t>
      </w:r>
      <w:r w:rsidR="001750BE">
        <w:t xml:space="preserve"> </w:t>
      </w:r>
      <w:r w:rsidR="005579DC">
        <w:t xml:space="preserve">rejection of self-interest as </w:t>
      </w:r>
      <w:r w:rsidR="00D15053">
        <w:t>a basic human motive</w:t>
      </w:r>
      <w:r w:rsidR="005579DC">
        <w:t xml:space="preserve"> </w:t>
      </w:r>
      <w:r>
        <w:t>would</w:t>
      </w:r>
      <w:r w:rsidR="005579DC">
        <w:t xml:space="preserve"> </w:t>
      </w:r>
      <w:r w:rsidR="00EB2E3D">
        <w:t xml:space="preserve">evidently </w:t>
      </w:r>
      <w:r w:rsidR="00E330F9">
        <w:t>not be in his interests as an author</w:t>
      </w:r>
      <w:r w:rsidR="005579DC">
        <w:t xml:space="preserve">. </w:t>
      </w:r>
      <w:r>
        <w:t xml:space="preserve">It would require </w:t>
      </w:r>
      <w:r w:rsidR="001865D0">
        <w:t xml:space="preserve">a consistent rebarbativeness </w:t>
      </w:r>
      <w:r w:rsidR="00D15053">
        <w:t xml:space="preserve">of characterization, and </w:t>
      </w:r>
      <w:r w:rsidR="00E330F9">
        <w:t xml:space="preserve">a straining </w:t>
      </w:r>
      <w:r w:rsidR="00D15053">
        <w:t>of Trollope’s imagined relation with h</w:t>
      </w:r>
      <w:r w:rsidR="00D64300">
        <w:t>is reader</w:t>
      </w:r>
      <w:r w:rsidR="00D15053">
        <w:t>s</w:t>
      </w:r>
      <w:r w:rsidR="00E330F9">
        <w:t xml:space="preserve"> beyond the point to which he attempts to strain them</w:t>
      </w:r>
      <w:r w:rsidR="00744F7D">
        <w:t xml:space="preserve">. </w:t>
      </w:r>
      <w:r w:rsidR="001865D0">
        <w:t xml:space="preserve">As it is. </w:t>
      </w:r>
      <w:proofErr w:type="gramStart"/>
      <w:r w:rsidR="00786183">
        <w:t>he</w:t>
      </w:r>
      <w:proofErr w:type="gramEnd"/>
      <w:r w:rsidR="001865D0">
        <w:t xml:space="preserve"> only selectively </w:t>
      </w:r>
      <w:r w:rsidR="00D64300">
        <w:t xml:space="preserve">rebels against the formal and ethical constraints of moral realism, permitting us to </w:t>
      </w:r>
      <w:r w:rsidR="00E330F9">
        <w:t>treat as a ruse</w:t>
      </w:r>
      <w:r w:rsidR="00786183">
        <w:t xml:space="preserve"> (even welcome as comedy)</w:t>
      </w:r>
      <w:r w:rsidR="00E330F9">
        <w:t xml:space="preserve"> our</w:t>
      </w:r>
      <w:r w:rsidR="001865D0">
        <w:t xml:space="preserve"> designation as perverse, incompetent, readers</w:t>
      </w:r>
      <w:r w:rsidR="00786183">
        <w:t xml:space="preserve"> </w:t>
      </w:r>
      <w:r w:rsidR="001865D0">
        <w:t>who</w:t>
      </w:r>
      <w:r w:rsidR="00F9405E">
        <w:t>, schooled as we are in the ethical habits of realism,</w:t>
      </w:r>
      <w:r w:rsidR="001865D0">
        <w:t xml:space="preserve"> cannot </w:t>
      </w:r>
      <w:r w:rsidR="00F9405E">
        <w:t>readily admit</w:t>
      </w:r>
      <w:r w:rsidR="001865D0">
        <w:t xml:space="preserve"> the </w:t>
      </w:r>
      <w:r w:rsidR="00F9405E">
        <w:t xml:space="preserve">motivational </w:t>
      </w:r>
      <w:bookmarkStart w:id="0" w:name="_GoBack"/>
      <w:r w:rsidR="00D328B1">
        <w:t>inadeq</w:t>
      </w:r>
      <w:bookmarkEnd w:id="0"/>
      <w:r w:rsidR="00D328B1">
        <w:t>uacy</w:t>
      </w:r>
      <w:r w:rsidR="00F9405E">
        <w:t xml:space="preserve"> of</w:t>
      </w:r>
      <w:r w:rsidR="00E13F84">
        <w:t xml:space="preserve"> </w:t>
      </w:r>
      <w:r w:rsidR="00D64300">
        <w:t>self-</w:t>
      </w:r>
      <w:r w:rsidR="00E13F84">
        <w:t>interest</w:t>
      </w:r>
      <w:r w:rsidR="00F9405E">
        <w:t xml:space="preserve"> in </w:t>
      </w:r>
      <w:r w:rsidR="00786183">
        <w:t xml:space="preserve">some of </w:t>
      </w:r>
      <w:r w:rsidR="00F9405E">
        <w:t>those for who</w:t>
      </w:r>
      <w:r w:rsidR="00B845B7">
        <w:t>m</w:t>
      </w:r>
      <w:r w:rsidR="00F9405E">
        <w:t xml:space="preserve"> we want to care</w:t>
      </w:r>
      <w:r w:rsidR="00E13F84">
        <w:t>.</w:t>
      </w:r>
    </w:p>
    <w:p w14:paraId="6021E014" w14:textId="77777777" w:rsidR="006E1B7B" w:rsidRDefault="006E1B7B" w:rsidP="00634F79">
      <w:pPr>
        <w:ind w:firstLine="720"/>
      </w:pPr>
    </w:p>
    <w:p w14:paraId="683244C5" w14:textId="77777777" w:rsidR="006E1B7B" w:rsidRDefault="006E1B7B" w:rsidP="006E1B7B">
      <w:pPr>
        <w:ind w:firstLine="720"/>
      </w:pPr>
    </w:p>
    <w:p w14:paraId="0E9E410D" w14:textId="77777777" w:rsidR="006E1B7B" w:rsidRDefault="006E1B7B" w:rsidP="00634F79">
      <w:pPr>
        <w:ind w:firstLine="720"/>
      </w:pPr>
    </w:p>
    <w:p w14:paraId="2729324A" w14:textId="77777777" w:rsidR="00634F79" w:rsidRPr="003C56D1" w:rsidRDefault="00634F79" w:rsidP="00634F79"/>
    <w:sectPr w:rsidR="00634F79" w:rsidRPr="003C56D1" w:rsidSect="00B30D0E">
      <w:headerReference w:type="even" r:id="rId8"/>
      <w:headerReference w:type="default" r:id="rId9"/>
      <w:pgSz w:w="11900" w:h="16840"/>
      <w:pgMar w:top="1440" w:right="1800" w:bottom="1440" w:left="1800"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36E70" w14:textId="77777777" w:rsidR="00D06DFD" w:rsidRDefault="00D06DFD" w:rsidP="002408D0">
      <w:pPr>
        <w:spacing w:line="240" w:lineRule="auto"/>
      </w:pPr>
      <w:r>
        <w:separator/>
      </w:r>
    </w:p>
  </w:endnote>
  <w:endnote w:type="continuationSeparator" w:id="0">
    <w:p w14:paraId="53E05D8B" w14:textId="77777777" w:rsidR="00D06DFD" w:rsidRDefault="00D06DFD" w:rsidP="0024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FC71B" w14:textId="77777777" w:rsidR="00D06DFD" w:rsidRDefault="00D06DFD" w:rsidP="002408D0">
      <w:pPr>
        <w:spacing w:line="240" w:lineRule="auto"/>
      </w:pPr>
      <w:r>
        <w:separator/>
      </w:r>
    </w:p>
  </w:footnote>
  <w:footnote w:type="continuationSeparator" w:id="0">
    <w:p w14:paraId="3185EAF9" w14:textId="77777777" w:rsidR="00D06DFD" w:rsidRDefault="00D06DFD" w:rsidP="002408D0">
      <w:pPr>
        <w:spacing w:line="240" w:lineRule="auto"/>
      </w:pPr>
      <w:r>
        <w:continuationSeparator/>
      </w:r>
    </w:p>
  </w:footnote>
  <w:footnote w:id="1">
    <w:p w14:paraId="168D9F11" w14:textId="77777777" w:rsidR="00D06DFD" w:rsidRPr="002408D0" w:rsidRDefault="00D06DFD">
      <w:pPr>
        <w:pStyle w:val="FootnoteText"/>
        <w:rPr>
          <w:i/>
          <w:lang w:val="en-US"/>
        </w:rPr>
      </w:pPr>
      <w:r>
        <w:rPr>
          <w:rStyle w:val="FootnoteReference"/>
        </w:rPr>
        <w:footnoteRef/>
      </w:r>
      <w:r>
        <w:t xml:space="preserve"> (London: Faber and Faber, 1988), 215.</w:t>
      </w:r>
    </w:p>
  </w:footnote>
  <w:footnote w:id="2">
    <w:p w14:paraId="45E3F0E6" w14:textId="61B28128" w:rsidR="00D06DFD" w:rsidRPr="007131A0" w:rsidRDefault="00D06DFD">
      <w:pPr>
        <w:pStyle w:val="FootnoteText"/>
        <w:rPr>
          <w:lang w:val="en-US"/>
        </w:rPr>
      </w:pPr>
      <w:r>
        <w:rPr>
          <w:rStyle w:val="FootnoteReference"/>
        </w:rPr>
        <w:footnoteRef/>
      </w:r>
      <w:r>
        <w:t xml:space="preserve"> </w:t>
      </w:r>
      <w:r>
        <w:rPr>
          <w:lang w:val="en-US"/>
        </w:rPr>
        <w:t>Verbatim: (of Lily Dale), ‘a casualty of her own will’ (57)</w:t>
      </w:r>
    </w:p>
  </w:footnote>
  <w:footnote w:id="3">
    <w:p w14:paraId="6BC592BC" w14:textId="3D219B50" w:rsidR="00D06DFD" w:rsidRPr="008F784F" w:rsidRDefault="00D06DFD">
      <w:pPr>
        <w:pStyle w:val="FootnoteText"/>
        <w:rPr>
          <w:b/>
          <w:lang w:val="en-US"/>
        </w:rPr>
      </w:pPr>
      <w:r>
        <w:rPr>
          <w:rStyle w:val="FootnoteReference"/>
        </w:rPr>
        <w:footnoteRef/>
      </w:r>
      <w:r>
        <w:t xml:space="preserve"> Erich Auerbach, </w:t>
      </w:r>
      <w:r>
        <w:rPr>
          <w:i/>
        </w:rPr>
        <w:t>Mimesis: The Representation of Reality in Western Literature</w:t>
      </w:r>
      <w:r>
        <w:t>, Fiftieth Anniversary Edition with a new Intro. by Edward Said (Princeton: Princeton University Press, 2003),</w:t>
      </w:r>
      <w:r>
        <w:rPr>
          <w:i/>
        </w:rPr>
        <w:t xml:space="preserve"> </w:t>
      </w:r>
      <w:r>
        <w:t>486.</w:t>
      </w:r>
    </w:p>
  </w:footnote>
  <w:footnote w:id="4">
    <w:p w14:paraId="3D01816E" w14:textId="77777777" w:rsidR="00D06DFD" w:rsidRPr="004E245E" w:rsidRDefault="00D06DFD" w:rsidP="00820FF5">
      <w:pPr>
        <w:pStyle w:val="FootnoteText"/>
        <w:rPr>
          <w:lang w:val="en-US"/>
        </w:rPr>
      </w:pPr>
      <w:r>
        <w:rPr>
          <w:rStyle w:val="FootnoteReference"/>
        </w:rPr>
        <w:footnoteRef/>
      </w:r>
      <w:r>
        <w:t xml:space="preserve"> </w:t>
      </w:r>
      <w:r>
        <w:rPr>
          <w:i/>
        </w:rPr>
        <w:t xml:space="preserve">Sources of the Self: The Making of Modern </w:t>
      </w:r>
      <w:r w:rsidRPr="00483042">
        <w:rPr>
          <w:i/>
        </w:rPr>
        <w:t>Identity</w:t>
      </w:r>
      <w:r>
        <w:t xml:space="preserve"> (Cambridge: Cambridge University Press, 1989), </w:t>
      </w:r>
      <w:r w:rsidRPr="00483042">
        <w:rPr>
          <w:lang w:val="en-US"/>
        </w:rPr>
        <w:t>337</w:t>
      </w:r>
      <w:r>
        <w:rPr>
          <w:lang w:val="en-US"/>
        </w:rPr>
        <w:t>, and Ch. 18.</w:t>
      </w:r>
    </w:p>
  </w:footnote>
  <w:footnote w:id="5">
    <w:p w14:paraId="1C625014" w14:textId="332EE437" w:rsidR="00D06DFD" w:rsidRPr="006407D7" w:rsidRDefault="00D06DFD">
      <w:pPr>
        <w:pStyle w:val="FootnoteText"/>
        <w:rPr>
          <w:lang w:val="en-US"/>
        </w:rPr>
      </w:pPr>
      <w:r>
        <w:rPr>
          <w:rStyle w:val="FootnoteReference"/>
        </w:rPr>
        <w:footnoteRef/>
      </w:r>
      <w:r>
        <w:t xml:space="preserve"> ‘</w:t>
      </w:r>
      <w:r w:rsidRPr="00224B0B">
        <w:t xml:space="preserve">1649   J. Ellistone tr. J. Böhme </w:t>
      </w:r>
      <w:hyperlink r:id="rId1" w:history="1">
        <w:r w:rsidRPr="00224B0B">
          <w:t>Epist.</w:t>
        </w:r>
      </w:hyperlink>
      <w:r w:rsidRPr="00224B0B">
        <w:t xml:space="preserve"> x. iv. 111   He must mortify the Antichrist in his soule..and become the poorest creature in the owne-hood [selfenesse or selfe interest] of his mind.’</w:t>
      </w:r>
      <w:r>
        <w:rPr>
          <w:rFonts w:ascii="Georgia" w:hAnsi="Georgia" w:cs="Georgia"/>
          <w:color w:val="262626"/>
          <w:sz w:val="26"/>
          <w:szCs w:val="26"/>
          <w:lang w:val="en-US"/>
        </w:rPr>
        <w:t xml:space="preserve"> </w:t>
      </w:r>
      <w:r w:rsidRPr="00607135">
        <w:rPr>
          <w:i/>
        </w:rPr>
        <w:t>OED Online</w:t>
      </w:r>
      <w:r w:rsidRPr="003F1925">
        <w:t>. June 2012. Oxford U</w:t>
      </w:r>
      <w:r>
        <w:t>niversity Press. Accessed 10 September 2012.</w:t>
      </w:r>
    </w:p>
  </w:footnote>
  <w:footnote w:id="6">
    <w:p w14:paraId="7BB8ECD1" w14:textId="77777777" w:rsidR="00D06DFD" w:rsidRPr="00BF5212" w:rsidRDefault="00D06DFD" w:rsidP="009643D9">
      <w:pPr>
        <w:pStyle w:val="FootnoteText"/>
        <w:rPr>
          <w:lang w:val="en-US"/>
        </w:rPr>
      </w:pPr>
      <w:r>
        <w:rPr>
          <w:rStyle w:val="FootnoteReference"/>
        </w:rPr>
        <w:footnoteRef/>
      </w:r>
      <w:r>
        <w:t xml:space="preserve"> </w:t>
      </w:r>
      <w:r>
        <w:rPr>
          <w:lang w:val="en-US"/>
        </w:rPr>
        <w:t xml:space="preserve">‘Trollope’s Modernity’, </w:t>
      </w:r>
      <w:r>
        <w:rPr>
          <w:i/>
          <w:lang w:val="en-US"/>
        </w:rPr>
        <w:t>ELH</w:t>
      </w:r>
      <w:r>
        <w:rPr>
          <w:lang w:val="en-US"/>
        </w:rPr>
        <w:t xml:space="preserve"> 74 (2007), 509-34 (511). Regenia Gagnier develops the point with particular reference to those of Trollope’s characters who hold strong resentments. See ‘Gender, Liberalism, and Resentment’, in Margaret Markwick, Deborah Denenholz Morse, Regenia Gagnier (eds), </w:t>
      </w:r>
      <w:r>
        <w:rPr>
          <w:i/>
          <w:lang w:val="en-US"/>
        </w:rPr>
        <w:t xml:space="preserve">The Politics of Gender in Anthony Trollope’s Novels: New Readings for the Twenty-First Century </w:t>
      </w:r>
      <w:r>
        <w:rPr>
          <w:lang w:val="en-US"/>
        </w:rPr>
        <w:t>(Farnham: Ashgate, 2009), 235-48 (245).</w:t>
      </w:r>
    </w:p>
  </w:footnote>
  <w:footnote w:id="7">
    <w:p w14:paraId="76ABC083" w14:textId="1F7F5695" w:rsidR="00D06DFD" w:rsidRPr="00562AE5" w:rsidRDefault="00D06DFD" w:rsidP="00562AE5">
      <w:pPr>
        <w:widowControl w:val="0"/>
        <w:autoSpaceDE w:val="0"/>
        <w:autoSpaceDN w:val="0"/>
        <w:adjustRightInd w:val="0"/>
        <w:spacing w:after="300" w:line="240" w:lineRule="auto"/>
      </w:pPr>
      <w:r>
        <w:rPr>
          <w:rStyle w:val="FootnoteReference"/>
        </w:rPr>
        <w:footnoteRef/>
      </w:r>
      <w:r>
        <w:t xml:space="preserve"> </w:t>
      </w:r>
      <w:r>
        <w:rPr>
          <w:lang w:val="en-US"/>
        </w:rPr>
        <w:t xml:space="preserve">See </w:t>
      </w:r>
      <w:r>
        <w:rPr>
          <w:i/>
          <w:lang w:val="en-US"/>
        </w:rPr>
        <w:t>OED</w:t>
      </w:r>
      <w:r>
        <w:rPr>
          <w:lang w:val="en-US"/>
        </w:rPr>
        <w:t xml:space="preserve"> ‘individual’ n. 3b (</w:t>
      </w:r>
      <w:r w:rsidRPr="00FD32CB">
        <w:t>Single, as distinct from others of the</w:t>
      </w:r>
      <w:r>
        <w:t xml:space="preserve"> same kind; particular, special. 1613), </w:t>
      </w:r>
      <w:r>
        <w:rPr>
          <w:lang w:val="en-US"/>
        </w:rPr>
        <w:t>c (</w:t>
      </w:r>
      <w:r w:rsidRPr="00FD32CB">
        <w:t xml:space="preserve">Expressing self-identity: Identical, self-same, very same. </w:t>
      </w:r>
      <w:r w:rsidRPr="00FD32CB">
        <w:rPr>
          <w:i/>
        </w:rPr>
        <w:t>Obs.</w:t>
      </w:r>
      <w:r>
        <w:rPr>
          <w:i/>
        </w:rPr>
        <w:t xml:space="preserve">  </w:t>
      </w:r>
      <w:r>
        <w:t>1633</w:t>
      </w:r>
      <w:r w:rsidRPr="00FD32CB">
        <w:t>)</w:t>
      </w:r>
      <w:r>
        <w:rPr>
          <w:rFonts w:ascii="Georgia" w:hAnsi="Georgia" w:cs="Georgia"/>
          <w:iCs/>
          <w:color w:val="262626"/>
          <w:sz w:val="32"/>
          <w:szCs w:val="32"/>
          <w:lang w:val="en-US"/>
        </w:rPr>
        <w:t xml:space="preserve"> </w:t>
      </w:r>
      <w:r>
        <w:rPr>
          <w:lang w:val="en-US"/>
        </w:rPr>
        <w:t>and 4 (</w:t>
      </w:r>
      <w:r w:rsidRPr="00FD32CB">
        <w:t>Distinguished from others by attributes of its own; marked by a peculiar and striking character.</w:t>
      </w:r>
      <w:r>
        <w:t xml:space="preserve">  1646</w:t>
      </w:r>
      <w:r w:rsidRPr="00FD32CB">
        <w:t>).</w:t>
      </w:r>
      <w:r>
        <w:rPr>
          <w:lang w:val="en-US"/>
        </w:rPr>
        <w:t xml:space="preserve"> ‘Individualism’ (n </w:t>
      </w:r>
      <w:r w:rsidRPr="00562AE5">
        <w:t>1. Self-centred feeling or conduct as a principle; a mode of life in which the individual pursues his own ends or follows out his own ideas; free and independent indiv</w:t>
      </w:r>
      <w:r>
        <w:t xml:space="preserve">idual action or thought; egoism) </w:t>
      </w:r>
      <w:r w:rsidRPr="00562AE5">
        <w:rPr>
          <w:lang w:val="en-US"/>
        </w:rPr>
        <w:t>OED</w:t>
      </w:r>
      <w:r>
        <w:rPr>
          <w:lang w:val="en-US"/>
        </w:rPr>
        <w:t xml:space="preserve"> dates, surely too late, from 1827. Both words are among </w:t>
      </w:r>
      <w:r>
        <w:rPr>
          <w:i/>
          <w:lang w:val="en-US"/>
        </w:rPr>
        <w:t>OED</w:t>
      </w:r>
      <w:r>
        <w:rPr>
          <w:lang w:val="en-US"/>
        </w:rPr>
        <w:t>’s not yet fully updated entries, dating from 1900. Accessed 7 September 2012.</w:t>
      </w:r>
    </w:p>
  </w:footnote>
  <w:footnote w:id="8">
    <w:p w14:paraId="7AC47A85" w14:textId="1BC8392A" w:rsidR="00D06DFD" w:rsidRPr="00E55C74" w:rsidRDefault="00D06DFD">
      <w:pPr>
        <w:pStyle w:val="FootnoteText"/>
        <w:rPr>
          <w:lang w:val="en-US"/>
        </w:rPr>
      </w:pPr>
      <w:r>
        <w:rPr>
          <w:rStyle w:val="FootnoteReference"/>
        </w:rPr>
        <w:footnoteRef/>
      </w:r>
      <w:r>
        <w:t xml:space="preserve"> </w:t>
      </w:r>
      <w:r>
        <w:rPr>
          <w:lang w:val="en-US"/>
        </w:rPr>
        <w:t xml:space="preserve">For a concise critical summary, see John Bender, </w:t>
      </w:r>
      <w:r>
        <w:rPr>
          <w:i/>
        </w:rPr>
        <w:t>Ends of Enlightenment</w:t>
      </w:r>
      <w:r>
        <w:t xml:space="preserve"> (Stanford, CA: Stanford UP, 2012),</w:t>
      </w:r>
      <w:r>
        <w:rPr>
          <w:lang w:val="en-US"/>
        </w:rPr>
        <w:t xml:space="preserve"> ch. 9. See also Regenia Gagnier, </w:t>
      </w:r>
      <w:r>
        <w:rPr>
          <w:i/>
          <w:lang w:val="en-US"/>
        </w:rPr>
        <w:t xml:space="preserve">The Insatiability of Human Wants: Economics and Aesthetics in Market Society </w:t>
      </w:r>
      <w:r>
        <w:rPr>
          <w:lang w:val="en-US"/>
        </w:rPr>
        <w:t>(Chicago: University of Chicago Press, 2000) (her literary focus begins in the 1870s, but her economic story with Adam Smith).</w:t>
      </w:r>
    </w:p>
  </w:footnote>
  <w:footnote w:id="9">
    <w:p w14:paraId="7CF1C2E1" w14:textId="3F185B8D" w:rsidR="00D06DFD" w:rsidRPr="00E55C74" w:rsidRDefault="00D06DFD" w:rsidP="00947A6C">
      <w:pPr>
        <w:pStyle w:val="FootnoteText"/>
        <w:rPr>
          <w:lang w:val="en-US"/>
        </w:rPr>
      </w:pPr>
      <w:r>
        <w:rPr>
          <w:rStyle w:val="FootnoteReference"/>
        </w:rPr>
        <w:footnoteRef/>
      </w:r>
      <w:r>
        <w:t xml:space="preserve"> </w:t>
      </w:r>
      <w:r>
        <w:rPr>
          <w:i/>
        </w:rPr>
        <w:t>Ends of Enlightenment</w:t>
      </w:r>
      <w:r>
        <w:t xml:space="preserve">, 185. The importance of Jurgen Habermas and Albert O. Hirschman in shaping later twentieth-century debate on the subject is treated in Bender, </w:t>
      </w:r>
      <w:r>
        <w:rPr>
          <w:i/>
        </w:rPr>
        <w:t>Ends of Enlightenment</w:t>
      </w:r>
      <w:r>
        <w:t>, esp. 10-11</w:t>
      </w:r>
    </w:p>
  </w:footnote>
  <w:footnote w:id="10">
    <w:p w14:paraId="0F9F4E96" w14:textId="2A676F64" w:rsidR="00D06DFD" w:rsidRPr="003206C6" w:rsidRDefault="00D06DFD">
      <w:pPr>
        <w:pStyle w:val="FootnoteText"/>
        <w:rPr>
          <w:lang w:val="en-US"/>
        </w:rPr>
      </w:pPr>
      <w:r>
        <w:rPr>
          <w:rStyle w:val="FootnoteReference"/>
        </w:rPr>
        <w:footnoteRef/>
      </w:r>
      <w:r>
        <w:t xml:space="preserve"> </w:t>
      </w:r>
      <w:r>
        <w:rPr>
          <w:lang w:val="en-US"/>
        </w:rPr>
        <w:t>‘</w:t>
      </w:r>
      <w:r>
        <w:rPr>
          <w:i/>
          <w:lang w:val="en-US"/>
        </w:rPr>
        <w:t>Clarissa</w:t>
      </w:r>
      <w:r>
        <w:rPr>
          <w:lang w:val="en-US"/>
        </w:rPr>
        <w:t xml:space="preserve">; or, Rake Versus Usurer’, </w:t>
      </w:r>
      <w:r>
        <w:rPr>
          <w:i/>
          <w:lang w:val="en-US"/>
        </w:rPr>
        <w:t>Representations</w:t>
      </w:r>
      <w:r>
        <w:rPr>
          <w:lang w:val="en-US"/>
        </w:rPr>
        <w:t xml:space="preserve"> 93/1 (2006), 22-48 (22).</w:t>
      </w:r>
    </w:p>
  </w:footnote>
  <w:footnote w:id="11">
    <w:p w14:paraId="3F4EAC0B" w14:textId="77777777" w:rsidR="00D06DFD" w:rsidRPr="00280F36" w:rsidRDefault="00D06DFD" w:rsidP="00662920">
      <w:pPr>
        <w:pStyle w:val="FootnoteText"/>
        <w:rPr>
          <w:lang w:val="en-US"/>
        </w:rPr>
      </w:pPr>
      <w:r>
        <w:rPr>
          <w:rStyle w:val="FootnoteReference"/>
        </w:rPr>
        <w:footnoteRef/>
      </w:r>
      <w:r>
        <w:t xml:space="preserve"> </w:t>
      </w:r>
      <w:r>
        <w:rPr>
          <w:i/>
          <w:lang w:val="en-US"/>
        </w:rPr>
        <w:t>The Rise of the Novel: Studies in Defoe, Richardson, and Fielding</w:t>
      </w:r>
      <w:r>
        <w:rPr>
          <w:lang w:val="en-US"/>
        </w:rPr>
        <w:t xml:space="preserve"> (London: Penguin Books, 1957), 132.</w:t>
      </w:r>
    </w:p>
  </w:footnote>
  <w:footnote w:id="12">
    <w:p w14:paraId="281C8753" w14:textId="53B05304" w:rsidR="00D06DFD" w:rsidRPr="003E779E" w:rsidRDefault="00D06DFD">
      <w:pPr>
        <w:pStyle w:val="FootnoteText"/>
        <w:rPr>
          <w:lang w:val="en-US"/>
        </w:rPr>
      </w:pPr>
      <w:r>
        <w:rPr>
          <w:rStyle w:val="FootnoteReference"/>
        </w:rPr>
        <w:footnoteRef/>
      </w:r>
      <w:r>
        <w:t xml:space="preserve"> </w:t>
      </w:r>
      <w:r>
        <w:rPr>
          <w:lang w:val="en-US"/>
        </w:rPr>
        <w:t xml:space="preserve">The most influential elongation of the history of the novel is Margaret Anne Doody’s </w:t>
      </w:r>
      <w:r>
        <w:rPr>
          <w:i/>
          <w:lang w:val="en-US"/>
        </w:rPr>
        <w:t>The True Story of the Novel</w:t>
      </w:r>
      <w:r>
        <w:rPr>
          <w:lang w:val="en-US"/>
        </w:rPr>
        <w:t xml:space="preserve"> (New Brunswick, NJ: Rutgers UP, 1996); on the problems with the ‘middle class’ description of individualism and the assumption of continual secularization see esp. Michael McKeon, </w:t>
      </w:r>
      <w:r>
        <w:rPr>
          <w:i/>
          <w:lang w:val="en-US"/>
        </w:rPr>
        <w:t>The Origins of the English Novel, 1600-1740</w:t>
      </w:r>
      <w:r>
        <w:rPr>
          <w:lang w:val="en-US"/>
        </w:rPr>
        <w:t xml:space="preserve"> (Baltimore, MA: The John Hopkins University Press, 1987) and (on the literary critical profession’s self-interest as a guiding condition) George Boulukos, ‘How the Novel Became Middle Class: A History of Histories of the Novel’, </w:t>
      </w:r>
      <w:r>
        <w:rPr>
          <w:i/>
          <w:lang w:val="en-US"/>
        </w:rPr>
        <w:t xml:space="preserve">Novel </w:t>
      </w:r>
      <w:r>
        <w:rPr>
          <w:lang w:val="en-US"/>
        </w:rPr>
        <w:t>42/2 (2009), 245-52</w:t>
      </w:r>
      <w:r>
        <w:t xml:space="preserve">. Foucaultian challenges to the assumption that the concept ‘individual’ precedes its representation include Nancy Armstrong and Leonard Tennenhouse, </w:t>
      </w:r>
      <w:r>
        <w:rPr>
          <w:i/>
        </w:rPr>
        <w:t>The Imaginary Puritan: Literature, Intellectual Labor, and the Origins of Personal Life</w:t>
      </w:r>
      <w:r>
        <w:t xml:space="preserve"> (Berkeley, CA: University of California Press, 1992).</w:t>
      </w:r>
    </w:p>
  </w:footnote>
  <w:footnote w:id="13">
    <w:p w14:paraId="7F373159" w14:textId="76DFC4C9" w:rsidR="00D06DFD" w:rsidRPr="00C70D7E" w:rsidRDefault="00D06DFD" w:rsidP="00240444">
      <w:pPr>
        <w:pStyle w:val="FootnoteText"/>
        <w:rPr>
          <w:lang w:val="en-US"/>
        </w:rPr>
      </w:pPr>
      <w:r>
        <w:rPr>
          <w:rStyle w:val="FootnoteReference"/>
        </w:rPr>
        <w:footnoteRef/>
      </w:r>
      <w:r>
        <w:t xml:space="preserve"> Fredric Jameson, </w:t>
      </w:r>
      <w:r>
        <w:rPr>
          <w:i/>
          <w:lang w:val="en-US"/>
        </w:rPr>
        <w:t>The Political Unconscious: Narrative as a Socially Symbolic Act</w:t>
      </w:r>
      <w:r>
        <w:rPr>
          <w:lang w:val="en-US"/>
        </w:rPr>
        <w:t xml:space="preserve"> (1981; London: Routledge Classics, 2002), 112. See also </w:t>
      </w:r>
      <w:r>
        <w:t xml:space="preserve">Georg Lukács, </w:t>
      </w:r>
      <w:r>
        <w:rPr>
          <w:i/>
        </w:rPr>
        <w:t xml:space="preserve">The Theory of the Novel: A Historico-Philosophical Essay on the Forms of Great Epic </w:t>
      </w:r>
      <w:r w:rsidRPr="00231BA2">
        <w:rPr>
          <w:i/>
        </w:rPr>
        <w:t>Literature</w:t>
      </w:r>
      <w:r>
        <w:t xml:space="preserve">, tr. Anna Bostock (London: Merlin Press, 1971), e.g. </w:t>
      </w:r>
      <w:r w:rsidRPr="00231BA2">
        <w:rPr>
          <w:lang w:val="en-US"/>
        </w:rPr>
        <w:t>137</w:t>
      </w:r>
      <w:r>
        <w:rPr>
          <w:lang w:val="en-US"/>
        </w:rPr>
        <w:t>.</w:t>
      </w:r>
    </w:p>
  </w:footnote>
  <w:footnote w:id="14">
    <w:p w14:paraId="76875AD3" w14:textId="3EA26D6D" w:rsidR="00D06DFD" w:rsidRPr="00240444" w:rsidRDefault="00D06DFD">
      <w:pPr>
        <w:pStyle w:val="FootnoteText"/>
        <w:rPr>
          <w:lang w:val="en-US"/>
        </w:rPr>
      </w:pPr>
      <w:r>
        <w:rPr>
          <w:rStyle w:val="FootnoteReference"/>
        </w:rPr>
        <w:footnoteRef/>
      </w:r>
      <w:r>
        <w:t xml:space="preserve"> </w:t>
      </w:r>
      <w:r>
        <w:rPr>
          <w:lang w:val="en-US"/>
        </w:rPr>
        <w:t xml:space="preserve">See esp. Scott Paul Gordon, </w:t>
      </w:r>
      <w:r>
        <w:rPr>
          <w:i/>
          <w:lang w:val="en-US"/>
        </w:rPr>
        <w:t xml:space="preserve">The Power of the Passive Self in English Literature, 1640-1770 </w:t>
      </w:r>
      <w:r>
        <w:rPr>
          <w:lang w:val="en-US"/>
        </w:rPr>
        <w:t xml:space="preserve">(Cambridge: Cambridge University Press, 2002); Bruce Robbins, </w:t>
      </w:r>
      <w:r>
        <w:rPr>
          <w:i/>
          <w:lang w:val="en-US"/>
        </w:rPr>
        <w:t>Upward Mobility and the Common Good: Toward a Literary History of the Welfare State</w:t>
      </w:r>
      <w:r>
        <w:rPr>
          <w:lang w:val="en-US"/>
        </w:rPr>
        <w:t xml:space="preserve"> (Princeton, NJ: Princeton University Press, 2009); </w:t>
      </w:r>
      <w:r>
        <w:t xml:space="preserve">Jan-Melissa Schramm, </w:t>
      </w:r>
      <w:r>
        <w:rPr>
          <w:i/>
          <w:lang w:val="en-US"/>
        </w:rPr>
        <w:t>Atonement and Self-Sacrifice in Nineteenth-Century Narrative</w:t>
      </w:r>
      <w:r>
        <w:rPr>
          <w:lang w:val="en-US"/>
        </w:rPr>
        <w:t xml:space="preserve"> (Cambridge: Cambridge University Press, 2012).</w:t>
      </w:r>
    </w:p>
  </w:footnote>
  <w:footnote w:id="15">
    <w:p w14:paraId="6EF38AD5" w14:textId="40E2A2C9" w:rsidR="00D06DFD" w:rsidRPr="00BA1229" w:rsidRDefault="00D06DFD" w:rsidP="008705AE">
      <w:pPr>
        <w:pStyle w:val="FootnoteText"/>
        <w:rPr>
          <w:lang w:val="en-US"/>
        </w:rPr>
      </w:pPr>
      <w:r>
        <w:rPr>
          <w:rStyle w:val="FootnoteReference"/>
        </w:rPr>
        <w:footnoteRef/>
      </w:r>
      <w:r>
        <w:t xml:space="preserve"> Bruce Robbins, </w:t>
      </w:r>
      <w:r>
        <w:rPr>
          <w:i/>
          <w:lang w:val="en-US"/>
        </w:rPr>
        <w:t>Upward Mobility</w:t>
      </w:r>
      <w:r>
        <w:rPr>
          <w:lang w:val="en-US"/>
        </w:rPr>
        <w:t>,</w:t>
      </w:r>
      <w:r>
        <w:rPr>
          <w:i/>
          <w:lang w:val="en-US"/>
        </w:rPr>
        <w:t xml:space="preserve"> </w:t>
      </w:r>
      <w:r>
        <w:rPr>
          <w:lang w:val="en-US"/>
        </w:rPr>
        <w:t>83.</w:t>
      </w:r>
    </w:p>
  </w:footnote>
  <w:footnote w:id="16">
    <w:p w14:paraId="10220A83" w14:textId="37CFEBD6" w:rsidR="00D06DFD" w:rsidRPr="0090457E" w:rsidRDefault="00D06DFD" w:rsidP="008705AE">
      <w:pPr>
        <w:pStyle w:val="FootnoteText"/>
        <w:rPr>
          <w:lang w:val="en-US"/>
        </w:rPr>
      </w:pPr>
      <w:r>
        <w:rPr>
          <w:rStyle w:val="FootnoteReference"/>
        </w:rPr>
        <w:footnoteRef/>
      </w:r>
      <w:r>
        <w:t xml:space="preserve"> </w:t>
      </w:r>
      <w:r>
        <w:rPr>
          <w:i/>
          <w:lang w:val="en-US"/>
        </w:rPr>
        <w:t xml:space="preserve">Living Liberalism: Practical Citizenship in Mid-Victorian Britain </w:t>
      </w:r>
      <w:r>
        <w:rPr>
          <w:lang w:val="en-US"/>
        </w:rPr>
        <w:t xml:space="preserve">(Chicago: The University of Chicago Press, 2010), </w:t>
      </w:r>
      <w:r w:rsidRPr="0030470D">
        <w:rPr>
          <w:i/>
          <w:lang w:val="en-US"/>
        </w:rPr>
        <w:t>passim</w:t>
      </w:r>
      <w:r>
        <w:rPr>
          <w:lang w:val="en-US"/>
        </w:rPr>
        <w:t xml:space="preserve"> and </w:t>
      </w:r>
      <w:r w:rsidRPr="0030470D">
        <w:rPr>
          <w:lang w:val="en-US"/>
        </w:rPr>
        <w:t>119</w:t>
      </w:r>
      <w:r>
        <w:rPr>
          <w:lang w:val="en-US"/>
        </w:rPr>
        <w:t>.</w:t>
      </w:r>
    </w:p>
  </w:footnote>
  <w:footnote w:id="17">
    <w:p w14:paraId="6DA3F727" w14:textId="77777777" w:rsidR="00D06DFD" w:rsidRPr="000A1C3F" w:rsidRDefault="00D06DFD" w:rsidP="002D6E4B">
      <w:pPr>
        <w:pStyle w:val="FootnoteText"/>
        <w:rPr>
          <w:lang w:val="en-US"/>
        </w:rPr>
      </w:pPr>
      <w:r>
        <w:rPr>
          <w:rStyle w:val="FootnoteReference"/>
        </w:rPr>
        <w:footnoteRef/>
      </w:r>
      <w:r>
        <w:t xml:space="preserve"> </w:t>
      </w:r>
      <w:r>
        <w:rPr>
          <w:i/>
          <w:lang w:val="en-US"/>
        </w:rPr>
        <w:t>Pleasures of Benthamism: Victorian Literature, Utility, Political Economy</w:t>
      </w:r>
      <w:r>
        <w:rPr>
          <w:lang w:val="en-US"/>
        </w:rPr>
        <w:t xml:space="preserve"> (Oxford: Oxford University Press, 2009), 107.</w:t>
      </w:r>
    </w:p>
  </w:footnote>
  <w:footnote w:id="18">
    <w:p w14:paraId="1C125DB7" w14:textId="64552C11" w:rsidR="00D06DFD" w:rsidRPr="000A1C3F" w:rsidRDefault="00D06DFD" w:rsidP="00F5467D">
      <w:pPr>
        <w:pStyle w:val="FootnoteText"/>
        <w:rPr>
          <w:lang w:val="en-US"/>
        </w:rPr>
      </w:pPr>
      <w:r>
        <w:rPr>
          <w:rStyle w:val="FootnoteReference"/>
        </w:rPr>
        <w:footnoteRef/>
      </w:r>
      <w:r>
        <w:t xml:space="preserve"> </w:t>
      </w:r>
      <w:r>
        <w:rPr>
          <w:i/>
          <w:lang w:val="en-US"/>
        </w:rPr>
        <w:t>Pleasures of Benthamism</w:t>
      </w:r>
      <w:r>
        <w:rPr>
          <w:lang w:val="en-US"/>
        </w:rPr>
        <w:t>, 100-8.</w:t>
      </w:r>
    </w:p>
  </w:footnote>
  <w:footnote w:id="19">
    <w:p w14:paraId="464D8A4E" w14:textId="0ADC9D32" w:rsidR="00D06DFD" w:rsidRPr="00E768E3" w:rsidRDefault="00D06DFD" w:rsidP="002D6E4B">
      <w:pPr>
        <w:pStyle w:val="FootnoteText"/>
        <w:rPr>
          <w:lang w:val="en-US"/>
        </w:rPr>
      </w:pPr>
      <w:r>
        <w:rPr>
          <w:rStyle w:val="FootnoteReference"/>
        </w:rPr>
        <w:footnoteRef/>
      </w:r>
      <w:r>
        <w:t xml:space="preserve"> Schramm, </w:t>
      </w:r>
      <w:r>
        <w:rPr>
          <w:i/>
          <w:lang w:val="en-US"/>
        </w:rPr>
        <w:t>Atonement and Self-Sacrifice</w:t>
      </w:r>
      <w:r>
        <w:rPr>
          <w:lang w:val="en-US"/>
        </w:rPr>
        <w:t>, 206.</w:t>
      </w:r>
    </w:p>
  </w:footnote>
  <w:footnote w:id="20">
    <w:p w14:paraId="319FDD25" w14:textId="77777777" w:rsidR="00D06DFD" w:rsidRPr="00F6463C" w:rsidRDefault="00D06DFD" w:rsidP="00EC3EEF">
      <w:pPr>
        <w:pStyle w:val="FootnoteText"/>
        <w:rPr>
          <w:lang w:val="en-US"/>
        </w:rPr>
      </w:pPr>
      <w:r>
        <w:rPr>
          <w:rStyle w:val="FootnoteReference"/>
        </w:rPr>
        <w:footnoteRef/>
      </w:r>
      <w:r>
        <w:t xml:space="preserve"> </w:t>
      </w:r>
      <w:r>
        <w:rPr>
          <w:i/>
          <w:lang w:val="en-US"/>
        </w:rPr>
        <w:t>The Last Chronicle of Barset</w:t>
      </w:r>
      <w:r>
        <w:rPr>
          <w:lang w:val="en-US"/>
        </w:rPr>
        <w:t>, with an Introduction and Notes by Sophie Gilmartin (London: Penguin Books, 2002), 538-9.</w:t>
      </w:r>
    </w:p>
  </w:footnote>
  <w:footnote w:id="21">
    <w:p w14:paraId="3DDBD1A6" w14:textId="77777777" w:rsidR="00D06DFD" w:rsidRPr="001F5F12" w:rsidRDefault="00D06DFD" w:rsidP="00836EE8">
      <w:pPr>
        <w:pStyle w:val="FootnoteText"/>
        <w:rPr>
          <w:lang w:val="en-US"/>
        </w:rPr>
      </w:pPr>
      <w:r>
        <w:rPr>
          <w:rStyle w:val="FootnoteReference"/>
        </w:rPr>
        <w:footnoteRef/>
      </w:r>
      <w:r>
        <w:t xml:space="preserve"> Gerald Frank Else, </w:t>
      </w:r>
      <w:r>
        <w:rPr>
          <w:i/>
        </w:rPr>
        <w:t xml:space="preserve">Aristotle’s Poetics: The </w:t>
      </w:r>
      <w:r w:rsidRPr="001F5F12">
        <w:rPr>
          <w:i/>
        </w:rPr>
        <w:t>Argument</w:t>
      </w:r>
      <w:r>
        <w:t xml:space="preserve"> (Cambridge, MA: Harvard UP, 1957), </w:t>
      </w:r>
      <w:r w:rsidRPr="001F5F12">
        <w:rPr>
          <w:lang w:val="en-US"/>
        </w:rPr>
        <w:t>70</w:t>
      </w:r>
      <w:r>
        <w:rPr>
          <w:lang w:val="en-US"/>
        </w:rPr>
        <w:t>.</w:t>
      </w:r>
    </w:p>
  </w:footnote>
  <w:footnote w:id="22">
    <w:p w14:paraId="30E7C322" w14:textId="4E07D6D6" w:rsidR="00D06DFD" w:rsidRPr="00607135" w:rsidRDefault="00D06DFD">
      <w:pPr>
        <w:pStyle w:val="FootnoteText"/>
        <w:rPr>
          <w:lang w:val="en-US"/>
        </w:rPr>
      </w:pPr>
      <w:r>
        <w:rPr>
          <w:rStyle w:val="FootnoteReference"/>
        </w:rPr>
        <w:footnoteRef/>
      </w:r>
      <w:r>
        <w:t xml:space="preserve"> </w:t>
      </w:r>
      <w:r>
        <w:rPr>
          <w:lang w:val="en-US"/>
        </w:rPr>
        <w:t xml:space="preserve">See </w:t>
      </w:r>
      <w:r>
        <w:rPr>
          <w:i/>
          <w:lang w:val="en-US"/>
        </w:rPr>
        <w:t>OED</w:t>
      </w:r>
      <w:r>
        <w:rPr>
          <w:lang w:val="en-US"/>
        </w:rPr>
        <w:t xml:space="preserve"> n. </w:t>
      </w:r>
      <w:r>
        <w:t>Accessed 10 September 2012.</w:t>
      </w:r>
    </w:p>
  </w:footnote>
  <w:footnote w:id="23">
    <w:p w14:paraId="26FF5C1C" w14:textId="7F7FB801" w:rsidR="00D06DFD" w:rsidRPr="00993D91" w:rsidRDefault="00D06DFD" w:rsidP="00F468F6">
      <w:pPr>
        <w:pStyle w:val="FootnoteText"/>
        <w:rPr>
          <w:lang w:val="en-US"/>
        </w:rPr>
      </w:pPr>
      <w:r>
        <w:rPr>
          <w:rStyle w:val="FootnoteReference"/>
        </w:rPr>
        <w:footnoteRef/>
      </w:r>
      <w:r>
        <w:t xml:space="preserve"> </w:t>
      </w:r>
      <w:r>
        <w:rPr>
          <w:i/>
          <w:lang w:val="en-US"/>
        </w:rPr>
        <w:t>OED</w:t>
      </w:r>
      <w:r>
        <w:rPr>
          <w:lang w:val="en-US"/>
        </w:rPr>
        <w:t xml:space="preserve"> n. 3, 4a and b </w:t>
      </w:r>
      <w:r>
        <w:t>and adj.". Accessed 13 August 2012.</w:t>
      </w:r>
    </w:p>
  </w:footnote>
  <w:footnote w:id="24">
    <w:p w14:paraId="6D92A50A" w14:textId="3D0DCFA8" w:rsidR="00D06DFD" w:rsidRPr="001A7C7B" w:rsidRDefault="00D06DFD" w:rsidP="001A7C7B">
      <w:pPr>
        <w:pStyle w:val="FootnoteText"/>
      </w:pPr>
      <w:r>
        <w:rPr>
          <w:rStyle w:val="FootnoteReference"/>
        </w:rPr>
        <w:footnoteRef/>
      </w:r>
      <w:r>
        <w:t xml:space="preserve"> Anthony Trollope, </w:t>
      </w:r>
      <w:r>
        <w:rPr>
          <w:i/>
        </w:rPr>
        <w:t>Autobiography</w:t>
      </w:r>
      <w:r>
        <w:t>, ed. with an Introduction by David Skilton (London: Penguin, 1996), 158.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F0E21" w14:textId="77777777" w:rsidR="00D06DFD" w:rsidRDefault="00D06DFD" w:rsidP="001415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91538D" w14:textId="77777777" w:rsidR="00D06DFD" w:rsidRDefault="00D06D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A100D" w14:textId="77777777" w:rsidR="00D06DFD" w:rsidRDefault="00D06DFD" w:rsidP="001415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28B1">
      <w:rPr>
        <w:rStyle w:val="PageNumber"/>
        <w:noProof/>
      </w:rPr>
      <w:t>23</w:t>
    </w:r>
    <w:r>
      <w:rPr>
        <w:rStyle w:val="PageNumber"/>
      </w:rPr>
      <w:fldChar w:fldCharType="end"/>
    </w:r>
  </w:p>
  <w:p w14:paraId="3E521485" w14:textId="77777777" w:rsidR="00D06DFD" w:rsidRDefault="00D06DF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235BB"/>
    <w:multiLevelType w:val="hybridMultilevel"/>
    <w:tmpl w:val="7360AA5C"/>
    <w:lvl w:ilvl="0" w:tplc="B658F338">
      <w:start w:val="16"/>
      <w:numFmt w:val="bullet"/>
      <w:lvlText w:val=""/>
      <w:lvlJc w:val="left"/>
      <w:pPr>
        <w:ind w:left="720" w:hanging="360"/>
      </w:pPr>
      <w:rPr>
        <w:rFonts w:ascii="Wingdings" w:eastAsiaTheme="minorEastAsia"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D0"/>
    <w:rsid w:val="0001290E"/>
    <w:rsid w:val="0001544D"/>
    <w:rsid w:val="0002541D"/>
    <w:rsid w:val="00031C2C"/>
    <w:rsid w:val="00034FBA"/>
    <w:rsid w:val="00037771"/>
    <w:rsid w:val="00042F71"/>
    <w:rsid w:val="000433C8"/>
    <w:rsid w:val="000441AE"/>
    <w:rsid w:val="00076F00"/>
    <w:rsid w:val="00080AA7"/>
    <w:rsid w:val="00080B58"/>
    <w:rsid w:val="000815EB"/>
    <w:rsid w:val="000851BA"/>
    <w:rsid w:val="00086BB4"/>
    <w:rsid w:val="0008708E"/>
    <w:rsid w:val="00087EB3"/>
    <w:rsid w:val="00091340"/>
    <w:rsid w:val="000918D5"/>
    <w:rsid w:val="000920C4"/>
    <w:rsid w:val="00093B11"/>
    <w:rsid w:val="000A1C3F"/>
    <w:rsid w:val="000A5177"/>
    <w:rsid w:val="000A6587"/>
    <w:rsid w:val="000A7911"/>
    <w:rsid w:val="000B0779"/>
    <w:rsid w:val="000B0D2B"/>
    <w:rsid w:val="000E6A08"/>
    <w:rsid w:val="000F3268"/>
    <w:rsid w:val="000F3F9F"/>
    <w:rsid w:val="000F4C1D"/>
    <w:rsid w:val="000F520C"/>
    <w:rsid w:val="0010264B"/>
    <w:rsid w:val="00104D7E"/>
    <w:rsid w:val="00105066"/>
    <w:rsid w:val="0010626E"/>
    <w:rsid w:val="00107D5D"/>
    <w:rsid w:val="00117AD4"/>
    <w:rsid w:val="001320F7"/>
    <w:rsid w:val="00134ABB"/>
    <w:rsid w:val="00141583"/>
    <w:rsid w:val="00155AEC"/>
    <w:rsid w:val="00167096"/>
    <w:rsid w:val="001750BE"/>
    <w:rsid w:val="001865D0"/>
    <w:rsid w:val="00193438"/>
    <w:rsid w:val="00194992"/>
    <w:rsid w:val="001A140C"/>
    <w:rsid w:val="001A1D7B"/>
    <w:rsid w:val="001A3B4D"/>
    <w:rsid w:val="001A43A0"/>
    <w:rsid w:val="001A7C7B"/>
    <w:rsid w:val="001B3DCF"/>
    <w:rsid w:val="001D17E4"/>
    <w:rsid w:val="001D72E1"/>
    <w:rsid w:val="001D7D5D"/>
    <w:rsid w:val="001F5F12"/>
    <w:rsid w:val="00200533"/>
    <w:rsid w:val="002150D7"/>
    <w:rsid w:val="00222DC3"/>
    <w:rsid w:val="00224B0B"/>
    <w:rsid w:val="0022547F"/>
    <w:rsid w:val="00227C47"/>
    <w:rsid w:val="00230243"/>
    <w:rsid w:val="00231BA2"/>
    <w:rsid w:val="00233CA6"/>
    <w:rsid w:val="00240444"/>
    <w:rsid w:val="002408D0"/>
    <w:rsid w:val="00253A5C"/>
    <w:rsid w:val="0026478F"/>
    <w:rsid w:val="00264DB1"/>
    <w:rsid w:val="00267A9A"/>
    <w:rsid w:val="002701EF"/>
    <w:rsid w:val="00272030"/>
    <w:rsid w:val="00275382"/>
    <w:rsid w:val="00275B7E"/>
    <w:rsid w:val="002776FD"/>
    <w:rsid w:val="00280F36"/>
    <w:rsid w:val="00285344"/>
    <w:rsid w:val="002871C5"/>
    <w:rsid w:val="00287A98"/>
    <w:rsid w:val="00292950"/>
    <w:rsid w:val="00295AC8"/>
    <w:rsid w:val="002A1763"/>
    <w:rsid w:val="002A2E09"/>
    <w:rsid w:val="002A7170"/>
    <w:rsid w:val="002B4B0E"/>
    <w:rsid w:val="002B5898"/>
    <w:rsid w:val="002D1642"/>
    <w:rsid w:val="002D1C8A"/>
    <w:rsid w:val="002D2ACB"/>
    <w:rsid w:val="002D590B"/>
    <w:rsid w:val="002D6E4B"/>
    <w:rsid w:val="002D7347"/>
    <w:rsid w:val="002D752F"/>
    <w:rsid w:val="002E3762"/>
    <w:rsid w:val="002F0C73"/>
    <w:rsid w:val="002F2928"/>
    <w:rsid w:val="0030470D"/>
    <w:rsid w:val="003206C6"/>
    <w:rsid w:val="003206EF"/>
    <w:rsid w:val="00320D93"/>
    <w:rsid w:val="003215F2"/>
    <w:rsid w:val="00330BFF"/>
    <w:rsid w:val="0035385F"/>
    <w:rsid w:val="00354D57"/>
    <w:rsid w:val="00361A2D"/>
    <w:rsid w:val="00362B20"/>
    <w:rsid w:val="003677DC"/>
    <w:rsid w:val="00370E0E"/>
    <w:rsid w:val="00374486"/>
    <w:rsid w:val="00376068"/>
    <w:rsid w:val="003774D3"/>
    <w:rsid w:val="003805EC"/>
    <w:rsid w:val="0039054F"/>
    <w:rsid w:val="003968C4"/>
    <w:rsid w:val="003A4D59"/>
    <w:rsid w:val="003A4E94"/>
    <w:rsid w:val="003A55E4"/>
    <w:rsid w:val="003B2C5A"/>
    <w:rsid w:val="003B669E"/>
    <w:rsid w:val="003C2581"/>
    <w:rsid w:val="003C48EB"/>
    <w:rsid w:val="003C56D1"/>
    <w:rsid w:val="003E49DF"/>
    <w:rsid w:val="003E50A0"/>
    <w:rsid w:val="003E779E"/>
    <w:rsid w:val="003F0D29"/>
    <w:rsid w:val="003F1925"/>
    <w:rsid w:val="003F6FA8"/>
    <w:rsid w:val="00403776"/>
    <w:rsid w:val="00407519"/>
    <w:rsid w:val="00407FAE"/>
    <w:rsid w:val="00410697"/>
    <w:rsid w:val="00412CE7"/>
    <w:rsid w:val="00420B30"/>
    <w:rsid w:val="004227B2"/>
    <w:rsid w:val="00424E03"/>
    <w:rsid w:val="0042597A"/>
    <w:rsid w:val="004459F3"/>
    <w:rsid w:val="00450D5C"/>
    <w:rsid w:val="00453F54"/>
    <w:rsid w:val="004567A3"/>
    <w:rsid w:val="00456AFD"/>
    <w:rsid w:val="004615BA"/>
    <w:rsid w:val="00462020"/>
    <w:rsid w:val="00466A50"/>
    <w:rsid w:val="004802D6"/>
    <w:rsid w:val="00482851"/>
    <w:rsid w:val="00483042"/>
    <w:rsid w:val="00484225"/>
    <w:rsid w:val="004843E8"/>
    <w:rsid w:val="004A15BE"/>
    <w:rsid w:val="004B0336"/>
    <w:rsid w:val="004B11E1"/>
    <w:rsid w:val="004B1366"/>
    <w:rsid w:val="004B33C6"/>
    <w:rsid w:val="004B37B9"/>
    <w:rsid w:val="004B7362"/>
    <w:rsid w:val="004C2F74"/>
    <w:rsid w:val="004C3EFB"/>
    <w:rsid w:val="004E1F22"/>
    <w:rsid w:val="004E23BA"/>
    <w:rsid w:val="004E245E"/>
    <w:rsid w:val="004F1B26"/>
    <w:rsid w:val="004F5456"/>
    <w:rsid w:val="004F60CE"/>
    <w:rsid w:val="004F682F"/>
    <w:rsid w:val="00501FFD"/>
    <w:rsid w:val="0050398B"/>
    <w:rsid w:val="00523CC5"/>
    <w:rsid w:val="00524051"/>
    <w:rsid w:val="00537B03"/>
    <w:rsid w:val="00544303"/>
    <w:rsid w:val="00544F8F"/>
    <w:rsid w:val="00552A79"/>
    <w:rsid w:val="005579DC"/>
    <w:rsid w:val="00557CAA"/>
    <w:rsid w:val="00562AE5"/>
    <w:rsid w:val="005635C6"/>
    <w:rsid w:val="00565DD8"/>
    <w:rsid w:val="00567DCF"/>
    <w:rsid w:val="0057370E"/>
    <w:rsid w:val="005816EF"/>
    <w:rsid w:val="005821F4"/>
    <w:rsid w:val="00583EF3"/>
    <w:rsid w:val="0058445E"/>
    <w:rsid w:val="005B2A89"/>
    <w:rsid w:val="005B7CE3"/>
    <w:rsid w:val="005D0C9F"/>
    <w:rsid w:val="005D0D48"/>
    <w:rsid w:val="005D5531"/>
    <w:rsid w:val="005D5A75"/>
    <w:rsid w:val="005D7D86"/>
    <w:rsid w:val="005E19DC"/>
    <w:rsid w:val="005E3A57"/>
    <w:rsid w:val="005E4A77"/>
    <w:rsid w:val="005E4B0E"/>
    <w:rsid w:val="005F0F64"/>
    <w:rsid w:val="00607135"/>
    <w:rsid w:val="00634F79"/>
    <w:rsid w:val="006407D7"/>
    <w:rsid w:val="00662920"/>
    <w:rsid w:val="00671CB1"/>
    <w:rsid w:val="006725EB"/>
    <w:rsid w:val="006776BB"/>
    <w:rsid w:val="006B454F"/>
    <w:rsid w:val="006B7EC9"/>
    <w:rsid w:val="006C1464"/>
    <w:rsid w:val="006C2EDA"/>
    <w:rsid w:val="006C4744"/>
    <w:rsid w:val="006C48C3"/>
    <w:rsid w:val="006C78C5"/>
    <w:rsid w:val="006E1861"/>
    <w:rsid w:val="006E1B7B"/>
    <w:rsid w:val="006E3467"/>
    <w:rsid w:val="006E6068"/>
    <w:rsid w:val="006F0EF5"/>
    <w:rsid w:val="006F218C"/>
    <w:rsid w:val="006F352A"/>
    <w:rsid w:val="00700711"/>
    <w:rsid w:val="0070100F"/>
    <w:rsid w:val="00701E21"/>
    <w:rsid w:val="007115EA"/>
    <w:rsid w:val="007131A0"/>
    <w:rsid w:val="00723B13"/>
    <w:rsid w:val="00736EF3"/>
    <w:rsid w:val="00744F7D"/>
    <w:rsid w:val="00745E05"/>
    <w:rsid w:val="007579D6"/>
    <w:rsid w:val="007618D6"/>
    <w:rsid w:val="0076294D"/>
    <w:rsid w:val="00785246"/>
    <w:rsid w:val="00786183"/>
    <w:rsid w:val="00791E31"/>
    <w:rsid w:val="00794CB1"/>
    <w:rsid w:val="00795BF2"/>
    <w:rsid w:val="007965D9"/>
    <w:rsid w:val="007A184E"/>
    <w:rsid w:val="007A7DF5"/>
    <w:rsid w:val="007C6EDC"/>
    <w:rsid w:val="007F40EE"/>
    <w:rsid w:val="007F579F"/>
    <w:rsid w:val="007F70BF"/>
    <w:rsid w:val="00802B6C"/>
    <w:rsid w:val="00805F94"/>
    <w:rsid w:val="00810B65"/>
    <w:rsid w:val="00810E9B"/>
    <w:rsid w:val="008155D1"/>
    <w:rsid w:val="00817BF5"/>
    <w:rsid w:val="00820FF5"/>
    <w:rsid w:val="00821B7E"/>
    <w:rsid w:val="00825518"/>
    <w:rsid w:val="008266BA"/>
    <w:rsid w:val="008270FB"/>
    <w:rsid w:val="00836EE8"/>
    <w:rsid w:val="00841696"/>
    <w:rsid w:val="00843419"/>
    <w:rsid w:val="008457B8"/>
    <w:rsid w:val="0085083D"/>
    <w:rsid w:val="00857031"/>
    <w:rsid w:val="00864E72"/>
    <w:rsid w:val="00866A35"/>
    <w:rsid w:val="008705AE"/>
    <w:rsid w:val="0087282B"/>
    <w:rsid w:val="00874626"/>
    <w:rsid w:val="00883940"/>
    <w:rsid w:val="00883B28"/>
    <w:rsid w:val="0088637D"/>
    <w:rsid w:val="008955A9"/>
    <w:rsid w:val="008C3FEF"/>
    <w:rsid w:val="008C702F"/>
    <w:rsid w:val="008D26EF"/>
    <w:rsid w:val="008D2EB4"/>
    <w:rsid w:val="008D4ACD"/>
    <w:rsid w:val="008D757F"/>
    <w:rsid w:val="008E0502"/>
    <w:rsid w:val="008E5912"/>
    <w:rsid w:val="008E7563"/>
    <w:rsid w:val="008F38CC"/>
    <w:rsid w:val="008F4668"/>
    <w:rsid w:val="008F784F"/>
    <w:rsid w:val="009000D0"/>
    <w:rsid w:val="00902BFB"/>
    <w:rsid w:val="0090457E"/>
    <w:rsid w:val="00905976"/>
    <w:rsid w:val="00910AB0"/>
    <w:rsid w:val="00912565"/>
    <w:rsid w:val="00920065"/>
    <w:rsid w:val="00924831"/>
    <w:rsid w:val="009266E5"/>
    <w:rsid w:val="00930EE2"/>
    <w:rsid w:val="00931BB8"/>
    <w:rsid w:val="00932161"/>
    <w:rsid w:val="00942471"/>
    <w:rsid w:val="00947A6C"/>
    <w:rsid w:val="00947B18"/>
    <w:rsid w:val="009502AA"/>
    <w:rsid w:val="009506FB"/>
    <w:rsid w:val="00954481"/>
    <w:rsid w:val="00961D5D"/>
    <w:rsid w:val="00963A8D"/>
    <w:rsid w:val="009643D9"/>
    <w:rsid w:val="0096685D"/>
    <w:rsid w:val="00967F60"/>
    <w:rsid w:val="0097751A"/>
    <w:rsid w:val="00990868"/>
    <w:rsid w:val="009908A4"/>
    <w:rsid w:val="00990A65"/>
    <w:rsid w:val="009917A3"/>
    <w:rsid w:val="009929F5"/>
    <w:rsid w:val="00993D91"/>
    <w:rsid w:val="009A5C54"/>
    <w:rsid w:val="009A6BFE"/>
    <w:rsid w:val="009B7A42"/>
    <w:rsid w:val="009C3E86"/>
    <w:rsid w:val="009D13CB"/>
    <w:rsid w:val="009D7CEE"/>
    <w:rsid w:val="009E02D5"/>
    <w:rsid w:val="009E4894"/>
    <w:rsid w:val="009E5F0E"/>
    <w:rsid w:val="009F2F1E"/>
    <w:rsid w:val="009F6090"/>
    <w:rsid w:val="00A001FD"/>
    <w:rsid w:val="00A01821"/>
    <w:rsid w:val="00A01AE4"/>
    <w:rsid w:val="00A0660F"/>
    <w:rsid w:val="00A17B3C"/>
    <w:rsid w:val="00A250A3"/>
    <w:rsid w:val="00A27415"/>
    <w:rsid w:val="00A30439"/>
    <w:rsid w:val="00A352F0"/>
    <w:rsid w:val="00A37FC5"/>
    <w:rsid w:val="00A40113"/>
    <w:rsid w:val="00A40B68"/>
    <w:rsid w:val="00A45736"/>
    <w:rsid w:val="00A55BE7"/>
    <w:rsid w:val="00A57C51"/>
    <w:rsid w:val="00A57E4F"/>
    <w:rsid w:val="00A623F2"/>
    <w:rsid w:val="00A62647"/>
    <w:rsid w:val="00A62BDD"/>
    <w:rsid w:val="00A64791"/>
    <w:rsid w:val="00A65BD0"/>
    <w:rsid w:val="00A8005B"/>
    <w:rsid w:val="00AB1EFF"/>
    <w:rsid w:val="00AB2CF9"/>
    <w:rsid w:val="00AC4CA9"/>
    <w:rsid w:val="00AD3E70"/>
    <w:rsid w:val="00AD44F2"/>
    <w:rsid w:val="00AD5F39"/>
    <w:rsid w:val="00AD7C6E"/>
    <w:rsid w:val="00AE0552"/>
    <w:rsid w:val="00AE14E7"/>
    <w:rsid w:val="00AE3556"/>
    <w:rsid w:val="00AE7489"/>
    <w:rsid w:val="00AF0B77"/>
    <w:rsid w:val="00AF46AF"/>
    <w:rsid w:val="00AF729A"/>
    <w:rsid w:val="00B07F9B"/>
    <w:rsid w:val="00B15754"/>
    <w:rsid w:val="00B16DD6"/>
    <w:rsid w:val="00B20799"/>
    <w:rsid w:val="00B30D0E"/>
    <w:rsid w:val="00B35852"/>
    <w:rsid w:val="00B35C89"/>
    <w:rsid w:val="00B41A87"/>
    <w:rsid w:val="00B44710"/>
    <w:rsid w:val="00B7003C"/>
    <w:rsid w:val="00B7022E"/>
    <w:rsid w:val="00B81DE8"/>
    <w:rsid w:val="00B82113"/>
    <w:rsid w:val="00B845B7"/>
    <w:rsid w:val="00B87028"/>
    <w:rsid w:val="00B9171C"/>
    <w:rsid w:val="00B9571F"/>
    <w:rsid w:val="00BA1229"/>
    <w:rsid w:val="00BA2763"/>
    <w:rsid w:val="00BA4499"/>
    <w:rsid w:val="00BB425F"/>
    <w:rsid w:val="00BB5F2B"/>
    <w:rsid w:val="00BB76CA"/>
    <w:rsid w:val="00BC6970"/>
    <w:rsid w:val="00BD323A"/>
    <w:rsid w:val="00BE3CB5"/>
    <w:rsid w:val="00BF5212"/>
    <w:rsid w:val="00C017EA"/>
    <w:rsid w:val="00C05970"/>
    <w:rsid w:val="00C12B92"/>
    <w:rsid w:val="00C210C3"/>
    <w:rsid w:val="00C221C5"/>
    <w:rsid w:val="00C25049"/>
    <w:rsid w:val="00C270F2"/>
    <w:rsid w:val="00C346E7"/>
    <w:rsid w:val="00C37894"/>
    <w:rsid w:val="00C413EC"/>
    <w:rsid w:val="00C44843"/>
    <w:rsid w:val="00C46695"/>
    <w:rsid w:val="00C537EB"/>
    <w:rsid w:val="00C5404A"/>
    <w:rsid w:val="00C60285"/>
    <w:rsid w:val="00C61D55"/>
    <w:rsid w:val="00C70D7E"/>
    <w:rsid w:val="00C75D8C"/>
    <w:rsid w:val="00C80DE1"/>
    <w:rsid w:val="00C834FF"/>
    <w:rsid w:val="00C91B16"/>
    <w:rsid w:val="00CA6FBF"/>
    <w:rsid w:val="00CA7BB7"/>
    <w:rsid w:val="00CB26AB"/>
    <w:rsid w:val="00CC0A4C"/>
    <w:rsid w:val="00CC3C4C"/>
    <w:rsid w:val="00CC51AE"/>
    <w:rsid w:val="00CD114A"/>
    <w:rsid w:val="00CD31BA"/>
    <w:rsid w:val="00CD3CA7"/>
    <w:rsid w:val="00CE2B0D"/>
    <w:rsid w:val="00CE4032"/>
    <w:rsid w:val="00CF47D7"/>
    <w:rsid w:val="00CF59B8"/>
    <w:rsid w:val="00D06DFD"/>
    <w:rsid w:val="00D15053"/>
    <w:rsid w:val="00D17ACA"/>
    <w:rsid w:val="00D31DB4"/>
    <w:rsid w:val="00D328B1"/>
    <w:rsid w:val="00D345BC"/>
    <w:rsid w:val="00D43841"/>
    <w:rsid w:val="00D43C85"/>
    <w:rsid w:val="00D4625D"/>
    <w:rsid w:val="00D5462E"/>
    <w:rsid w:val="00D57EAF"/>
    <w:rsid w:val="00D608A8"/>
    <w:rsid w:val="00D64300"/>
    <w:rsid w:val="00D70DA1"/>
    <w:rsid w:val="00D75067"/>
    <w:rsid w:val="00D752D0"/>
    <w:rsid w:val="00D805D6"/>
    <w:rsid w:val="00D82BAB"/>
    <w:rsid w:val="00D87889"/>
    <w:rsid w:val="00D95AB6"/>
    <w:rsid w:val="00DC1A33"/>
    <w:rsid w:val="00DD1F6B"/>
    <w:rsid w:val="00DD3BBB"/>
    <w:rsid w:val="00DE7FC6"/>
    <w:rsid w:val="00DF2A3A"/>
    <w:rsid w:val="00DF6418"/>
    <w:rsid w:val="00E11652"/>
    <w:rsid w:val="00E13F84"/>
    <w:rsid w:val="00E17992"/>
    <w:rsid w:val="00E258C7"/>
    <w:rsid w:val="00E26B57"/>
    <w:rsid w:val="00E330F9"/>
    <w:rsid w:val="00E345F6"/>
    <w:rsid w:val="00E36C94"/>
    <w:rsid w:val="00E4160A"/>
    <w:rsid w:val="00E43334"/>
    <w:rsid w:val="00E55C74"/>
    <w:rsid w:val="00E573D4"/>
    <w:rsid w:val="00E62FD9"/>
    <w:rsid w:val="00E666F5"/>
    <w:rsid w:val="00E71113"/>
    <w:rsid w:val="00E726DA"/>
    <w:rsid w:val="00E73810"/>
    <w:rsid w:val="00E768E3"/>
    <w:rsid w:val="00E81BA8"/>
    <w:rsid w:val="00E84E9B"/>
    <w:rsid w:val="00EA1D9B"/>
    <w:rsid w:val="00EA2779"/>
    <w:rsid w:val="00EA74D7"/>
    <w:rsid w:val="00EB080E"/>
    <w:rsid w:val="00EB2E3D"/>
    <w:rsid w:val="00EC1118"/>
    <w:rsid w:val="00EC3EEF"/>
    <w:rsid w:val="00EE642A"/>
    <w:rsid w:val="00EF18F6"/>
    <w:rsid w:val="00EF1FE2"/>
    <w:rsid w:val="00F0118B"/>
    <w:rsid w:val="00F060F8"/>
    <w:rsid w:val="00F12415"/>
    <w:rsid w:val="00F20C20"/>
    <w:rsid w:val="00F21BBA"/>
    <w:rsid w:val="00F22A38"/>
    <w:rsid w:val="00F25BF9"/>
    <w:rsid w:val="00F331D6"/>
    <w:rsid w:val="00F3728C"/>
    <w:rsid w:val="00F37312"/>
    <w:rsid w:val="00F468F6"/>
    <w:rsid w:val="00F47574"/>
    <w:rsid w:val="00F5027C"/>
    <w:rsid w:val="00F5467D"/>
    <w:rsid w:val="00F54DFB"/>
    <w:rsid w:val="00F57916"/>
    <w:rsid w:val="00F6272A"/>
    <w:rsid w:val="00F6463C"/>
    <w:rsid w:val="00F7140E"/>
    <w:rsid w:val="00F71CA2"/>
    <w:rsid w:val="00F85BC3"/>
    <w:rsid w:val="00F875FF"/>
    <w:rsid w:val="00F9330B"/>
    <w:rsid w:val="00F9405E"/>
    <w:rsid w:val="00F94BD1"/>
    <w:rsid w:val="00F94F3D"/>
    <w:rsid w:val="00FA39A2"/>
    <w:rsid w:val="00FA4E98"/>
    <w:rsid w:val="00FA65F6"/>
    <w:rsid w:val="00FB7D4A"/>
    <w:rsid w:val="00FC30F1"/>
    <w:rsid w:val="00FD0BB0"/>
    <w:rsid w:val="00FD32CB"/>
    <w:rsid w:val="00FD7699"/>
    <w:rsid w:val="00FE730D"/>
    <w:rsid w:val="00FF515E"/>
    <w:rsid w:val="00FF5DB7"/>
    <w:rsid w:val="00FF76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EC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89"/>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08D0"/>
    <w:pPr>
      <w:spacing w:line="240" w:lineRule="auto"/>
    </w:pPr>
  </w:style>
  <w:style w:type="character" w:customStyle="1" w:styleId="FootnoteTextChar">
    <w:name w:val="Footnote Text Char"/>
    <w:basedOn w:val="DefaultParagraphFont"/>
    <w:link w:val="FootnoteText"/>
    <w:uiPriority w:val="99"/>
    <w:rsid w:val="002408D0"/>
  </w:style>
  <w:style w:type="character" w:styleId="FootnoteReference">
    <w:name w:val="footnote reference"/>
    <w:basedOn w:val="DefaultParagraphFont"/>
    <w:uiPriority w:val="99"/>
    <w:unhideWhenUsed/>
    <w:rsid w:val="002408D0"/>
    <w:rPr>
      <w:vertAlign w:val="superscript"/>
    </w:rPr>
  </w:style>
  <w:style w:type="paragraph" w:styleId="Header">
    <w:name w:val="header"/>
    <w:basedOn w:val="Normal"/>
    <w:link w:val="HeaderChar"/>
    <w:uiPriority w:val="99"/>
    <w:unhideWhenUsed/>
    <w:rsid w:val="00B30D0E"/>
    <w:pPr>
      <w:tabs>
        <w:tab w:val="center" w:pos="4320"/>
        <w:tab w:val="right" w:pos="8640"/>
      </w:tabs>
      <w:spacing w:line="240" w:lineRule="auto"/>
    </w:pPr>
  </w:style>
  <w:style w:type="character" w:customStyle="1" w:styleId="HeaderChar">
    <w:name w:val="Header Char"/>
    <w:basedOn w:val="DefaultParagraphFont"/>
    <w:link w:val="Header"/>
    <w:uiPriority w:val="99"/>
    <w:rsid w:val="00B30D0E"/>
  </w:style>
  <w:style w:type="character" w:styleId="PageNumber">
    <w:name w:val="page number"/>
    <w:basedOn w:val="DefaultParagraphFont"/>
    <w:uiPriority w:val="99"/>
    <w:semiHidden/>
    <w:unhideWhenUsed/>
    <w:rsid w:val="00B30D0E"/>
  </w:style>
  <w:style w:type="paragraph" w:styleId="BalloonText">
    <w:name w:val="Balloon Text"/>
    <w:basedOn w:val="Normal"/>
    <w:link w:val="BalloonTextChar"/>
    <w:uiPriority w:val="99"/>
    <w:semiHidden/>
    <w:unhideWhenUsed/>
    <w:rsid w:val="00825518"/>
    <w:pPr>
      <w:spacing w:line="240" w:lineRule="auto"/>
    </w:pPr>
    <w:rPr>
      <w:rFonts w:ascii="Lucida Grande" w:hAnsi="Lucida Grande" w:cs="Lucida Grande"/>
      <w:sz w:val="18"/>
      <w:szCs w:val="18"/>
    </w:rPr>
  </w:style>
  <w:style w:type="paragraph" w:styleId="Quote">
    <w:name w:val="Quote"/>
    <w:aliases w:val="q"/>
    <w:basedOn w:val="Normal"/>
    <w:link w:val="QuoteChar"/>
    <w:uiPriority w:val="29"/>
    <w:qFormat/>
    <w:rsid w:val="002D590B"/>
    <w:pPr>
      <w:spacing w:line="240" w:lineRule="auto"/>
      <w:ind w:left="851"/>
    </w:pPr>
    <w:rPr>
      <w:color w:val="000000" w:themeColor="text1"/>
    </w:rPr>
  </w:style>
  <w:style w:type="character" w:customStyle="1" w:styleId="QuoteChar">
    <w:name w:val="Quote Char"/>
    <w:aliases w:val="q Char"/>
    <w:basedOn w:val="DefaultParagraphFont"/>
    <w:link w:val="Quote"/>
    <w:uiPriority w:val="29"/>
    <w:rsid w:val="002D590B"/>
    <w:rPr>
      <w:rFonts w:ascii="Times New Roman" w:hAnsi="Times New Roman"/>
      <w:color w:val="000000" w:themeColor="text1"/>
    </w:rPr>
  </w:style>
  <w:style w:type="character" w:customStyle="1" w:styleId="BalloonTextChar">
    <w:name w:val="Balloon Text Char"/>
    <w:basedOn w:val="DefaultParagraphFont"/>
    <w:link w:val="BalloonText"/>
    <w:uiPriority w:val="99"/>
    <w:semiHidden/>
    <w:rsid w:val="00825518"/>
    <w:rPr>
      <w:rFonts w:ascii="Lucida Grande" w:hAnsi="Lucida Grande" w:cs="Lucida Grande"/>
      <w:sz w:val="18"/>
      <w:szCs w:val="18"/>
    </w:rPr>
  </w:style>
  <w:style w:type="paragraph" w:styleId="ListParagraph">
    <w:name w:val="List Paragraph"/>
    <w:basedOn w:val="Normal"/>
    <w:uiPriority w:val="34"/>
    <w:qFormat/>
    <w:rsid w:val="000F3F9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489"/>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08D0"/>
    <w:pPr>
      <w:spacing w:line="240" w:lineRule="auto"/>
    </w:pPr>
  </w:style>
  <w:style w:type="character" w:customStyle="1" w:styleId="FootnoteTextChar">
    <w:name w:val="Footnote Text Char"/>
    <w:basedOn w:val="DefaultParagraphFont"/>
    <w:link w:val="FootnoteText"/>
    <w:uiPriority w:val="99"/>
    <w:rsid w:val="002408D0"/>
  </w:style>
  <w:style w:type="character" w:styleId="FootnoteReference">
    <w:name w:val="footnote reference"/>
    <w:basedOn w:val="DefaultParagraphFont"/>
    <w:uiPriority w:val="99"/>
    <w:unhideWhenUsed/>
    <w:rsid w:val="002408D0"/>
    <w:rPr>
      <w:vertAlign w:val="superscript"/>
    </w:rPr>
  </w:style>
  <w:style w:type="paragraph" w:styleId="Header">
    <w:name w:val="header"/>
    <w:basedOn w:val="Normal"/>
    <w:link w:val="HeaderChar"/>
    <w:uiPriority w:val="99"/>
    <w:unhideWhenUsed/>
    <w:rsid w:val="00B30D0E"/>
    <w:pPr>
      <w:tabs>
        <w:tab w:val="center" w:pos="4320"/>
        <w:tab w:val="right" w:pos="8640"/>
      </w:tabs>
      <w:spacing w:line="240" w:lineRule="auto"/>
    </w:pPr>
  </w:style>
  <w:style w:type="character" w:customStyle="1" w:styleId="HeaderChar">
    <w:name w:val="Header Char"/>
    <w:basedOn w:val="DefaultParagraphFont"/>
    <w:link w:val="Header"/>
    <w:uiPriority w:val="99"/>
    <w:rsid w:val="00B30D0E"/>
  </w:style>
  <w:style w:type="character" w:styleId="PageNumber">
    <w:name w:val="page number"/>
    <w:basedOn w:val="DefaultParagraphFont"/>
    <w:uiPriority w:val="99"/>
    <w:semiHidden/>
    <w:unhideWhenUsed/>
    <w:rsid w:val="00B30D0E"/>
  </w:style>
  <w:style w:type="paragraph" w:styleId="BalloonText">
    <w:name w:val="Balloon Text"/>
    <w:basedOn w:val="Normal"/>
    <w:link w:val="BalloonTextChar"/>
    <w:uiPriority w:val="99"/>
    <w:semiHidden/>
    <w:unhideWhenUsed/>
    <w:rsid w:val="00825518"/>
    <w:pPr>
      <w:spacing w:line="240" w:lineRule="auto"/>
    </w:pPr>
    <w:rPr>
      <w:rFonts w:ascii="Lucida Grande" w:hAnsi="Lucida Grande" w:cs="Lucida Grande"/>
      <w:sz w:val="18"/>
      <w:szCs w:val="18"/>
    </w:rPr>
  </w:style>
  <w:style w:type="paragraph" w:styleId="Quote">
    <w:name w:val="Quote"/>
    <w:aliases w:val="q"/>
    <w:basedOn w:val="Normal"/>
    <w:link w:val="QuoteChar"/>
    <w:uiPriority w:val="29"/>
    <w:qFormat/>
    <w:rsid w:val="002D590B"/>
    <w:pPr>
      <w:spacing w:line="240" w:lineRule="auto"/>
      <w:ind w:left="851"/>
    </w:pPr>
    <w:rPr>
      <w:color w:val="000000" w:themeColor="text1"/>
    </w:rPr>
  </w:style>
  <w:style w:type="character" w:customStyle="1" w:styleId="QuoteChar">
    <w:name w:val="Quote Char"/>
    <w:aliases w:val="q Char"/>
    <w:basedOn w:val="DefaultParagraphFont"/>
    <w:link w:val="Quote"/>
    <w:uiPriority w:val="29"/>
    <w:rsid w:val="002D590B"/>
    <w:rPr>
      <w:rFonts w:ascii="Times New Roman" w:hAnsi="Times New Roman"/>
      <w:color w:val="000000" w:themeColor="text1"/>
    </w:rPr>
  </w:style>
  <w:style w:type="character" w:customStyle="1" w:styleId="BalloonTextChar">
    <w:name w:val="Balloon Text Char"/>
    <w:basedOn w:val="DefaultParagraphFont"/>
    <w:link w:val="BalloonText"/>
    <w:uiPriority w:val="99"/>
    <w:semiHidden/>
    <w:rsid w:val="00825518"/>
    <w:rPr>
      <w:rFonts w:ascii="Lucida Grande" w:hAnsi="Lucida Grande" w:cs="Lucida Grande"/>
      <w:sz w:val="18"/>
      <w:szCs w:val="18"/>
    </w:rPr>
  </w:style>
  <w:style w:type="paragraph" w:styleId="ListParagraph">
    <w:name w:val="List Paragraph"/>
    <w:basedOn w:val="Normal"/>
    <w:uiPriority w:val="34"/>
    <w:qFormat/>
    <w:rsid w:val="000F3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9103</TotalTime>
  <Pages>23</Pages>
  <Words>6201</Words>
  <Characters>35352</Characters>
  <Application>Microsoft Macintosh Word</Application>
  <DocSecurity>0</DocSecurity>
  <Lines>294</Lines>
  <Paragraphs>82</Paragraphs>
  <ScaleCrop>false</ScaleCrop>
  <Company>Pembroke College</Company>
  <LinksUpToDate>false</LinksUpToDate>
  <CharactersWithSpaces>41471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Small</dc:creator>
  <cp:keywords/>
  <dc:description/>
  <cp:lastModifiedBy>Helen Small</cp:lastModifiedBy>
  <cp:revision>199</cp:revision>
  <cp:lastPrinted>2012-09-14T13:48:00Z</cp:lastPrinted>
  <dcterms:created xsi:type="dcterms:W3CDTF">2012-08-02T13:53:00Z</dcterms:created>
  <dcterms:modified xsi:type="dcterms:W3CDTF">2012-09-14T14:07:00Z</dcterms:modified>
</cp:coreProperties>
</file>