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F02" w:rsidRPr="00F340F6" w:rsidRDefault="00302F02" w:rsidP="00F340F6">
      <w:pPr>
        <w:pStyle w:val="Header"/>
        <w:spacing w:line="480" w:lineRule="auto"/>
        <w:ind w:right="360"/>
      </w:pPr>
      <w:r w:rsidRPr="00F340F6">
        <w:t>Running head: PARENTAL TRANSITIONS AND ADOLESCENT DATING</w:t>
      </w:r>
    </w:p>
    <w:p w:rsidR="003A0AED" w:rsidRPr="00F340F6" w:rsidRDefault="003A0AED" w:rsidP="00F340F6">
      <w:pPr>
        <w:suppressLineNumbers/>
        <w:spacing w:line="480" w:lineRule="auto"/>
        <w:rPr>
          <w:color w:val="auto"/>
        </w:rPr>
      </w:pPr>
    </w:p>
    <w:p w:rsidR="003A0AED" w:rsidRDefault="003A0AED" w:rsidP="00F340F6">
      <w:pPr>
        <w:suppressLineNumbers/>
        <w:spacing w:line="480" w:lineRule="auto"/>
        <w:rPr>
          <w:color w:val="auto"/>
        </w:rPr>
      </w:pPr>
    </w:p>
    <w:p w:rsidR="004D59FC" w:rsidRDefault="004D59FC" w:rsidP="00F340F6">
      <w:pPr>
        <w:suppressLineNumbers/>
        <w:spacing w:line="480" w:lineRule="auto"/>
        <w:rPr>
          <w:color w:val="auto"/>
        </w:rPr>
      </w:pPr>
    </w:p>
    <w:p w:rsidR="004D59FC" w:rsidRDefault="004D59FC" w:rsidP="00F340F6">
      <w:pPr>
        <w:suppressLineNumbers/>
        <w:spacing w:line="480" w:lineRule="auto"/>
        <w:rPr>
          <w:color w:val="auto"/>
        </w:rPr>
      </w:pPr>
    </w:p>
    <w:p w:rsidR="004D59FC" w:rsidRDefault="004D59FC" w:rsidP="00F340F6">
      <w:pPr>
        <w:suppressLineNumbers/>
        <w:spacing w:line="480" w:lineRule="auto"/>
        <w:rPr>
          <w:color w:val="auto"/>
        </w:rPr>
      </w:pPr>
    </w:p>
    <w:p w:rsidR="004D59FC" w:rsidRPr="00F340F6" w:rsidRDefault="004D59FC" w:rsidP="00F340F6">
      <w:pPr>
        <w:suppressLineNumbers/>
        <w:spacing w:line="480" w:lineRule="auto"/>
        <w:rPr>
          <w:color w:val="auto"/>
        </w:rPr>
      </w:pPr>
    </w:p>
    <w:p w:rsidR="003A0AED" w:rsidRPr="00F340F6" w:rsidRDefault="003A0AED" w:rsidP="00F340F6">
      <w:pPr>
        <w:suppressLineNumbers/>
        <w:spacing w:line="480" w:lineRule="auto"/>
        <w:rPr>
          <w:color w:val="auto"/>
        </w:rPr>
      </w:pPr>
    </w:p>
    <w:p w:rsidR="00DE61F6" w:rsidRPr="00F340F6" w:rsidRDefault="00DE61F6" w:rsidP="00F340F6">
      <w:pPr>
        <w:suppressLineNumbers/>
        <w:autoSpaceDE w:val="0"/>
        <w:autoSpaceDN w:val="0"/>
        <w:adjustRightInd w:val="0"/>
        <w:spacing w:line="480" w:lineRule="auto"/>
        <w:jc w:val="center"/>
        <w:rPr>
          <w:color w:val="auto"/>
        </w:rPr>
      </w:pPr>
    </w:p>
    <w:p w:rsidR="003A0AED" w:rsidRPr="00F340F6" w:rsidRDefault="001329DF" w:rsidP="00F340F6">
      <w:pPr>
        <w:suppressLineNumbers/>
        <w:autoSpaceDE w:val="0"/>
        <w:autoSpaceDN w:val="0"/>
        <w:adjustRightInd w:val="0"/>
        <w:spacing w:line="480" w:lineRule="auto"/>
        <w:jc w:val="center"/>
        <w:rPr>
          <w:color w:val="auto"/>
        </w:rPr>
      </w:pPr>
      <w:r w:rsidRPr="00F340F6">
        <w:rPr>
          <w:color w:val="auto"/>
        </w:rPr>
        <w:t>Parental</w:t>
      </w:r>
      <w:r w:rsidR="00254A18" w:rsidRPr="00F340F6">
        <w:rPr>
          <w:color w:val="auto"/>
        </w:rPr>
        <w:t xml:space="preserve"> Residential and Partnering Transitions </w:t>
      </w:r>
      <w:r w:rsidR="007A320C" w:rsidRPr="00F340F6">
        <w:rPr>
          <w:color w:val="auto"/>
        </w:rPr>
        <w:t xml:space="preserve">as Triggers of </w:t>
      </w:r>
      <w:r w:rsidR="00BE4CEE" w:rsidRPr="00F340F6">
        <w:rPr>
          <w:color w:val="auto"/>
        </w:rPr>
        <w:t xml:space="preserve">Adolescent </w:t>
      </w:r>
      <w:r w:rsidR="00D332BC" w:rsidRPr="00F340F6">
        <w:rPr>
          <w:color w:val="auto"/>
        </w:rPr>
        <w:t xml:space="preserve">Romantic Relationships </w:t>
      </w:r>
    </w:p>
    <w:p w:rsidR="007C0031" w:rsidRPr="002D7248" w:rsidRDefault="003A0AED" w:rsidP="00F340F6">
      <w:pPr>
        <w:widowControl w:val="0"/>
        <w:spacing w:line="480" w:lineRule="auto"/>
        <w:jc w:val="center"/>
        <w:rPr>
          <w:color w:val="auto"/>
        </w:rPr>
      </w:pPr>
      <w:r w:rsidRPr="00F340F6">
        <w:rPr>
          <w:color w:val="auto"/>
        </w:rPr>
        <w:br w:type="page"/>
      </w:r>
      <w:r w:rsidRPr="002D7248">
        <w:rPr>
          <w:color w:val="auto"/>
        </w:rPr>
        <w:lastRenderedPageBreak/>
        <w:t>Abstract</w:t>
      </w:r>
    </w:p>
    <w:p w:rsidR="002C0375" w:rsidRPr="00F340F6" w:rsidRDefault="00EF74C6" w:rsidP="00F340F6">
      <w:pPr>
        <w:widowControl w:val="0"/>
        <w:spacing w:line="480" w:lineRule="auto"/>
        <w:rPr>
          <w:color w:val="auto"/>
        </w:rPr>
      </w:pPr>
      <w:r w:rsidRPr="002D7248">
        <w:rPr>
          <w:color w:val="auto"/>
        </w:rPr>
        <w:t xml:space="preserve">This study examined if parental residential and partnering transitions </w:t>
      </w:r>
      <w:r w:rsidR="00FE1972" w:rsidRPr="002D7248">
        <w:rPr>
          <w:color w:val="auto"/>
        </w:rPr>
        <w:t>(biological parents’ move out of the household, the introduction of a new paternal and maternal intimate partner) could trigger a</w:t>
      </w:r>
      <w:r w:rsidR="00677C18" w:rsidRPr="002D7248">
        <w:rPr>
          <w:color w:val="auto"/>
        </w:rPr>
        <w:t>n adolescent’s</w:t>
      </w:r>
      <w:r w:rsidR="00FE1972" w:rsidRPr="002D7248">
        <w:rPr>
          <w:color w:val="auto"/>
        </w:rPr>
        <w:t xml:space="preserve"> romantic relationship. Event history analysis on data from a prospective cohort study among Dutch adolescents (</w:t>
      </w:r>
      <w:r w:rsidR="00FE1972" w:rsidRPr="002D7248">
        <w:rPr>
          <w:i/>
          <w:color w:val="auto"/>
        </w:rPr>
        <w:t>N</w:t>
      </w:r>
      <w:r w:rsidR="00FE1972" w:rsidRPr="002D7248">
        <w:rPr>
          <w:color w:val="auto"/>
        </w:rPr>
        <w:t xml:space="preserve"> = 1,513) demonstrated that only the initiating of a new intimate relationship by the mother lead to </w:t>
      </w:r>
      <w:r w:rsidR="00C00C5B" w:rsidRPr="002D7248">
        <w:rPr>
          <w:color w:val="auto"/>
        </w:rPr>
        <w:t xml:space="preserve">a </w:t>
      </w:r>
      <w:r w:rsidR="00FE1972" w:rsidRPr="002D7248">
        <w:rPr>
          <w:color w:val="auto"/>
        </w:rPr>
        <w:t xml:space="preserve">faster transition to a dating relation for the adolescent. </w:t>
      </w:r>
      <w:r w:rsidR="00677C18" w:rsidRPr="002D7248">
        <w:rPr>
          <w:color w:val="auto"/>
        </w:rPr>
        <w:t>R</w:t>
      </w:r>
      <w:r w:rsidR="00FE1972" w:rsidRPr="002D7248">
        <w:rPr>
          <w:color w:val="auto"/>
        </w:rPr>
        <w:t xml:space="preserve">esiding in a </w:t>
      </w:r>
      <w:r w:rsidR="00A25F72" w:rsidRPr="002D7248">
        <w:rPr>
          <w:color w:val="auto"/>
        </w:rPr>
        <w:t xml:space="preserve">stepparent family was linked to higher </w:t>
      </w:r>
      <w:r w:rsidR="00677C18" w:rsidRPr="002D7248">
        <w:rPr>
          <w:color w:val="auto"/>
        </w:rPr>
        <w:t xml:space="preserve">relationship odds </w:t>
      </w:r>
      <w:r w:rsidR="00A25F72" w:rsidRPr="002D7248">
        <w:rPr>
          <w:color w:val="auto"/>
        </w:rPr>
        <w:t xml:space="preserve">whereas living in a single-parent household was associated with </w:t>
      </w:r>
      <w:r w:rsidR="00A25F72" w:rsidRPr="002D7248">
        <w:rPr>
          <w:i/>
          <w:color w:val="auto"/>
        </w:rPr>
        <w:t>lower</w:t>
      </w:r>
      <w:r w:rsidR="00A25F72" w:rsidRPr="002D7248">
        <w:rPr>
          <w:color w:val="auto"/>
        </w:rPr>
        <w:t xml:space="preserve"> odds of starting a romantic relation by the adolescent</w:t>
      </w:r>
      <w:r w:rsidR="00C00C5B" w:rsidRPr="002D7248">
        <w:rPr>
          <w:color w:val="auto"/>
        </w:rPr>
        <w:t>. The effects did not differ for boys and girls.</w:t>
      </w:r>
    </w:p>
    <w:p w:rsidR="003A0AED" w:rsidRPr="00F340F6" w:rsidRDefault="003A0AED" w:rsidP="00F340F6">
      <w:pPr>
        <w:spacing w:line="480" w:lineRule="auto"/>
        <w:jc w:val="center"/>
        <w:rPr>
          <w:color w:val="auto"/>
        </w:rPr>
      </w:pPr>
      <w:r w:rsidRPr="00F340F6">
        <w:rPr>
          <w:i/>
          <w:color w:val="auto"/>
        </w:rPr>
        <w:t>Keywords</w:t>
      </w:r>
      <w:r w:rsidRPr="00F340F6">
        <w:rPr>
          <w:color w:val="auto"/>
        </w:rPr>
        <w:t>:</w:t>
      </w:r>
      <w:r w:rsidR="00EE04EB" w:rsidRPr="00F340F6">
        <w:rPr>
          <w:color w:val="auto"/>
        </w:rPr>
        <w:t xml:space="preserve"> Adolescence, family structure, event history analysis, marital separation, dating</w:t>
      </w:r>
    </w:p>
    <w:p w:rsidR="00A16CC5" w:rsidRPr="00F340F6" w:rsidRDefault="00697BDA" w:rsidP="00F340F6">
      <w:pPr>
        <w:suppressLineNumbers/>
        <w:autoSpaceDE w:val="0"/>
        <w:autoSpaceDN w:val="0"/>
        <w:adjustRightInd w:val="0"/>
        <w:spacing w:line="480" w:lineRule="auto"/>
        <w:jc w:val="center"/>
        <w:rPr>
          <w:color w:val="auto"/>
        </w:rPr>
      </w:pPr>
      <w:r w:rsidRPr="00F340F6">
        <w:rPr>
          <w:color w:val="auto"/>
        </w:rPr>
        <w:br w:type="page"/>
      </w:r>
    </w:p>
    <w:p w:rsidR="00E02D78" w:rsidRDefault="00D776FE" w:rsidP="002D7248">
      <w:pPr>
        <w:suppressLineNumbers/>
        <w:autoSpaceDE w:val="0"/>
        <w:autoSpaceDN w:val="0"/>
        <w:adjustRightInd w:val="0"/>
        <w:spacing w:line="480" w:lineRule="auto"/>
        <w:rPr>
          <w:color w:val="auto"/>
        </w:rPr>
      </w:pPr>
      <w:r w:rsidRPr="00F340F6">
        <w:rPr>
          <w:color w:val="auto"/>
        </w:rPr>
        <w:lastRenderedPageBreak/>
        <w:t>Recent</w:t>
      </w:r>
      <w:r w:rsidR="00A606F1" w:rsidRPr="00F340F6">
        <w:rPr>
          <w:color w:val="auto"/>
        </w:rPr>
        <w:t xml:space="preserve"> estimates show that about half of </w:t>
      </w:r>
      <w:r w:rsidR="007C491E" w:rsidRPr="00F340F6">
        <w:rPr>
          <w:color w:val="auto"/>
        </w:rPr>
        <w:t xml:space="preserve">all </w:t>
      </w:r>
      <w:r w:rsidR="00A606F1" w:rsidRPr="00F340F6">
        <w:rPr>
          <w:color w:val="auto"/>
        </w:rPr>
        <w:t>marriages in the United States end in divorce (</w:t>
      </w:r>
      <w:r w:rsidR="007C491E" w:rsidRPr="00F340F6">
        <w:rPr>
          <w:color w:val="auto"/>
        </w:rPr>
        <w:t>Amato, 2010</w:t>
      </w:r>
      <w:r w:rsidR="00A606F1" w:rsidRPr="00F340F6">
        <w:rPr>
          <w:color w:val="auto"/>
        </w:rPr>
        <w:t>).</w:t>
      </w:r>
      <w:r w:rsidR="00EC00CB" w:rsidRPr="00F340F6">
        <w:rPr>
          <w:color w:val="auto"/>
        </w:rPr>
        <w:t xml:space="preserve"> </w:t>
      </w:r>
      <w:r w:rsidR="00677C18">
        <w:rPr>
          <w:color w:val="auto"/>
        </w:rPr>
        <w:t>Although</w:t>
      </w:r>
      <w:r w:rsidR="00677C18" w:rsidRPr="00F340F6">
        <w:rPr>
          <w:color w:val="auto"/>
        </w:rPr>
        <w:t xml:space="preserve"> </w:t>
      </w:r>
      <w:r w:rsidR="00A606F1" w:rsidRPr="00F340F6">
        <w:rPr>
          <w:color w:val="auto"/>
        </w:rPr>
        <w:t xml:space="preserve">the rates of marital dissolution in </w:t>
      </w:r>
      <w:r w:rsidR="00E87E76" w:rsidRPr="00F340F6">
        <w:rPr>
          <w:color w:val="auto"/>
        </w:rPr>
        <w:t xml:space="preserve">most </w:t>
      </w:r>
      <w:r w:rsidR="00677C18">
        <w:rPr>
          <w:color w:val="auto"/>
        </w:rPr>
        <w:t xml:space="preserve">Western </w:t>
      </w:r>
      <w:r w:rsidR="00A606F1" w:rsidRPr="00F340F6">
        <w:rPr>
          <w:color w:val="auto"/>
        </w:rPr>
        <w:t>Europe</w:t>
      </w:r>
      <w:r w:rsidR="00A955EF" w:rsidRPr="00F340F6">
        <w:rPr>
          <w:color w:val="auto"/>
        </w:rPr>
        <w:t>an countries</w:t>
      </w:r>
      <w:r w:rsidR="00677C18">
        <w:rPr>
          <w:color w:val="auto"/>
        </w:rPr>
        <w:t>,  for example,</w:t>
      </w:r>
      <w:r w:rsidR="00A606F1" w:rsidRPr="00F340F6">
        <w:rPr>
          <w:color w:val="auto"/>
        </w:rPr>
        <w:t xml:space="preserve"> </w:t>
      </w:r>
      <w:r w:rsidR="00E87E76" w:rsidRPr="00F340F6">
        <w:rPr>
          <w:color w:val="auto"/>
        </w:rPr>
        <w:t xml:space="preserve">remain comparatively lower, there has been </w:t>
      </w:r>
      <w:r w:rsidR="00A606F1" w:rsidRPr="00F340F6">
        <w:rPr>
          <w:color w:val="auto"/>
        </w:rPr>
        <w:t>a steady increase in the past decades</w:t>
      </w:r>
      <w:r w:rsidR="00677C18">
        <w:rPr>
          <w:color w:val="auto"/>
        </w:rPr>
        <w:t xml:space="preserve"> (Latten &amp; de Graaf, 2010)</w:t>
      </w:r>
      <w:r w:rsidR="00A606F1" w:rsidRPr="00F340F6">
        <w:rPr>
          <w:color w:val="auto"/>
        </w:rPr>
        <w:t xml:space="preserve">. </w:t>
      </w:r>
      <w:bookmarkStart w:id="0" w:name="_GoBack"/>
      <w:bookmarkEnd w:id="0"/>
      <w:r w:rsidR="0059415F" w:rsidRPr="00F340F6">
        <w:rPr>
          <w:color w:val="auto"/>
        </w:rPr>
        <w:t xml:space="preserve">A substantial number of </w:t>
      </w:r>
      <w:r w:rsidR="00697BDA" w:rsidRPr="00F340F6">
        <w:rPr>
          <w:color w:val="auto"/>
        </w:rPr>
        <w:t xml:space="preserve">relationship </w:t>
      </w:r>
      <w:r w:rsidR="0059415F" w:rsidRPr="00F340F6">
        <w:rPr>
          <w:color w:val="auto"/>
        </w:rPr>
        <w:t xml:space="preserve">dissolutions </w:t>
      </w:r>
      <w:r w:rsidR="00566286" w:rsidRPr="00F340F6">
        <w:rPr>
          <w:color w:val="auto"/>
        </w:rPr>
        <w:t>involve a</w:t>
      </w:r>
      <w:r w:rsidR="00573DC5" w:rsidRPr="00F340F6">
        <w:rPr>
          <w:color w:val="auto"/>
        </w:rPr>
        <w:t>t least one</w:t>
      </w:r>
      <w:r w:rsidR="00566286" w:rsidRPr="00F340F6">
        <w:rPr>
          <w:color w:val="auto"/>
        </w:rPr>
        <w:t xml:space="preserve"> child under the age of 18 (Potter, 2010; </w:t>
      </w:r>
      <w:r w:rsidR="00C6550C" w:rsidRPr="00F340F6">
        <w:rPr>
          <w:color w:val="auto"/>
        </w:rPr>
        <w:t>de Graaf</w:t>
      </w:r>
      <w:r w:rsidR="00566286" w:rsidRPr="00F340F6">
        <w:rPr>
          <w:color w:val="auto"/>
        </w:rPr>
        <w:t>, 2008)</w:t>
      </w:r>
      <w:r w:rsidR="008C438A" w:rsidRPr="00F340F6">
        <w:rPr>
          <w:color w:val="auto"/>
        </w:rPr>
        <w:t xml:space="preserve"> and</w:t>
      </w:r>
      <w:r w:rsidR="00566286" w:rsidRPr="00F340F6">
        <w:rPr>
          <w:color w:val="auto"/>
        </w:rPr>
        <w:t xml:space="preserve"> </w:t>
      </w:r>
      <w:r w:rsidR="00962D5A" w:rsidRPr="00F340F6">
        <w:rPr>
          <w:color w:val="auto"/>
        </w:rPr>
        <w:t>considerable</w:t>
      </w:r>
      <w:r w:rsidR="00EC00CB" w:rsidRPr="00F340F6">
        <w:rPr>
          <w:color w:val="auto"/>
        </w:rPr>
        <w:t xml:space="preserve"> </w:t>
      </w:r>
      <w:r w:rsidR="00677C18">
        <w:rPr>
          <w:color w:val="auto"/>
        </w:rPr>
        <w:t>efforts have</w:t>
      </w:r>
      <w:r w:rsidR="00EC00CB" w:rsidRPr="00F340F6">
        <w:rPr>
          <w:color w:val="auto"/>
        </w:rPr>
        <w:t xml:space="preserve"> been directed towards understanding the effects </w:t>
      </w:r>
      <w:r w:rsidR="00677C18">
        <w:rPr>
          <w:color w:val="auto"/>
        </w:rPr>
        <w:t>of divorce</w:t>
      </w:r>
      <w:r w:rsidR="002C39CF" w:rsidRPr="00F340F6">
        <w:rPr>
          <w:color w:val="auto"/>
        </w:rPr>
        <w:t xml:space="preserve"> on </w:t>
      </w:r>
      <w:r w:rsidR="006D4609" w:rsidRPr="00F340F6">
        <w:rPr>
          <w:color w:val="auto"/>
        </w:rPr>
        <w:t>children</w:t>
      </w:r>
      <w:r w:rsidR="00573DC5" w:rsidRPr="00F340F6">
        <w:rPr>
          <w:color w:val="auto"/>
        </w:rPr>
        <w:t xml:space="preserve"> (Wolfinger, 2005</w:t>
      </w:r>
      <w:r w:rsidR="00677C18">
        <w:rPr>
          <w:color w:val="auto"/>
        </w:rPr>
        <w:t>; 2011</w:t>
      </w:r>
      <w:r w:rsidR="00573DC5" w:rsidRPr="00F340F6">
        <w:rPr>
          <w:color w:val="auto"/>
        </w:rPr>
        <w:t xml:space="preserve">). </w:t>
      </w:r>
      <w:r w:rsidR="00CB1078">
        <w:rPr>
          <w:color w:val="auto"/>
        </w:rPr>
        <w:t>The almost exclusive focus on divorce, however, means that there has been relatively</w:t>
      </w:r>
      <w:r w:rsidR="00573DC5" w:rsidRPr="00F340F6">
        <w:rPr>
          <w:color w:val="auto"/>
        </w:rPr>
        <w:t xml:space="preserve"> less </w:t>
      </w:r>
      <w:r w:rsidR="00CB1078">
        <w:rPr>
          <w:color w:val="auto"/>
        </w:rPr>
        <w:t xml:space="preserve">direct </w:t>
      </w:r>
      <w:r w:rsidR="00573DC5" w:rsidRPr="00F340F6">
        <w:rPr>
          <w:color w:val="auto"/>
        </w:rPr>
        <w:t xml:space="preserve">research into how </w:t>
      </w:r>
      <w:r w:rsidR="00CB1078">
        <w:rPr>
          <w:color w:val="auto"/>
        </w:rPr>
        <w:t xml:space="preserve">broader types of </w:t>
      </w:r>
      <w:r w:rsidR="00573DC5" w:rsidRPr="00F340F6">
        <w:rPr>
          <w:color w:val="auto"/>
        </w:rPr>
        <w:t xml:space="preserve">parental </w:t>
      </w:r>
      <w:r w:rsidR="00CB1078">
        <w:rPr>
          <w:color w:val="auto"/>
        </w:rPr>
        <w:t xml:space="preserve">residential </w:t>
      </w:r>
      <w:r w:rsidR="00E02D78">
        <w:rPr>
          <w:color w:val="auto"/>
        </w:rPr>
        <w:t xml:space="preserve">instability or parent’s own re-partnering behavior </w:t>
      </w:r>
      <w:r w:rsidR="00573DC5" w:rsidRPr="00F340F6">
        <w:rPr>
          <w:color w:val="auto"/>
        </w:rPr>
        <w:t xml:space="preserve">can impact </w:t>
      </w:r>
      <w:r w:rsidR="00573DC5" w:rsidRPr="00F340F6">
        <w:rPr>
          <w:i/>
          <w:color w:val="auto"/>
        </w:rPr>
        <w:t>adolescent</w:t>
      </w:r>
      <w:r w:rsidR="00573DC5" w:rsidRPr="00F340F6">
        <w:rPr>
          <w:color w:val="auto"/>
        </w:rPr>
        <w:t xml:space="preserve"> romantic relationships. </w:t>
      </w:r>
    </w:p>
    <w:p w:rsidR="00062E17" w:rsidRPr="00F340F6" w:rsidRDefault="00573DC5" w:rsidP="00E02D78">
      <w:pPr>
        <w:suppressLineNumbers/>
        <w:autoSpaceDE w:val="0"/>
        <w:autoSpaceDN w:val="0"/>
        <w:adjustRightInd w:val="0"/>
        <w:spacing w:line="480" w:lineRule="auto"/>
        <w:ind w:firstLine="720"/>
        <w:rPr>
          <w:color w:val="auto"/>
        </w:rPr>
      </w:pPr>
      <w:r w:rsidRPr="00F340F6">
        <w:rPr>
          <w:color w:val="auto"/>
        </w:rPr>
        <w:t xml:space="preserve">In </w:t>
      </w:r>
      <w:r w:rsidR="00CB1078">
        <w:rPr>
          <w:color w:val="auto"/>
        </w:rPr>
        <w:t>an</w:t>
      </w:r>
      <w:r w:rsidRPr="00F340F6">
        <w:rPr>
          <w:color w:val="auto"/>
        </w:rPr>
        <w:t xml:space="preserve"> era of multiple and unstable relationships, early romantic bonds may be pivotal to our understanding of subsequent success </w:t>
      </w:r>
      <w:r w:rsidR="004D7FC2" w:rsidRPr="00F340F6">
        <w:rPr>
          <w:color w:val="auto"/>
        </w:rPr>
        <w:t xml:space="preserve">of </w:t>
      </w:r>
      <w:r w:rsidRPr="00F340F6">
        <w:rPr>
          <w:color w:val="auto"/>
        </w:rPr>
        <w:t xml:space="preserve">intimate relations. </w:t>
      </w:r>
      <w:r w:rsidR="00062E17" w:rsidRPr="00F340F6">
        <w:rPr>
          <w:color w:val="auto"/>
        </w:rPr>
        <w:t xml:space="preserve">In line with this claim, research has shown that a continuity exists between adolescent romantic relationships and the timing of subsequent adult union formation (Raley, Crissey, &amp; Muller, 2007), that adolescent experiences within their romantic relationships may form the basis for a multitude of adult experiences, such as inter-partner violence (Gomez, 2011), and that aspects of adolescent dating histories can predict romantic relationship qualities in young adulthood (Madsen &amp; Collins, 2011). </w:t>
      </w:r>
      <w:r w:rsidR="00D762C5" w:rsidRPr="00F340F6">
        <w:rPr>
          <w:color w:val="auto"/>
        </w:rPr>
        <w:t>Yet</w:t>
      </w:r>
      <w:r w:rsidR="00062E17" w:rsidRPr="00F340F6">
        <w:rPr>
          <w:color w:val="auto"/>
        </w:rPr>
        <w:t>, as Cavanagh, Crissey, and Raley (2008: 698) argued: “the antecedents of adolescent romance remain poorly understood”</w:t>
      </w:r>
      <w:r w:rsidR="00062E17" w:rsidRPr="00F340F6">
        <w:rPr>
          <w:bCs/>
          <w:color w:val="auto"/>
        </w:rPr>
        <w:t>.</w:t>
      </w:r>
    </w:p>
    <w:p w:rsidR="008D3503" w:rsidRPr="00F340F6" w:rsidRDefault="00E02D78" w:rsidP="00F340F6">
      <w:pPr>
        <w:suppressLineNumbers/>
        <w:autoSpaceDE w:val="0"/>
        <w:autoSpaceDN w:val="0"/>
        <w:adjustRightInd w:val="0"/>
        <w:spacing w:line="480" w:lineRule="auto"/>
        <w:ind w:firstLine="720"/>
        <w:rPr>
          <w:color w:val="auto"/>
        </w:rPr>
      </w:pPr>
      <w:r>
        <w:rPr>
          <w:color w:val="auto"/>
        </w:rPr>
        <w:t>A</w:t>
      </w:r>
      <w:r w:rsidR="008D3503" w:rsidRPr="00F340F6">
        <w:rPr>
          <w:color w:val="auto"/>
        </w:rPr>
        <w:t xml:space="preserve"> notable exception </w:t>
      </w:r>
      <w:r>
        <w:rPr>
          <w:color w:val="auto"/>
        </w:rPr>
        <w:t xml:space="preserve">is the work of </w:t>
      </w:r>
      <w:r w:rsidR="008D3503" w:rsidRPr="00F340F6">
        <w:rPr>
          <w:color w:val="auto"/>
        </w:rPr>
        <w:t>Cav</w:t>
      </w:r>
      <w:r w:rsidR="001C50BE" w:rsidRPr="00F340F6">
        <w:rPr>
          <w:color w:val="auto"/>
        </w:rPr>
        <w:t xml:space="preserve">anagh and colleagues </w:t>
      </w:r>
      <w:r w:rsidR="008D3503" w:rsidRPr="00F340F6">
        <w:rPr>
          <w:color w:val="auto"/>
        </w:rPr>
        <w:t>(2008)</w:t>
      </w:r>
      <w:r>
        <w:rPr>
          <w:color w:val="auto"/>
        </w:rPr>
        <w:t>, who</w:t>
      </w:r>
      <w:r w:rsidR="008D3503" w:rsidRPr="00F340F6">
        <w:rPr>
          <w:color w:val="auto"/>
        </w:rPr>
        <w:t xml:space="preserve"> examined how </w:t>
      </w:r>
      <w:r>
        <w:rPr>
          <w:color w:val="auto"/>
        </w:rPr>
        <w:t xml:space="preserve">the </w:t>
      </w:r>
      <w:r w:rsidR="008D3503" w:rsidRPr="00F340F6">
        <w:rPr>
          <w:color w:val="auto"/>
        </w:rPr>
        <w:t xml:space="preserve">history of family instability was </w:t>
      </w:r>
      <w:r w:rsidR="008D3503" w:rsidRPr="00F340F6">
        <w:rPr>
          <w:iCs/>
          <w:color w:val="auto"/>
        </w:rPr>
        <w:t>associated</w:t>
      </w:r>
      <w:r w:rsidR="008D3503" w:rsidRPr="00F340F6">
        <w:rPr>
          <w:i/>
          <w:iCs/>
          <w:color w:val="auto"/>
        </w:rPr>
        <w:t xml:space="preserve"> </w:t>
      </w:r>
      <w:r w:rsidR="008D3503" w:rsidRPr="00F340F6">
        <w:rPr>
          <w:color w:val="auto"/>
        </w:rPr>
        <w:t>with the likelihood of romantic involvement, the total number of relationships, and their potentially violent nature. The</w:t>
      </w:r>
      <w:r>
        <w:rPr>
          <w:color w:val="auto"/>
        </w:rPr>
        <w:t>y</w:t>
      </w:r>
      <w:r w:rsidR="008D3503" w:rsidRPr="00F340F6">
        <w:rPr>
          <w:color w:val="auto"/>
        </w:rPr>
        <w:t xml:space="preserve"> found that as the number of changes in family structure across the early life course increased, the likelihood of </w:t>
      </w:r>
      <w:r w:rsidR="002C39CF" w:rsidRPr="00F340F6">
        <w:rPr>
          <w:color w:val="auto"/>
        </w:rPr>
        <w:t xml:space="preserve">currently </w:t>
      </w:r>
      <w:r w:rsidR="008D3503" w:rsidRPr="00F340F6">
        <w:rPr>
          <w:color w:val="auto"/>
        </w:rPr>
        <w:t xml:space="preserve">being involved in a relationship and the total number of ever experienced relations also </w:t>
      </w:r>
      <w:r w:rsidR="008D3503" w:rsidRPr="00F340F6">
        <w:rPr>
          <w:color w:val="auto"/>
        </w:rPr>
        <w:lastRenderedPageBreak/>
        <w:t xml:space="preserve">increased. This cumulative family instability did not affect the </w:t>
      </w:r>
      <w:r w:rsidR="00413D2B" w:rsidRPr="00F340F6">
        <w:rPr>
          <w:color w:val="auto"/>
        </w:rPr>
        <w:t>probability</w:t>
      </w:r>
      <w:r w:rsidR="008D3503" w:rsidRPr="00F340F6">
        <w:rPr>
          <w:color w:val="auto"/>
        </w:rPr>
        <w:t xml:space="preserve"> of being involved in a relationship marked by conflict.</w:t>
      </w:r>
    </w:p>
    <w:p w:rsidR="00197C24" w:rsidRDefault="002C39CF" w:rsidP="00F340F6">
      <w:pPr>
        <w:spacing w:line="480" w:lineRule="auto"/>
        <w:ind w:firstLine="720"/>
        <w:rPr>
          <w:color w:val="auto"/>
        </w:rPr>
      </w:pPr>
      <w:r w:rsidRPr="00F340F6">
        <w:rPr>
          <w:color w:val="auto"/>
        </w:rPr>
        <w:t xml:space="preserve">The current study </w:t>
      </w:r>
      <w:r w:rsidR="00573DC5" w:rsidRPr="00F340F6">
        <w:rPr>
          <w:color w:val="auto"/>
        </w:rPr>
        <w:t>buil</w:t>
      </w:r>
      <w:r w:rsidR="001960BB">
        <w:rPr>
          <w:color w:val="auto"/>
        </w:rPr>
        <w:t>ds</w:t>
      </w:r>
      <w:r w:rsidR="00573DC5" w:rsidRPr="00F340F6">
        <w:rPr>
          <w:color w:val="auto"/>
        </w:rPr>
        <w:t xml:space="preserve"> upon and </w:t>
      </w:r>
      <w:r w:rsidR="001960BB">
        <w:rPr>
          <w:color w:val="auto"/>
        </w:rPr>
        <w:t>extends previous</w:t>
      </w:r>
      <w:r w:rsidR="008D3503" w:rsidRPr="00F340F6">
        <w:rPr>
          <w:color w:val="auto"/>
        </w:rPr>
        <w:t xml:space="preserve"> research in </w:t>
      </w:r>
      <w:r w:rsidR="00413D2B" w:rsidRPr="00F340F6">
        <w:rPr>
          <w:color w:val="auto"/>
        </w:rPr>
        <w:t>four</w:t>
      </w:r>
      <w:r w:rsidR="002F72FE" w:rsidRPr="00F340F6">
        <w:rPr>
          <w:color w:val="auto"/>
        </w:rPr>
        <w:t xml:space="preserve"> major ways</w:t>
      </w:r>
      <w:r w:rsidR="00573DC5" w:rsidRPr="00F340F6">
        <w:rPr>
          <w:color w:val="auto"/>
        </w:rPr>
        <w:t xml:space="preserve">. </w:t>
      </w:r>
      <w:r w:rsidR="008D3503" w:rsidRPr="00F340F6">
        <w:rPr>
          <w:color w:val="auto"/>
        </w:rPr>
        <w:t xml:space="preserve">First, </w:t>
      </w:r>
      <w:r w:rsidR="00413D2B" w:rsidRPr="00F340F6">
        <w:rPr>
          <w:color w:val="auto"/>
        </w:rPr>
        <w:t>instead of focusing</w:t>
      </w:r>
      <w:r w:rsidR="00B36F1A" w:rsidRPr="00F340F6">
        <w:rPr>
          <w:color w:val="auto"/>
        </w:rPr>
        <w:t xml:space="preserve"> </w:t>
      </w:r>
      <w:r w:rsidR="005815AE">
        <w:rPr>
          <w:color w:val="auto"/>
        </w:rPr>
        <w:t xml:space="preserve">only </w:t>
      </w:r>
      <w:r w:rsidR="00B36F1A" w:rsidRPr="00F340F6">
        <w:rPr>
          <w:color w:val="auto"/>
        </w:rPr>
        <w:t xml:space="preserve">on </w:t>
      </w:r>
      <w:r w:rsidR="00697BDA" w:rsidRPr="00F340F6">
        <w:rPr>
          <w:color w:val="auto"/>
        </w:rPr>
        <w:t>parental</w:t>
      </w:r>
      <w:r w:rsidR="00B36F1A" w:rsidRPr="00F340F6">
        <w:rPr>
          <w:color w:val="auto"/>
        </w:rPr>
        <w:t xml:space="preserve"> </w:t>
      </w:r>
      <w:r w:rsidR="00697BDA" w:rsidRPr="00F340F6">
        <w:rPr>
          <w:color w:val="auto"/>
        </w:rPr>
        <w:t xml:space="preserve">divorce </w:t>
      </w:r>
      <w:r w:rsidR="00413D2B" w:rsidRPr="00F340F6">
        <w:rPr>
          <w:color w:val="auto"/>
        </w:rPr>
        <w:t xml:space="preserve">or </w:t>
      </w:r>
      <w:r w:rsidR="005815AE">
        <w:rPr>
          <w:color w:val="auto"/>
        </w:rPr>
        <w:t>aggregated family instability</w:t>
      </w:r>
      <w:r w:rsidRPr="00F340F6">
        <w:rPr>
          <w:color w:val="auto"/>
        </w:rPr>
        <w:t xml:space="preserve">, </w:t>
      </w:r>
      <w:r w:rsidR="00B36F1A" w:rsidRPr="00F340F6">
        <w:rPr>
          <w:color w:val="auto"/>
        </w:rPr>
        <w:t>we examine how specific parent-child co-residential and parental re-partnering events affected adolescent</w:t>
      </w:r>
      <w:r w:rsidRPr="00F340F6">
        <w:rPr>
          <w:color w:val="auto"/>
        </w:rPr>
        <w:t>s’</w:t>
      </w:r>
      <w:r w:rsidR="00B36F1A" w:rsidRPr="00F340F6">
        <w:rPr>
          <w:color w:val="auto"/>
        </w:rPr>
        <w:t xml:space="preserve"> propensity to date. </w:t>
      </w:r>
      <w:r w:rsidR="00062E17" w:rsidRPr="00F340F6">
        <w:rPr>
          <w:color w:val="auto"/>
        </w:rPr>
        <w:t xml:space="preserve">Our </w:t>
      </w:r>
      <w:r w:rsidR="008D3503" w:rsidRPr="00F340F6">
        <w:rPr>
          <w:color w:val="auto"/>
        </w:rPr>
        <w:t xml:space="preserve">second and key innovation is that by adopting an event history approach, we </w:t>
      </w:r>
      <w:r w:rsidR="00197C24">
        <w:rPr>
          <w:color w:val="auto"/>
        </w:rPr>
        <w:t>are</w:t>
      </w:r>
      <w:r w:rsidR="00197C24" w:rsidRPr="00F340F6">
        <w:rPr>
          <w:color w:val="auto"/>
        </w:rPr>
        <w:t xml:space="preserve"> </w:t>
      </w:r>
      <w:r w:rsidR="008D3503" w:rsidRPr="00F340F6">
        <w:rPr>
          <w:color w:val="auto"/>
        </w:rPr>
        <w:t>able to move beyond the examination of mer</w:t>
      </w:r>
      <w:r w:rsidR="00062E17" w:rsidRPr="00F340F6">
        <w:rPr>
          <w:color w:val="auto"/>
        </w:rPr>
        <w:t xml:space="preserve">ely associational relationships, </w:t>
      </w:r>
      <w:r w:rsidR="008D3503" w:rsidRPr="00F340F6">
        <w:rPr>
          <w:color w:val="auto"/>
        </w:rPr>
        <w:t xml:space="preserve">to a causal understanding of how </w:t>
      </w:r>
      <w:r w:rsidR="00062E17" w:rsidRPr="00F340F6">
        <w:rPr>
          <w:color w:val="auto"/>
        </w:rPr>
        <w:t xml:space="preserve">parental transitions </w:t>
      </w:r>
      <w:r w:rsidR="008D3503" w:rsidRPr="00F340F6">
        <w:rPr>
          <w:color w:val="auto"/>
        </w:rPr>
        <w:t>impact</w:t>
      </w:r>
      <w:r w:rsidR="00062E17" w:rsidRPr="00F340F6">
        <w:rPr>
          <w:color w:val="auto"/>
        </w:rPr>
        <w:t>ed</w:t>
      </w:r>
      <w:r w:rsidR="008D3503" w:rsidRPr="00F340F6">
        <w:rPr>
          <w:color w:val="auto"/>
        </w:rPr>
        <w:t xml:space="preserve"> adolescent romantic </w:t>
      </w:r>
      <w:r w:rsidR="00062E17" w:rsidRPr="00F340F6">
        <w:rPr>
          <w:color w:val="auto"/>
        </w:rPr>
        <w:t>lives</w:t>
      </w:r>
      <w:r w:rsidR="008D3503" w:rsidRPr="00F340F6">
        <w:rPr>
          <w:color w:val="auto"/>
        </w:rPr>
        <w:t>.</w:t>
      </w:r>
      <w:r w:rsidR="00062E17" w:rsidRPr="00F340F6">
        <w:rPr>
          <w:color w:val="auto"/>
        </w:rPr>
        <w:t xml:space="preserve"> </w:t>
      </w:r>
      <w:r w:rsidR="00197C24">
        <w:rPr>
          <w:color w:val="auto"/>
        </w:rPr>
        <w:t>Research</w:t>
      </w:r>
      <w:r w:rsidR="00294755" w:rsidRPr="00F340F6">
        <w:rPr>
          <w:color w:val="auto"/>
        </w:rPr>
        <w:t xml:space="preserve"> in the past </w:t>
      </w:r>
      <w:r w:rsidR="00197C24">
        <w:rPr>
          <w:color w:val="auto"/>
        </w:rPr>
        <w:t xml:space="preserve">has generally focused on establishing an </w:t>
      </w:r>
      <w:r w:rsidR="00294755" w:rsidRPr="00F340F6">
        <w:rPr>
          <w:color w:val="auto"/>
        </w:rPr>
        <w:t xml:space="preserve">association between, for example, the marital status of the parents </w:t>
      </w:r>
      <w:r w:rsidR="00197C24">
        <w:rPr>
          <w:color w:val="auto"/>
        </w:rPr>
        <w:t xml:space="preserve">(mostly divorce) </w:t>
      </w:r>
      <w:r w:rsidR="00294755" w:rsidRPr="00F340F6">
        <w:rPr>
          <w:color w:val="auto"/>
        </w:rPr>
        <w:t xml:space="preserve">and the adolescent’s dating </w:t>
      </w:r>
      <w:r w:rsidR="00197C24">
        <w:rPr>
          <w:color w:val="auto"/>
        </w:rPr>
        <w:t>experiences</w:t>
      </w:r>
      <w:r w:rsidR="00294755" w:rsidRPr="00F340F6">
        <w:rPr>
          <w:color w:val="auto"/>
        </w:rPr>
        <w:t xml:space="preserve">. Statements about associations, however, are quite different from causal </w:t>
      </w:r>
      <w:r w:rsidR="00197C24">
        <w:rPr>
          <w:color w:val="auto"/>
        </w:rPr>
        <w:t>assertions that are</w:t>
      </w:r>
      <w:r w:rsidR="00197C24" w:rsidRPr="00F340F6">
        <w:rPr>
          <w:color w:val="auto"/>
        </w:rPr>
        <w:t xml:space="preserve"> </w:t>
      </w:r>
      <w:r w:rsidR="00294755" w:rsidRPr="00F340F6">
        <w:rPr>
          <w:color w:val="auto"/>
        </w:rPr>
        <w:t>designed to say something about how events are produced or conditioned by other events</w:t>
      </w:r>
      <w:r w:rsidR="00570879" w:rsidRPr="00F340F6">
        <w:rPr>
          <w:color w:val="auto"/>
        </w:rPr>
        <w:t xml:space="preserve"> (Blossfeld &amp; Mills, 2001)</w:t>
      </w:r>
      <w:r w:rsidR="00294755" w:rsidRPr="00F340F6">
        <w:rPr>
          <w:color w:val="auto"/>
        </w:rPr>
        <w:t xml:space="preserve">. Therefore, instead of focusing </w:t>
      </w:r>
      <w:r w:rsidR="00197C24">
        <w:rPr>
          <w:color w:val="auto"/>
        </w:rPr>
        <w:t xml:space="preserve">simply </w:t>
      </w:r>
      <w:r w:rsidR="00294755" w:rsidRPr="00F340F6">
        <w:rPr>
          <w:color w:val="auto"/>
        </w:rPr>
        <w:t xml:space="preserve">on the </w:t>
      </w:r>
      <w:r w:rsidR="00197C24">
        <w:rPr>
          <w:color w:val="auto"/>
        </w:rPr>
        <w:t xml:space="preserve">association between divorce and  the </w:t>
      </w:r>
      <w:r w:rsidR="00294755" w:rsidRPr="00F340F6">
        <w:rPr>
          <w:color w:val="auto"/>
        </w:rPr>
        <w:t xml:space="preserve">likelihood that adolescents form a relationship, we focused on the ‘timing’ of these relationships in relation to certain family events. </w:t>
      </w:r>
    </w:p>
    <w:p w:rsidR="008D3503" w:rsidRPr="00F340F6" w:rsidRDefault="008D3503" w:rsidP="00F340F6">
      <w:pPr>
        <w:spacing w:line="480" w:lineRule="auto"/>
        <w:ind w:firstLine="720"/>
        <w:rPr>
          <w:color w:val="auto"/>
        </w:rPr>
      </w:pPr>
      <w:r w:rsidRPr="00F340F6">
        <w:rPr>
          <w:color w:val="auto"/>
        </w:rPr>
        <w:t xml:space="preserve">A related and third innovation is that by adopting a causal and time-varying approach, we </w:t>
      </w:r>
      <w:r w:rsidR="00B352AB">
        <w:rPr>
          <w:color w:val="auto"/>
        </w:rPr>
        <w:t>do</w:t>
      </w:r>
      <w:r w:rsidR="00B352AB" w:rsidRPr="00F340F6">
        <w:rPr>
          <w:color w:val="auto"/>
        </w:rPr>
        <w:t xml:space="preserve"> </w:t>
      </w:r>
      <w:r w:rsidR="00A965B3" w:rsidRPr="00F340F6">
        <w:rPr>
          <w:color w:val="auto"/>
        </w:rPr>
        <w:t xml:space="preserve">not </w:t>
      </w:r>
      <w:r w:rsidR="00B352AB">
        <w:rPr>
          <w:color w:val="auto"/>
        </w:rPr>
        <w:t>only</w:t>
      </w:r>
      <w:r w:rsidR="00B352AB" w:rsidRPr="00F340F6">
        <w:rPr>
          <w:color w:val="auto"/>
        </w:rPr>
        <w:t xml:space="preserve"> </w:t>
      </w:r>
      <w:r w:rsidR="00A965B3" w:rsidRPr="00F340F6">
        <w:rPr>
          <w:color w:val="auto"/>
        </w:rPr>
        <w:t>examine</w:t>
      </w:r>
      <w:r w:rsidRPr="00F340F6">
        <w:rPr>
          <w:color w:val="auto"/>
        </w:rPr>
        <w:t xml:space="preserve"> the impact of a more general indicator </w:t>
      </w:r>
      <w:r w:rsidR="00062E17" w:rsidRPr="00F340F6">
        <w:rPr>
          <w:color w:val="auto"/>
        </w:rPr>
        <w:t>of the number of family changes</w:t>
      </w:r>
      <w:r w:rsidRPr="00F340F6">
        <w:rPr>
          <w:color w:val="auto"/>
        </w:rPr>
        <w:t xml:space="preserve"> but </w:t>
      </w:r>
      <w:r w:rsidR="00B352AB">
        <w:rPr>
          <w:color w:val="auto"/>
        </w:rPr>
        <w:t xml:space="preserve">can </w:t>
      </w:r>
      <w:r w:rsidRPr="00F340F6">
        <w:rPr>
          <w:color w:val="auto"/>
        </w:rPr>
        <w:t xml:space="preserve">gauge the causal impact of </w:t>
      </w:r>
      <w:r w:rsidR="00B352AB">
        <w:rPr>
          <w:color w:val="auto"/>
        </w:rPr>
        <w:t>multiple</w:t>
      </w:r>
      <w:r w:rsidRPr="00F340F6">
        <w:rPr>
          <w:color w:val="auto"/>
        </w:rPr>
        <w:t xml:space="preserve"> </w:t>
      </w:r>
      <w:r w:rsidR="00A965B3" w:rsidRPr="00F340F6">
        <w:rPr>
          <w:color w:val="auto"/>
        </w:rPr>
        <w:t xml:space="preserve">parental transitions </w:t>
      </w:r>
      <w:r w:rsidRPr="00F340F6">
        <w:rPr>
          <w:color w:val="auto"/>
        </w:rPr>
        <w:t xml:space="preserve">directly in relation to changes in adolescent dating </w:t>
      </w:r>
      <w:r w:rsidR="00062E17" w:rsidRPr="00F340F6">
        <w:rPr>
          <w:color w:val="auto"/>
        </w:rPr>
        <w:t>behavior</w:t>
      </w:r>
      <w:r w:rsidR="00A965B3" w:rsidRPr="00F340F6">
        <w:rPr>
          <w:color w:val="auto"/>
        </w:rPr>
        <w:t xml:space="preserve">. </w:t>
      </w:r>
      <w:r w:rsidR="00294755" w:rsidRPr="00F340F6">
        <w:rPr>
          <w:color w:val="auto"/>
        </w:rPr>
        <w:t>Previous studies that have included parents’ relationship status have done so by only providing a ‘snapshot’ of their status at one point in time. We were able to use det</w:t>
      </w:r>
      <w:r w:rsidR="00FC1C36" w:rsidRPr="00F340F6">
        <w:rPr>
          <w:color w:val="auto"/>
        </w:rPr>
        <w:t xml:space="preserve">ailed dates of both parents’ </w:t>
      </w:r>
      <w:r w:rsidR="00294755" w:rsidRPr="00F340F6">
        <w:rPr>
          <w:color w:val="auto"/>
        </w:rPr>
        <w:t xml:space="preserve">residential statuses and re-partnering histories, together with the dates of entry and exit </w:t>
      </w:r>
      <w:r w:rsidR="00B352AB">
        <w:rPr>
          <w:color w:val="auto"/>
        </w:rPr>
        <w:t>of</w:t>
      </w:r>
      <w:r w:rsidR="00B352AB" w:rsidRPr="00F340F6">
        <w:rPr>
          <w:color w:val="auto"/>
        </w:rPr>
        <w:t xml:space="preserve"> </w:t>
      </w:r>
      <w:r w:rsidR="00294755" w:rsidRPr="00F340F6">
        <w:rPr>
          <w:color w:val="auto"/>
        </w:rPr>
        <w:t>adolescent</w:t>
      </w:r>
      <w:r w:rsidR="00B352AB">
        <w:rPr>
          <w:color w:val="auto"/>
        </w:rPr>
        <w:t>s into</w:t>
      </w:r>
      <w:r w:rsidR="00294755" w:rsidRPr="00F340F6">
        <w:rPr>
          <w:color w:val="auto"/>
        </w:rPr>
        <w:t xml:space="preserve"> romantic relationships.</w:t>
      </w:r>
      <w:r w:rsidR="00413D2B" w:rsidRPr="00F340F6">
        <w:rPr>
          <w:color w:val="auto"/>
        </w:rPr>
        <w:t xml:space="preserve"> Finally, the</w:t>
      </w:r>
      <w:r w:rsidR="009512C5" w:rsidRPr="00F340F6">
        <w:rPr>
          <w:color w:val="auto"/>
        </w:rPr>
        <w:t xml:space="preserve"> majority of previous studies on</w:t>
      </w:r>
      <w:r w:rsidR="00413D2B" w:rsidRPr="00F340F6">
        <w:rPr>
          <w:color w:val="auto"/>
        </w:rPr>
        <w:t xml:space="preserve"> family affects on adolescent romance </w:t>
      </w:r>
      <w:r w:rsidR="00A71CD0" w:rsidRPr="00F340F6">
        <w:rPr>
          <w:color w:val="auto"/>
        </w:rPr>
        <w:t>have</w:t>
      </w:r>
      <w:r w:rsidR="00413D2B" w:rsidRPr="00F340F6">
        <w:rPr>
          <w:color w:val="auto"/>
        </w:rPr>
        <w:t xml:space="preserve"> </w:t>
      </w:r>
      <w:r w:rsidR="009512C5" w:rsidRPr="00F340F6">
        <w:rPr>
          <w:color w:val="auto"/>
        </w:rPr>
        <w:t xml:space="preserve">utilized data from the </w:t>
      </w:r>
      <w:r w:rsidR="00B352AB">
        <w:rPr>
          <w:color w:val="auto"/>
        </w:rPr>
        <w:t>American</w:t>
      </w:r>
      <w:r w:rsidR="00413D2B" w:rsidRPr="00F340F6">
        <w:rPr>
          <w:color w:val="auto"/>
        </w:rPr>
        <w:t xml:space="preserve"> </w:t>
      </w:r>
      <w:r w:rsidR="00413D2B" w:rsidRPr="00F340F6">
        <w:rPr>
          <w:color w:val="auto"/>
        </w:rPr>
        <w:lastRenderedPageBreak/>
        <w:t xml:space="preserve">context. </w:t>
      </w:r>
      <w:r w:rsidR="00B352AB">
        <w:t>Although this research has</w:t>
      </w:r>
      <w:r w:rsidR="00A71CD0" w:rsidRPr="00F340F6">
        <w:t xml:space="preserve"> provided a vast wealth of information, </w:t>
      </w:r>
      <w:r w:rsidR="00B352AB">
        <w:t>more universal conclusions about family behavior may</w:t>
      </w:r>
      <w:r w:rsidR="00A71CD0" w:rsidRPr="00F340F6">
        <w:t xml:space="preserve"> be unwarranted </w:t>
      </w:r>
      <w:r w:rsidR="00B352AB">
        <w:t xml:space="preserve">due to the unique institutional context of the U.S. (Mills &amp; Taht, 2010). </w:t>
      </w:r>
      <w:r w:rsidR="00A71CD0" w:rsidRPr="00F340F6">
        <w:t xml:space="preserve">. For example, </w:t>
      </w:r>
      <w:r w:rsidR="00B352AB">
        <w:t>some</w:t>
      </w:r>
      <w:r w:rsidR="00B352AB" w:rsidRPr="00F340F6">
        <w:t xml:space="preserve"> </w:t>
      </w:r>
      <w:r w:rsidR="00A71CD0" w:rsidRPr="00F340F6">
        <w:t xml:space="preserve">research has shown that marked divergence exists between American and Dutch parents’ approach to the question of teenage sexuality (Schalet, 2000). </w:t>
      </w:r>
      <w:r w:rsidR="00413D2B" w:rsidRPr="00F340F6">
        <w:rPr>
          <w:color w:val="auto"/>
        </w:rPr>
        <w:t xml:space="preserve">Our work </w:t>
      </w:r>
      <w:r w:rsidR="001E33ED" w:rsidRPr="00F340F6">
        <w:rPr>
          <w:color w:val="auto"/>
        </w:rPr>
        <w:t>provide</w:t>
      </w:r>
      <w:r w:rsidR="00B352AB">
        <w:rPr>
          <w:color w:val="auto"/>
        </w:rPr>
        <w:t>s</w:t>
      </w:r>
      <w:r w:rsidR="00A71CD0" w:rsidRPr="00F340F6">
        <w:rPr>
          <w:color w:val="auto"/>
        </w:rPr>
        <w:t xml:space="preserve"> an insight into how family effects on adolescent romance might differ in </w:t>
      </w:r>
      <w:r w:rsidR="00B352AB">
        <w:rPr>
          <w:color w:val="auto"/>
        </w:rPr>
        <w:t xml:space="preserve">another context, in this case the </w:t>
      </w:r>
      <w:r w:rsidR="00A71CD0" w:rsidRPr="00F340F6">
        <w:rPr>
          <w:color w:val="auto"/>
        </w:rPr>
        <w:t xml:space="preserve">Western European context </w:t>
      </w:r>
      <w:r w:rsidR="00B352AB">
        <w:rPr>
          <w:color w:val="auto"/>
        </w:rPr>
        <w:t xml:space="preserve">of </w:t>
      </w:r>
      <w:r w:rsidR="00A71CD0" w:rsidRPr="00F340F6">
        <w:rPr>
          <w:color w:val="auto"/>
        </w:rPr>
        <w:t xml:space="preserve"> the Netherlands.</w:t>
      </w:r>
    </w:p>
    <w:p w:rsidR="004608AF" w:rsidRDefault="004608AF" w:rsidP="00F340F6">
      <w:pPr>
        <w:autoSpaceDE w:val="0"/>
        <w:autoSpaceDN w:val="0"/>
        <w:adjustRightInd w:val="0"/>
        <w:spacing w:line="480" w:lineRule="auto"/>
        <w:rPr>
          <w:i/>
          <w:color w:val="auto"/>
        </w:rPr>
      </w:pPr>
    </w:p>
    <w:p w:rsidR="00A965B3" w:rsidRPr="00F340F6" w:rsidRDefault="00A965B3" w:rsidP="00F340F6">
      <w:pPr>
        <w:autoSpaceDE w:val="0"/>
        <w:autoSpaceDN w:val="0"/>
        <w:adjustRightInd w:val="0"/>
        <w:spacing w:line="480" w:lineRule="auto"/>
        <w:rPr>
          <w:i/>
          <w:color w:val="auto"/>
        </w:rPr>
      </w:pPr>
      <w:r w:rsidRPr="00F340F6">
        <w:rPr>
          <w:i/>
          <w:color w:val="auto"/>
        </w:rPr>
        <w:t>Family structure history and adolescent romance</w:t>
      </w:r>
    </w:p>
    <w:p w:rsidR="00A965B3" w:rsidRPr="00F340F6" w:rsidRDefault="004608AF" w:rsidP="002D7248">
      <w:pPr>
        <w:spacing w:line="480" w:lineRule="auto"/>
        <w:rPr>
          <w:color w:val="auto"/>
        </w:rPr>
      </w:pPr>
      <w:r>
        <w:rPr>
          <w:color w:val="auto"/>
        </w:rPr>
        <w:t xml:space="preserve">A broader approach that we adopt is the concept of ‘linked lives’, often posited in life course research </w:t>
      </w:r>
      <w:r w:rsidR="000F1C54" w:rsidRPr="00F340F6">
        <w:rPr>
          <w:color w:val="auto"/>
        </w:rPr>
        <w:t>(Elder, 1985;</w:t>
      </w:r>
      <w:r w:rsidR="000D2407" w:rsidRPr="00F340F6">
        <w:rPr>
          <w:color w:val="auto"/>
        </w:rPr>
        <w:t xml:space="preserve"> </w:t>
      </w:r>
      <w:r w:rsidR="000F1C54" w:rsidRPr="00F340F6">
        <w:rPr>
          <w:color w:val="auto"/>
        </w:rPr>
        <w:t>Elder &amp; Shanahan, 2006</w:t>
      </w:r>
      <w:r w:rsidR="000D2407" w:rsidRPr="00F340F6">
        <w:rPr>
          <w:color w:val="auto"/>
        </w:rPr>
        <w:t xml:space="preserve">). </w:t>
      </w:r>
      <w:r>
        <w:rPr>
          <w:color w:val="auto"/>
        </w:rPr>
        <w:t>We therefore assume that the life events of a child’s parents has a ‘linked’ or direct effect on the child. It is of course theoretically possible that events are reciprocal (i.e., an adolescent impacts behavior of parents), However, we only examine the impact of parental behavior on their children, which we anticipate is the most prominent effect. In addition to the concept of linked lives, we</w:t>
      </w:r>
      <w:r w:rsidR="000D2407" w:rsidRPr="00F340F6">
        <w:rPr>
          <w:color w:val="auto"/>
        </w:rPr>
        <w:t xml:space="preserve"> </w:t>
      </w:r>
      <w:r>
        <w:rPr>
          <w:color w:val="auto"/>
        </w:rPr>
        <w:t>also use the</w:t>
      </w:r>
      <w:r w:rsidR="009C0BE5" w:rsidRPr="00F340F6">
        <w:rPr>
          <w:color w:val="auto"/>
        </w:rPr>
        <w:t xml:space="preserve"> </w:t>
      </w:r>
      <w:r w:rsidR="00BA7CC7" w:rsidRPr="00F340F6">
        <w:rPr>
          <w:color w:val="auto"/>
        </w:rPr>
        <w:t>general</w:t>
      </w:r>
      <w:r w:rsidR="009C0BE5" w:rsidRPr="00F340F6">
        <w:rPr>
          <w:color w:val="auto"/>
        </w:rPr>
        <w:t xml:space="preserve"> framework of </w:t>
      </w:r>
      <w:r>
        <w:rPr>
          <w:color w:val="auto"/>
        </w:rPr>
        <w:t xml:space="preserve">the </w:t>
      </w:r>
      <w:r w:rsidR="009C0BE5" w:rsidRPr="00F340F6">
        <w:rPr>
          <w:color w:val="auto"/>
        </w:rPr>
        <w:t>intergenerational transmission of marriage and divorce (Mueller &amp; Pope, 1977; Wolfinger, 2005</w:t>
      </w:r>
      <w:r>
        <w:rPr>
          <w:color w:val="auto"/>
        </w:rPr>
        <w:t>; 2011</w:t>
      </w:r>
      <w:r w:rsidR="009C0BE5" w:rsidRPr="00F340F6">
        <w:rPr>
          <w:color w:val="auto"/>
        </w:rPr>
        <w:t>)</w:t>
      </w:r>
      <w:r>
        <w:rPr>
          <w:color w:val="auto"/>
        </w:rPr>
        <w:t>. This body of literature</w:t>
      </w:r>
      <w:r w:rsidR="009C0BE5" w:rsidRPr="00F340F6">
        <w:rPr>
          <w:color w:val="auto"/>
        </w:rPr>
        <w:t xml:space="preserve"> has </w:t>
      </w:r>
      <w:r w:rsidR="001E33ED" w:rsidRPr="00F340F6">
        <w:rPr>
          <w:color w:val="auto"/>
        </w:rPr>
        <w:t xml:space="preserve">amply demonstrated </w:t>
      </w:r>
      <w:r w:rsidR="009C0BE5" w:rsidRPr="00F340F6">
        <w:rPr>
          <w:color w:val="auto"/>
        </w:rPr>
        <w:t xml:space="preserve">how parental </w:t>
      </w:r>
      <w:r w:rsidR="000D2407" w:rsidRPr="00F340F6">
        <w:rPr>
          <w:color w:val="auto"/>
        </w:rPr>
        <w:t xml:space="preserve">relational </w:t>
      </w:r>
      <w:r w:rsidR="009C0BE5" w:rsidRPr="00F340F6">
        <w:rPr>
          <w:color w:val="auto"/>
        </w:rPr>
        <w:t xml:space="preserve">instability can shape experiences with intimate relationships for the next generation in adulthood. Growing up in a context of divorced parents or unstable parental relationships has been shown to impact children’s own adult union formation and dissolution patterns with children from intact families experiencing lower rates of relationship instability than children from non-intact families (Amato, 2010; Martin, Mills, &amp; LeBourdais, 2005; Wolfinger, 2005). Offspring of divorced parents have been found to marry at younger ages and to be more likely to cohabit before marriage (Bumpass, Martin, &amp; Sweet, 1991; </w:t>
      </w:r>
      <w:r w:rsidR="009C0BE5" w:rsidRPr="00F340F6">
        <w:rPr>
          <w:bCs/>
          <w:color w:val="auto"/>
        </w:rPr>
        <w:t xml:space="preserve">Furstenberg &amp; Teitler, 1994). Additionally, </w:t>
      </w:r>
      <w:r w:rsidR="009C0BE5" w:rsidRPr="00F340F6">
        <w:rPr>
          <w:bCs/>
          <w:color w:val="auto"/>
        </w:rPr>
        <w:lastRenderedPageBreak/>
        <w:t xml:space="preserve">experiencing parental relationship dissolution has been shown to be related to children’s subsequent lower commitment to and trust in </w:t>
      </w:r>
      <w:r w:rsidR="005F2C5B" w:rsidRPr="00F340F6">
        <w:rPr>
          <w:bCs/>
          <w:color w:val="auto"/>
        </w:rPr>
        <w:t>marriage (Amato &amp; DeBoer, 2001).</w:t>
      </w:r>
      <w:r w:rsidR="005F2C5B" w:rsidRPr="00F340F6">
        <w:rPr>
          <w:color w:val="auto"/>
        </w:rPr>
        <w:t xml:space="preserve"> In line with this, adolescents from single- and cohabiting-parent families have been reported to have lower expectations to marry in adulthood (Manning, Longmore, &amp; Giordano, 2007). </w:t>
      </w:r>
      <w:r w:rsidR="00A965B3" w:rsidRPr="00F340F6">
        <w:rPr>
          <w:bCs/>
          <w:color w:val="auto"/>
        </w:rPr>
        <w:t xml:space="preserve">With respect to adolescent romantic relationships, the limited research </w:t>
      </w:r>
      <w:r w:rsidR="009C0BE5" w:rsidRPr="00F340F6">
        <w:rPr>
          <w:bCs/>
          <w:color w:val="auto"/>
        </w:rPr>
        <w:t xml:space="preserve">that has been conducted </w:t>
      </w:r>
      <w:r w:rsidR="00A965B3" w:rsidRPr="00F340F6">
        <w:rPr>
          <w:bCs/>
          <w:color w:val="auto"/>
        </w:rPr>
        <w:t xml:space="preserve">has </w:t>
      </w:r>
      <w:r w:rsidR="009C0BE5" w:rsidRPr="00F340F6">
        <w:rPr>
          <w:bCs/>
          <w:color w:val="auto"/>
        </w:rPr>
        <w:t xml:space="preserve">mostly focused on the fact that </w:t>
      </w:r>
      <w:r w:rsidR="00A965B3" w:rsidRPr="00F340F6">
        <w:rPr>
          <w:color w:val="auto"/>
        </w:rPr>
        <w:t xml:space="preserve">adolescents from divorced families are more likely to have </w:t>
      </w:r>
      <w:r w:rsidR="00EE719C" w:rsidRPr="00F340F6">
        <w:rPr>
          <w:color w:val="auto"/>
        </w:rPr>
        <w:t xml:space="preserve">(more) </w:t>
      </w:r>
      <w:r w:rsidR="00A965B3" w:rsidRPr="00F340F6">
        <w:rPr>
          <w:color w:val="auto"/>
        </w:rPr>
        <w:t xml:space="preserve">dating experience than those from intact families (Heifetz, Connolly, Pepler, &amp; Craig, 2010; Ivanova, Mills, &amp; Veenstra, 2011). </w:t>
      </w:r>
      <w:r w:rsidR="00074E63" w:rsidRPr="00F340F6">
        <w:rPr>
          <w:color w:val="auto"/>
        </w:rPr>
        <w:t>Yet</w:t>
      </w:r>
      <w:r w:rsidR="00337025" w:rsidRPr="00F340F6">
        <w:rPr>
          <w:color w:val="auto"/>
        </w:rPr>
        <w:t xml:space="preserve">, </w:t>
      </w:r>
      <w:r w:rsidR="00074E63" w:rsidRPr="00F340F6">
        <w:rPr>
          <w:color w:val="auto"/>
        </w:rPr>
        <w:t xml:space="preserve">it has </w:t>
      </w:r>
      <w:r w:rsidR="00E60DCA" w:rsidRPr="00F340F6">
        <w:rPr>
          <w:color w:val="auto"/>
        </w:rPr>
        <w:t xml:space="preserve">previously </w:t>
      </w:r>
      <w:r w:rsidR="001E6557" w:rsidRPr="00F340F6">
        <w:rPr>
          <w:color w:val="auto"/>
        </w:rPr>
        <w:t xml:space="preserve">been </w:t>
      </w:r>
      <w:r w:rsidR="00337025" w:rsidRPr="00F340F6">
        <w:rPr>
          <w:color w:val="auto"/>
        </w:rPr>
        <w:t>noted</w:t>
      </w:r>
      <w:r w:rsidR="00074E63" w:rsidRPr="00F340F6">
        <w:rPr>
          <w:color w:val="auto"/>
        </w:rPr>
        <w:t xml:space="preserve"> that</w:t>
      </w:r>
      <w:r w:rsidR="00337025" w:rsidRPr="00F340F6">
        <w:rPr>
          <w:color w:val="auto"/>
        </w:rPr>
        <w:t xml:space="preserve"> </w:t>
      </w:r>
      <w:r w:rsidR="00D371E2" w:rsidRPr="00F340F6">
        <w:rPr>
          <w:color w:val="auto"/>
        </w:rPr>
        <w:t xml:space="preserve">divorce </w:t>
      </w:r>
      <w:r w:rsidR="00EE719C" w:rsidRPr="00F340F6">
        <w:rPr>
          <w:color w:val="auto"/>
        </w:rPr>
        <w:t xml:space="preserve">is more than just a single event and </w:t>
      </w:r>
      <w:r w:rsidR="009C0BE5" w:rsidRPr="00F340F6">
        <w:rPr>
          <w:color w:val="auto"/>
        </w:rPr>
        <w:t xml:space="preserve">that </w:t>
      </w:r>
      <w:r w:rsidR="00EE719C" w:rsidRPr="00F340F6">
        <w:rPr>
          <w:color w:val="auto"/>
        </w:rPr>
        <w:t xml:space="preserve">it is </w:t>
      </w:r>
      <w:r w:rsidR="009C0BE5" w:rsidRPr="00F340F6">
        <w:rPr>
          <w:color w:val="auto"/>
        </w:rPr>
        <w:t xml:space="preserve">very likely </w:t>
      </w:r>
      <w:r w:rsidR="00EE719C" w:rsidRPr="00F340F6">
        <w:rPr>
          <w:color w:val="auto"/>
        </w:rPr>
        <w:t xml:space="preserve">the changes and experiences surrounding </w:t>
      </w:r>
      <w:r w:rsidR="009C0BE5" w:rsidRPr="00F340F6">
        <w:rPr>
          <w:color w:val="auto"/>
        </w:rPr>
        <w:t xml:space="preserve">it </w:t>
      </w:r>
      <w:r w:rsidR="00EE719C" w:rsidRPr="00F340F6">
        <w:rPr>
          <w:color w:val="auto"/>
        </w:rPr>
        <w:t>that are the driving mechanisms behind the previously described effects (</w:t>
      </w:r>
      <w:r w:rsidR="00F9575D" w:rsidRPr="00F340F6">
        <w:rPr>
          <w:color w:val="auto"/>
        </w:rPr>
        <w:t xml:space="preserve">Kim, 2011; </w:t>
      </w:r>
      <w:r w:rsidR="00EE719C" w:rsidRPr="00F340F6">
        <w:rPr>
          <w:color w:val="auto"/>
        </w:rPr>
        <w:t xml:space="preserve">Potter, 2010). </w:t>
      </w:r>
    </w:p>
    <w:p w:rsidR="005D4BB0" w:rsidRPr="00F340F6" w:rsidRDefault="001C50BE" w:rsidP="00F340F6">
      <w:pPr>
        <w:autoSpaceDE w:val="0"/>
        <w:autoSpaceDN w:val="0"/>
        <w:adjustRightInd w:val="0"/>
        <w:spacing w:line="480" w:lineRule="auto"/>
        <w:rPr>
          <w:i/>
          <w:color w:val="auto"/>
        </w:rPr>
      </w:pPr>
      <w:r w:rsidRPr="00F340F6">
        <w:rPr>
          <w:i/>
          <w:color w:val="auto"/>
        </w:rPr>
        <w:t xml:space="preserve">Parental transitions </w:t>
      </w:r>
      <w:r w:rsidR="005D4BB0" w:rsidRPr="00F340F6">
        <w:rPr>
          <w:i/>
          <w:color w:val="auto"/>
        </w:rPr>
        <w:t xml:space="preserve">and the </w:t>
      </w:r>
      <w:r w:rsidR="00A8617A" w:rsidRPr="00F340F6">
        <w:rPr>
          <w:i/>
          <w:color w:val="auto"/>
        </w:rPr>
        <w:t>i</w:t>
      </w:r>
      <w:r w:rsidR="005D4BB0" w:rsidRPr="00F340F6">
        <w:rPr>
          <w:i/>
          <w:color w:val="auto"/>
        </w:rPr>
        <w:t xml:space="preserve">nitiation of </w:t>
      </w:r>
      <w:r w:rsidR="00507160" w:rsidRPr="00F340F6">
        <w:rPr>
          <w:i/>
          <w:color w:val="auto"/>
        </w:rPr>
        <w:t xml:space="preserve">a </w:t>
      </w:r>
      <w:r w:rsidR="00A8617A" w:rsidRPr="00F340F6">
        <w:rPr>
          <w:i/>
          <w:color w:val="auto"/>
        </w:rPr>
        <w:t>r</w:t>
      </w:r>
      <w:r w:rsidR="005D4BB0" w:rsidRPr="00F340F6">
        <w:rPr>
          <w:i/>
          <w:color w:val="auto"/>
        </w:rPr>
        <w:t xml:space="preserve">omantic </w:t>
      </w:r>
      <w:r w:rsidR="00A8617A" w:rsidRPr="00F340F6">
        <w:rPr>
          <w:i/>
          <w:color w:val="auto"/>
        </w:rPr>
        <w:t>r</w:t>
      </w:r>
      <w:r w:rsidR="005630B1" w:rsidRPr="00F340F6">
        <w:rPr>
          <w:i/>
          <w:color w:val="auto"/>
        </w:rPr>
        <w:t>elation</w:t>
      </w:r>
      <w:r w:rsidR="00507160" w:rsidRPr="00F340F6">
        <w:rPr>
          <w:i/>
          <w:color w:val="auto"/>
        </w:rPr>
        <w:t xml:space="preserve"> in </w:t>
      </w:r>
      <w:r w:rsidR="00A8617A" w:rsidRPr="00F340F6">
        <w:rPr>
          <w:i/>
          <w:color w:val="auto"/>
        </w:rPr>
        <w:t>a</w:t>
      </w:r>
      <w:r w:rsidR="00507160" w:rsidRPr="00F340F6">
        <w:rPr>
          <w:i/>
          <w:color w:val="auto"/>
        </w:rPr>
        <w:t>dolescence</w:t>
      </w:r>
    </w:p>
    <w:p w:rsidR="00A075C8" w:rsidRPr="00F340F6" w:rsidRDefault="00E5395D" w:rsidP="00F340F6">
      <w:pPr>
        <w:autoSpaceDE w:val="0"/>
        <w:autoSpaceDN w:val="0"/>
        <w:adjustRightInd w:val="0"/>
        <w:spacing w:line="480" w:lineRule="auto"/>
        <w:ind w:firstLine="720"/>
        <w:rPr>
          <w:color w:val="auto"/>
        </w:rPr>
      </w:pPr>
      <w:r w:rsidRPr="00F340F6">
        <w:rPr>
          <w:color w:val="auto"/>
        </w:rPr>
        <w:t xml:space="preserve">Two </w:t>
      </w:r>
      <w:r w:rsidR="005F2C5B" w:rsidRPr="00F340F6">
        <w:rPr>
          <w:color w:val="auto"/>
        </w:rPr>
        <w:t>key</w:t>
      </w:r>
      <w:r w:rsidR="0071170C" w:rsidRPr="00F340F6">
        <w:rPr>
          <w:color w:val="auto"/>
        </w:rPr>
        <w:t xml:space="preserve"> transitions that accompany parental relational dissolution and </w:t>
      </w:r>
      <w:r w:rsidR="000C2462" w:rsidRPr="00F340F6">
        <w:rPr>
          <w:color w:val="auto"/>
        </w:rPr>
        <w:t xml:space="preserve">family reordering are a parental move out of the household and </w:t>
      </w:r>
      <w:r w:rsidR="000A55EE" w:rsidRPr="00F340F6">
        <w:rPr>
          <w:color w:val="auto"/>
        </w:rPr>
        <w:t xml:space="preserve">the </w:t>
      </w:r>
      <w:r w:rsidR="000C2462" w:rsidRPr="00F340F6">
        <w:rPr>
          <w:color w:val="auto"/>
        </w:rPr>
        <w:t xml:space="preserve">possible subsequent parental re-partnering (Hines, 1997). These can affect the course of adolescents’ lives due to their impact on the parenting practices and parental behaviors that the </w:t>
      </w:r>
      <w:r w:rsidR="00477D2E" w:rsidRPr="00F340F6">
        <w:rPr>
          <w:color w:val="auto"/>
        </w:rPr>
        <w:t>adolescents are exposed to.</w:t>
      </w:r>
      <w:r w:rsidR="002F2B76" w:rsidRPr="00F340F6">
        <w:rPr>
          <w:color w:val="auto"/>
        </w:rPr>
        <w:t xml:space="preserve"> </w:t>
      </w:r>
      <w:r w:rsidR="004D1AC0" w:rsidRPr="00F340F6">
        <w:rPr>
          <w:color w:val="auto"/>
        </w:rPr>
        <w:t>For example, s</w:t>
      </w:r>
      <w:r w:rsidR="0075385A" w:rsidRPr="00F340F6">
        <w:rPr>
          <w:color w:val="auto"/>
        </w:rPr>
        <w:t xml:space="preserve">ingle </w:t>
      </w:r>
      <w:r w:rsidR="00E42F54" w:rsidRPr="00F340F6">
        <w:rPr>
          <w:color w:val="auto"/>
        </w:rPr>
        <w:t xml:space="preserve">and divorced </w:t>
      </w:r>
      <w:r w:rsidR="0075385A" w:rsidRPr="00F340F6">
        <w:rPr>
          <w:color w:val="auto"/>
        </w:rPr>
        <w:t xml:space="preserve">parents are themselves </w:t>
      </w:r>
      <w:r w:rsidR="00C26295" w:rsidRPr="00F340F6">
        <w:rPr>
          <w:color w:val="auto"/>
        </w:rPr>
        <w:t xml:space="preserve">more </w:t>
      </w:r>
      <w:r w:rsidR="0075385A" w:rsidRPr="00F340F6">
        <w:rPr>
          <w:color w:val="auto"/>
        </w:rPr>
        <w:t>likely to en</w:t>
      </w:r>
      <w:r w:rsidR="00EC05AE" w:rsidRPr="00F340F6">
        <w:rPr>
          <w:color w:val="auto"/>
        </w:rPr>
        <w:t xml:space="preserve">gage in romantic relationships </w:t>
      </w:r>
      <w:r w:rsidR="00E42F54" w:rsidRPr="00F340F6">
        <w:rPr>
          <w:color w:val="auto"/>
        </w:rPr>
        <w:t xml:space="preserve">and have been shown to hold more permissive sexual attitudes than continuously married parents (Thornton &amp; Camburn, 1987) </w:t>
      </w:r>
      <w:r w:rsidR="00EC05AE" w:rsidRPr="00F340F6">
        <w:rPr>
          <w:color w:val="auto"/>
        </w:rPr>
        <w:t xml:space="preserve">which </w:t>
      </w:r>
      <w:r w:rsidR="0075385A" w:rsidRPr="00F340F6">
        <w:rPr>
          <w:color w:val="auto"/>
        </w:rPr>
        <w:t xml:space="preserve">could model their children’s openness to dating and sexuality in general (Whitbeck, Simons, &amp; Kao, 1994). </w:t>
      </w:r>
      <w:r w:rsidR="00C26295" w:rsidRPr="00F340F6">
        <w:rPr>
          <w:color w:val="auto"/>
        </w:rPr>
        <w:t>In other words, a</w:t>
      </w:r>
      <w:r w:rsidR="00A075C8" w:rsidRPr="00F340F6">
        <w:rPr>
          <w:color w:val="auto"/>
        </w:rPr>
        <w:t xml:space="preserve">dolescents might be more </w:t>
      </w:r>
      <w:r w:rsidR="00BE4490" w:rsidRPr="00F340F6">
        <w:rPr>
          <w:color w:val="auto"/>
        </w:rPr>
        <w:t>interested</w:t>
      </w:r>
      <w:r w:rsidR="00C26295" w:rsidRPr="00F340F6">
        <w:rPr>
          <w:color w:val="auto"/>
        </w:rPr>
        <w:t xml:space="preserve"> </w:t>
      </w:r>
      <w:r w:rsidR="00BE4490" w:rsidRPr="00F340F6">
        <w:rPr>
          <w:color w:val="auto"/>
        </w:rPr>
        <w:t xml:space="preserve">in </w:t>
      </w:r>
      <w:r w:rsidR="00E42F54" w:rsidRPr="00F340F6">
        <w:rPr>
          <w:color w:val="auto"/>
        </w:rPr>
        <w:t xml:space="preserve">romantic </w:t>
      </w:r>
      <w:r w:rsidR="00C26295" w:rsidRPr="00F340F6">
        <w:rPr>
          <w:color w:val="auto"/>
        </w:rPr>
        <w:t xml:space="preserve">experiences </w:t>
      </w:r>
      <w:r w:rsidR="00E42F54" w:rsidRPr="00F340F6">
        <w:rPr>
          <w:color w:val="auto"/>
        </w:rPr>
        <w:t xml:space="preserve">if </w:t>
      </w:r>
      <w:r w:rsidR="006E6541" w:rsidRPr="00F340F6">
        <w:rPr>
          <w:color w:val="auto"/>
        </w:rPr>
        <w:t>t</w:t>
      </w:r>
      <w:r w:rsidR="00BE4490" w:rsidRPr="00F340F6">
        <w:rPr>
          <w:color w:val="auto"/>
        </w:rPr>
        <w:t>hey have seen their own parents</w:t>
      </w:r>
      <w:r w:rsidR="006E6541" w:rsidRPr="00F340F6">
        <w:rPr>
          <w:color w:val="auto"/>
        </w:rPr>
        <w:t xml:space="preserve"> active</w:t>
      </w:r>
      <w:r w:rsidR="00BE4490" w:rsidRPr="00F340F6">
        <w:rPr>
          <w:color w:val="auto"/>
        </w:rPr>
        <w:t>ly engage in such relations.</w:t>
      </w:r>
      <w:r w:rsidR="00E42F54" w:rsidRPr="00F340F6">
        <w:rPr>
          <w:color w:val="auto"/>
        </w:rPr>
        <w:t xml:space="preserve"> Therefore, in our work, we exa</w:t>
      </w:r>
      <w:r w:rsidR="00BE4490" w:rsidRPr="00F340F6">
        <w:rPr>
          <w:color w:val="auto"/>
        </w:rPr>
        <w:t xml:space="preserve">mined how the introduction of </w:t>
      </w:r>
      <w:r w:rsidR="004D1AC0" w:rsidRPr="00F340F6">
        <w:rPr>
          <w:color w:val="auto"/>
        </w:rPr>
        <w:t xml:space="preserve">a </w:t>
      </w:r>
      <w:r w:rsidR="00E42F54" w:rsidRPr="00F340F6">
        <w:rPr>
          <w:color w:val="auto"/>
        </w:rPr>
        <w:t xml:space="preserve">new </w:t>
      </w:r>
      <w:r w:rsidR="004D1AC0" w:rsidRPr="00F340F6">
        <w:rPr>
          <w:color w:val="auto"/>
        </w:rPr>
        <w:t xml:space="preserve">parental romantic partner </w:t>
      </w:r>
      <w:r w:rsidR="007358E3" w:rsidRPr="00F340F6">
        <w:rPr>
          <w:color w:val="auto"/>
        </w:rPr>
        <w:t xml:space="preserve">into </w:t>
      </w:r>
      <w:r w:rsidR="003C3B3A" w:rsidRPr="00F340F6">
        <w:rPr>
          <w:color w:val="auto"/>
        </w:rPr>
        <w:t xml:space="preserve">the life of the </w:t>
      </w:r>
      <w:r w:rsidR="007358E3" w:rsidRPr="00F340F6">
        <w:rPr>
          <w:color w:val="auto"/>
        </w:rPr>
        <w:t>adolescent</w:t>
      </w:r>
      <w:r w:rsidR="00B50598" w:rsidRPr="00F340F6">
        <w:rPr>
          <w:color w:val="auto"/>
        </w:rPr>
        <w:t xml:space="preserve"> </w:t>
      </w:r>
      <w:r w:rsidR="00E42F54" w:rsidRPr="00F340F6">
        <w:rPr>
          <w:color w:val="auto"/>
        </w:rPr>
        <w:t xml:space="preserve">affected </w:t>
      </w:r>
      <w:r w:rsidR="00B50598" w:rsidRPr="00F340F6">
        <w:rPr>
          <w:color w:val="auto"/>
        </w:rPr>
        <w:t xml:space="preserve">their </w:t>
      </w:r>
      <w:r w:rsidR="00E42F54" w:rsidRPr="00F340F6">
        <w:rPr>
          <w:color w:val="auto"/>
        </w:rPr>
        <w:t xml:space="preserve">propensity to initiate a romantic relationship. </w:t>
      </w:r>
      <w:r w:rsidR="000C0CA5" w:rsidRPr="00F340F6">
        <w:rPr>
          <w:color w:val="auto"/>
        </w:rPr>
        <w:t xml:space="preserve">We considered the effects of new maternal and new paternal partners separately. In </w:t>
      </w:r>
      <w:r w:rsidR="000C0CA5" w:rsidRPr="00F340F6">
        <w:rPr>
          <w:color w:val="auto"/>
        </w:rPr>
        <w:lastRenderedPageBreak/>
        <w:t>the majority of cases, children still stay with their mother after a parental relational dissolution (</w:t>
      </w:r>
      <w:r w:rsidR="008B024F" w:rsidRPr="00F340F6">
        <w:rPr>
          <w:color w:val="auto"/>
        </w:rPr>
        <w:t>de Graaf</w:t>
      </w:r>
      <w:r w:rsidR="000C0CA5" w:rsidRPr="00F340F6">
        <w:rPr>
          <w:color w:val="auto"/>
        </w:rPr>
        <w:t xml:space="preserve">, 2008) and are thus, more readily exposed to her dating behaviors than to their father’s. Thus, we </w:t>
      </w:r>
      <w:r w:rsidR="007165EF" w:rsidRPr="00F340F6">
        <w:rPr>
          <w:color w:val="auto"/>
        </w:rPr>
        <w:t>hypothesized</w:t>
      </w:r>
      <w:r w:rsidR="000C0CA5" w:rsidRPr="00F340F6">
        <w:rPr>
          <w:color w:val="auto"/>
        </w:rPr>
        <w:t xml:space="preserve"> that </w:t>
      </w:r>
      <w:r w:rsidR="00C76BCA" w:rsidRPr="00F340F6">
        <w:rPr>
          <w:color w:val="auto"/>
        </w:rPr>
        <w:t xml:space="preserve">the initiation of a new romantic relationship by either one of the parents would lead to a faster transition to a dating episode by the adolescent but this effect would be stronger in the case of </w:t>
      </w:r>
      <w:r w:rsidR="00E60DCA" w:rsidRPr="00F340F6">
        <w:rPr>
          <w:color w:val="auto"/>
        </w:rPr>
        <w:t xml:space="preserve">a </w:t>
      </w:r>
      <w:r w:rsidR="00C76BCA" w:rsidRPr="00F340F6">
        <w:rPr>
          <w:color w:val="auto"/>
        </w:rPr>
        <w:t xml:space="preserve">new maternal than </w:t>
      </w:r>
      <w:r w:rsidR="00E60DCA" w:rsidRPr="00F340F6">
        <w:rPr>
          <w:color w:val="auto"/>
        </w:rPr>
        <w:t xml:space="preserve">a </w:t>
      </w:r>
      <w:r w:rsidR="00C76BCA" w:rsidRPr="00F340F6">
        <w:rPr>
          <w:color w:val="auto"/>
        </w:rPr>
        <w:t>new paternal partner.</w:t>
      </w:r>
    </w:p>
    <w:p w:rsidR="0075385A" w:rsidRPr="00F340F6" w:rsidRDefault="0075385A" w:rsidP="00F340F6">
      <w:pPr>
        <w:autoSpaceDE w:val="0"/>
        <w:autoSpaceDN w:val="0"/>
        <w:adjustRightInd w:val="0"/>
        <w:spacing w:line="480" w:lineRule="auto"/>
        <w:ind w:firstLine="720"/>
        <w:rPr>
          <w:color w:val="auto"/>
        </w:rPr>
      </w:pPr>
      <w:r w:rsidRPr="00F340F6">
        <w:rPr>
          <w:color w:val="auto"/>
        </w:rPr>
        <w:t>In addition</w:t>
      </w:r>
      <w:r w:rsidR="007358E3" w:rsidRPr="00F340F6">
        <w:rPr>
          <w:color w:val="auto"/>
        </w:rPr>
        <w:t xml:space="preserve"> to </w:t>
      </w:r>
      <w:r w:rsidR="00F3453B" w:rsidRPr="00F340F6">
        <w:rPr>
          <w:color w:val="auto"/>
        </w:rPr>
        <w:t xml:space="preserve">these </w:t>
      </w:r>
      <w:r w:rsidR="007358E3" w:rsidRPr="00F340F6">
        <w:rPr>
          <w:color w:val="auto"/>
        </w:rPr>
        <w:t xml:space="preserve">possible </w:t>
      </w:r>
      <w:r w:rsidR="00E60DCA" w:rsidRPr="00F340F6">
        <w:rPr>
          <w:color w:val="auto"/>
        </w:rPr>
        <w:t xml:space="preserve">modeling </w:t>
      </w:r>
      <w:r w:rsidR="007358E3" w:rsidRPr="00F340F6">
        <w:rPr>
          <w:color w:val="auto"/>
        </w:rPr>
        <w:t>effects</w:t>
      </w:r>
      <w:r w:rsidRPr="00F340F6">
        <w:rPr>
          <w:color w:val="auto"/>
        </w:rPr>
        <w:t>, the transition from a two- to a single-parent family has been associated with lower levels of parental monitoring (Demo &amp; Acock, 1996</w:t>
      </w:r>
      <w:r w:rsidR="00224B18" w:rsidRPr="00F340F6">
        <w:rPr>
          <w:color w:val="auto"/>
        </w:rPr>
        <w:t>; Kim, Hetherington, &amp; Reiss, 1999</w:t>
      </w:r>
      <w:r w:rsidRPr="00F340F6">
        <w:rPr>
          <w:color w:val="auto"/>
        </w:rPr>
        <w:t xml:space="preserve">). </w:t>
      </w:r>
      <w:r w:rsidR="00501257" w:rsidRPr="00F340F6">
        <w:rPr>
          <w:color w:val="auto"/>
        </w:rPr>
        <w:t xml:space="preserve">As the number of adults in the family household decreases </w:t>
      </w:r>
      <w:r w:rsidR="003532F0" w:rsidRPr="00F340F6">
        <w:rPr>
          <w:color w:val="auto"/>
        </w:rPr>
        <w:t xml:space="preserve">at </w:t>
      </w:r>
      <w:r w:rsidR="00501257" w:rsidRPr="00F340F6">
        <w:rPr>
          <w:color w:val="auto"/>
        </w:rPr>
        <w:t xml:space="preserve">a </w:t>
      </w:r>
      <w:r w:rsidR="00E60DCA" w:rsidRPr="00F340F6">
        <w:rPr>
          <w:color w:val="auto"/>
        </w:rPr>
        <w:t>time when youth enter</w:t>
      </w:r>
      <w:r w:rsidR="003532F0" w:rsidRPr="00F340F6">
        <w:rPr>
          <w:color w:val="auto"/>
        </w:rPr>
        <w:t xml:space="preserve"> adolescence and becomes increasingly more interested in dating</w:t>
      </w:r>
      <w:r w:rsidR="00E60DCA" w:rsidRPr="00F340F6">
        <w:rPr>
          <w:color w:val="auto"/>
        </w:rPr>
        <w:t xml:space="preserve"> (</w:t>
      </w:r>
      <w:r w:rsidR="00E60DCA" w:rsidRPr="00F340F6">
        <w:t>Connolly, Craig, Goldberg, &amp; Pepler, 2004)</w:t>
      </w:r>
      <w:r w:rsidR="00501257" w:rsidRPr="00F340F6">
        <w:rPr>
          <w:color w:val="auto"/>
        </w:rPr>
        <w:t>, the</w:t>
      </w:r>
      <w:r w:rsidR="003532F0" w:rsidRPr="00F340F6">
        <w:rPr>
          <w:color w:val="auto"/>
        </w:rPr>
        <w:t xml:space="preserve"> </w:t>
      </w:r>
      <w:r w:rsidR="007A62AE" w:rsidRPr="00F340F6">
        <w:rPr>
          <w:color w:val="auto"/>
        </w:rPr>
        <w:t xml:space="preserve">barriers for </w:t>
      </w:r>
      <w:r w:rsidR="00456F4A" w:rsidRPr="00F340F6">
        <w:rPr>
          <w:color w:val="auto"/>
        </w:rPr>
        <w:t xml:space="preserve">adolescents to </w:t>
      </w:r>
      <w:r w:rsidR="007A62AE" w:rsidRPr="00F340F6">
        <w:rPr>
          <w:color w:val="auto"/>
        </w:rPr>
        <w:t xml:space="preserve">experiment </w:t>
      </w:r>
      <w:r w:rsidR="00501257" w:rsidRPr="00F340F6">
        <w:rPr>
          <w:color w:val="auto"/>
        </w:rPr>
        <w:t xml:space="preserve">with </w:t>
      </w:r>
      <w:r w:rsidR="00456F4A" w:rsidRPr="00F340F6">
        <w:rPr>
          <w:color w:val="auto"/>
        </w:rPr>
        <w:t>romantic relations</w:t>
      </w:r>
      <w:r w:rsidR="00501257" w:rsidRPr="00F340F6">
        <w:rPr>
          <w:color w:val="auto"/>
        </w:rPr>
        <w:t xml:space="preserve"> might also decrease</w:t>
      </w:r>
      <w:r w:rsidR="00456F4A" w:rsidRPr="00F340F6">
        <w:rPr>
          <w:color w:val="auto"/>
        </w:rPr>
        <w:t xml:space="preserve">. </w:t>
      </w:r>
      <w:r w:rsidRPr="00F340F6">
        <w:rPr>
          <w:color w:val="auto"/>
        </w:rPr>
        <w:t xml:space="preserve">Parental knowledge of adolescents’ whereabouts and activities has been found to be lower for adolescents who engage in high-risk sexual behaviors than for low-risk takers or abstainers (Siebenbruner, Zimmer-Gembeck, </w:t>
      </w:r>
      <w:r w:rsidR="00A6044B" w:rsidRPr="00F340F6">
        <w:rPr>
          <w:color w:val="auto"/>
        </w:rPr>
        <w:t xml:space="preserve">&amp; </w:t>
      </w:r>
      <w:r w:rsidRPr="00F340F6">
        <w:rPr>
          <w:color w:val="auto"/>
        </w:rPr>
        <w:t>Egeland, 2007) and low parental monitoring has been associated with an increased likelihood of having experience with dating (</w:t>
      </w:r>
      <w:r w:rsidRPr="00F340F6">
        <w:rPr>
          <w:bCs/>
          <w:color w:val="auto"/>
        </w:rPr>
        <w:t>Friedlander, Connolly, Pepler, &amp; Craig, 2007).</w:t>
      </w:r>
      <w:r w:rsidR="00031080" w:rsidRPr="00F340F6">
        <w:rPr>
          <w:bCs/>
          <w:color w:val="auto"/>
        </w:rPr>
        <w:t xml:space="preserve"> </w:t>
      </w:r>
      <w:r w:rsidR="00A16A29" w:rsidRPr="00F340F6">
        <w:rPr>
          <w:bCs/>
          <w:color w:val="auto"/>
        </w:rPr>
        <w:t>Therefore, i</w:t>
      </w:r>
      <w:r w:rsidR="00031080" w:rsidRPr="00F340F6">
        <w:rPr>
          <w:bCs/>
          <w:color w:val="auto"/>
        </w:rPr>
        <w:t xml:space="preserve">n our work, </w:t>
      </w:r>
      <w:r w:rsidR="00A16A29" w:rsidRPr="00F340F6">
        <w:rPr>
          <w:bCs/>
          <w:color w:val="auto"/>
        </w:rPr>
        <w:t>w</w:t>
      </w:r>
      <w:r w:rsidR="00031080" w:rsidRPr="00F340F6">
        <w:rPr>
          <w:bCs/>
          <w:color w:val="auto"/>
        </w:rPr>
        <w:t>e expected</w:t>
      </w:r>
      <w:r w:rsidR="00A1123F" w:rsidRPr="00F340F6">
        <w:rPr>
          <w:bCs/>
          <w:color w:val="auto"/>
        </w:rPr>
        <w:t xml:space="preserve"> </w:t>
      </w:r>
      <w:r w:rsidR="00031080" w:rsidRPr="00F340F6">
        <w:rPr>
          <w:bCs/>
          <w:color w:val="auto"/>
        </w:rPr>
        <w:t xml:space="preserve">that </w:t>
      </w:r>
      <w:r w:rsidR="00A1123F" w:rsidRPr="00F340F6">
        <w:rPr>
          <w:bCs/>
          <w:color w:val="auto"/>
        </w:rPr>
        <w:t>once a parent left the household, adolescents would</w:t>
      </w:r>
      <w:r w:rsidR="00AF79CC" w:rsidRPr="00F340F6">
        <w:rPr>
          <w:bCs/>
          <w:color w:val="auto"/>
        </w:rPr>
        <w:t xml:space="preserve"> make the </w:t>
      </w:r>
      <w:r w:rsidR="00A1123F" w:rsidRPr="00F340F6">
        <w:rPr>
          <w:bCs/>
          <w:color w:val="auto"/>
        </w:rPr>
        <w:t>transition to a romantic relationship faster than before that parental transition.</w:t>
      </w:r>
    </w:p>
    <w:p w:rsidR="00BC0295" w:rsidRPr="00F340F6" w:rsidRDefault="00BC0295" w:rsidP="00F340F6">
      <w:pPr>
        <w:autoSpaceDE w:val="0"/>
        <w:autoSpaceDN w:val="0"/>
        <w:adjustRightInd w:val="0"/>
        <w:spacing w:line="480" w:lineRule="auto"/>
        <w:rPr>
          <w:i/>
          <w:color w:val="auto"/>
        </w:rPr>
      </w:pPr>
      <w:r w:rsidRPr="00F340F6">
        <w:rPr>
          <w:i/>
          <w:color w:val="auto"/>
        </w:rPr>
        <w:t>The Current Study</w:t>
      </w:r>
    </w:p>
    <w:p w:rsidR="004A1B94" w:rsidRPr="00F340F6" w:rsidRDefault="00E60DCA" w:rsidP="00F340F6">
      <w:pPr>
        <w:tabs>
          <w:tab w:val="left" w:pos="8085"/>
        </w:tabs>
        <w:autoSpaceDE w:val="0"/>
        <w:autoSpaceDN w:val="0"/>
        <w:adjustRightInd w:val="0"/>
        <w:spacing w:line="480" w:lineRule="auto"/>
        <w:ind w:firstLine="720"/>
        <w:rPr>
          <w:color w:val="auto"/>
        </w:rPr>
      </w:pPr>
      <w:r w:rsidRPr="00F340F6">
        <w:rPr>
          <w:color w:val="auto"/>
        </w:rPr>
        <w:t>O</w:t>
      </w:r>
      <w:r w:rsidR="00901FDA" w:rsidRPr="00F340F6">
        <w:rPr>
          <w:color w:val="auto"/>
        </w:rPr>
        <w:t xml:space="preserve">ur main goal in this work was to test how specific parental transitions </w:t>
      </w:r>
      <w:r w:rsidR="004162E9" w:rsidRPr="00F340F6">
        <w:rPr>
          <w:color w:val="auto"/>
        </w:rPr>
        <w:t>triggered</w:t>
      </w:r>
      <w:r w:rsidR="0005042B" w:rsidRPr="00F340F6">
        <w:rPr>
          <w:color w:val="auto"/>
        </w:rPr>
        <w:t xml:space="preserve"> </w:t>
      </w:r>
      <w:r w:rsidR="00901FDA" w:rsidRPr="00F340F6">
        <w:rPr>
          <w:color w:val="auto"/>
        </w:rPr>
        <w:t>romantic relationship</w:t>
      </w:r>
      <w:r w:rsidR="0005042B" w:rsidRPr="00F340F6">
        <w:rPr>
          <w:color w:val="auto"/>
        </w:rPr>
        <w:t>s in adolescence</w:t>
      </w:r>
      <w:r w:rsidR="00901FDA" w:rsidRPr="00F340F6">
        <w:rPr>
          <w:color w:val="auto"/>
        </w:rPr>
        <w:t xml:space="preserve">. </w:t>
      </w:r>
      <w:r w:rsidR="007A62AE" w:rsidRPr="00F340F6">
        <w:rPr>
          <w:color w:val="auto"/>
        </w:rPr>
        <w:t>E</w:t>
      </w:r>
      <w:r w:rsidR="00C46C13" w:rsidRPr="00F340F6">
        <w:rPr>
          <w:color w:val="auto"/>
        </w:rPr>
        <w:t xml:space="preserve">vidence exists that the effect of </w:t>
      </w:r>
      <w:r w:rsidR="007763F5" w:rsidRPr="00F340F6">
        <w:rPr>
          <w:color w:val="auto"/>
        </w:rPr>
        <w:t>turbulence</w:t>
      </w:r>
      <w:r w:rsidR="00C46C13" w:rsidRPr="00F340F6">
        <w:rPr>
          <w:color w:val="auto"/>
        </w:rPr>
        <w:t xml:space="preserve"> </w:t>
      </w:r>
      <w:r w:rsidR="007763F5" w:rsidRPr="00F340F6">
        <w:rPr>
          <w:color w:val="auto"/>
        </w:rPr>
        <w:t xml:space="preserve">within the family </w:t>
      </w:r>
      <w:r w:rsidR="00C46C13" w:rsidRPr="00F340F6">
        <w:rPr>
          <w:color w:val="auto"/>
        </w:rPr>
        <w:t xml:space="preserve">on adolescent social development might be moderated by gender. Some researchers have shown that the effects are stronger for </w:t>
      </w:r>
      <w:r w:rsidR="00F6737F" w:rsidRPr="00F340F6">
        <w:rPr>
          <w:color w:val="auto"/>
        </w:rPr>
        <w:t xml:space="preserve">one gender over the other, </w:t>
      </w:r>
      <w:r w:rsidR="007763F5" w:rsidRPr="00F340F6">
        <w:rPr>
          <w:color w:val="auto"/>
        </w:rPr>
        <w:t>whereas</w:t>
      </w:r>
      <w:r w:rsidR="00C46C13" w:rsidRPr="00F340F6">
        <w:rPr>
          <w:color w:val="auto"/>
        </w:rPr>
        <w:t xml:space="preserve"> others have </w:t>
      </w:r>
      <w:r w:rsidR="00F6737F" w:rsidRPr="00F340F6">
        <w:rPr>
          <w:color w:val="auto"/>
        </w:rPr>
        <w:t xml:space="preserve">found modest or no gender effects (for an overview, see Amato, 2010). </w:t>
      </w:r>
      <w:r w:rsidR="00C46C13" w:rsidRPr="00F340F6">
        <w:rPr>
          <w:color w:val="auto"/>
        </w:rPr>
        <w:t>Therefore, we also investigate</w:t>
      </w:r>
      <w:r w:rsidR="005B200D" w:rsidRPr="00F340F6">
        <w:rPr>
          <w:color w:val="auto"/>
        </w:rPr>
        <w:t>d</w:t>
      </w:r>
      <w:r w:rsidR="00C46C13" w:rsidRPr="00F340F6">
        <w:rPr>
          <w:color w:val="auto"/>
        </w:rPr>
        <w:t xml:space="preserve"> </w:t>
      </w:r>
      <w:r w:rsidR="00C46C13" w:rsidRPr="00F340F6">
        <w:rPr>
          <w:color w:val="auto"/>
        </w:rPr>
        <w:lastRenderedPageBreak/>
        <w:t>if the hypothesized effects differ</w:t>
      </w:r>
      <w:r w:rsidR="00F6737F" w:rsidRPr="00F340F6">
        <w:rPr>
          <w:color w:val="auto"/>
        </w:rPr>
        <w:t>ed</w:t>
      </w:r>
      <w:r w:rsidR="00C46C13" w:rsidRPr="00F340F6">
        <w:rPr>
          <w:color w:val="auto"/>
        </w:rPr>
        <w:t xml:space="preserve"> by gender.</w:t>
      </w:r>
      <w:r w:rsidR="00AF79CC" w:rsidRPr="00F340F6">
        <w:rPr>
          <w:color w:val="auto"/>
        </w:rPr>
        <w:t xml:space="preserve"> W</w:t>
      </w:r>
      <w:r w:rsidR="004A1B94" w:rsidRPr="00F340F6">
        <w:rPr>
          <w:color w:val="auto"/>
        </w:rPr>
        <w:t xml:space="preserve">e </w:t>
      </w:r>
      <w:r w:rsidR="00262B2B" w:rsidRPr="00F340F6">
        <w:rPr>
          <w:color w:val="auto"/>
        </w:rPr>
        <w:t xml:space="preserve">also </w:t>
      </w:r>
      <w:r w:rsidR="00965AC7" w:rsidRPr="00F340F6">
        <w:rPr>
          <w:color w:val="auto"/>
        </w:rPr>
        <w:t>controlled</w:t>
      </w:r>
      <w:r w:rsidR="004A1B94" w:rsidRPr="00F340F6">
        <w:rPr>
          <w:color w:val="auto"/>
        </w:rPr>
        <w:t xml:space="preserve"> for several key child and family characteristics. We considered the family composition</w:t>
      </w:r>
      <w:r w:rsidR="00262B2B" w:rsidRPr="00F340F6">
        <w:rPr>
          <w:color w:val="auto"/>
        </w:rPr>
        <w:t xml:space="preserve"> and the </w:t>
      </w:r>
      <w:r w:rsidR="0098114A" w:rsidRPr="00F340F6">
        <w:rPr>
          <w:color w:val="auto"/>
        </w:rPr>
        <w:t xml:space="preserve">quality of the family climate </w:t>
      </w:r>
      <w:r w:rsidR="004A1B94" w:rsidRPr="00F340F6">
        <w:rPr>
          <w:color w:val="auto"/>
        </w:rPr>
        <w:t xml:space="preserve">before the parental transitions as a control for a potentially stressful home environment which could also be pushing youth to </w:t>
      </w:r>
      <w:r w:rsidR="00151AB7" w:rsidRPr="00F340F6">
        <w:rPr>
          <w:color w:val="auto"/>
        </w:rPr>
        <w:t xml:space="preserve">avoid </w:t>
      </w:r>
      <w:r w:rsidR="004A1B94" w:rsidRPr="00F340F6">
        <w:rPr>
          <w:color w:val="auto"/>
        </w:rPr>
        <w:t xml:space="preserve">the parental household. We also </w:t>
      </w:r>
      <w:r w:rsidR="00965AC7" w:rsidRPr="00F340F6">
        <w:rPr>
          <w:color w:val="auto"/>
        </w:rPr>
        <w:t>controlled</w:t>
      </w:r>
      <w:r w:rsidR="004A1B94" w:rsidRPr="00F340F6">
        <w:rPr>
          <w:color w:val="auto"/>
        </w:rPr>
        <w:t xml:space="preserve"> for adolescent ethnicity and the soci</w:t>
      </w:r>
      <w:r w:rsidR="00262B2B" w:rsidRPr="00F340F6">
        <w:rPr>
          <w:color w:val="auto"/>
        </w:rPr>
        <w:t>o-economic status of the family because of their documented association with family structure history and parenting practices which might be related to adolescent romance (</w:t>
      </w:r>
      <w:r w:rsidR="006F20A4" w:rsidRPr="00F340F6">
        <w:rPr>
          <w:color w:val="auto"/>
        </w:rPr>
        <w:t>for an overview, see Amato, 2010</w:t>
      </w:r>
      <w:r w:rsidR="00262B2B" w:rsidRPr="00F340F6">
        <w:rPr>
          <w:color w:val="auto"/>
        </w:rPr>
        <w:t>).</w:t>
      </w:r>
      <w:r w:rsidR="00A8327F" w:rsidRPr="00F340F6">
        <w:rPr>
          <w:color w:val="auto"/>
        </w:rPr>
        <w:t xml:space="preserve"> </w:t>
      </w:r>
    </w:p>
    <w:p w:rsidR="004162E9" w:rsidRPr="00F340F6" w:rsidRDefault="004162E9" w:rsidP="00F340F6">
      <w:pPr>
        <w:spacing w:line="480" w:lineRule="auto"/>
        <w:ind w:firstLine="720"/>
        <w:rPr>
          <w:color w:val="auto"/>
        </w:rPr>
      </w:pPr>
      <w:r w:rsidRPr="00F340F6">
        <w:rPr>
          <w:color w:val="auto"/>
        </w:rPr>
        <w:t xml:space="preserve">We made use of data from event-history calendars filled out by the participants in a prospective cohort study among Dutch adolescents, the TRacking Adolescent Individual Lives Survey (TRAILS). We focused on the early to mid-adolescent period, a time when youth have some of their first dating experiences. We first tried to replicate as closely as possible the previously mentioned study by Cavanagh and colleagues (2008) by looking into how family structure history and household instability affected adolescent likelihood of having dating experience and the number of these relations. We then extended this approach by using event history analysis and estimating a number of discrete time models (Allison, 1982; Mills, 2011) in order to examine how specific parental transitions </w:t>
      </w:r>
      <w:r w:rsidRPr="00F340F6">
        <w:rPr>
          <w:i/>
          <w:color w:val="auto"/>
        </w:rPr>
        <w:t>triggered</w:t>
      </w:r>
      <w:r w:rsidRPr="00F340F6">
        <w:rPr>
          <w:color w:val="auto"/>
        </w:rPr>
        <w:t xml:space="preserve"> adolescent romantic relationships. </w:t>
      </w:r>
    </w:p>
    <w:p w:rsidR="007F2382" w:rsidRPr="00F340F6" w:rsidRDefault="007F2382" w:rsidP="00F340F6">
      <w:pPr>
        <w:spacing w:line="480" w:lineRule="auto"/>
        <w:jc w:val="center"/>
        <w:rPr>
          <w:color w:val="auto"/>
        </w:rPr>
      </w:pPr>
      <w:r w:rsidRPr="00F340F6">
        <w:rPr>
          <w:color w:val="auto"/>
        </w:rPr>
        <w:t>Method</w:t>
      </w:r>
    </w:p>
    <w:p w:rsidR="00525410" w:rsidRPr="00F340F6" w:rsidRDefault="00525410" w:rsidP="00F340F6">
      <w:pPr>
        <w:suppressLineNumbers/>
        <w:spacing w:line="480" w:lineRule="auto"/>
        <w:rPr>
          <w:i/>
          <w:color w:val="auto"/>
        </w:rPr>
      </w:pPr>
      <w:r w:rsidRPr="00F340F6">
        <w:rPr>
          <w:i/>
          <w:color w:val="auto"/>
        </w:rPr>
        <w:t>Participants and Procedure</w:t>
      </w:r>
    </w:p>
    <w:p w:rsidR="00525410" w:rsidRPr="00F340F6" w:rsidRDefault="00525410" w:rsidP="00F340F6">
      <w:pPr>
        <w:suppressLineNumbers/>
        <w:spacing w:line="480" w:lineRule="auto"/>
        <w:ind w:firstLine="720"/>
        <w:rPr>
          <w:color w:val="auto"/>
        </w:rPr>
      </w:pPr>
      <w:r w:rsidRPr="00F340F6">
        <w:rPr>
          <w:color w:val="auto"/>
        </w:rPr>
        <w:t xml:space="preserve">Data were gathered from participants in the TRacking Adolescents’ Individual Lives Survey (TRAILS), a prospective cohort study among adolescents in the general Dutch population. Participants come from five municipalities, including both urban and rural areas, in the North of the Netherlands. Of all children and parents approached for participation in the TRAILS study, 76.0% gave their consent which resulted in an initial sample of 2,230 </w:t>
      </w:r>
      <w:r w:rsidRPr="00F340F6">
        <w:rPr>
          <w:color w:val="auto"/>
        </w:rPr>
        <w:lastRenderedPageBreak/>
        <w:t xml:space="preserve">participants. Non-respondents at baseline were more likely to be boys, came from lower socioeconomic background, and had worse school performance than respondents. A detailed description of the survey’s design, sampling procedures, data collection, measures, and attrition analyses can be found in De Winter et al. (2005) and Huisman et al. (2008). </w:t>
      </w:r>
    </w:p>
    <w:p w:rsidR="00525410" w:rsidRPr="00F340F6" w:rsidRDefault="00525410" w:rsidP="00F340F6">
      <w:pPr>
        <w:suppressLineNumbers/>
        <w:spacing w:line="480" w:lineRule="auto"/>
        <w:ind w:firstLine="720"/>
        <w:rPr>
          <w:color w:val="auto"/>
        </w:rPr>
      </w:pPr>
      <w:r w:rsidRPr="00F340F6">
        <w:rPr>
          <w:color w:val="auto"/>
        </w:rPr>
        <w:t xml:space="preserve">This paper used data </w:t>
      </w:r>
      <w:r w:rsidR="00CD41CA" w:rsidRPr="00F340F6">
        <w:rPr>
          <w:color w:val="auto"/>
        </w:rPr>
        <w:t xml:space="preserve">from </w:t>
      </w:r>
      <w:r w:rsidRPr="00F340F6">
        <w:rPr>
          <w:color w:val="auto"/>
        </w:rPr>
        <w:t xml:space="preserve">the Event History Calendar (EHC) interviews which took place during the third wave of </w:t>
      </w:r>
      <w:r w:rsidR="00F91631" w:rsidRPr="00F340F6">
        <w:rPr>
          <w:color w:val="auto"/>
        </w:rPr>
        <w:t xml:space="preserve">TRAILS </w:t>
      </w:r>
      <w:r w:rsidRPr="00F340F6">
        <w:rPr>
          <w:color w:val="auto"/>
        </w:rPr>
        <w:t xml:space="preserve">(2005 - </w:t>
      </w:r>
      <w:r w:rsidR="00CA6306" w:rsidRPr="00F340F6">
        <w:rPr>
          <w:color w:val="auto"/>
        </w:rPr>
        <w:t xml:space="preserve">2007). </w:t>
      </w:r>
      <w:r w:rsidRPr="00F340F6">
        <w:rPr>
          <w:color w:val="auto"/>
        </w:rPr>
        <w:t>A total of 1,513 adolescents filled out th</w:t>
      </w:r>
      <w:r w:rsidR="00230ADD" w:rsidRPr="00F340F6">
        <w:rPr>
          <w:color w:val="auto"/>
        </w:rPr>
        <w:t>e Event History Calendars (67.9</w:t>
      </w:r>
      <w:r w:rsidRPr="00F340F6">
        <w:rPr>
          <w:color w:val="auto"/>
        </w:rPr>
        <w:t>% of the initial sample). Compared to participants, nonparticipants were more likely to be boys (</w:t>
      </w:r>
      <w:r w:rsidRPr="00F340F6">
        <w:rPr>
          <w:i/>
          <w:color w:val="auto"/>
        </w:rPr>
        <w:t>χ</w:t>
      </w:r>
      <w:r w:rsidRPr="00F340F6">
        <w:rPr>
          <w:i/>
          <w:color w:val="auto"/>
          <w:vertAlign w:val="superscript"/>
        </w:rPr>
        <w:t>2</w:t>
      </w:r>
      <w:r w:rsidRPr="00F340F6">
        <w:rPr>
          <w:i/>
          <w:color w:val="auto"/>
        </w:rPr>
        <w:t xml:space="preserve"> </w:t>
      </w:r>
      <w:r w:rsidR="00787F7F" w:rsidRPr="00F340F6">
        <w:rPr>
          <w:color w:val="auto"/>
        </w:rPr>
        <w:t>(2,</w:t>
      </w:r>
      <w:r w:rsidRPr="00F340F6">
        <w:rPr>
          <w:color w:val="auto"/>
        </w:rPr>
        <w:t xml:space="preserve">230) = 31.58, </w:t>
      </w:r>
      <w:r w:rsidRPr="00F340F6">
        <w:rPr>
          <w:i/>
          <w:color w:val="auto"/>
        </w:rPr>
        <w:t xml:space="preserve">p </w:t>
      </w:r>
      <w:r w:rsidRPr="00F340F6">
        <w:rPr>
          <w:color w:val="auto"/>
        </w:rPr>
        <w:t xml:space="preserve">&lt; .05, Cramer's </w:t>
      </w:r>
      <w:r w:rsidRPr="00F340F6">
        <w:rPr>
          <w:i/>
          <w:color w:val="auto"/>
        </w:rPr>
        <w:t>φ</w:t>
      </w:r>
      <w:r w:rsidRPr="00F340F6">
        <w:rPr>
          <w:i/>
          <w:color w:val="auto"/>
          <w:vertAlign w:val="superscript"/>
        </w:rPr>
        <w:t>2</w:t>
      </w:r>
      <w:r w:rsidR="00230ADD" w:rsidRPr="00F340F6">
        <w:rPr>
          <w:color w:val="auto"/>
        </w:rPr>
        <w:t xml:space="preserve"> = </w:t>
      </w:r>
      <w:r w:rsidRPr="00F340F6">
        <w:rPr>
          <w:color w:val="auto"/>
        </w:rPr>
        <w:t xml:space="preserve">.12), came from families with </w:t>
      </w:r>
      <w:r w:rsidR="00D16C19" w:rsidRPr="00F340F6">
        <w:rPr>
          <w:color w:val="auto"/>
        </w:rPr>
        <w:t xml:space="preserve">fathers with </w:t>
      </w:r>
      <w:r w:rsidRPr="00F340F6">
        <w:rPr>
          <w:color w:val="auto"/>
        </w:rPr>
        <w:t xml:space="preserve">lower </w:t>
      </w:r>
      <w:r w:rsidR="00D16C19" w:rsidRPr="00F340F6">
        <w:rPr>
          <w:color w:val="auto"/>
        </w:rPr>
        <w:t xml:space="preserve">educational attainment </w:t>
      </w:r>
      <w:r w:rsidRPr="00F340F6">
        <w:rPr>
          <w:color w:val="auto"/>
        </w:rPr>
        <w:t>(</w:t>
      </w:r>
      <w:r w:rsidR="00B61C55" w:rsidRPr="00F340F6">
        <w:rPr>
          <w:i/>
          <w:color w:val="auto"/>
        </w:rPr>
        <w:t>χ</w:t>
      </w:r>
      <w:r w:rsidR="00B61C55" w:rsidRPr="00F340F6">
        <w:rPr>
          <w:i/>
          <w:color w:val="auto"/>
          <w:vertAlign w:val="superscript"/>
        </w:rPr>
        <w:t>2</w:t>
      </w:r>
      <w:r w:rsidR="00B61C55" w:rsidRPr="00F340F6">
        <w:rPr>
          <w:i/>
          <w:color w:val="auto"/>
        </w:rPr>
        <w:t xml:space="preserve"> </w:t>
      </w:r>
      <w:r w:rsidR="00787F7F" w:rsidRPr="00F340F6">
        <w:rPr>
          <w:color w:val="auto"/>
        </w:rPr>
        <w:t>(1,</w:t>
      </w:r>
      <w:r w:rsidR="00B61C55" w:rsidRPr="00F340F6">
        <w:rPr>
          <w:color w:val="auto"/>
        </w:rPr>
        <w:t xml:space="preserve">874) = 37.83, </w:t>
      </w:r>
      <w:r w:rsidR="00B61C55" w:rsidRPr="00F340F6">
        <w:rPr>
          <w:i/>
          <w:color w:val="auto"/>
        </w:rPr>
        <w:t xml:space="preserve">p </w:t>
      </w:r>
      <w:r w:rsidR="00B61C55" w:rsidRPr="00F340F6">
        <w:rPr>
          <w:color w:val="auto"/>
        </w:rPr>
        <w:t xml:space="preserve">&lt; .01, Cramer's </w:t>
      </w:r>
      <w:r w:rsidR="00B61C55" w:rsidRPr="00F340F6">
        <w:rPr>
          <w:i/>
          <w:color w:val="auto"/>
        </w:rPr>
        <w:t>φ</w:t>
      </w:r>
      <w:r w:rsidR="00B61C55" w:rsidRPr="00F340F6">
        <w:rPr>
          <w:i/>
          <w:color w:val="auto"/>
          <w:vertAlign w:val="superscript"/>
        </w:rPr>
        <w:t>2</w:t>
      </w:r>
      <w:r w:rsidR="00230ADD" w:rsidRPr="00F340F6">
        <w:rPr>
          <w:color w:val="auto"/>
        </w:rPr>
        <w:t xml:space="preserve"> = </w:t>
      </w:r>
      <w:r w:rsidR="00B61C55" w:rsidRPr="00F340F6">
        <w:rPr>
          <w:color w:val="auto"/>
        </w:rPr>
        <w:t>.14</w:t>
      </w:r>
      <w:r w:rsidRPr="00F340F6">
        <w:rPr>
          <w:color w:val="auto"/>
        </w:rPr>
        <w:t>), and were older (</w:t>
      </w:r>
      <w:r w:rsidRPr="00F340F6">
        <w:rPr>
          <w:i/>
          <w:color w:val="auto"/>
        </w:rPr>
        <w:t>t</w:t>
      </w:r>
      <w:r w:rsidR="00E056A4" w:rsidRPr="00F340F6">
        <w:rPr>
          <w:i/>
          <w:color w:val="auto"/>
        </w:rPr>
        <w:t xml:space="preserve"> </w:t>
      </w:r>
      <w:r w:rsidR="00787F7F" w:rsidRPr="00F340F6">
        <w:rPr>
          <w:color w:val="auto"/>
        </w:rPr>
        <w:t>(2,</w:t>
      </w:r>
      <w:r w:rsidRPr="00F340F6">
        <w:rPr>
          <w:color w:val="auto"/>
        </w:rPr>
        <w:t xml:space="preserve">228) = 2.40, </w:t>
      </w:r>
      <w:r w:rsidRPr="00F340F6">
        <w:rPr>
          <w:i/>
          <w:color w:val="auto"/>
        </w:rPr>
        <w:t>p</w:t>
      </w:r>
      <w:r w:rsidRPr="00F340F6">
        <w:rPr>
          <w:color w:val="auto"/>
        </w:rPr>
        <w:t xml:space="preserve"> &lt; .05, Cohen’s </w:t>
      </w:r>
      <w:r w:rsidRPr="00F340F6">
        <w:rPr>
          <w:i/>
          <w:color w:val="auto"/>
        </w:rPr>
        <w:t>d</w:t>
      </w:r>
      <w:r w:rsidR="00230ADD" w:rsidRPr="00F340F6">
        <w:rPr>
          <w:color w:val="auto"/>
        </w:rPr>
        <w:t xml:space="preserve"> = </w:t>
      </w:r>
      <w:r w:rsidRPr="00F340F6">
        <w:rPr>
          <w:color w:val="auto"/>
        </w:rPr>
        <w:t>.11).</w:t>
      </w:r>
      <w:r w:rsidR="006B7F31" w:rsidRPr="00F340F6">
        <w:rPr>
          <w:color w:val="auto"/>
        </w:rPr>
        <w:t xml:space="preserve"> </w:t>
      </w:r>
      <w:r w:rsidRPr="00F340F6">
        <w:rPr>
          <w:color w:val="auto"/>
        </w:rPr>
        <w:t xml:space="preserve">The EHC interviews took place in the participants’ homes and </w:t>
      </w:r>
      <w:r w:rsidR="00230ADD" w:rsidRPr="00F340F6">
        <w:rPr>
          <w:color w:val="auto"/>
        </w:rPr>
        <w:t>were</w:t>
      </w:r>
      <w:r w:rsidRPr="00F340F6">
        <w:rPr>
          <w:color w:val="auto"/>
        </w:rPr>
        <w:t xml:space="preserve"> approximately 45 minutes</w:t>
      </w:r>
      <w:r w:rsidR="00230ADD" w:rsidRPr="00F340F6">
        <w:rPr>
          <w:color w:val="auto"/>
        </w:rPr>
        <w:t xml:space="preserve"> long</w:t>
      </w:r>
      <w:r w:rsidRPr="00F340F6">
        <w:rPr>
          <w:color w:val="auto"/>
        </w:rPr>
        <w:t xml:space="preserve">. </w:t>
      </w:r>
      <w:r w:rsidR="00E31FEB" w:rsidRPr="00F340F6">
        <w:rPr>
          <w:color w:val="auto"/>
        </w:rPr>
        <w:t>T</w:t>
      </w:r>
      <w:r w:rsidRPr="00F340F6">
        <w:rPr>
          <w:color w:val="auto"/>
        </w:rPr>
        <w:t xml:space="preserve">he adolescents were asked to recall </w:t>
      </w:r>
      <w:r w:rsidR="00CD41CA" w:rsidRPr="00F340F6">
        <w:rPr>
          <w:color w:val="auto"/>
        </w:rPr>
        <w:t xml:space="preserve">if </w:t>
      </w:r>
      <w:r w:rsidRPr="00F340F6">
        <w:rPr>
          <w:color w:val="auto"/>
        </w:rPr>
        <w:t>certain events, specified by the interviewer, took place in</w:t>
      </w:r>
      <w:r w:rsidR="002E6B4D" w:rsidRPr="00F340F6">
        <w:rPr>
          <w:color w:val="auto"/>
        </w:rPr>
        <w:t xml:space="preserve"> the previous five years (</w:t>
      </w:r>
      <w:r w:rsidRPr="00F340F6">
        <w:rPr>
          <w:color w:val="auto"/>
        </w:rPr>
        <w:t xml:space="preserve">since the beginning of the TRAILS data collection in 2001 – 2002). </w:t>
      </w:r>
      <w:r w:rsidR="00F91631" w:rsidRPr="00F340F6">
        <w:rPr>
          <w:color w:val="auto"/>
        </w:rPr>
        <w:t>Of the sample of 1,513 adolescents, 1</w:t>
      </w:r>
      <w:r w:rsidR="00DF3738" w:rsidRPr="00F340F6">
        <w:rPr>
          <w:color w:val="auto"/>
        </w:rPr>
        <w:t>,442 (95.3%) were observed for the</w:t>
      </w:r>
      <w:r w:rsidR="00F91631" w:rsidRPr="00F340F6">
        <w:rPr>
          <w:color w:val="auto"/>
        </w:rPr>
        <w:t xml:space="preserve"> total period of 5 years</w:t>
      </w:r>
      <w:r w:rsidR="00594C02" w:rsidRPr="00F340F6">
        <w:rPr>
          <w:color w:val="auto"/>
        </w:rPr>
        <w:t>,</w:t>
      </w:r>
      <w:r w:rsidR="00F91631" w:rsidRPr="00F340F6">
        <w:rPr>
          <w:color w:val="auto"/>
        </w:rPr>
        <w:t xml:space="preserve"> with 71 (4.7%) observed only slightly shorter. When </w:t>
      </w:r>
      <w:r w:rsidRPr="00F340F6">
        <w:rPr>
          <w:color w:val="auto"/>
        </w:rPr>
        <w:t xml:space="preserve">the adolescents answered positively to </w:t>
      </w:r>
      <w:r w:rsidR="00E31FEB" w:rsidRPr="00F340F6">
        <w:rPr>
          <w:color w:val="auto"/>
        </w:rPr>
        <w:t xml:space="preserve">an </w:t>
      </w:r>
      <w:r w:rsidR="00F91631" w:rsidRPr="00F340F6">
        <w:rPr>
          <w:color w:val="auto"/>
        </w:rPr>
        <w:t>interviewer’s q</w:t>
      </w:r>
      <w:r w:rsidR="00E31FEB" w:rsidRPr="00F340F6">
        <w:rPr>
          <w:color w:val="auto"/>
        </w:rPr>
        <w:t>uestion</w:t>
      </w:r>
      <w:r w:rsidR="00F91631" w:rsidRPr="00F340F6">
        <w:rPr>
          <w:color w:val="auto"/>
        </w:rPr>
        <w:t xml:space="preserve"> </w:t>
      </w:r>
      <w:r w:rsidRPr="00F340F6">
        <w:rPr>
          <w:color w:val="auto"/>
        </w:rPr>
        <w:t xml:space="preserve">(“Have your parents divorced in this period?”, “Have you started a romantic relationship in this period?”), they were asked to mark the months in which </w:t>
      </w:r>
      <w:r w:rsidR="00E31FEB" w:rsidRPr="00F340F6">
        <w:rPr>
          <w:color w:val="auto"/>
        </w:rPr>
        <w:t>the event started and ended on the</w:t>
      </w:r>
      <w:r w:rsidRPr="00F340F6">
        <w:rPr>
          <w:color w:val="auto"/>
        </w:rPr>
        <w:t xml:space="preserve"> calendar</w:t>
      </w:r>
      <w:r w:rsidR="00787F7F" w:rsidRPr="00F340F6">
        <w:rPr>
          <w:color w:val="auto"/>
        </w:rPr>
        <w:t xml:space="preserve"> provided</w:t>
      </w:r>
      <w:r w:rsidRPr="00F340F6">
        <w:rPr>
          <w:color w:val="auto"/>
        </w:rPr>
        <w:t>. The average age of the participants at the time of the interview was 16.25 (</w:t>
      </w:r>
      <w:r w:rsidRPr="00F340F6">
        <w:rPr>
          <w:i/>
          <w:color w:val="auto"/>
        </w:rPr>
        <w:t>SD</w:t>
      </w:r>
      <w:r w:rsidR="003676B4" w:rsidRPr="00F340F6">
        <w:rPr>
          <w:color w:val="auto"/>
        </w:rPr>
        <w:t xml:space="preserve"> = </w:t>
      </w:r>
      <w:r w:rsidRPr="00F340F6">
        <w:rPr>
          <w:color w:val="auto"/>
        </w:rPr>
        <w:t>.67, range 14.80 to 18.13) and the average age at the start of observation was 11.30 (</w:t>
      </w:r>
      <w:r w:rsidRPr="00F340F6">
        <w:rPr>
          <w:i/>
          <w:color w:val="auto"/>
        </w:rPr>
        <w:t>SD</w:t>
      </w:r>
      <w:r w:rsidR="003676B4" w:rsidRPr="00F340F6">
        <w:rPr>
          <w:color w:val="auto"/>
        </w:rPr>
        <w:t xml:space="preserve"> = </w:t>
      </w:r>
      <w:r w:rsidRPr="00F340F6">
        <w:rPr>
          <w:color w:val="auto"/>
        </w:rPr>
        <w:t>.65, range 9.87 to 13.13)</w:t>
      </w:r>
      <w:r w:rsidR="00F91631" w:rsidRPr="00F340F6">
        <w:rPr>
          <w:color w:val="auto"/>
        </w:rPr>
        <w:t>.</w:t>
      </w:r>
    </w:p>
    <w:p w:rsidR="00F91631" w:rsidRPr="00F340F6" w:rsidRDefault="00BF46A2" w:rsidP="00F340F6">
      <w:pPr>
        <w:suppressLineNumbers/>
        <w:spacing w:line="480" w:lineRule="auto"/>
        <w:rPr>
          <w:i/>
          <w:color w:val="auto"/>
        </w:rPr>
      </w:pPr>
      <w:r w:rsidRPr="00F340F6">
        <w:rPr>
          <w:i/>
          <w:color w:val="auto"/>
        </w:rPr>
        <w:t>Measures</w:t>
      </w:r>
    </w:p>
    <w:p w:rsidR="0088663D" w:rsidRPr="00F340F6" w:rsidRDefault="009878D3" w:rsidP="00F340F6">
      <w:pPr>
        <w:spacing w:line="480" w:lineRule="auto"/>
        <w:ind w:firstLine="720"/>
        <w:rPr>
          <w:color w:val="auto"/>
        </w:rPr>
      </w:pPr>
      <w:r w:rsidRPr="00F340F6">
        <w:rPr>
          <w:i/>
          <w:color w:val="auto"/>
        </w:rPr>
        <w:t>Entry into and number of a</w:t>
      </w:r>
      <w:r w:rsidR="00F07BC3" w:rsidRPr="00F340F6">
        <w:rPr>
          <w:i/>
          <w:color w:val="auto"/>
        </w:rPr>
        <w:t>dolescent romantic relationship</w:t>
      </w:r>
      <w:r w:rsidRPr="00F340F6">
        <w:rPr>
          <w:i/>
          <w:color w:val="auto"/>
        </w:rPr>
        <w:t>s</w:t>
      </w:r>
      <w:r w:rsidR="00F07BC3" w:rsidRPr="00F340F6">
        <w:rPr>
          <w:i/>
          <w:color w:val="auto"/>
        </w:rPr>
        <w:t xml:space="preserve">. </w:t>
      </w:r>
      <w:r w:rsidR="001D72E5" w:rsidRPr="00F340F6">
        <w:rPr>
          <w:color w:val="auto"/>
        </w:rPr>
        <w:t>T</w:t>
      </w:r>
      <w:r w:rsidR="00F07BC3" w:rsidRPr="00F340F6">
        <w:rPr>
          <w:color w:val="auto"/>
        </w:rPr>
        <w:t>he adolescents report</w:t>
      </w:r>
      <w:r w:rsidR="003676B4" w:rsidRPr="00F340F6">
        <w:rPr>
          <w:color w:val="auto"/>
        </w:rPr>
        <w:t>ed</w:t>
      </w:r>
      <w:r w:rsidR="00F07BC3" w:rsidRPr="00F340F6">
        <w:rPr>
          <w:color w:val="auto"/>
        </w:rPr>
        <w:t xml:space="preserve"> the months when they started and ended new romantic relationships. We used </w:t>
      </w:r>
      <w:r w:rsidR="00787F7F" w:rsidRPr="00F340F6">
        <w:rPr>
          <w:color w:val="auto"/>
        </w:rPr>
        <w:t>this information</w:t>
      </w:r>
      <w:r w:rsidR="00F07BC3" w:rsidRPr="00F340F6">
        <w:rPr>
          <w:color w:val="auto"/>
        </w:rPr>
        <w:t xml:space="preserve"> </w:t>
      </w:r>
      <w:r w:rsidR="00F07BC3" w:rsidRPr="00F340F6">
        <w:rPr>
          <w:color w:val="auto"/>
        </w:rPr>
        <w:lastRenderedPageBreak/>
        <w:t xml:space="preserve">(reported at the mean age of 16.25) </w:t>
      </w:r>
      <w:r w:rsidR="00787F7F" w:rsidRPr="00F340F6">
        <w:rPr>
          <w:color w:val="auto"/>
        </w:rPr>
        <w:t>to represent the start and end dates of dating</w:t>
      </w:r>
      <w:r w:rsidR="00F07BC3" w:rsidRPr="00F340F6">
        <w:rPr>
          <w:color w:val="auto"/>
        </w:rPr>
        <w:t xml:space="preserve">. </w:t>
      </w:r>
      <w:r w:rsidR="00D51D9E" w:rsidRPr="00F340F6">
        <w:rPr>
          <w:color w:val="auto"/>
        </w:rPr>
        <w:t>As discussed previously, we examine</w:t>
      </w:r>
      <w:r w:rsidR="00FC065C" w:rsidRPr="00F340F6">
        <w:rPr>
          <w:color w:val="auto"/>
        </w:rPr>
        <w:t>d</w:t>
      </w:r>
      <w:r w:rsidR="00D51D9E" w:rsidRPr="00F340F6">
        <w:rPr>
          <w:color w:val="auto"/>
        </w:rPr>
        <w:t xml:space="preserve"> two outcome variables. First, to allow some comparability between our results with Cavanagh et al. (2008</w:t>
      </w:r>
      <w:r w:rsidR="00594C02" w:rsidRPr="00F340F6">
        <w:rPr>
          <w:color w:val="auto"/>
        </w:rPr>
        <w:t xml:space="preserve">), we included a measure of the </w:t>
      </w:r>
      <w:r w:rsidR="00D51D9E" w:rsidRPr="00F340F6">
        <w:rPr>
          <w:i/>
          <w:color w:val="auto"/>
        </w:rPr>
        <w:t>number of romantic relationships</w:t>
      </w:r>
      <w:r w:rsidR="00D51D9E" w:rsidRPr="00F340F6">
        <w:rPr>
          <w:color w:val="auto"/>
        </w:rPr>
        <w:t xml:space="preserve"> the adolescent experienced</w:t>
      </w:r>
      <w:r w:rsidR="00E31FEB" w:rsidRPr="00F340F6">
        <w:rPr>
          <w:color w:val="auto"/>
        </w:rPr>
        <w:t xml:space="preserve"> in</w:t>
      </w:r>
      <w:r w:rsidR="00F07BC3" w:rsidRPr="00F340F6">
        <w:rPr>
          <w:color w:val="auto"/>
        </w:rPr>
        <w:t xml:space="preserve"> the period </w:t>
      </w:r>
      <w:r w:rsidR="00BB6C9B" w:rsidRPr="00F340F6">
        <w:rPr>
          <w:color w:val="auto"/>
        </w:rPr>
        <w:t xml:space="preserve">covered by the </w:t>
      </w:r>
      <w:r w:rsidR="00F07BC3" w:rsidRPr="00F340F6">
        <w:rPr>
          <w:color w:val="auto"/>
        </w:rPr>
        <w:t>EHC. The maximum number of r</w:t>
      </w:r>
      <w:r w:rsidR="00D518E2" w:rsidRPr="00F340F6">
        <w:rPr>
          <w:color w:val="auto"/>
        </w:rPr>
        <w:t>e</w:t>
      </w:r>
      <w:r w:rsidR="00284CE9" w:rsidRPr="00F340F6">
        <w:rPr>
          <w:color w:val="auto"/>
        </w:rPr>
        <w:t>ported relationships was seven</w:t>
      </w:r>
      <w:r w:rsidR="00D51D9E" w:rsidRPr="00F340F6">
        <w:rPr>
          <w:color w:val="auto"/>
        </w:rPr>
        <w:t xml:space="preserve">. </w:t>
      </w:r>
      <w:r w:rsidR="00D518E2" w:rsidRPr="00F340F6">
        <w:rPr>
          <w:color w:val="auto"/>
        </w:rPr>
        <w:t xml:space="preserve">The dependent variable for the </w:t>
      </w:r>
      <w:r w:rsidR="00EE27AB" w:rsidRPr="00F340F6">
        <w:rPr>
          <w:color w:val="auto"/>
        </w:rPr>
        <w:t xml:space="preserve">analysis </w:t>
      </w:r>
      <w:r w:rsidR="00D518E2" w:rsidRPr="00F340F6">
        <w:rPr>
          <w:color w:val="auto"/>
        </w:rPr>
        <w:t xml:space="preserve">of the transition to </w:t>
      </w:r>
      <w:r w:rsidR="00EE27AB" w:rsidRPr="00F340F6">
        <w:rPr>
          <w:color w:val="auto"/>
        </w:rPr>
        <w:t>a romantic relation</w:t>
      </w:r>
      <w:r w:rsidR="00D518E2" w:rsidRPr="00F340F6">
        <w:rPr>
          <w:color w:val="auto"/>
        </w:rPr>
        <w:t xml:space="preserve"> </w:t>
      </w:r>
      <w:r w:rsidR="001D72E5" w:rsidRPr="00F340F6">
        <w:rPr>
          <w:color w:val="auto"/>
        </w:rPr>
        <w:t xml:space="preserve">was </w:t>
      </w:r>
      <w:r w:rsidR="00D518E2" w:rsidRPr="00F340F6">
        <w:rPr>
          <w:color w:val="auto"/>
        </w:rPr>
        <w:t xml:space="preserve">the </w:t>
      </w:r>
      <w:r w:rsidR="00D518E2" w:rsidRPr="00F340F6">
        <w:rPr>
          <w:i/>
          <w:color w:val="auto"/>
        </w:rPr>
        <w:t xml:space="preserve">probability of entry into a romantic relationship </w:t>
      </w:r>
      <w:r w:rsidR="00D518E2" w:rsidRPr="00F340F6">
        <w:rPr>
          <w:color w:val="auto"/>
        </w:rPr>
        <w:t>during the specified monthly interval (</w:t>
      </w:r>
      <w:r w:rsidR="00D518E2" w:rsidRPr="00F340F6">
        <w:rPr>
          <w:i/>
          <w:color w:val="auto"/>
        </w:rPr>
        <w:t>t</w:t>
      </w:r>
      <w:r w:rsidR="00D518E2" w:rsidRPr="00F340F6">
        <w:rPr>
          <w:color w:val="auto"/>
        </w:rPr>
        <w:t xml:space="preserve">), conditional on the fact that it did not occur before time </w:t>
      </w:r>
      <w:r w:rsidR="00D518E2" w:rsidRPr="00F340F6">
        <w:rPr>
          <w:i/>
          <w:color w:val="auto"/>
        </w:rPr>
        <w:t>t</w:t>
      </w:r>
      <w:r w:rsidR="00D518E2" w:rsidRPr="00F340F6">
        <w:rPr>
          <w:color w:val="auto"/>
        </w:rPr>
        <w:t>.</w:t>
      </w:r>
      <w:r w:rsidR="00072AF3" w:rsidRPr="00F340F6">
        <w:rPr>
          <w:color w:val="auto"/>
        </w:rPr>
        <w:t xml:space="preserve"> </w:t>
      </w:r>
    </w:p>
    <w:p w:rsidR="00BF2F0A" w:rsidRPr="00F340F6" w:rsidRDefault="00BF2F0A" w:rsidP="00F340F6">
      <w:pPr>
        <w:spacing w:line="480" w:lineRule="auto"/>
        <w:ind w:firstLine="720"/>
        <w:rPr>
          <w:color w:val="auto"/>
        </w:rPr>
      </w:pPr>
      <w:r w:rsidRPr="00F340F6">
        <w:rPr>
          <w:i/>
          <w:color w:val="auto"/>
        </w:rPr>
        <w:t xml:space="preserve">Family structure at the beginning of </w:t>
      </w:r>
      <w:r w:rsidR="00F66068" w:rsidRPr="00F340F6">
        <w:rPr>
          <w:i/>
          <w:color w:val="auto"/>
        </w:rPr>
        <w:t>observation</w:t>
      </w:r>
      <w:r w:rsidRPr="00F340F6">
        <w:rPr>
          <w:i/>
          <w:color w:val="auto"/>
        </w:rPr>
        <w:t xml:space="preserve">. </w:t>
      </w:r>
      <w:r w:rsidR="003E359F" w:rsidRPr="00F340F6">
        <w:rPr>
          <w:color w:val="auto"/>
        </w:rPr>
        <w:t>T</w:t>
      </w:r>
      <w:r w:rsidRPr="00F340F6">
        <w:rPr>
          <w:color w:val="auto"/>
        </w:rPr>
        <w:t>he family composition at the star</w:t>
      </w:r>
      <w:r w:rsidR="003E359F" w:rsidRPr="00F340F6">
        <w:rPr>
          <w:color w:val="auto"/>
        </w:rPr>
        <w:t>t of the event history calendar was reported by the adolescent</w:t>
      </w:r>
      <w:r w:rsidR="003676B4" w:rsidRPr="00F340F6">
        <w:rPr>
          <w:color w:val="auto"/>
        </w:rPr>
        <w:t>s</w:t>
      </w:r>
      <w:r w:rsidR="003E359F" w:rsidRPr="00F340F6">
        <w:rPr>
          <w:color w:val="auto"/>
        </w:rPr>
        <w:t xml:space="preserve"> and was</w:t>
      </w:r>
      <w:r w:rsidRPr="00F340F6">
        <w:rPr>
          <w:color w:val="auto"/>
        </w:rPr>
        <w:t xml:space="preserve"> combined into three categories. It was not possible to use the extended 8 category model of Cavanagh et al. </w:t>
      </w:r>
      <w:r w:rsidR="009512C5" w:rsidRPr="00F340F6">
        <w:rPr>
          <w:color w:val="auto"/>
        </w:rPr>
        <w:t xml:space="preserve">(2008) </w:t>
      </w:r>
      <w:r w:rsidRPr="00F340F6">
        <w:rPr>
          <w:color w:val="auto"/>
        </w:rPr>
        <w:t>due to the sample size</w:t>
      </w:r>
      <w:r w:rsidR="003E359F" w:rsidRPr="00F340F6">
        <w:rPr>
          <w:color w:val="auto"/>
        </w:rPr>
        <w:t xml:space="preserve">. </w:t>
      </w:r>
      <w:r w:rsidR="009512C5" w:rsidRPr="00F340F6">
        <w:rPr>
          <w:color w:val="auto"/>
        </w:rPr>
        <w:t>T</w:t>
      </w:r>
      <w:r w:rsidRPr="00F340F6">
        <w:rPr>
          <w:color w:val="auto"/>
        </w:rPr>
        <w:t xml:space="preserve">he three categories </w:t>
      </w:r>
      <w:r w:rsidR="00F0564A" w:rsidRPr="00F340F6">
        <w:rPr>
          <w:color w:val="auto"/>
        </w:rPr>
        <w:t>were</w:t>
      </w:r>
      <w:r w:rsidRPr="00F340F6">
        <w:rPr>
          <w:color w:val="auto"/>
        </w:rPr>
        <w:t>: 1) two biological parents (</w:t>
      </w:r>
      <w:r w:rsidRPr="00F340F6">
        <w:rPr>
          <w:i/>
          <w:color w:val="auto"/>
        </w:rPr>
        <w:t>n</w:t>
      </w:r>
      <w:r w:rsidR="003E359F" w:rsidRPr="00F340F6">
        <w:rPr>
          <w:color w:val="auto"/>
        </w:rPr>
        <w:t xml:space="preserve"> </w:t>
      </w:r>
      <w:r w:rsidRPr="00F340F6">
        <w:rPr>
          <w:color w:val="auto"/>
        </w:rPr>
        <w:t>=</w:t>
      </w:r>
      <w:r w:rsidR="003E359F" w:rsidRPr="00F340F6">
        <w:rPr>
          <w:color w:val="auto"/>
        </w:rPr>
        <w:t xml:space="preserve"> </w:t>
      </w:r>
      <w:r w:rsidRPr="00F340F6">
        <w:rPr>
          <w:color w:val="auto"/>
        </w:rPr>
        <w:t>1</w:t>
      </w:r>
      <w:r w:rsidR="003E359F" w:rsidRPr="00F340F6">
        <w:rPr>
          <w:color w:val="auto"/>
        </w:rPr>
        <w:t>,</w:t>
      </w:r>
      <w:r w:rsidR="0065441B" w:rsidRPr="00F340F6">
        <w:rPr>
          <w:color w:val="auto"/>
        </w:rPr>
        <w:t>187);</w:t>
      </w:r>
      <w:r w:rsidRPr="00F340F6">
        <w:rPr>
          <w:color w:val="auto"/>
        </w:rPr>
        <w:t xml:space="preserve"> 2) </w:t>
      </w:r>
      <w:r w:rsidR="001D72E5" w:rsidRPr="00F340F6">
        <w:rPr>
          <w:color w:val="auto"/>
        </w:rPr>
        <w:t xml:space="preserve">the combined categories of </w:t>
      </w:r>
      <w:r w:rsidRPr="00F340F6">
        <w:rPr>
          <w:color w:val="auto"/>
        </w:rPr>
        <w:t xml:space="preserve">a biological </w:t>
      </w:r>
      <w:r w:rsidR="00B220EA" w:rsidRPr="00F340F6">
        <w:rPr>
          <w:color w:val="auto"/>
        </w:rPr>
        <w:t>parent and step</w:t>
      </w:r>
      <w:r w:rsidR="001D72E5" w:rsidRPr="00F340F6">
        <w:rPr>
          <w:color w:val="auto"/>
        </w:rPr>
        <w:t xml:space="preserve">parent </w:t>
      </w:r>
      <w:r w:rsidRPr="00F340F6">
        <w:rPr>
          <w:color w:val="auto"/>
        </w:rPr>
        <w:t>(</w:t>
      </w:r>
      <w:r w:rsidR="00B220EA" w:rsidRPr="00F340F6">
        <w:rPr>
          <w:color w:val="auto"/>
        </w:rPr>
        <w:t>mother and step</w:t>
      </w:r>
      <w:r w:rsidR="001D72E5" w:rsidRPr="00F340F6">
        <w:rPr>
          <w:color w:val="auto"/>
        </w:rPr>
        <w:t xml:space="preserve">father, </w:t>
      </w:r>
      <w:r w:rsidRPr="00F340F6">
        <w:rPr>
          <w:i/>
          <w:color w:val="auto"/>
        </w:rPr>
        <w:t>n</w:t>
      </w:r>
      <w:r w:rsidR="003E359F" w:rsidRPr="00F340F6">
        <w:rPr>
          <w:color w:val="auto"/>
        </w:rPr>
        <w:t xml:space="preserve"> </w:t>
      </w:r>
      <w:r w:rsidRPr="00F340F6">
        <w:rPr>
          <w:color w:val="auto"/>
        </w:rPr>
        <w:t>=</w:t>
      </w:r>
      <w:r w:rsidR="003E359F" w:rsidRPr="00F340F6">
        <w:rPr>
          <w:color w:val="auto"/>
        </w:rPr>
        <w:t xml:space="preserve"> </w:t>
      </w:r>
      <w:r w:rsidRPr="00F340F6">
        <w:rPr>
          <w:color w:val="auto"/>
        </w:rPr>
        <w:t>101</w:t>
      </w:r>
      <w:r w:rsidR="00B220EA" w:rsidRPr="00F340F6">
        <w:rPr>
          <w:color w:val="auto"/>
        </w:rPr>
        <w:t>; father and step</w:t>
      </w:r>
      <w:r w:rsidR="001D72E5" w:rsidRPr="00F340F6">
        <w:rPr>
          <w:color w:val="auto"/>
        </w:rPr>
        <w:t xml:space="preserve">mother, </w:t>
      </w:r>
      <w:r w:rsidRPr="00F340F6">
        <w:rPr>
          <w:i/>
          <w:color w:val="auto"/>
        </w:rPr>
        <w:t>n</w:t>
      </w:r>
      <w:r w:rsidR="003E359F" w:rsidRPr="00F340F6">
        <w:rPr>
          <w:color w:val="auto"/>
        </w:rPr>
        <w:t xml:space="preserve"> </w:t>
      </w:r>
      <w:r w:rsidRPr="00F340F6">
        <w:rPr>
          <w:color w:val="auto"/>
        </w:rPr>
        <w:t>=</w:t>
      </w:r>
      <w:r w:rsidR="003E359F" w:rsidRPr="00F340F6">
        <w:rPr>
          <w:color w:val="auto"/>
        </w:rPr>
        <w:t xml:space="preserve"> </w:t>
      </w:r>
      <w:r w:rsidRPr="00F340F6">
        <w:rPr>
          <w:color w:val="auto"/>
        </w:rPr>
        <w:t>14) and two adoptive parents (</w:t>
      </w:r>
      <w:r w:rsidRPr="00F340F6">
        <w:rPr>
          <w:i/>
          <w:color w:val="auto"/>
        </w:rPr>
        <w:t>n</w:t>
      </w:r>
      <w:r w:rsidR="003E359F" w:rsidRPr="00F340F6">
        <w:rPr>
          <w:color w:val="auto"/>
        </w:rPr>
        <w:t xml:space="preserve"> </w:t>
      </w:r>
      <w:r w:rsidRPr="00F340F6">
        <w:rPr>
          <w:color w:val="auto"/>
        </w:rPr>
        <w:t>=</w:t>
      </w:r>
      <w:r w:rsidR="003E359F" w:rsidRPr="00F340F6">
        <w:rPr>
          <w:color w:val="auto"/>
        </w:rPr>
        <w:t xml:space="preserve"> </w:t>
      </w:r>
      <w:r w:rsidRPr="00F340F6">
        <w:rPr>
          <w:color w:val="auto"/>
        </w:rPr>
        <w:t>2); and, 3) the combined categories of single-mother (</w:t>
      </w:r>
      <w:r w:rsidRPr="00F340F6">
        <w:rPr>
          <w:i/>
          <w:color w:val="auto"/>
        </w:rPr>
        <w:t>n</w:t>
      </w:r>
      <w:r w:rsidR="003E359F" w:rsidRPr="00F340F6">
        <w:rPr>
          <w:color w:val="auto"/>
        </w:rPr>
        <w:t xml:space="preserve"> </w:t>
      </w:r>
      <w:r w:rsidRPr="00F340F6">
        <w:rPr>
          <w:color w:val="auto"/>
        </w:rPr>
        <w:t>=</w:t>
      </w:r>
      <w:r w:rsidR="003E359F" w:rsidRPr="00F340F6">
        <w:rPr>
          <w:color w:val="auto"/>
        </w:rPr>
        <w:t xml:space="preserve"> </w:t>
      </w:r>
      <w:r w:rsidRPr="00F340F6">
        <w:rPr>
          <w:color w:val="auto"/>
        </w:rPr>
        <w:t>180), single-father families (</w:t>
      </w:r>
      <w:r w:rsidRPr="00F340F6">
        <w:rPr>
          <w:i/>
          <w:color w:val="auto"/>
        </w:rPr>
        <w:t>n</w:t>
      </w:r>
      <w:r w:rsidR="003E359F" w:rsidRPr="00F340F6">
        <w:rPr>
          <w:color w:val="auto"/>
        </w:rPr>
        <w:t xml:space="preserve"> </w:t>
      </w:r>
      <w:r w:rsidRPr="00F340F6">
        <w:rPr>
          <w:color w:val="auto"/>
        </w:rPr>
        <w:t>=</w:t>
      </w:r>
      <w:r w:rsidR="003E359F" w:rsidRPr="00F340F6">
        <w:rPr>
          <w:color w:val="auto"/>
        </w:rPr>
        <w:t xml:space="preserve"> </w:t>
      </w:r>
      <w:r w:rsidRPr="00F340F6">
        <w:rPr>
          <w:color w:val="auto"/>
        </w:rPr>
        <w:t>22) and surrogate parents (</w:t>
      </w:r>
      <w:r w:rsidRPr="00F340F6">
        <w:rPr>
          <w:i/>
          <w:color w:val="auto"/>
        </w:rPr>
        <w:t>n</w:t>
      </w:r>
      <w:r w:rsidR="003E359F" w:rsidRPr="00F340F6">
        <w:rPr>
          <w:color w:val="auto"/>
        </w:rPr>
        <w:t xml:space="preserve"> </w:t>
      </w:r>
      <w:r w:rsidRPr="00F340F6">
        <w:rPr>
          <w:color w:val="auto"/>
        </w:rPr>
        <w:t>=</w:t>
      </w:r>
      <w:r w:rsidR="003E359F" w:rsidRPr="00F340F6">
        <w:rPr>
          <w:color w:val="auto"/>
        </w:rPr>
        <w:t xml:space="preserve"> </w:t>
      </w:r>
      <w:r w:rsidRPr="00F340F6">
        <w:rPr>
          <w:color w:val="auto"/>
        </w:rPr>
        <w:t xml:space="preserve">5). </w:t>
      </w:r>
      <w:r w:rsidR="003E359F" w:rsidRPr="00F340F6">
        <w:rPr>
          <w:color w:val="auto"/>
        </w:rPr>
        <w:t>We had no information about family composition for two adolescents.</w:t>
      </w:r>
    </w:p>
    <w:p w:rsidR="00BF2F0A" w:rsidRPr="00F340F6" w:rsidRDefault="006D033D" w:rsidP="00F340F6">
      <w:pPr>
        <w:suppressLineNumbers/>
        <w:spacing w:line="480" w:lineRule="auto"/>
        <w:ind w:firstLine="720"/>
        <w:rPr>
          <w:color w:val="auto"/>
        </w:rPr>
      </w:pPr>
      <w:r w:rsidRPr="00F340F6">
        <w:rPr>
          <w:i/>
          <w:color w:val="auto"/>
        </w:rPr>
        <w:t xml:space="preserve">Household instability and parental transitions </w:t>
      </w:r>
      <w:r w:rsidR="003E359F" w:rsidRPr="00F340F6">
        <w:rPr>
          <w:i/>
          <w:color w:val="auto"/>
        </w:rPr>
        <w:t xml:space="preserve">during </w:t>
      </w:r>
      <w:r w:rsidR="00F66068" w:rsidRPr="00F340F6">
        <w:rPr>
          <w:i/>
          <w:color w:val="auto"/>
        </w:rPr>
        <w:t>observation</w:t>
      </w:r>
      <w:r w:rsidR="003E359F" w:rsidRPr="00F340F6">
        <w:rPr>
          <w:i/>
          <w:color w:val="auto"/>
        </w:rPr>
        <w:t xml:space="preserve">. </w:t>
      </w:r>
      <w:r w:rsidR="00BF2F0A" w:rsidRPr="00F340F6">
        <w:rPr>
          <w:color w:val="auto"/>
        </w:rPr>
        <w:t xml:space="preserve">For the analysis of the number of romantic relationships, </w:t>
      </w:r>
      <w:r w:rsidR="003E359F" w:rsidRPr="00F340F6">
        <w:rPr>
          <w:color w:val="auto"/>
        </w:rPr>
        <w:t>we used the adolescents’ report</w:t>
      </w:r>
      <w:r w:rsidR="002E6B4D" w:rsidRPr="00F340F6">
        <w:rPr>
          <w:color w:val="auto"/>
        </w:rPr>
        <w:t>s</w:t>
      </w:r>
      <w:r w:rsidR="003E359F" w:rsidRPr="00F340F6">
        <w:rPr>
          <w:color w:val="auto"/>
        </w:rPr>
        <w:t xml:space="preserve"> of </w:t>
      </w:r>
      <w:r w:rsidR="00F6349E" w:rsidRPr="00F340F6">
        <w:rPr>
          <w:color w:val="auto"/>
        </w:rPr>
        <w:t>chang</w:t>
      </w:r>
      <w:r w:rsidR="00787F7F" w:rsidRPr="00F340F6">
        <w:rPr>
          <w:color w:val="auto"/>
        </w:rPr>
        <w:t xml:space="preserve">es in the household composition. </w:t>
      </w:r>
      <w:r w:rsidR="00BF2F0A" w:rsidRPr="00F340F6">
        <w:rPr>
          <w:color w:val="auto"/>
        </w:rPr>
        <w:t xml:space="preserve">This was divided into </w:t>
      </w:r>
      <w:r w:rsidR="003E359F" w:rsidRPr="00F340F6">
        <w:rPr>
          <w:color w:val="auto"/>
        </w:rPr>
        <w:t xml:space="preserve">three </w:t>
      </w:r>
      <w:r w:rsidR="00BF2F0A" w:rsidRPr="00F340F6">
        <w:rPr>
          <w:color w:val="auto"/>
        </w:rPr>
        <w:t>categories: 1) no family changes (</w:t>
      </w:r>
      <w:r w:rsidR="00BF2F0A" w:rsidRPr="00F340F6">
        <w:rPr>
          <w:i/>
          <w:color w:val="auto"/>
        </w:rPr>
        <w:t>n</w:t>
      </w:r>
      <w:r w:rsidR="003E359F" w:rsidRPr="00F340F6">
        <w:rPr>
          <w:color w:val="auto"/>
        </w:rPr>
        <w:t xml:space="preserve"> </w:t>
      </w:r>
      <w:r w:rsidR="00BF2F0A" w:rsidRPr="00F340F6">
        <w:rPr>
          <w:color w:val="auto"/>
        </w:rPr>
        <w:t>=</w:t>
      </w:r>
      <w:r w:rsidR="003E359F" w:rsidRPr="00F340F6">
        <w:rPr>
          <w:color w:val="auto"/>
        </w:rPr>
        <w:t xml:space="preserve"> </w:t>
      </w:r>
      <w:r w:rsidR="00F70D0D" w:rsidRPr="00F340F6">
        <w:rPr>
          <w:color w:val="auto"/>
        </w:rPr>
        <w:t>1,015</w:t>
      </w:r>
      <w:r w:rsidR="00BF2F0A" w:rsidRPr="00F340F6">
        <w:rPr>
          <w:color w:val="auto"/>
        </w:rPr>
        <w:t xml:space="preserve">), 2) </w:t>
      </w:r>
      <w:r w:rsidR="002E6B4D" w:rsidRPr="00F340F6">
        <w:rPr>
          <w:color w:val="auto"/>
        </w:rPr>
        <w:t xml:space="preserve">a </w:t>
      </w:r>
      <w:r w:rsidR="00BF2F0A" w:rsidRPr="00F340F6">
        <w:rPr>
          <w:color w:val="auto"/>
        </w:rPr>
        <w:t>biological parent moved out (</w:t>
      </w:r>
      <w:r w:rsidR="00BF2F0A" w:rsidRPr="00F340F6">
        <w:rPr>
          <w:i/>
          <w:color w:val="auto"/>
        </w:rPr>
        <w:t>n</w:t>
      </w:r>
      <w:r w:rsidR="003E359F" w:rsidRPr="00F340F6">
        <w:rPr>
          <w:color w:val="auto"/>
        </w:rPr>
        <w:t xml:space="preserve"> </w:t>
      </w:r>
      <w:r w:rsidR="00BF2F0A" w:rsidRPr="00F340F6">
        <w:rPr>
          <w:color w:val="auto"/>
        </w:rPr>
        <w:t>=</w:t>
      </w:r>
      <w:r w:rsidR="003E359F" w:rsidRPr="00F340F6">
        <w:rPr>
          <w:color w:val="auto"/>
        </w:rPr>
        <w:t xml:space="preserve"> </w:t>
      </w:r>
      <w:r w:rsidR="00F70D0D" w:rsidRPr="00F340F6">
        <w:rPr>
          <w:color w:val="auto"/>
        </w:rPr>
        <w:t>121</w:t>
      </w:r>
      <w:r w:rsidR="00BF2F0A" w:rsidRPr="00F340F6">
        <w:rPr>
          <w:color w:val="auto"/>
        </w:rPr>
        <w:t xml:space="preserve">), </w:t>
      </w:r>
      <w:r w:rsidR="003E359F" w:rsidRPr="00F340F6">
        <w:rPr>
          <w:color w:val="auto"/>
        </w:rPr>
        <w:t xml:space="preserve">and finally, </w:t>
      </w:r>
      <w:r w:rsidR="00BF2F0A" w:rsidRPr="00F340F6">
        <w:rPr>
          <w:color w:val="auto"/>
        </w:rPr>
        <w:t xml:space="preserve">3) </w:t>
      </w:r>
      <w:r w:rsidR="002E6B4D" w:rsidRPr="00F340F6">
        <w:rPr>
          <w:color w:val="auto"/>
        </w:rPr>
        <w:t xml:space="preserve">a </w:t>
      </w:r>
      <w:r w:rsidR="00B220EA" w:rsidRPr="00F340F6">
        <w:rPr>
          <w:color w:val="auto"/>
        </w:rPr>
        <w:t>step</w:t>
      </w:r>
      <w:r w:rsidR="00BF2F0A" w:rsidRPr="00F340F6">
        <w:rPr>
          <w:color w:val="auto"/>
        </w:rPr>
        <w:t>parent (</w:t>
      </w:r>
      <w:r w:rsidR="00BF2F0A" w:rsidRPr="00F340F6">
        <w:rPr>
          <w:i/>
          <w:color w:val="auto"/>
        </w:rPr>
        <w:t>n</w:t>
      </w:r>
      <w:r w:rsidR="003E359F" w:rsidRPr="00F340F6">
        <w:rPr>
          <w:color w:val="auto"/>
        </w:rPr>
        <w:t xml:space="preserve"> </w:t>
      </w:r>
      <w:r w:rsidR="00BF2F0A" w:rsidRPr="00F340F6">
        <w:rPr>
          <w:color w:val="auto"/>
        </w:rPr>
        <w:t>=</w:t>
      </w:r>
      <w:r w:rsidR="003E359F" w:rsidRPr="00F340F6">
        <w:rPr>
          <w:color w:val="auto"/>
        </w:rPr>
        <w:t xml:space="preserve"> </w:t>
      </w:r>
      <w:r w:rsidR="00F70D0D" w:rsidRPr="00F340F6">
        <w:rPr>
          <w:color w:val="auto"/>
        </w:rPr>
        <w:t>33</w:t>
      </w:r>
      <w:r w:rsidR="00B220EA" w:rsidRPr="00F340F6">
        <w:rPr>
          <w:color w:val="auto"/>
        </w:rPr>
        <w:t>) or step</w:t>
      </w:r>
      <w:r w:rsidR="00BF2F0A" w:rsidRPr="00F340F6">
        <w:rPr>
          <w:color w:val="auto"/>
        </w:rPr>
        <w:t>sibling (</w:t>
      </w:r>
      <w:r w:rsidR="00BF2F0A" w:rsidRPr="00F340F6">
        <w:rPr>
          <w:i/>
          <w:color w:val="auto"/>
        </w:rPr>
        <w:t>n</w:t>
      </w:r>
      <w:r w:rsidR="003E359F" w:rsidRPr="00F340F6">
        <w:rPr>
          <w:color w:val="auto"/>
        </w:rPr>
        <w:t xml:space="preserve"> </w:t>
      </w:r>
      <w:r w:rsidR="00BF2F0A" w:rsidRPr="00F340F6">
        <w:rPr>
          <w:color w:val="auto"/>
        </w:rPr>
        <w:t>=</w:t>
      </w:r>
      <w:r w:rsidR="003E359F" w:rsidRPr="00F340F6">
        <w:rPr>
          <w:color w:val="auto"/>
        </w:rPr>
        <w:t xml:space="preserve"> </w:t>
      </w:r>
      <w:r w:rsidR="00F70D0D" w:rsidRPr="00F340F6">
        <w:rPr>
          <w:color w:val="auto"/>
        </w:rPr>
        <w:t>14</w:t>
      </w:r>
      <w:r w:rsidR="00BF2F0A" w:rsidRPr="00F340F6">
        <w:rPr>
          <w:color w:val="auto"/>
        </w:rPr>
        <w:t>) moved in, combined into one category (</w:t>
      </w:r>
      <w:r w:rsidR="00BF2F0A" w:rsidRPr="00F340F6">
        <w:rPr>
          <w:i/>
          <w:color w:val="auto"/>
        </w:rPr>
        <w:t>n</w:t>
      </w:r>
      <w:r w:rsidR="003E359F" w:rsidRPr="00F340F6">
        <w:rPr>
          <w:color w:val="auto"/>
        </w:rPr>
        <w:t xml:space="preserve"> </w:t>
      </w:r>
      <w:r w:rsidR="00BF2F0A" w:rsidRPr="00F340F6">
        <w:rPr>
          <w:color w:val="auto"/>
        </w:rPr>
        <w:t>=</w:t>
      </w:r>
      <w:r w:rsidR="003E359F" w:rsidRPr="00F340F6">
        <w:rPr>
          <w:color w:val="auto"/>
        </w:rPr>
        <w:t xml:space="preserve"> </w:t>
      </w:r>
      <w:r w:rsidR="00F70D0D" w:rsidRPr="00F340F6">
        <w:rPr>
          <w:color w:val="auto"/>
        </w:rPr>
        <w:t xml:space="preserve">47). </w:t>
      </w:r>
      <w:r w:rsidR="00787F7F" w:rsidRPr="00F340F6">
        <w:rPr>
          <w:color w:val="auto"/>
        </w:rPr>
        <w:t>We did not consider the date of the parental divorce in our work but a performed check showed that over 50% of the adolescent reported divorce dates coincided with the reported date of a biological parent’s move out of the household. It appeared that</w:t>
      </w:r>
      <w:r w:rsidR="005231E7" w:rsidRPr="00F340F6">
        <w:rPr>
          <w:color w:val="auto"/>
        </w:rPr>
        <w:t>,</w:t>
      </w:r>
      <w:r w:rsidR="00787F7F" w:rsidRPr="00F340F6">
        <w:rPr>
          <w:color w:val="auto"/>
        </w:rPr>
        <w:t xml:space="preserve"> at least for our sample, the divorce date captured much more than </w:t>
      </w:r>
      <w:r w:rsidR="00787F7F" w:rsidRPr="00F340F6">
        <w:rPr>
          <w:color w:val="auto"/>
        </w:rPr>
        <w:lastRenderedPageBreak/>
        <w:t xml:space="preserve">just the parental legal separation. </w:t>
      </w:r>
      <w:r w:rsidR="00BF2F0A" w:rsidRPr="00F340F6">
        <w:rPr>
          <w:color w:val="auto"/>
        </w:rPr>
        <w:t xml:space="preserve">In the event history models, </w:t>
      </w:r>
      <w:r w:rsidR="00F70D0D" w:rsidRPr="00F340F6">
        <w:rPr>
          <w:color w:val="auto"/>
        </w:rPr>
        <w:t xml:space="preserve">the </w:t>
      </w:r>
      <w:r w:rsidR="00F6349E" w:rsidRPr="00F340F6">
        <w:rPr>
          <w:color w:val="auto"/>
        </w:rPr>
        <w:t xml:space="preserve">parental transitions </w:t>
      </w:r>
      <w:r w:rsidR="00F70D0D" w:rsidRPr="00F340F6">
        <w:rPr>
          <w:color w:val="auto"/>
        </w:rPr>
        <w:t xml:space="preserve">were </w:t>
      </w:r>
      <w:r w:rsidR="00BF2F0A" w:rsidRPr="00F340F6">
        <w:rPr>
          <w:color w:val="auto"/>
        </w:rPr>
        <w:t xml:space="preserve">measured using the </w:t>
      </w:r>
      <w:r w:rsidR="00F70D0D" w:rsidRPr="00F340F6">
        <w:rPr>
          <w:color w:val="auto"/>
        </w:rPr>
        <w:t xml:space="preserve">adolescent </w:t>
      </w:r>
      <w:r w:rsidR="00BF2F0A" w:rsidRPr="00F340F6">
        <w:rPr>
          <w:color w:val="auto"/>
        </w:rPr>
        <w:t xml:space="preserve">reported timing </w:t>
      </w:r>
      <w:r w:rsidRPr="00F340F6">
        <w:rPr>
          <w:color w:val="auto"/>
        </w:rPr>
        <w:t>(</w:t>
      </w:r>
      <w:r w:rsidR="00F07BC3" w:rsidRPr="00F340F6">
        <w:rPr>
          <w:color w:val="auto"/>
        </w:rPr>
        <w:t xml:space="preserve">the month in which it occurred) </w:t>
      </w:r>
      <w:r w:rsidR="00BF2F0A" w:rsidRPr="00F340F6">
        <w:rPr>
          <w:color w:val="auto"/>
        </w:rPr>
        <w:t xml:space="preserve">of </w:t>
      </w:r>
      <w:r w:rsidR="002535DD" w:rsidRPr="00F340F6">
        <w:rPr>
          <w:color w:val="auto"/>
        </w:rPr>
        <w:t>the followin</w:t>
      </w:r>
      <w:r w:rsidR="00B95C8E" w:rsidRPr="00F340F6">
        <w:rPr>
          <w:color w:val="auto"/>
        </w:rPr>
        <w:t>g events: 1</w:t>
      </w:r>
      <w:r w:rsidR="00BF2F0A" w:rsidRPr="00F340F6">
        <w:rPr>
          <w:color w:val="auto"/>
        </w:rPr>
        <w:t>) one</w:t>
      </w:r>
      <w:r w:rsidR="00F07BC3" w:rsidRPr="00F340F6">
        <w:rPr>
          <w:color w:val="auto"/>
        </w:rPr>
        <w:t xml:space="preserve"> of the biological parents </w:t>
      </w:r>
      <w:r w:rsidR="00B95C8E" w:rsidRPr="00F340F6">
        <w:rPr>
          <w:color w:val="auto"/>
        </w:rPr>
        <w:t>moved out</w:t>
      </w:r>
      <w:r w:rsidR="00230ADD" w:rsidRPr="00F340F6">
        <w:rPr>
          <w:color w:val="auto"/>
        </w:rPr>
        <w:t xml:space="preserve"> (</w:t>
      </w:r>
      <w:r w:rsidR="00230ADD" w:rsidRPr="00F340F6">
        <w:rPr>
          <w:i/>
          <w:color w:val="auto"/>
        </w:rPr>
        <w:t>n</w:t>
      </w:r>
      <w:r w:rsidR="00230ADD" w:rsidRPr="00F340F6">
        <w:rPr>
          <w:color w:val="auto"/>
        </w:rPr>
        <w:t xml:space="preserve"> = 121)</w:t>
      </w:r>
      <w:r w:rsidR="001D72E5" w:rsidRPr="00F340F6">
        <w:rPr>
          <w:color w:val="auto"/>
        </w:rPr>
        <w:t>;</w:t>
      </w:r>
      <w:r w:rsidR="00B95C8E" w:rsidRPr="00F340F6">
        <w:rPr>
          <w:color w:val="auto"/>
        </w:rPr>
        <w:t xml:space="preserve"> 2</w:t>
      </w:r>
      <w:r w:rsidR="00F07BC3" w:rsidRPr="00F340F6">
        <w:rPr>
          <w:color w:val="auto"/>
        </w:rPr>
        <w:t xml:space="preserve">) </w:t>
      </w:r>
      <w:r w:rsidR="002E6B4D" w:rsidRPr="00F340F6">
        <w:rPr>
          <w:color w:val="auto"/>
        </w:rPr>
        <w:t xml:space="preserve">the </w:t>
      </w:r>
      <w:r w:rsidR="00F07BC3" w:rsidRPr="00F340F6">
        <w:rPr>
          <w:color w:val="auto"/>
        </w:rPr>
        <w:t xml:space="preserve">father had </w:t>
      </w:r>
      <w:r w:rsidR="002E6B4D" w:rsidRPr="00F340F6">
        <w:rPr>
          <w:color w:val="auto"/>
        </w:rPr>
        <w:t>a</w:t>
      </w:r>
      <w:r w:rsidR="00F07BC3" w:rsidRPr="00F340F6">
        <w:rPr>
          <w:color w:val="auto"/>
        </w:rPr>
        <w:t xml:space="preserve"> new romantic partner</w:t>
      </w:r>
      <w:r w:rsidR="00230ADD" w:rsidRPr="00F340F6">
        <w:rPr>
          <w:color w:val="auto"/>
        </w:rPr>
        <w:t xml:space="preserve"> (</w:t>
      </w:r>
      <w:r w:rsidR="00230ADD" w:rsidRPr="00F340F6">
        <w:rPr>
          <w:i/>
          <w:color w:val="auto"/>
        </w:rPr>
        <w:t>n</w:t>
      </w:r>
      <w:r w:rsidR="00230ADD" w:rsidRPr="00F340F6">
        <w:rPr>
          <w:color w:val="auto"/>
        </w:rPr>
        <w:t xml:space="preserve"> = 115)</w:t>
      </w:r>
      <w:r w:rsidR="001D72E5" w:rsidRPr="00F340F6">
        <w:rPr>
          <w:color w:val="auto"/>
        </w:rPr>
        <w:t>;</w:t>
      </w:r>
      <w:r w:rsidR="002535DD" w:rsidRPr="00F340F6">
        <w:rPr>
          <w:color w:val="auto"/>
        </w:rPr>
        <w:t xml:space="preserve"> </w:t>
      </w:r>
      <w:r w:rsidR="00B95C8E" w:rsidRPr="00F340F6">
        <w:rPr>
          <w:color w:val="auto"/>
        </w:rPr>
        <w:t>and</w:t>
      </w:r>
      <w:r w:rsidR="001D72E5" w:rsidRPr="00F340F6">
        <w:rPr>
          <w:color w:val="auto"/>
        </w:rPr>
        <w:t>,</w:t>
      </w:r>
      <w:r w:rsidR="00B95C8E" w:rsidRPr="00F340F6">
        <w:rPr>
          <w:color w:val="auto"/>
        </w:rPr>
        <w:t xml:space="preserve"> 3</w:t>
      </w:r>
      <w:r w:rsidR="00F07BC3" w:rsidRPr="00F340F6">
        <w:rPr>
          <w:color w:val="auto"/>
        </w:rPr>
        <w:t xml:space="preserve">) </w:t>
      </w:r>
      <w:r w:rsidR="002E6B4D" w:rsidRPr="00F340F6">
        <w:rPr>
          <w:color w:val="auto"/>
        </w:rPr>
        <w:t xml:space="preserve">the </w:t>
      </w:r>
      <w:r w:rsidR="00F07BC3" w:rsidRPr="00F340F6">
        <w:rPr>
          <w:color w:val="auto"/>
        </w:rPr>
        <w:t xml:space="preserve">mother had </w:t>
      </w:r>
      <w:r w:rsidR="002E6B4D" w:rsidRPr="00F340F6">
        <w:rPr>
          <w:color w:val="auto"/>
        </w:rPr>
        <w:t>a</w:t>
      </w:r>
      <w:r w:rsidR="00E97593" w:rsidRPr="00F340F6">
        <w:rPr>
          <w:color w:val="auto"/>
        </w:rPr>
        <w:t xml:space="preserve"> new romantic partner</w:t>
      </w:r>
      <w:r w:rsidR="00230ADD" w:rsidRPr="00F340F6">
        <w:rPr>
          <w:color w:val="auto"/>
        </w:rPr>
        <w:t xml:space="preserve"> (</w:t>
      </w:r>
      <w:r w:rsidR="00230ADD" w:rsidRPr="00F340F6">
        <w:rPr>
          <w:i/>
          <w:color w:val="auto"/>
        </w:rPr>
        <w:t>n</w:t>
      </w:r>
      <w:r w:rsidR="00230ADD" w:rsidRPr="00F340F6">
        <w:rPr>
          <w:color w:val="auto"/>
        </w:rPr>
        <w:t xml:space="preserve"> = 124)</w:t>
      </w:r>
      <w:r w:rsidR="001D72E5" w:rsidRPr="00F340F6">
        <w:rPr>
          <w:color w:val="auto"/>
        </w:rPr>
        <w:t>.</w:t>
      </w:r>
    </w:p>
    <w:p w:rsidR="00BF2F0A" w:rsidRPr="00F340F6" w:rsidRDefault="009878D3" w:rsidP="00F340F6">
      <w:pPr>
        <w:autoSpaceDE w:val="0"/>
        <w:autoSpaceDN w:val="0"/>
        <w:adjustRightInd w:val="0"/>
        <w:spacing w:line="480" w:lineRule="auto"/>
        <w:ind w:firstLine="720"/>
        <w:rPr>
          <w:color w:val="auto"/>
        </w:rPr>
      </w:pPr>
      <w:r w:rsidRPr="00F340F6">
        <w:rPr>
          <w:i/>
          <w:color w:val="auto"/>
        </w:rPr>
        <w:t xml:space="preserve">Family assessment device. </w:t>
      </w:r>
      <w:r w:rsidR="005231E7" w:rsidRPr="00F340F6">
        <w:rPr>
          <w:color w:val="auto"/>
        </w:rPr>
        <w:t>W</w:t>
      </w:r>
      <w:r w:rsidR="00311C91" w:rsidRPr="00F340F6">
        <w:rPr>
          <w:color w:val="auto"/>
        </w:rPr>
        <w:t xml:space="preserve">e used the </w:t>
      </w:r>
      <w:r w:rsidR="00B61518" w:rsidRPr="00F340F6">
        <w:rPr>
          <w:color w:val="auto"/>
        </w:rPr>
        <w:t xml:space="preserve">parent-reported </w:t>
      </w:r>
      <w:r w:rsidR="00311C91" w:rsidRPr="00F340F6">
        <w:rPr>
          <w:color w:val="auto"/>
        </w:rPr>
        <w:t>General Functioning scale of the McMaster Family Assessment Device (Epstein, Baldwin, &amp; Bishop, 1983)</w:t>
      </w:r>
      <w:r w:rsidR="001D72E5" w:rsidRPr="00F340F6">
        <w:rPr>
          <w:color w:val="auto"/>
        </w:rPr>
        <w:t xml:space="preserve"> from the first wave of TRAILS</w:t>
      </w:r>
      <w:r w:rsidR="005231E7" w:rsidRPr="00F340F6">
        <w:rPr>
          <w:color w:val="auto"/>
        </w:rPr>
        <w:t xml:space="preserve"> to control for the quality of the family climate</w:t>
      </w:r>
      <w:r w:rsidR="00311C91" w:rsidRPr="00F340F6">
        <w:rPr>
          <w:color w:val="auto"/>
        </w:rPr>
        <w:t xml:space="preserve">. </w:t>
      </w:r>
      <w:r w:rsidR="0066789B" w:rsidRPr="00F340F6">
        <w:rPr>
          <w:color w:val="auto"/>
        </w:rPr>
        <w:t xml:space="preserve">The participating parent indicated how well a number of statements described the family (“We avoid talking about our worries and fears.”, “We cannot rely on each other.”). </w:t>
      </w:r>
      <w:r w:rsidR="00311C91" w:rsidRPr="00F340F6">
        <w:rPr>
          <w:color w:val="auto"/>
        </w:rPr>
        <w:t xml:space="preserve">A </w:t>
      </w:r>
      <w:r w:rsidR="00CD41CA" w:rsidRPr="00F340F6">
        <w:rPr>
          <w:color w:val="auto"/>
        </w:rPr>
        <w:t>low score on the scale indicated</w:t>
      </w:r>
      <w:r w:rsidR="00311C91" w:rsidRPr="00F340F6">
        <w:rPr>
          <w:color w:val="auto"/>
        </w:rPr>
        <w:t xml:space="preserve"> a healthy family </w:t>
      </w:r>
      <w:r w:rsidR="00CD41CA" w:rsidRPr="00F340F6">
        <w:rPr>
          <w:color w:val="auto"/>
        </w:rPr>
        <w:t>climate; a high score represented</w:t>
      </w:r>
      <w:r w:rsidR="00311C91" w:rsidRPr="00F340F6">
        <w:rPr>
          <w:color w:val="auto"/>
        </w:rPr>
        <w:t xml:space="preserve"> a dysfunctional family climate (</w:t>
      </w:r>
      <w:r w:rsidR="00CC6ABA" w:rsidRPr="00F340F6">
        <w:rPr>
          <w:color w:val="auto"/>
        </w:rPr>
        <w:t xml:space="preserve">range 1 to 4, </w:t>
      </w:r>
      <w:r w:rsidR="00311C91" w:rsidRPr="00F340F6">
        <w:rPr>
          <w:color w:val="auto"/>
        </w:rPr>
        <w:t>12-items, α</w:t>
      </w:r>
      <w:r w:rsidR="00DB7B44" w:rsidRPr="00F340F6">
        <w:rPr>
          <w:color w:val="auto"/>
        </w:rPr>
        <w:t xml:space="preserve"> </w:t>
      </w:r>
      <w:r w:rsidR="00311C91" w:rsidRPr="00F340F6">
        <w:rPr>
          <w:color w:val="auto"/>
        </w:rPr>
        <w:t>=</w:t>
      </w:r>
      <w:r w:rsidR="00DB7B44" w:rsidRPr="00F340F6">
        <w:rPr>
          <w:color w:val="auto"/>
        </w:rPr>
        <w:t xml:space="preserve"> </w:t>
      </w:r>
      <w:r w:rsidR="00311C91" w:rsidRPr="00F340F6">
        <w:rPr>
          <w:color w:val="auto"/>
        </w:rPr>
        <w:t>.85).</w:t>
      </w:r>
      <w:r w:rsidR="00DB7B44" w:rsidRPr="00F340F6">
        <w:rPr>
          <w:color w:val="auto"/>
        </w:rPr>
        <w:t xml:space="preserve"> </w:t>
      </w:r>
      <w:r w:rsidR="00EF3330" w:rsidRPr="00F340F6">
        <w:rPr>
          <w:color w:val="auto"/>
        </w:rPr>
        <w:t xml:space="preserve">Data were available for 1,427 </w:t>
      </w:r>
      <w:r w:rsidR="00462606" w:rsidRPr="00F340F6">
        <w:rPr>
          <w:color w:val="auto"/>
        </w:rPr>
        <w:t>youth</w:t>
      </w:r>
      <w:r w:rsidR="00EF3330" w:rsidRPr="00F340F6">
        <w:rPr>
          <w:color w:val="auto"/>
        </w:rPr>
        <w:t xml:space="preserve">. </w:t>
      </w:r>
      <w:r w:rsidR="0066789B" w:rsidRPr="00F340F6">
        <w:rPr>
          <w:color w:val="auto"/>
        </w:rPr>
        <w:t>T</w:t>
      </w:r>
      <w:r w:rsidR="002E6B4D" w:rsidRPr="00F340F6">
        <w:rPr>
          <w:color w:val="auto"/>
        </w:rPr>
        <w:t>he</w:t>
      </w:r>
      <w:r w:rsidR="00DB7B44" w:rsidRPr="00F340F6">
        <w:rPr>
          <w:color w:val="auto"/>
        </w:rPr>
        <w:t xml:space="preserve"> measure was standardized </w:t>
      </w:r>
      <w:r w:rsidR="00462606" w:rsidRPr="00F340F6">
        <w:rPr>
          <w:color w:val="auto"/>
        </w:rPr>
        <w:t xml:space="preserve">to </w:t>
      </w:r>
      <w:r w:rsidR="005E747D" w:rsidRPr="00F340F6">
        <w:rPr>
          <w:i/>
          <w:color w:val="auto"/>
        </w:rPr>
        <w:t>M</w:t>
      </w:r>
      <w:r w:rsidR="005E747D" w:rsidRPr="00F340F6">
        <w:rPr>
          <w:color w:val="auto"/>
        </w:rPr>
        <w:t xml:space="preserve"> = 0 and </w:t>
      </w:r>
      <w:r w:rsidR="005E747D" w:rsidRPr="00F340F6">
        <w:rPr>
          <w:i/>
          <w:color w:val="auto"/>
        </w:rPr>
        <w:t>SD</w:t>
      </w:r>
      <w:r w:rsidR="005E747D" w:rsidRPr="00F340F6">
        <w:rPr>
          <w:color w:val="auto"/>
        </w:rPr>
        <w:t xml:space="preserve"> = 1</w:t>
      </w:r>
      <w:r w:rsidR="00DB7B44" w:rsidRPr="00F340F6">
        <w:rPr>
          <w:color w:val="auto"/>
        </w:rPr>
        <w:t>.</w:t>
      </w:r>
    </w:p>
    <w:p w:rsidR="00BF2F0A" w:rsidRPr="00F340F6" w:rsidRDefault="00311C91" w:rsidP="00F340F6">
      <w:pPr>
        <w:pStyle w:val="CommentText"/>
        <w:spacing w:line="480" w:lineRule="auto"/>
        <w:ind w:firstLine="720"/>
        <w:rPr>
          <w:color w:val="auto"/>
          <w:sz w:val="24"/>
          <w:szCs w:val="24"/>
        </w:rPr>
      </w:pPr>
      <w:r w:rsidRPr="00F340F6">
        <w:rPr>
          <w:i/>
          <w:color w:val="auto"/>
          <w:sz w:val="24"/>
          <w:szCs w:val="24"/>
        </w:rPr>
        <w:t xml:space="preserve">Child and family characteristics. </w:t>
      </w:r>
      <w:r w:rsidR="00BF2F0A" w:rsidRPr="00F340F6">
        <w:rPr>
          <w:color w:val="auto"/>
          <w:sz w:val="24"/>
          <w:szCs w:val="24"/>
        </w:rPr>
        <w:t>The child characteristics include</w:t>
      </w:r>
      <w:r w:rsidR="00260D91" w:rsidRPr="00F340F6">
        <w:rPr>
          <w:color w:val="auto"/>
          <w:sz w:val="24"/>
          <w:szCs w:val="24"/>
        </w:rPr>
        <w:t>d</w:t>
      </w:r>
      <w:r w:rsidR="00BF2F0A" w:rsidRPr="00F340F6">
        <w:rPr>
          <w:color w:val="auto"/>
          <w:sz w:val="24"/>
          <w:szCs w:val="24"/>
        </w:rPr>
        <w:t xml:space="preserve"> </w:t>
      </w:r>
      <w:r w:rsidR="00BF2F0A" w:rsidRPr="00F340F6">
        <w:rPr>
          <w:i/>
          <w:color w:val="auto"/>
          <w:sz w:val="24"/>
          <w:szCs w:val="24"/>
        </w:rPr>
        <w:t>gender, age at the start of observation</w:t>
      </w:r>
      <w:r w:rsidR="00BF2F0A" w:rsidRPr="00F340F6">
        <w:rPr>
          <w:color w:val="auto"/>
          <w:sz w:val="24"/>
          <w:szCs w:val="24"/>
        </w:rPr>
        <w:t xml:space="preserve"> </w:t>
      </w:r>
      <w:r w:rsidR="005E747D" w:rsidRPr="00F340F6">
        <w:rPr>
          <w:color w:val="auto"/>
          <w:sz w:val="24"/>
          <w:szCs w:val="24"/>
        </w:rPr>
        <w:t xml:space="preserve">(standardized to </w:t>
      </w:r>
      <w:r w:rsidR="005E747D" w:rsidRPr="00F340F6">
        <w:rPr>
          <w:i/>
          <w:color w:val="auto"/>
          <w:sz w:val="24"/>
          <w:szCs w:val="24"/>
        </w:rPr>
        <w:t>M</w:t>
      </w:r>
      <w:r w:rsidR="005E747D" w:rsidRPr="00F340F6">
        <w:rPr>
          <w:color w:val="auto"/>
          <w:sz w:val="24"/>
          <w:szCs w:val="24"/>
        </w:rPr>
        <w:t xml:space="preserve"> = 0 and </w:t>
      </w:r>
      <w:r w:rsidR="005E747D" w:rsidRPr="00F340F6">
        <w:rPr>
          <w:i/>
          <w:color w:val="auto"/>
          <w:sz w:val="24"/>
          <w:szCs w:val="24"/>
        </w:rPr>
        <w:t>SD</w:t>
      </w:r>
      <w:r w:rsidR="005E747D" w:rsidRPr="00F340F6">
        <w:rPr>
          <w:color w:val="auto"/>
          <w:sz w:val="24"/>
          <w:szCs w:val="24"/>
        </w:rPr>
        <w:t xml:space="preserve"> = 1</w:t>
      </w:r>
      <w:r w:rsidR="00462606" w:rsidRPr="00F340F6">
        <w:rPr>
          <w:color w:val="auto"/>
          <w:sz w:val="24"/>
          <w:szCs w:val="24"/>
        </w:rPr>
        <w:t xml:space="preserve"> for the an</w:t>
      </w:r>
      <w:r w:rsidR="002906C2" w:rsidRPr="00F340F6">
        <w:rPr>
          <w:color w:val="auto"/>
          <w:sz w:val="24"/>
          <w:szCs w:val="24"/>
        </w:rPr>
        <w:t>alysis on count of relations</w:t>
      </w:r>
      <w:r w:rsidR="005E747D" w:rsidRPr="00F340F6">
        <w:rPr>
          <w:color w:val="auto"/>
          <w:sz w:val="24"/>
          <w:szCs w:val="24"/>
        </w:rPr>
        <w:t xml:space="preserve">), </w:t>
      </w:r>
      <w:r w:rsidR="00BF2F0A" w:rsidRPr="00F340F6">
        <w:rPr>
          <w:color w:val="auto"/>
          <w:sz w:val="24"/>
          <w:szCs w:val="24"/>
        </w:rPr>
        <w:t xml:space="preserve">and </w:t>
      </w:r>
      <w:r w:rsidR="00BF2F0A" w:rsidRPr="00F340F6">
        <w:rPr>
          <w:i/>
          <w:color w:val="auto"/>
          <w:sz w:val="24"/>
          <w:szCs w:val="24"/>
        </w:rPr>
        <w:t>ethnicity.</w:t>
      </w:r>
      <w:r w:rsidR="00260D91" w:rsidRPr="00F340F6">
        <w:rPr>
          <w:color w:val="auto"/>
          <w:sz w:val="24"/>
          <w:szCs w:val="24"/>
        </w:rPr>
        <w:t xml:space="preserve"> The</w:t>
      </w:r>
      <w:r w:rsidR="00BF2F0A" w:rsidRPr="00F340F6">
        <w:rPr>
          <w:color w:val="auto"/>
          <w:sz w:val="24"/>
          <w:szCs w:val="24"/>
        </w:rPr>
        <w:t>s</w:t>
      </w:r>
      <w:r w:rsidR="00260D91" w:rsidRPr="00F340F6">
        <w:rPr>
          <w:color w:val="auto"/>
          <w:sz w:val="24"/>
          <w:szCs w:val="24"/>
        </w:rPr>
        <w:t>e</w:t>
      </w:r>
      <w:r w:rsidR="00BF2F0A" w:rsidRPr="00F340F6">
        <w:rPr>
          <w:color w:val="auto"/>
          <w:sz w:val="24"/>
          <w:szCs w:val="24"/>
        </w:rPr>
        <w:t xml:space="preserve"> data </w:t>
      </w:r>
      <w:r w:rsidR="00260D91" w:rsidRPr="00F340F6">
        <w:rPr>
          <w:color w:val="auto"/>
          <w:sz w:val="24"/>
          <w:szCs w:val="24"/>
        </w:rPr>
        <w:t xml:space="preserve">were </w:t>
      </w:r>
      <w:r w:rsidR="00BF2F0A" w:rsidRPr="00F340F6">
        <w:rPr>
          <w:color w:val="auto"/>
          <w:sz w:val="24"/>
          <w:szCs w:val="24"/>
        </w:rPr>
        <w:t xml:space="preserve">collected </w:t>
      </w:r>
      <w:r w:rsidR="00CD5294" w:rsidRPr="00F340F6">
        <w:rPr>
          <w:color w:val="auto"/>
          <w:sz w:val="24"/>
          <w:szCs w:val="24"/>
        </w:rPr>
        <w:t xml:space="preserve">in the North of the Netherlands, </w:t>
      </w:r>
      <w:r w:rsidR="00BF2F0A" w:rsidRPr="00F340F6">
        <w:rPr>
          <w:color w:val="auto"/>
          <w:sz w:val="24"/>
          <w:szCs w:val="24"/>
        </w:rPr>
        <w:t xml:space="preserve">a region </w:t>
      </w:r>
      <w:r w:rsidR="00CD5294" w:rsidRPr="00F340F6">
        <w:rPr>
          <w:color w:val="auto"/>
          <w:sz w:val="24"/>
          <w:szCs w:val="24"/>
        </w:rPr>
        <w:t xml:space="preserve">with a relatively homogeneously native Dutch </w:t>
      </w:r>
      <w:r w:rsidR="00BF2F0A" w:rsidRPr="00F340F6">
        <w:rPr>
          <w:color w:val="auto"/>
          <w:sz w:val="24"/>
          <w:szCs w:val="24"/>
        </w:rPr>
        <w:t xml:space="preserve">population. </w:t>
      </w:r>
      <w:r w:rsidR="003676B4" w:rsidRPr="00F340F6">
        <w:rPr>
          <w:color w:val="auto"/>
          <w:sz w:val="24"/>
          <w:szCs w:val="24"/>
        </w:rPr>
        <w:t>In our models</w:t>
      </w:r>
      <w:r w:rsidR="00BF2F0A" w:rsidRPr="00F340F6">
        <w:rPr>
          <w:color w:val="auto"/>
          <w:sz w:val="24"/>
          <w:szCs w:val="24"/>
        </w:rPr>
        <w:t xml:space="preserve"> we controlled for ethnicity, including a dichotomous variable of whether respondents had a native Dutch (</w:t>
      </w:r>
      <w:r w:rsidR="00BF2F0A" w:rsidRPr="00F340F6">
        <w:rPr>
          <w:i/>
          <w:color w:val="auto"/>
          <w:sz w:val="24"/>
          <w:szCs w:val="24"/>
        </w:rPr>
        <w:t>n</w:t>
      </w:r>
      <w:r w:rsidR="00462606" w:rsidRPr="00F340F6">
        <w:rPr>
          <w:color w:val="auto"/>
          <w:sz w:val="24"/>
          <w:szCs w:val="24"/>
        </w:rPr>
        <w:t xml:space="preserve"> </w:t>
      </w:r>
      <w:r w:rsidR="00BF2F0A" w:rsidRPr="00F340F6">
        <w:rPr>
          <w:color w:val="auto"/>
          <w:sz w:val="24"/>
          <w:szCs w:val="24"/>
        </w:rPr>
        <w:t>=</w:t>
      </w:r>
      <w:r w:rsidR="00462606" w:rsidRPr="00F340F6">
        <w:rPr>
          <w:color w:val="auto"/>
          <w:sz w:val="24"/>
          <w:szCs w:val="24"/>
        </w:rPr>
        <w:t xml:space="preserve"> </w:t>
      </w:r>
      <w:r w:rsidR="007579BC" w:rsidRPr="00F340F6">
        <w:rPr>
          <w:color w:val="auto"/>
          <w:sz w:val="24"/>
          <w:szCs w:val="24"/>
        </w:rPr>
        <w:t>1,342</w:t>
      </w:r>
      <w:r w:rsidR="00BF2F0A" w:rsidRPr="00F340F6">
        <w:rPr>
          <w:color w:val="auto"/>
          <w:sz w:val="24"/>
          <w:szCs w:val="24"/>
        </w:rPr>
        <w:t xml:space="preserve">) or other </w:t>
      </w:r>
      <w:r w:rsidR="00CD5294" w:rsidRPr="00F340F6">
        <w:rPr>
          <w:color w:val="auto"/>
          <w:sz w:val="24"/>
          <w:szCs w:val="24"/>
        </w:rPr>
        <w:t xml:space="preserve">background </w:t>
      </w:r>
      <w:r w:rsidR="00BF2F0A" w:rsidRPr="00F340F6">
        <w:rPr>
          <w:color w:val="auto"/>
          <w:sz w:val="24"/>
          <w:szCs w:val="24"/>
        </w:rPr>
        <w:t>(</w:t>
      </w:r>
      <w:r w:rsidR="0066789B" w:rsidRPr="00F340F6">
        <w:rPr>
          <w:color w:val="auto"/>
          <w:sz w:val="24"/>
          <w:szCs w:val="24"/>
        </w:rPr>
        <w:t>Turkish, Moroccan, Surinames</w:t>
      </w:r>
      <w:r w:rsidR="000918A3" w:rsidRPr="00F340F6">
        <w:rPr>
          <w:color w:val="auto"/>
          <w:sz w:val="24"/>
          <w:szCs w:val="24"/>
        </w:rPr>
        <w:t>e, Antillean, Indonesian, other;</w:t>
      </w:r>
      <w:r w:rsidR="0066789B" w:rsidRPr="00F340F6">
        <w:rPr>
          <w:color w:val="auto"/>
          <w:sz w:val="24"/>
          <w:szCs w:val="24"/>
        </w:rPr>
        <w:t xml:space="preserve"> </w:t>
      </w:r>
      <w:r w:rsidR="00BF2F0A" w:rsidRPr="00F340F6">
        <w:rPr>
          <w:i/>
          <w:color w:val="auto"/>
          <w:sz w:val="24"/>
          <w:szCs w:val="24"/>
        </w:rPr>
        <w:t>n</w:t>
      </w:r>
      <w:r w:rsidR="00462606" w:rsidRPr="00F340F6">
        <w:rPr>
          <w:color w:val="auto"/>
          <w:sz w:val="24"/>
          <w:szCs w:val="24"/>
        </w:rPr>
        <w:t xml:space="preserve"> </w:t>
      </w:r>
      <w:r w:rsidR="00BF2F0A" w:rsidRPr="00F340F6">
        <w:rPr>
          <w:color w:val="auto"/>
          <w:sz w:val="24"/>
          <w:szCs w:val="24"/>
        </w:rPr>
        <w:t>=</w:t>
      </w:r>
      <w:r w:rsidR="00462606" w:rsidRPr="00F340F6">
        <w:rPr>
          <w:color w:val="auto"/>
          <w:sz w:val="24"/>
          <w:szCs w:val="24"/>
        </w:rPr>
        <w:t xml:space="preserve"> </w:t>
      </w:r>
      <w:r w:rsidR="007579BC" w:rsidRPr="00F340F6">
        <w:rPr>
          <w:color w:val="auto"/>
          <w:sz w:val="24"/>
          <w:szCs w:val="24"/>
        </w:rPr>
        <w:t>171</w:t>
      </w:r>
      <w:r w:rsidR="00BF2F0A" w:rsidRPr="00F340F6">
        <w:rPr>
          <w:color w:val="auto"/>
          <w:sz w:val="24"/>
          <w:szCs w:val="24"/>
        </w:rPr>
        <w:t xml:space="preserve">). </w:t>
      </w:r>
      <w:r w:rsidR="00C14F62" w:rsidRPr="00F340F6">
        <w:rPr>
          <w:color w:val="auto"/>
          <w:sz w:val="24"/>
          <w:szCs w:val="24"/>
        </w:rPr>
        <w:t xml:space="preserve">We included a time-varying </w:t>
      </w:r>
      <w:r w:rsidR="0066789B" w:rsidRPr="00F340F6">
        <w:rPr>
          <w:color w:val="auto"/>
          <w:sz w:val="24"/>
          <w:szCs w:val="24"/>
        </w:rPr>
        <w:t xml:space="preserve">variable for </w:t>
      </w:r>
      <w:r w:rsidR="00C14F62" w:rsidRPr="00F340F6">
        <w:rPr>
          <w:color w:val="auto"/>
          <w:sz w:val="24"/>
          <w:szCs w:val="24"/>
        </w:rPr>
        <w:t>age</w:t>
      </w:r>
      <w:r w:rsidR="000918A3" w:rsidRPr="00F340F6">
        <w:rPr>
          <w:color w:val="auto"/>
          <w:sz w:val="24"/>
          <w:szCs w:val="24"/>
        </w:rPr>
        <w:t>,</w:t>
      </w:r>
      <w:r w:rsidR="00C14F62" w:rsidRPr="00F340F6">
        <w:rPr>
          <w:color w:val="auto"/>
          <w:sz w:val="24"/>
          <w:szCs w:val="24"/>
        </w:rPr>
        <w:t xml:space="preserve"> based on the age at start of observation and </w:t>
      </w:r>
      <w:r w:rsidR="000918A3" w:rsidRPr="00F340F6">
        <w:rPr>
          <w:color w:val="auto"/>
          <w:sz w:val="24"/>
          <w:szCs w:val="24"/>
        </w:rPr>
        <w:t xml:space="preserve">increasing </w:t>
      </w:r>
      <w:r w:rsidR="00C14F62" w:rsidRPr="00F340F6">
        <w:rPr>
          <w:color w:val="auto"/>
          <w:sz w:val="24"/>
          <w:szCs w:val="24"/>
        </w:rPr>
        <w:t>with each month of observation</w:t>
      </w:r>
      <w:r w:rsidR="000918A3" w:rsidRPr="00F340F6">
        <w:rPr>
          <w:color w:val="auto"/>
          <w:sz w:val="24"/>
          <w:szCs w:val="24"/>
        </w:rPr>
        <w:t>,</w:t>
      </w:r>
      <w:r w:rsidR="00462606" w:rsidRPr="00F340F6">
        <w:rPr>
          <w:color w:val="auto"/>
          <w:sz w:val="24"/>
          <w:szCs w:val="24"/>
        </w:rPr>
        <w:t xml:space="preserve"> </w:t>
      </w:r>
      <w:r w:rsidR="000918A3" w:rsidRPr="00F340F6">
        <w:rPr>
          <w:color w:val="auto"/>
          <w:sz w:val="24"/>
          <w:szCs w:val="24"/>
        </w:rPr>
        <w:t>in</w:t>
      </w:r>
      <w:r w:rsidR="00462606" w:rsidRPr="00F340F6">
        <w:rPr>
          <w:color w:val="auto"/>
          <w:sz w:val="24"/>
          <w:szCs w:val="24"/>
        </w:rPr>
        <w:t xml:space="preserve"> the analysis on the initiation of a relationship</w:t>
      </w:r>
      <w:r w:rsidR="00C14F62" w:rsidRPr="00F340F6">
        <w:rPr>
          <w:color w:val="auto"/>
          <w:sz w:val="24"/>
          <w:szCs w:val="24"/>
        </w:rPr>
        <w:t xml:space="preserve">. </w:t>
      </w:r>
      <w:r w:rsidR="003676B4" w:rsidRPr="00F340F6">
        <w:rPr>
          <w:color w:val="auto"/>
          <w:sz w:val="24"/>
          <w:szCs w:val="24"/>
        </w:rPr>
        <w:t>W</w:t>
      </w:r>
      <w:r w:rsidR="00C14F62" w:rsidRPr="00F340F6">
        <w:rPr>
          <w:color w:val="auto"/>
          <w:sz w:val="24"/>
          <w:szCs w:val="24"/>
        </w:rPr>
        <w:t xml:space="preserve">e </w:t>
      </w:r>
      <w:r w:rsidR="00BF2F0A" w:rsidRPr="00F340F6">
        <w:rPr>
          <w:color w:val="auto"/>
          <w:sz w:val="24"/>
          <w:szCs w:val="24"/>
        </w:rPr>
        <w:t>controlled for family characteristics by including</w:t>
      </w:r>
      <w:r w:rsidR="00BF2F0A" w:rsidRPr="00F340F6">
        <w:rPr>
          <w:i/>
          <w:color w:val="auto"/>
          <w:sz w:val="24"/>
          <w:szCs w:val="24"/>
        </w:rPr>
        <w:t xml:space="preserve"> father’s highest educational level</w:t>
      </w:r>
      <w:r w:rsidR="00F56746" w:rsidRPr="00F340F6">
        <w:rPr>
          <w:color w:val="auto"/>
          <w:sz w:val="24"/>
          <w:szCs w:val="24"/>
        </w:rPr>
        <w:t>. Due to the fact that the Netherlands can be described as adhering to the male breadwinner model (Esping-Andersen, 1990), we included paternal education as a proxy for the family’s</w:t>
      </w:r>
      <w:r w:rsidR="00313BFD" w:rsidRPr="00F340F6">
        <w:rPr>
          <w:color w:val="auto"/>
          <w:sz w:val="24"/>
          <w:szCs w:val="24"/>
        </w:rPr>
        <w:t xml:space="preserve"> </w:t>
      </w:r>
      <w:r w:rsidR="00F56746" w:rsidRPr="00F340F6">
        <w:rPr>
          <w:color w:val="auto"/>
          <w:sz w:val="24"/>
          <w:szCs w:val="24"/>
        </w:rPr>
        <w:t xml:space="preserve">socioeconomic status. This measure </w:t>
      </w:r>
      <w:r w:rsidR="003676B4" w:rsidRPr="00F340F6">
        <w:rPr>
          <w:color w:val="auto"/>
          <w:sz w:val="24"/>
          <w:szCs w:val="24"/>
        </w:rPr>
        <w:t>wa</w:t>
      </w:r>
      <w:r w:rsidR="00BF2F0A" w:rsidRPr="00F340F6">
        <w:rPr>
          <w:color w:val="auto"/>
          <w:sz w:val="24"/>
          <w:szCs w:val="24"/>
        </w:rPr>
        <w:t xml:space="preserve">s combined into </w:t>
      </w:r>
      <w:r w:rsidR="008942B2" w:rsidRPr="00F340F6">
        <w:rPr>
          <w:color w:val="auto"/>
          <w:sz w:val="24"/>
          <w:szCs w:val="24"/>
        </w:rPr>
        <w:t>three categories</w:t>
      </w:r>
      <w:r w:rsidR="00BF2F0A" w:rsidRPr="00F340F6">
        <w:rPr>
          <w:color w:val="auto"/>
          <w:sz w:val="24"/>
          <w:szCs w:val="24"/>
        </w:rPr>
        <w:t xml:space="preserve">: 1) those with low educational levels of elementary </w:t>
      </w:r>
      <w:r w:rsidR="00BF2F0A" w:rsidRPr="00F340F6">
        <w:rPr>
          <w:color w:val="auto"/>
          <w:sz w:val="24"/>
          <w:szCs w:val="24"/>
        </w:rPr>
        <w:lastRenderedPageBreak/>
        <w:t>or lower tracks of secondary education</w:t>
      </w:r>
      <w:r w:rsidR="00BA75B3" w:rsidRPr="00F340F6">
        <w:rPr>
          <w:color w:val="auto"/>
          <w:sz w:val="24"/>
          <w:szCs w:val="24"/>
        </w:rPr>
        <w:t xml:space="preserve"> (</w:t>
      </w:r>
      <w:r w:rsidR="00BA75B3" w:rsidRPr="00F340F6">
        <w:rPr>
          <w:i/>
          <w:color w:val="auto"/>
          <w:sz w:val="24"/>
          <w:szCs w:val="24"/>
        </w:rPr>
        <w:t>n</w:t>
      </w:r>
      <w:r w:rsidR="00BA75B3" w:rsidRPr="00F340F6">
        <w:rPr>
          <w:color w:val="auto"/>
          <w:sz w:val="24"/>
          <w:szCs w:val="24"/>
        </w:rPr>
        <w:t xml:space="preserve"> = 373</w:t>
      </w:r>
      <w:r w:rsidR="000F6CA2" w:rsidRPr="00F340F6">
        <w:rPr>
          <w:color w:val="auto"/>
          <w:sz w:val="24"/>
          <w:szCs w:val="24"/>
        </w:rPr>
        <w:t>; referred to as “low education”</w:t>
      </w:r>
      <w:r w:rsidR="003676B4" w:rsidRPr="00F340F6">
        <w:rPr>
          <w:color w:val="auto"/>
          <w:sz w:val="24"/>
          <w:szCs w:val="24"/>
        </w:rPr>
        <w:t xml:space="preserve"> hereafter</w:t>
      </w:r>
      <w:r w:rsidR="00BA75B3" w:rsidRPr="00F340F6">
        <w:rPr>
          <w:color w:val="auto"/>
          <w:sz w:val="24"/>
          <w:szCs w:val="24"/>
        </w:rPr>
        <w:t>)</w:t>
      </w:r>
      <w:r w:rsidR="00F050DD" w:rsidRPr="00F340F6">
        <w:rPr>
          <w:color w:val="auto"/>
          <w:sz w:val="24"/>
          <w:szCs w:val="24"/>
        </w:rPr>
        <w:t xml:space="preserve">; </w:t>
      </w:r>
      <w:r w:rsidR="00BF2F0A" w:rsidRPr="00F340F6">
        <w:rPr>
          <w:color w:val="auto"/>
          <w:sz w:val="24"/>
          <w:szCs w:val="24"/>
        </w:rPr>
        <w:t>2) higher tracks of secondary education</w:t>
      </w:r>
      <w:r w:rsidR="00BA75B3" w:rsidRPr="00F340F6">
        <w:rPr>
          <w:color w:val="auto"/>
          <w:sz w:val="24"/>
          <w:szCs w:val="24"/>
        </w:rPr>
        <w:t xml:space="preserve"> (</w:t>
      </w:r>
      <w:r w:rsidR="00BA75B3" w:rsidRPr="00F340F6">
        <w:rPr>
          <w:i/>
          <w:color w:val="auto"/>
          <w:sz w:val="24"/>
          <w:szCs w:val="24"/>
        </w:rPr>
        <w:t>n</w:t>
      </w:r>
      <w:r w:rsidR="00BA75B3" w:rsidRPr="00F340F6">
        <w:rPr>
          <w:color w:val="auto"/>
          <w:sz w:val="24"/>
          <w:szCs w:val="24"/>
        </w:rPr>
        <w:t xml:space="preserve"> = 414</w:t>
      </w:r>
      <w:r w:rsidR="000F6CA2" w:rsidRPr="00F340F6">
        <w:rPr>
          <w:color w:val="auto"/>
          <w:sz w:val="24"/>
          <w:szCs w:val="24"/>
        </w:rPr>
        <w:t>; referred to as “middle education”</w:t>
      </w:r>
      <w:r w:rsidR="00BA75B3" w:rsidRPr="00F340F6">
        <w:rPr>
          <w:color w:val="auto"/>
          <w:sz w:val="24"/>
          <w:szCs w:val="24"/>
        </w:rPr>
        <w:t>)</w:t>
      </w:r>
      <w:r w:rsidR="00BF2F0A" w:rsidRPr="00F340F6">
        <w:rPr>
          <w:color w:val="auto"/>
          <w:sz w:val="24"/>
          <w:szCs w:val="24"/>
        </w:rPr>
        <w:t>; and, 3) senior vocational education or University education</w:t>
      </w:r>
      <w:r w:rsidR="00BA75B3" w:rsidRPr="00F340F6">
        <w:rPr>
          <w:color w:val="auto"/>
          <w:sz w:val="24"/>
          <w:szCs w:val="24"/>
        </w:rPr>
        <w:t xml:space="preserve"> (</w:t>
      </w:r>
      <w:r w:rsidR="00BA75B3" w:rsidRPr="00F340F6">
        <w:rPr>
          <w:i/>
          <w:color w:val="auto"/>
          <w:sz w:val="24"/>
          <w:szCs w:val="24"/>
        </w:rPr>
        <w:t>n</w:t>
      </w:r>
      <w:r w:rsidR="00BA75B3" w:rsidRPr="00F340F6">
        <w:rPr>
          <w:color w:val="auto"/>
          <w:sz w:val="24"/>
          <w:szCs w:val="24"/>
        </w:rPr>
        <w:t xml:space="preserve"> = 510</w:t>
      </w:r>
      <w:r w:rsidR="000F6CA2" w:rsidRPr="00F340F6">
        <w:rPr>
          <w:color w:val="auto"/>
          <w:sz w:val="24"/>
          <w:szCs w:val="24"/>
        </w:rPr>
        <w:t>; referred to as “high education</w:t>
      </w:r>
      <w:r w:rsidR="003676B4" w:rsidRPr="00F340F6">
        <w:rPr>
          <w:color w:val="auto"/>
          <w:sz w:val="24"/>
          <w:szCs w:val="24"/>
        </w:rPr>
        <w:t>”</w:t>
      </w:r>
      <w:r w:rsidR="00BA75B3" w:rsidRPr="00F340F6">
        <w:rPr>
          <w:color w:val="auto"/>
          <w:sz w:val="24"/>
          <w:szCs w:val="24"/>
        </w:rPr>
        <w:t>)</w:t>
      </w:r>
      <w:r w:rsidR="00BF2F0A" w:rsidRPr="00F340F6">
        <w:rPr>
          <w:color w:val="auto"/>
          <w:sz w:val="24"/>
          <w:szCs w:val="24"/>
        </w:rPr>
        <w:t xml:space="preserve">. </w:t>
      </w:r>
      <w:r w:rsidR="00C7588C" w:rsidRPr="00F340F6">
        <w:rPr>
          <w:color w:val="auto"/>
          <w:sz w:val="24"/>
          <w:szCs w:val="24"/>
        </w:rPr>
        <w:t>Analyses were also performed with maternal education with no substantial changes to the results.</w:t>
      </w:r>
    </w:p>
    <w:p w:rsidR="00CF6FB7" w:rsidRPr="00F340F6" w:rsidRDefault="00CF6FB7" w:rsidP="00F340F6">
      <w:pPr>
        <w:autoSpaceDE w:val="0"/>
        <w:autoSpaceDN w:val="0"/>
        <w:adjustRightInd w:val="0"/>
        <w:spacing w:line="480" w:lineRule="auto"/>
        <w:rPr>
          <w:i/>
          <w:color w:val="auto"/>
        </w:rPr>
      </w:pPr>
      <w:r w:rsidRPr="00F340F6">
        <w:rPr>
          <w:i/>
          <w:color w:val="auto"/>
        </w:rPr>
        <w:t>Analytical strategy</w:t>
      </w:r>
    </w:p>
    <w:p w:rsidR="0067625F" w:rsidRPr="00F340F6" w:rsidRDefault="00C9150F" w:rsidP="00F340F6">
      <w:pPr>
        <w:autoSpaceDE w:val="0"/>
        <w:autoSpaceDN w:val="0"/>
        <w:adjustRightInd w:val="0"/>
        <w:spacing w:line="480" w:lineRule="auto"/>
        <w:ind w:firstLine="720"/>
        <w:rPr>
          <w:color w:val="auto"/>
        </w:rPr>
      </w:pPr>
      <w:r w:rsidRPr="00F340F6">
        <w:rPr>
          <w:color w:val="auto"/>
        </w:rPr>
        <w:t>We performed t</w:t>
      </w:r>
      <w:r w:rsidR="00D23790" w:rsidRPr="00F340F6">
        <w:rPr>
          <w:color w:val="auto"/>
        </w:rPr>
        <w:t xml:space="preserve">wo sets of analyses. First, </w:t>
      </w:r>
      <w:r w:rsidR="00887AD0" w:rsidRPr="00F340F6">
        <w:rPr>
          <w:color w:val="auto"/>
        </w:rPr>
        <w:t xml:space="preserve">similarly to Cavanagh et al. (2008), </w:t>
      </w:r>
      <w:r w:rsidR="00D23790" w:rsidRPr="00F340F6">
        <w:rPr>
          <w:color w:val="auto"/>
        </w:rPr>
        <w:t xml:space="preserve">we studied the association between family structure history and instability and the number of adolescent romantic relationships. </w:t>
      </w:r>
      <w:r w:rsidR="003009C7" w:rsidRPr="00F340F6">
        <w:rPr>
          <w:color w:val="auto"/>
        </w:rPr>
        <w:t xml:space="preserve">We used </w:t>
      </w:r>
      <w:r w:rsidR="00E97593" w:rsidRPr="00F340F6">
        <w:rPr>
          <w:color w:val="auto"/>
        </w:rPr>
        <w:t>count data hurdle model</w:t>
      </w:r>
      <w:r w:rsidR="00426526" w:rsidRPr="00F340F6">
        <w:rPr>
          <w:color w:val="auto"/>
        </w:rPr>
        <w:t>s</w:t>
      </w:r>
      <w:r w:rsidR="00E97593" w:rsidRPr="00F340F6">
        <w:rPr>
          <w:color w:val="auto"/>
        </w:rPr>
        <w:t xml:space="preserve"> (Mullahy, 1986)</w:t>
      </w:r>
      <w:r w:rsidR="005E747D" w:rsidRPr="00F340F6">
        <w:rPr>
          <w:color w:val="auto"/>
        </w:rPr>
        <w:t xml:space="preserve"> </w:t>
      </w:r>
      <w:r w:rsidR="003009C7" w:rsidRPr="00F340F6">
        <w:rPr>
          <w:color w:val="auto"/>
        </w:rPr>
        <w:t>to examine the effect</w:t>
      </w:r>
      <w:r w:rsidR="00AC6519" w:rsidRPr="00F340F6">
        <w:rPr>
          <w:color w:val="auto"/>
        </w:rPr>
        <w:t>s</w:t>
      </w:r>
      <w:r w:rsidR="003009C7" w:rsidRPr="00F340F6">
        <w:rPr>
          <w:color w:val="auto"/>
        </w:rPr>
        <w:t xml:space="preserve"> of family structure history and instability on the </w:t>
      </w:r>
      <w:r w:rsidR="00C81AD7" w:rsidRPr="00F340F6">
        <w:rPr>
          <w:color w:val="auto"/>
        </w:rPr>
        <w:t>number</w:t>
      </w:r>
      <w:r w:rsidR="003009C7" w:rsidRPr="00F340F6">
        <w:rPr>
          <w:color w:val="auto"/>
        </w:rPr>
        <w:t xml:space="preserve"> of </w:t>
      </w:r>
      <w:r w:rsidR="0000477A" w:rsidRPr="00F340F6">
        <w:rPr>
          <w:color w:val="auto"/>
        </w:rPr>
        <w:t xml:space="preserve">adolescent </w:t>
      </w:r>
      <w:r w:rsidR="00E97593" w:rsidRPr="00F340F6">
        <w:rPr>
          <w:color w:val="auto"/>
        </w:rPr>
        <w:t>romantic relationships</w:t>
      </w:r>
      <w:r w:rsidR="00265356" w:rsidRPr="00F340F6">
        <w:rPr>
          <w:color w:val="auto"/>
        </w:rPr>
        <w:t xml:space="preserve">. </w:t>
      </w:r>
      <w:r w:rsidR="00E97593" w:rsidRPr="00F340F6">
        <w:rPr>
          <w:color w:val="auto"/>
        </w:rPr>
        <w:t>The hurdle model is a two-part model. The first part is a binary outcome model, where a zero or a positive outcome is modeled (never dated vs dated at least on</w:t>
      </w:r>
      <w:r w:rsidR="00426526" w:rsidRPr="00F340F6">
        <w:rPr>
          <w:color w:val="auto"/>
        </w:rPr>
        <w:t>ce</w:t>
      </w:r>
      <w:r w:rsidR="00AC6519" w:rsidRPr="00F340F6">
        <w:rPr>
          <w:color w:val="auto"/>
        </w:rPr>
        <w:t>)</w:t>
      </w:r>
      <w:r w:rsidR="00E97593" w:rsidRPr="00F340F6">
        <w:rPr>
          <w:color w:val="auto"/>
        </w:rPr>
        <w:t xml:space="preserve"> and the second part is a truncated count data model, conditional on a positive outcome</w:t>
      </w:r>
      <w:r w:rsidR="00426526" w:rsidRPr="00F340F6">
        <w:rPr>
          <w:color w:val="auto"/>
        </w:rPr>
        <w:t xml:space="preserve"> from the first model</w:t>
      </w:r>
      <w:r w:rsidR="00E97593" w:rsidRPr="00F340F6">
        <w:rPr>
          <w:color w:val="auto"/>
        </w:rPr>
        <w:t xml:space="preserve">. </w:t>
      </w:r>
      <w:r w:rsidR="00DB7B44" w:rsidRPr="00F340F6">
        <w:rPr>
          <w:color w:val="auto"/>
        </w:rPr>
        <w:t xml:space="preserve">For ease of interpretation, we discuss the results in the form of percent change in expected count (calculated as </w:t>
      </w:r>
      <w:r w:rsidR="00A676C7" w:rsidRPr="00F340F6">
        <w:rPr>
          <w:bCs/>
          <w:color w:val="auto"/>
        </w:rPr>
        <w:t>(exp(b)-1)*100).</w:t>
      </w:r>
    </w:p>
    <w:p w:rsidR="00C64D75" w:rsidRPr="00F340F6" w:rsidRDefault="0067625F" w:rsidP="00F340F6">
      <w:pPr>
        <w:autoSpaceDE w:val="0"/>
        <w:autoSpaceDN w:val="0"/>
        <w:adjustRightInd w:val="0"/>
        <w:spacing w:line="480" w:lineRule="auto"/>
        <w:ind w:firstLine="720"/>
        <w:rPr>
          <w:color w:val="auto"/>
        </w:rPr>
      </w:pPr>
      <w:r w:rsidRPr="00F340F6">
        <w:rPr>
          <w:color w:val="auto"/>
        </w:rPr>
        <w:t xml:space="preserve"> </w:t>
      </w:r>
      <w:r w:rsidR="00377149" w:rsidRPr="00F340F6">
        <w:rPr>
          <w:color w:val="auto"/>
        </w:rPr>
        <w:t>In the second set of models, we adopted an event history framework and estimated a recurrent event discrete-time event model (Allison, 1982; Mills, 2011). In discrete-time models, the dependent variable is the probability of entering into a romantic relationship during the specified monthly interval (</w:t>
      </w:r>
      <w:r w:rsidR="00377149" w:rsidRPr="00F340F6">
        <w:rPr>
          <w:i/>
          <w:color w:val="auto"/>
        </w:rPr>
        <w:t>t</w:t>
      </w:r>
      <w:r w:rsidR="00377149" w:rsidRPr="00F340F6">
        <w:rPr>
          <w:color w:val="auto"/>
        </w:rPr>
        <w:t xml:space="preserve">), conditional on the fact that it did not occur before time </w:t>
      </w:r>
      <w:r w:rsidR="00377149" w:rsidRPr="00F340F6">
        <w:rPr>
          <w:i/>
          <w:color w:val="auto"/>
        </w:rPr>
        <w:t>t</w:t>
      </w:r>
      <w:r w:rsidR="00377149" w:rsidRPr="00F340F6">
        <w:rPr>
          <w:color w:val="auto"/>
        </w:rPr>
        <w:t>. In other words, the analysis examined the months until entry into a romantic relationship or right-</w:t>
      </w:r>
      <w:r w:rsidR="00074E63" w:rsidRPr="00F340F6">
        <w:rPr>
          <w:color w:val="auto"/>
        </w:rPr>
        <w:t>censoring</w:t>
      </w:r>
      <w:r w:rsidR="00377149" w:rsidRPr="00F340F6">
        <w:rPr>
          <w:color w:val="auto"/>
        </w:rPr>
        <w:t xml:space="preserve"> (event did not occur before the end of the observation period). For the transition to first romantic relationship, the risk period was defined as the period between the start of observation until </w:t>
      </w:r>
      <w:r w:rsidR="00074E63" w:rsidRPr="00F340F6">
        <w:rPr>
          <w:color w:val="auto"/>
        </w:rPr>
        <w:t xml:space="preserve">entry into first romantic relationship or right-censoring by the date of the interview. The higher order relationships were represented by the month after dissolution of the </w:t>
      </w:r>
      <w:r w:rsidR="00074E63" w:rsidRPr="00F340F6">
        <w:rPr>
          <w:color w:val="auto"/>
        </w:rPr>
        <w:lastRenderedPageBreak/>
        <w:t xml:space="preserve">previous relationship until entry into the next relationship or right-censoring. </w:t>
      </w:r>
      <w:r w:rsidR="00A676C7" w:rsidRPr="00F340F6">
        <w:rPr>
          <w:color w:val="auto"/>
        </w:rPr>
        <w:t>W</w:t>
      </w:r>
      <w:r w:rsidR="000F03E0" w:rsidRPr="00F340F6">
        <w:rPr>
          <w:color w:val="auto"/>
        </w:rPr>
        <w:t>e estimated a recurrent event model (Aalen, Borgan, &amp; Gjessing, 2008; Mills, 2011), with recurrent dating events nested within individuals</w:t>
      </w:r>
      <w:r w:rsidR="00A676C7" w:rsidRPr="00F340F6">
        <w:rPr>
          <w:color w:val="auto"/>
        </w:rPr>
        <w:t>, because adolescents could experience more than one romantic relationship</w:t>
      </w:r>
      <w:r w:rsidR="000F03E0" w:rsidRPr="00F340F6">
        <w:rPr>
          <w:color w:val="auto"/>
        </w:rPr>
        <w:t xml:space="preserve">. </w:t>
      </w:r>
      <w:r w:rsidR="00DE1C4D" w:rsidRPr="00F340F6">
        <w:rPr>
          <w:color w:val="auto"/>
        </w:rPr>
        <w:t>T</w:t>
      </w:r>
      <w:r w:rsidR="000F03E0" w:rsidRPr="00F340F6">
        <w:rPr>
          <w:color w:val="auto"/>
        </w:rPr>
        <w:t>he multiple dating events for the same adolescent might have been correlated due to the presence of unobserved individual-specific factors that affect</w:t>
      </w:r>
      <w:r w:rsidR="00DE1C4D" w:rsidRPr="00F340F6">
        <w:rPr>
          <w:color w:val="auto"/>
        </w:rPr>
        <w:t>ed</w:t>
      </w:r>
      <w:r w:rsidR="000F03E0" w:rsidRPr="00F340F6">
        <w:rPr>
          <w:color w:val="auto"/>
        </w:rPr>
        <w:t xml:space="preserve"> the occurrence of each event</w:t>
      </w:r>
      <w:r w:rsidR="00DE1C4D" w:rsidRPr="00F340F6">
        <w:rPr>
          <w:color w:val="auto"/>
        </w:rPr>
        <w:t>. Therefore</w:t>
      </w:r>
      <w:r w:rsidR="000F03E0" w:rsidRPr="00F340F6">
        <w:rPr>
          <w:color w:val="auto"/>
        </w:rPr>
        <w:t>, we estimated a recurrent event discrete-time complementary log-log (cloglog) model with random effects (Aalen, Borgan, &amp; Gjessing, 2008; Steele, 2005; Therneau &amp; Gambsch, 2000).</w:t>
      </w:r>
      <w:r w:rsidR="00DE1C4D" w:rsidRPr="00F340F6">
        <w:rPr>
          <w:color w:val="auto"/>
        </w:rPr>
        <w:t xml:space="preserve"> We utilized the cloglog link because we were only able to observe </w:t>
      </w:r>
      <w:r w:rsidR="00A67734" w:rsidRPr="00F340F6">
        <w:rPr>
          <w:color w:val="auto"/>
        </w:rPr>
        <w:t xml:space="preserve">time </w:t>
      </w:r>
      <w:r w:rsidR="00DE1C4D" w:rsidRPr="00F340F6">
        <w:rPr>
          <w:color w:val="auto"/>
        </w:rPr>
        <w:t>in grouped (monthly) form.</w:t>
      </w:r>
    </w:p>
    <w:p w:rsidR="005A0615" w:rsidRPr="00F340F6" w:rsidRDefault="005A0615" w:rsidP="00F340F6">
      <w:pPr>
        <w:pStyle w:val="CommentText"/>
        <w:spacing w:line="480" w:lineRule="auto"/>
        <w:ind w:firstLine="720"/>
        <w:rPr>
          <w:color w:val="auto"/>
          <w:sz w:val="24"/>
          <w:szCs w:val="24"/>
        </w:rPr>
      </w:pPr>
      <w:r w:rsidRPr="00F340F6">
        <w:rPr>
          <w:color w:val="auto"/>
          <w:sz w:val="24"/>
          <w:szCs w:val="24"/>
        </w:rPr>
        <w:t xml:space="preserve">In all models, paternal educational level was entered as ordered (“cascading”) dummy variables. </w:t>
      </w:r>
      <w:r w:rsidR="00783253" w:rsidRPr="00F340F6">
        <w:rPr>
          <w:color w:val="auto"/>
          <w:sz w:val="24"/>
          <w:szCs w:val="24"/>
        </w:rPr>
        <w:t>E</w:t>
      </w:r>
      <w:r w:rsidRPr="00F340F6">
        <w:rPr>
          <w:color w:val="auto"/>
          <w:sz w:val="24"/>
          <w:szCs w:val="24"/>
        </w:rPr>
        <w:t xml:space="preserve">ach dummy variable shows the amount of change between categories rather than the amount of change between the category of interest and the reference category. The first contrast in the analysis </w:t>
      </w:r>
      <w:r w:rsidR="00D14E97" w:rsidRPr="00F340F6">
        <w:rPr>
          <w:color w:val="auto"/>
          <w:sz w:val="24"/>
          <w:szCs w:val="24"/>
        </w:rPr>
        <w:t xml:space="preserve">then </w:t>
      </w:r>
      <w:r w:rsidRPr="00F340F6">
        <w:rPr>
          <w:color w:val="auto"/>
          <w:sz w:val="24"/>
          <w:szCs w:val="24"/>
        </w:rPr>
        <w:t xml:space="preserve">indicated the effect of having a father with low versus </w:t>
      </w:r>
      <w:r w:rsidR="00D14E97" w:rsidRPr="00F340F6">
        <w:rPr>
          <w:color w:val="auto"/>
          <w:sz w:val="24"/>
          <w:szCs w:val="24"/>
        </w:rPr>
        <w:t xml:space="preserve">higher-than-low </w:t>
      </w:r>
      <w:r w:rsidRPr="00F340F6">
        <w:rPr>
          <w:color w:val="auto"/>
          <w:sz w:val="24"/>
          <w:szCs w:val="24"/>
        </w:rPr>
        <w:t xml:space="preserve">education and the second contrast indicated the effect of having a father with </w:t>
      </w:r>
      <w:r w:rsidR="00D14E97" w:rsidRPr="00F340F6">
        <w:rPr>
          <w:color w:val="auto"/>
          <w:sz w:val="24"/>
          <w:szCs w:val="24"/>
        </w:rPr>
        <w:t xml:space="preserve">high versus not-high </w:t>
      </w:r>
      <w:r w:rsidRPr="00F340F6">
        <w:rPr>
          <w:color w:val="auto"/>
          <w:sz w:val="24"/>
          <w:szCs w:val="24"/>
        </w:rPr>
        <w:t>education.</w:t>
      </w:r>
      <w:r w:rsidR="00B8494A" w:rsidRPr="00F340F6">
        <w:rPr>
          <w:color w:val="auto"/>
          <w:sz w:val="24"/>
          <w:szCs w:val="24"/>
        </w:rPr>
        <w:t xml:space="preserve"> For more information, see Walter, Feinstein, and Wells (1987). </w:t>
      </w:r>
    </w:p>
    <w:p w:rsidR="00724A46" w:rsidRPr="00F340F6" w:rsidRDefault="00724A46" w:rsidP="00F340F6">
      <w:pPr>
        <w:spacing w:line="480" w:lineRule="auto"/>
        <w:jc w:val="center"/>
        <w:rPr>
          <w:color w:val="auto"/>
        </w:rPr>
      </w:pPr>
      <w:r w:rsidRPr="00F340F6">
        <w:rPr>
          <w:color w:val="auto"/>
        </w:rPr>
        <w:t>Results</w:t>
      </w:r>
    </w:p>
    <w:p w:rsidR="00C44FDD" w:rsidRPr="00F340F6" w:rsidRDefault="00C44FDD" w:rsidP="00F340F6">
      <w:pPr>
        <w:suppressLineNumbers/>
        <w:spacing w:line="480" w:lineRule="auto"/>
        <w:rPr>
          <w:i/>
          <w:color w:val="auto"/>
        </w:rPr>
      </w:pPr>
      <w:r w:rsidRPr="00F340F6">
        <w:rPr>
          <w:i/>
          <w:color w:val="auto"/>
        </w:rPr>
        <w:t>Descriptive analysis</w:t>
      </w:r>
    </w:p>
    <w:p w:rsidR="00C81AD7" w:rsidRPr="00F340F6" w:rsidRDefault="00C81AD7" w:rsidP="00F340F6">
      <w:pPr>
        <w:suppressLineNumbers/>
        <w:spacing w:line="480" w:lineRule="auto"/>
        <w:ind w:firstLine="720"/>
        <w:rPr>
          <w:color w:val="auto"/>
        </w:rPr>
      </w:pPr>
      <w:r w:rsidRPr="00F340F6">
        <w:rPr>
          <w:color w:val="auto"/>
        </w:rPr>
        <w:t xml:space="preserve">A total of 958 adolescents (63.3% of the EHC sample) reported having had at least one romantic relationship within the observation period. </w:t>
      </w:r>
      <w:r w:rsidR="00CD41CA" w:rsidRPr="00F340F6">
        <w:rPr>
          <w:color w:val="auto"/>
        </w:rPr>
        <w:t>Similar</w:t>
      </w:r>
      <w:r w:rsidR="00C06803" w:rsidRPr="00F340F6">
        <w:rPr>
          <w:color w:val="auto"/>
        </w:rPr>
        <w:t xml:space="preserve"> to the results reported by Cavanagh and colleagues (</w:t>
      </w:r>
      <w:r w:rsidR="0014487E" w:rsidRPr="00F340F6">
        <w:rPr>
          <w:color w:val="auto"/>
        </w:rPr>
        <w:t>2008), g</w:t>
      </w:r>
      <w:r w:rsidRPr="00F340F6">
        <w:rPr>
          <w:color w:val="auto"/>
        </w:rPr>
        <w:t xml:space="preserve">irls were more likely than boys to report </w:t>
      </w:r>
      <w:r w:rsidR="007829D2" w:rsidRPr="00F340F6">
        <w:rPr>
          <w:color w:val="auto"/>
        </w:rPr>
        <w:t>dating</w:t>
      </w:r>
      <w:r w:rsidRPr="00F340F6">
        <w:rPr>
          <w:color w:val="auto"/>
        </w:rPr>
        <w:t xml:space="preserve"> </w:t>
      </w:r>
      <w:r w:rsidR="007829D2" w:rsidRPr="00F340F6">
        <w:rPr>
          <w:color w:val="auto"/>
        </w:rPr>
        <w:t xml:space="preserve">experience </w:t>
      </w:r>
      <w:r w:rsidR="0014487E" w:rsidRPr="00F340F6">
        <w:rPr>
          <w:color w:val="auto"/>
        </w:rPr>
        <w:t>(</w:t>
      </w:r>
      <w:r w:rsidRPr="00F340F6">
        <w:rPr>
          <w:color w:val="auto"/>
        </w:rPr>
        <w:t>χ</w:t>
      </w:r>
      <w:r w:rsidRPr="00F340F6">
        <w:rPr>
          <w:color w:val="auto"/>
          <w:vertAlign w:val="superscript"/>
        </w:rPr>
        <w:t>2</w:t>
      </w:r>
      <w:r w:rsidRPr="00F340F6">
        <w:rPr>
          <w:color w:val="auto"/>
        </w:rPr>
        <w:t xml:space="preserve"> (1, </w:t>
      </w:r>
      <w:r w:rsidRPr="00F340F6">
        <w:rPr>
          <w:i/>
          <w:color w:val="auto"/>
        </w:rPr>
        <w:t>N</w:t>
      </w:r>
      <w:r w:rsidRPr="00F340F6">
        <w:rPr>
          <w:color w:val="auto"/>
        </w:rPr>
        <w:t xml:space="preserve"> = </w:t>
      </w:r>
      <w:r w:rsidR="007829D2" w:rsidRPr="00F340F6">
        <w:rPr>
          <w:color w:val="auto"/>
        </w:rPr>
        <w:t>1</w:t>
      </w:r>
      <w:r w:rsidR="00BE4CEE" w:rsidRPr="00F340F6">
        <w:rPr>
          <w:color w:val="auto"/>
        </w:rPr>
        <w:t>,</w:t>
      </w:r>
      <w:r w:rsidR="007829D2" w:rsidRPr="00F340F6">
        <w:rPr>
          <w:color w:val="auto"/>
        </w:rPr>
        <w:t>513</w:t>
      </w:r>
      <w:r w:rsidRPr="00F340F6">
        <w:rPr>
          <w:color w:val="auto"/>
        </w:rPr>
        <w:t xml:space="preserve">) = </w:t>
      </w:r>
      <w:r w:rsidR="007829D2" w:rsidRPr="00F340F6">
        <w:rPr>
          <w:color w:val="auto"/>
        </w:rPr>
        <w:t>16.99</w:t>
      </w:r>
      <w:r w:rsidRPr="00F340F6">
        <w:rPr>
          <w:color w:val="auto"/>
        </w:rPr>
        <w:t xml:space="preserve">, </w:t>
      </w:r>
      <w:r w:rsidRPr="00F340F6">
        <w:rPr>
          <w:i/>
          <w:color w:val="auto"/>
        </w:rPr>
        <w:t xml:space="preserve">p </w:t>
      </w:r>
      <w:r w:rsidR="0014487E" w:rsidRPr="00F340F6">
        <w:rPr>
          <w:color w:val="auto"/>
        </w:rPr>
        <w:t xml:space="preserve">&lt; .001) and older teens (at beginning of observation) were more likely to report having at least one relationship </w:t>
      </w:r>
      <w:r w:rsidR="008E7EFF" w:rsidRPr="00F340F6">
        <w:rPr>
          <w:color w:val="auto"/>
        </w:rPr>
        <w:t xml:space="preserve">than younger teens </w:t>
      </w:r>
      <w:r w:rsidR="0014487E" w:rsidRPr="00F340F6">
        <w:rPr>
          <w:color w:val="auto"/>
        </w:rPr>
        <w:t>(</w:t>
      </w:r>
      <w:r w:rsidR="0014487E" w:rsidRPr="00F340F6">
        <w:rPr>
          <w:i/>
          <w:color w:val="auto"/>
        </w:rPr>
        <w:t>t</w:t>
      </w:r>
      <w:r w:rsidR="0014487E" w:rsidRPr="00F340F6">
        <w:rPr>
          <w:color w:val="auto"/>
        </w:rPr>
        <w:t>(1</w:t>
      </w:r>
      <w:r w:rsidR="003A11CF" w:rsidRPr="00F340F6">
        <w:rPr>
          <w:color w:val="auto"/>
        </w:rPr>
        <w:t>,</w:t>
      </w:r>
      <w:r w:rsidR="0014487E" w:rsidRPr="00F340F6">
        <w:rPr>
          <w:color w:val="auto"/>
        </w:rPr>
        <w:t xml:space="preserve">391) = -5.09, </w:t>
      </w:r>
      <w:r w:rsidR="0014487E" w:rsidRPr="00F340F6">
        <w:rPr>
          <w:i/>
          <w:color w:val="auto"/>
        </w:rPr>
        <w:t>p</w:t>
      </w:r>
      <w:r w:rsidR="0014487E" w:rsidRPr="00F340F6">
        <w:rPr>
          <w:color w:val="auto"/>
        </w:rPr>
        <w:t xml:space="preserve"> &lt; .001</w:t>
      </w:r>
      <w:r w:rsidR="00727818" w:rsidRPr="00F340F6">
        <w:rPr>
          <w:color w:val="auto"/>
        </w:rPr>
        <w:t>, equal variances not assumed).</w:t>
      </w:r>
      <w:r w:rsidR="00187A20" w:rsidRPr="00F340F6">
        <w:rPr>
          <w:color w:val="auto"/>
        </w:rPr>
        <w:t xml:space="preserve"> </w:t>
      </w:r>
      <w:r w:rsidR="00EC6239" w:rsidRPr="00F340F6">
        <w:rPr>
          <w:color w:val="auto"/>
        </w:rPr>
        <w:t>A</w:t>
      </w:r>
      <w:r w:rsidR="003B039F" w:rsidRPr="00F340F6">
        <w:rPr>
          <w:color w:val="auto"/>
        </w:rPr>
        <w:t>n additionally performed check</w:t>
      </w:r>
      <w:r w:rsidR="00EC6239" w:rsidRPr="00F340F6">
        <w:rPr>
          <w:color w:val="auto"/>
        </w:rPr>
        <w:t xml:space="preserve"> on the events experienced before the beginning </w:t>
      </w:r>
      <w:r w:rsidR="00EC6239" w:rsidRPr="00F340F6">
        <w:rPr>
          <w:color w:val="auto"/>
        </w:rPr>
        <w:lastRenderedPageBreak/>
        <w:t xml:space="preserve">of observation showed that for the majority of adolescents in our sample, </w:t>
      </w:r>
      <w:r w:rsidR="003B039F" w:rsidRPr="00F340F6">
        <w:rPr>
          <w:color w:val="auto"/>
        </w:rPr>
        <w:t>the first reported relationship during the EHC was their first relationship in general. The average number of romantic relationships within the observation period was 1.12 (</w:t>
      </w:r>
      <w:r w:rsidR="003B039F" w:rsidRPr="00F340F6">
        <w:rPr>
          <w:i/>
          <w:color w:val="auto"/>
        </w:rPr>
        <w:t>SD</w:t>
      </w:r>
      <w:r w:rsidR="003B039F" w:rsidRPr="00F340F6">
        <w:rPr>
          <w:color w:val="auto"/>
        </w:rPr>
        <w:t xml:space="preserve"> = 1.18).</w:t>
      </w:r>
    </w:p>
    <w:p w:rsidR="00727818" w:rsidRPr="00F340F6" w:rsidRDefault="00727818" w:rsidP="00F340F6">
      <w:pPr>
        <w:suppressLineNumbers/>
        <w:spacing w:line="480" w:lineRule="auto"/>
        <w:ind w:firstLine="720"/>
        <w:rPr>
          <w:color w:val="auto"/>
        </w:rPr>
      </w:pPr>
      <w:r w:rsidRPr="00F340F6">
        <w:rPr>
          <w:color w:val="auto"/>
        </w:rPr>
        <w:t>Before turning to our analysis of how family structure history and instability affected adolescent propensity to date and the number of these relationships, we provide an overview of the transitions experienced by the youth in our sample.</w:t>
      </w:r>
      <w:r w:rsidR="00377F01" w:rsidRPr="00F340F6">
        <w:rPr>
          <w:color w:val="auto"/>
        </w:rPr>
        <w:t xml:space="preserve"> </w:t>
      </w:r>
      <w:r w:rsidR="006D066E" w:rsidRPr="00F340F6">
        <w:rPr>
          <w:color w:val="auto"/>
        </w:rPr>
        <w:t xml:space="preserve">As </w:t>
      </w:r>
      <w:r w:rsidR="00CD41CA" w:rsidRPr="00F340F6">
        <w:rPr>
          <w:color w:val="auto"/>
        </w:rPr>
        <w:t xml:space="preserve">illustrated </w:t>
      </w:r>
      <w:r w:rsidR="006D066E" w:rsidRPr="00F340F6">
        <w:rPr>
          <w:color w:val="auto"/>
        </w:rPr>
        <w:t>in Table 1, t</w:t>
      </w:r>
      <w:r w:rsidR="00377F01" w:rsidRPr="00F340F6">
        <w:rPr>
          <w:color w:val="auto"/>
        </w:rPr>
        <w:t xml:space="preserve">he majority of TRAILS </w:t>
      </w:r>
      <w:r w:rsidR="008642A5" w:rsidRPr="00F340F6">
        <w:rPr>
          <w:color w:val="auto"/>
        </w:rPr>
        <w:t>participants came from intact families at the beginn</w:t>
      </w:r>
      <w:r w:rsidR="00CE06DB" w:rsidRPr="00F340F6">
        <w:rPr>
          <w:color w:val="auto"/>
        </w:rPr>
        <w:t>ing of the data collection (78.</w:t>
      </w:r>
      <w:r w:rsidR="008642A5" w:rsidRPr="00F340F6">
        <w:rPr>
          <w:color w:val="auto"/>
        </w:rPr>
        <w:t xml:space="preserve">5%) and from </w:t>
      </w:r>
      <w:r w:rsidR="00B61518" w:rsidRPr="00F340F6">
        <w:rPr>
          <w:color w:val="auto"/>
        </w:rPr>
        <w:t>households</w:t>
      </w:r>
      <w:r w:rsidR="008642A5" w:rsidRPr="00F340F6">
        <w:rPr>
          <w:color w:val="auto"/>
        </w:rPr>
        <w:t xml:space="preserve"> which reported a relatively healthy family climate (</w:t>
      </w:r>
      <w:r w:rsidR="006D066E" w:rsidRPr="00F340F6">
        <w:rPr>
          <w:color w:val="auto"/>
        </w:rPr>
        <w:t>measured by the Family Assessment Device)</w:t>
      </w:r>
      <w:r w:rsidR="00A47ED0" w:rsidRPr="00F340F6">
        <w:rPr>
          <w:color w:val="auto"/>
        </w:rPr>
        <w:t>.</w:t>
      </w:r>
      <w:r w:rsidR="006D066E" w:rsidRPr="00F340F6">
        <w:rPr>
          <w:color w:val="auto"/>
        </w:rPr>
        <w:t xml:space="preserve"> </w:t>
      </w:r>
      <w:r w:rsidR="00B61518" w:rsidRPr="00F340F6">
        <w:rPr>
          <w:color w:val="auto"/>
        </w:rPr>
        <w:t xml:space="preserve">The most frequently experienced </w:t>
      </w:r>
      <w:r w:rsidR="009512C5" w:rsidRPr="00F340F6">
        <w:rPr>
          <w:color w:val="auto"/>
        </w:rPr>
        <w:t>parental</w:t>
      </w:r>
      <w:r w:rsidR="00B61518" w:rsidRPr="00F340F6">
        <w:rPr>
          <w:color w:val="auto"/>
        </w:rPr>
        <w:t xml:space="preserve"> transition was the beginning of a new mate</w:t>
      </w:r>
      <w:r w:rsidR="00CE06DB" w:rsidRPr="00F340F6">
        <w:rPr>
          <w:color w:val="auto"/>
        </w:rPr>
        <w:t>rnal romantic relationship (8.2</w:t>
      </w:r>
      <w:r w:rsidR="00B61518" w:rsidRPr="00F340F6">
        <w:rPr>
          <w:color w:val="auto"/>
        </w:rPr>
        <w:t xml:space="preserve">% of the cases) and the least reported one </w:t>
      </w:r>
      <w:r w:rsidR="00B220EA" w:rsidRPr="00F340F6">
        <w:rPr>
          <w:color w:val="auto"/>
        </w:rPr>
        <w:t>was the moving in of a new stepparent / step</w:t>
      </w:r>
      <w:r w:rsidR="00B61518" w:rsidRPr="00F340F6">
        <w:rPr>
          <w:color w:val="auto"/>
        </w:rPr>
        <w:t>sibling i</w:t>
      </w:r>
      <w:r w:rsidR="00CE06DB" w:rsidRPr="00F340F6">
        <w:rPr>
          <w:color w:val="auto"/>
        </w:rPr>
        <w:t>nto the parental household (3.1</w:t>
      </w:r>
      <w:r w:rsidR="00B61518" w:rsidRPr="00F340F6">
        <w:rPr>
          <w:color w:val="auto"/>
        </w:rPr>
        <w:t xml:space="preserve">% of the cases). </w:t>
      </w:r>
    </w:p>
    <w:p w:rsidR="00C44FDD" w:rsidRPr="00F340F6" w:rsidRDefault="00F5246C" w:rsidP="00F340F6">
      <w:pPr>
        <w:suppressLineNumbers/>
        <w:spacing w:line="480" w:lineRule="auto"/>
        <w:rPr>
          <w:i/>
          <w:color w:val="auto"/>
        </w:rPr>
      </w:pPr>
      <w:r w:rsidRPr="00F340F6">
        <w:rPr>
          <w:i/>
          <w:color w:val="auto"/>
        </w:rPr>
        <w:t>Number of Adolescent Romantic Relationships</w:t>
      </w:r>
    </w:p>
    <w:p w:rsidR="002C33DD" w:rsidRPr="00F340F6" w:rsidRDefault="00626874" w:rsidP="00F340F6">
      <w:pPr>
        <w:suppressLineNumbers/>
        <w:spacing w:line="480" w:lineRule="auto"/>
        <w:ind w:firstLine="720"/>
        <w:rPr>
          <w:color w:val="auto"/>
        </w:rPr>
      </w:pPr>
      <w:r w:rsidRPr="00F340F6">
        <w:rPr>
          <w:color w:val="auto"/>
        </w:rPr>
        <w:t>Our findings from the count data hurdle models revealed that</w:t>
      </w:r>
      <w:r w:rsidR="00AE6544" w:rsidRPr="00F340F6">
        <w:rPr>
          <w:color w:val="auto"/>
        </w:rPr>
        <w:t xml:space="preserve"> </w:t>
      </w:r>
      <w:r w:rsidR="00EC6239" w:rsidRPr="00F340F6">
        <w:rPr>
          <w:color w:val="auto"/>
        </w:rPr>
        <w:t xml:space="preserve">though </w:t>
      </w:r>
      <w:r w:rsidR="00AE6544" w:rsidRPr="00F340F6">
        <w:rPr>
          <w:color w:val="auto"/>
        </w:rPr>
        <w:t xml:space="preserve">certain family compositions at the beginning of observation </w:t>
      </w:r>
      <w:r w:rsidR="00EC6239" w:rsidRPr="00F340F6">
        <w:rPr>
          <w:color w:val="auto"/>
        </w:rPr>
        <w:t xml:space="preserve">and household transitions </w:t>
      </w:r>
      <w:r w:rsidR="00AE6544" w:rsidRPr="00F340F6">
        <w:rPr>
          <w:color w:val="auto"/>
        </w:rPr>
        <w:t xml:space="preserve">had an effect on the likelihood of having </w:t>
      </w:r>
      <w:r w:rsidR="006D0C2A" w:rsidRPr="00F340F6">
        <w:rPr>
          <w:color w:val="auto"/>
        </w:rPr>
        <w:t xml:space="preserve">dating experience, </w:t>
      </w:r>
      <w:r w:rsidR="00EC6239" w:rsidRPr="00F340F6">
        <w:rPr>
          <w:color w:val="auto"/>
        </w:rPr>
        <w:t>these did not affect</w:t>
      </w:r>
      <w:r w:rsidR="006D0C2A" w:rsidRPr="00F340F6">
        <w:rPr>
          <w:color w:val="auto"/>
        </w:rPr>
        <w:t xml:space="preserve"> the </w:t>
      </w:r>
      <w:r w:rsidR="00CD41CA" w:rsidRPr="00F340F6">
        <w:rPr>
          <w:color w:val="auto"/>
        </w:rPr>
        <w:t>ultimate number of romantic relationships</w:t>
      </w:r>
      <w:r w:rsidR="006D0C2A" w:rsidRPr="00F340F6">
        <w:rPr>
          <w:color w:val="auto"/>
        </w:rPr>
        <w:t xml:space="preserve">. </w:t>
      </w:r>
      <w:r w:rsidR="00864B7F" w:rsidRPr="00F340F6">
        <w:rPr>
          <w:color w:val="auto"/>
        </w:rPr>
        <w:t>Table 2a displays our findings from the first part of the count dat</w:t>
      </w:r>
      <w:r w:rsidR="00CD41CA" w:rsidRPr="00F340F6">
        <w:rPr>
          <w:color w:val="auto"/>
        </w:rPr>
        <w:t>a hurdle models (</w:t>
      </w:r>
      <w:r w:rsidR="00864B7F" w:rsidRPr="00F340F6">
        <w:rPr>
          <w:color w:val="auto"/>
        </w:rPr>
        <w:t xml:space="preserve">the transition from 0, </w:t>
      </w:r>
      <w:r w:rsidR="00864B7F" w:rsidRPr="00F340F6">
        <w:rPr>
          <w:i/>
          <w:color w:val="auto"/>
        </w:rPr>
        <w:t>never dated</w:t>
      </w:r>
      <w:r w:rsidR="00864B7F" w:rsidRPr="00F340F6">
        <w:rPr>
          <w:color w:val="auto"/>
        </w:rPr>
        <w:t xml:space="preserve">, to 1, </w:t>
      </w:r>
      <w:r w:rsidR="00864B7F" w:rsidRPr="00F340F6">
        <w:rPr>
          <w:i/>
          <w:color w:val="auto"/>
        </w:rPr>
        <w:t>had at least one romantic relationship</w:t>
      </w:r>
      <w:r w:rsidR="00864B7F" w:rsidRPr="00F340F6">
        <w:rPr>
          <w:color w:val="auto"/>
        </w:rPr>
        <w:t xml:space="preserve">) and Table 2b displays the results from the truncated count data models. </w:t>
      </w:r>
      <w:r w:rsidR="00EC6239" w:rsidRPr="00F340F6">
        <w:rPr>
          <w:color w:val="auto"/>
        </w:rPr>
        <w:t xml:space="preserve">None </w:t>
      </w:r>
      <w:r w:rsidR="00864B7F" w:rsidRPr="00F340F6">
        <w:rPr>
          <w:color w:val="auto"/>
        </w:rPr>
        <w:t xml:space="preserve">of the tested gender interactions </w:t>
      </w:r>
      <w:r w:rsidR="00EC6239" w:rsidRPr="00F340F6">
        <w:rPr>
          <w:color w:val="auto"/>
        </w:rPr>
        <w:t xml:space="preserve">were </w:t>
      </w:r>
      <w:r w:rsidR="00864B7F" w:rsidRPr="00F340F6">
        <w:rPr>
          <w:color w:val="auto"/>
        </w:rPr>
        <w:t xml:space="preserve">significant and thus, </w:t>
      </w:r>
      <w:r w:rsidR="00EC6239" w:rsidRPr="00F340F6">
        <w:rPr>
          <w:color w:val="auto"/>
        </w:rPr>
        <w:t xml:space="preserve">these were not </w:t>
      </w:r>
      <w:r w:rsidR="00864B7F" w:rsidRPr="00F340F6">
        <w:rPr>
          <w:color w:val="auto"/>
        </w:rPr>
        <w:t xml:space="preserve">included in the </w:t>
      </w:r>
      <w:r w:rsidR="00103E32" w:rsidRPr="00F340F6">
        <w:rPr>
          <w:color w:val="auto"/>
        </w:rPr>
        <w:t xml:space="preserve">displayed </w:t>
      </w:r>
      <w:r w:rsidR="00864B7F" w:rsidRPr="00F340F6">
        <w:rPr>
          <w:color w:val="auto"/>
        </w:rPr>
        <w:t>model</w:t>
      </w:r>
      <w:r w:rsidR="00103E32" w:rsidRPr="00F340F6">
        <w:rPr>
          <w:color w:val="auto"/>
        </w:rPr>
        <w:t>s</w:t>
      </w:r>
      <w:r w:rsidR="00864B7F" w:rsidRPr="00F340F6">
        <w:rPr>
          <w:color w:val="auto"/>
        </w:rPr>
        <w:t xml:space="preserve">. </w:t>
      </w:r>
      <w:r w:rsidR="002C33DD" w:rsidRPr="00F340F6">
        <w:rPr>
          <w:color w:val="auto"/>
        </w:rPr>
        <w:t xml:space="preserve">As can be seen in the </w:t>
      </w:r>
      <w:r w:rsidR="00864B7F" w:rsidRPr="00F340F6">
        <w:rPr>
          <w:color w:val="auto"/>
        </w:rPr>
        <w:t xml:space="preserve">final model, </w:t>
      </w:r>
      <w:r w:rsidR="002C33DD" w:rsidRPr="00F340F6">
        <w:rPr>
          <w:color w:val="auto"/>
        </w:rPr>
        <w:t xml:space="preserve">being a girl increased the likelihood of having dating experience </w:t>
      </w:r>
      <w:r w:rsidR="00103E32" w:rsidRPr="00F340F6">
        <w:rPr>
          <w:color w:val="auto"/>
        </w:rPr>
        <w:t>by 51</w:t>
      </w:r>
      <w:r w:rsidR="000F0A11" w:rsidRPr="00F340F6">
        <w:rPr>
          <w:color w:val="auto"/>
        </w:rPr>
        <w:t>.</w:t>
      </w:r>
      <w:r w:rsidR="00103E32" w:rsidRPr="00F340F6">
        <w:rPr>
          <w:color w:val="auto"/>
        </w:rPr>
        <w:t>7</w:t>
      </w:r>
      <w:r w:rsidR="002C33DD" w:rsidRPr="00F340F6">
        <w:rPr>
          <w:color w:val="auto"/>
        </w:rPr>
        <w:t>%</w:t>
      </w:r>
      <w:r w:rsidR="00187A20" w:rsidRPr="00F340F6">
        <w:rPr>
          <w:color w:val="auto"/>
        </w:rPr>
        <w:t xml:space="preserve"> </w:t>
      </w:r>
      <w:r w:rsidR="00103E32" w:rsidRPr="00F340F6">
        <w:rPr>
          <w:color w:val="auto"/>
        </w:rPr>
        <w:t xml:space="preserve">(calculated as exp((.34)-1)*100) </w:t>
      </w:r>
      <w:r w:rsidR="00187A20" w:rsidRPr="00F340F6">
        <w:rPr>
          <w:color w:val="auto"/>
        </w:rPr>
        <w:t xml:space="preserve">and the </w:t>
      </w:r>
      <w:r w:rsidR="00103E32" w:rsidRPr="00F340F6">
        <w:rPr>
          <w:color w:val="auto"/>
        </w:rPr>
        <w:t>count of these relationships by 46</w:t>
      </w:r>
      <w:r w:rsidR="00EC6239" w:rsidRPr="00F340F6">
        <w:rPr>
          <w:color w:val="auto"/>
        </w:rPr>
        <w:t>.</w:t>
      </w:r>
      <w:r w:rsidR="00103E32" w:rsidRPr="00F340F6">
        <w:rPr>
          <w:color w:val="auto"/>
        </w:rPr>
        <w:t>8</w:t>
      </w:r>
      <w:r w:rsidR="00187A20" w:rsidRPr="00F340F6">
        <w:rPr>
          <w:color w:val="auto"/>
        </w:rPr>
        <w:t>%</w:t>
      </w:r>
      <w:r w:rsidR="002C33DD" w:rsidRPr="00F340F6">
        <w:rPr>
          <w:color w:val="auto"/>
        </w:rPr>
        <w:t xml:space="preserve">. Scoring one standard deviation above the mean for age at first observation also increased </w:t>
      </w:r>
      <w:r w:rsidR="00980656" w:rsidRPr="00F340F6">
        <w:rPr>
          <w:color w:val="auto"/>
        </w:rPr>
        <w:t>the</w:t>
      </w:r>
      <w:r w:rsidR="002C33DD" w:rsidRPr="00F340F6">
        <w:rPr>
          <w:color w:val="auto"/>
        </w:rPr>
        <w:t xml:space="preserve"> odds </w:t>
      </w:r>
      <w:r w:rsidR="00980656" w:rsidRPr="00F340F6">
        <w:rPr>
          <w:color w:val="auto"/>
        </w:rPr>
        <w:t xml:space="preserve">of dating </w:t>
      </w:r>
      <w:r w:rsidR="007E2CC8" w:rsidRPr="00F340F6">
        <w:rPr>
          <w:color w:val="auto"/>
        </w:rPr>
        <w:t xml:space="preserve">by </w:t>
      </w:r>
      <w:r w:rsidR="00EC6239" w:rsidRPr="00F340F6">
        <w:rPr>
          <w:color w:val="auto"/>
        </w:rPr>
        <w:t>4</w:t>
      </w:r>
      <w:r w:rsidR="007E2CC8" w:rsidRPr="00F340F6">
        <w:rPr>
          <w:color w:val="auto"/>
        </w:rPr>
        <w:t>5</w:t>
      </w:r>
      <w:r w:rsidR="00EC6239" w:rsidRPr="00F340F6">
        <w:rPr>
          <w:color w:val="auto"/>
        </w:rPr>
        <w:t>.</w:t>
      </w:r>
      <w:r w:rsidR="007E2CC8" w:rsidRPr="00F340F6">
        <w:rPr>
          <w:color w:val="auto"/>
        </w:rPr>
        <w:t>8</w:t>
      </w:r>
      <w:r w:rsidR="002C33DD" w:rsidRPr="00F340F6">
        <w:rPr>
          <w:color w:val="auto"/>
        </w:rPr>
        <w:t>%</w:t>
      </w:r>
      <w:r w:rsidR="00980656" w:rsidRPr="00F340F6">
        <w:rPr>
          <w:color w:val="auto"/>
        </w:rPr>
        <w:t xml:space="preserve"> and </w:t>
      </w:r>
      <w:r w:rsidR="00EC6239" w:rsidRPr="00F340F6">
        <w:rPr>
          <w:color w:val="auto"/>
        </w:rPr>
        <w:t>t</w:t>
      </w:r>
      <w:r w:rsidR="007E2CC8" w:rsidRPr="00F340F6">
        <w:rPr>
          <w:color w:val="auto"/>
        </w:rPr>
        <w:t>he number of relationships by 40.7</w:t>
      </w:r>
      <w:r w:rsidR="00980656" w:rsidRPr="00F340F6">
        <w:rPr>
          <w:color w:val="auto"/>
        </w:rPr>
        <w:t>%</w:t>
      </w:r>
      <w:r w:rsidR="002C33DD" w:rsidRPr="00F340F6">
        <w:rPr>
          <w:color w:val="auto"/>
        </w:rPr>
        <w:t xml:space="preserve">. </w:t>
      </w:r>
      <w:r w:rsidR="007E2CC8" w:rsidRPr="00F340F6">
        <w:rPr>
          <w:color w:val="auto"/>
        </w:rPr>
        <w:t>H</w:t>
      </w:r>
      <w:r w:rsidR="00DC230F" w:rsidRPr="00F340F6">
        <w:rPr>
          <w:color w:val="auto"/>
        </w:rPr>
        <w:t>aving a father with</w:t>
      </w:r>
      <w:r w:rsidR="002C33DD" w:rsidRPr="00F340F6">
        <w:rPr>
          <w:color w:val="auto"/>
        </w:rPr>
        <w:t xml:space="preserve"> </w:t>
      </w:r>
      <w:r w:rsidR="007E2CC8" w:rsidRPr="00F340F6">
        <w:rPr>
          <w:color w:val="auto"/>
        </w:rPr>
        <w:t xml:space="preserve">high education </w:t>
      </w:r>
      <w:r w:rsidR="002C33DD" w:rsidRPr="00F340F6">
        <w:rPr>
          <w:color w:val="auto"/>
        </w:rPr>
        <w:lastRenderedPageBreak/>
        <w:t xml:space="preserve">decreased </w:t>
      </w:r>
      <w:r w:rsidR="00EC6239" w:rsidRPr="00F340F6">
        <w:rPr>
          <w:color w:val="auto"/>
        </w:rPr>
        <w:t>the odds o</w:t>
      </w:r>
      <w:r w:rsidR="007E2CC8" w:rsidRPr="00F340F6">
        <w:rPr>
          <w:color w:val="auto"/>
        </w:rPr>
        <w:t>f having dating experience by 25</w:t>
      </w:r>
      <w:r w:rsidR="00EC6239" w:rsidRPr="00F340F6">
        <w:rPr>
          <w:color w:val="auto"/>
        </w:rPr>
        <w:t>.</w:t>
      </w:r>
      <w:r w:rsidR="007E2CC8" w:rsidRPr="00F340F6">
        <w:rPr>
          <w:color w:val="auto"/>
        </w:rPr>
        <w:t>7</w:t>
      </w:r>
      <w:r w:rsidR="002C33DD" w:rsidRPr="00F340F6">
        <w:rPr>
          <w:color w:val="auto"/>
        </w:rPr>
        <w:t xml:space="preserve">%. </w:t>
      </w:r>
      <w:r w:rsidR="00440285" w:rsidRPr="00F340F6">
        <w:rPr>
          <w:color w:val="auto"/>
        </w:rPr>
        <w:t xml:space="preserve">With respect to family </w:t>
      </w:r>
      <w:r w:rsidR="003B039F" w:rsidRPr="00F340F6">
        <w:rPr>
          <w:color w:val="auto"/>
        </w:rPr>
        <w:t xml:space="preserve">structure at the </w:t>
      </w:r>
      <w:r w:rsidR="00440285" w:rsidRPr="00F340F6">
        <w:rPr>
          <w:color w:val="auto"/>
        </w:rPr>
        <w:t xml:space="preserve">beginning of </w:t>
      </w:r>
      <w:r w:rsidR="00B220EA" w:rsidRPr="00F340F6">
        <w:rPr>
          <w:color w:val="auto"/>
        </w:rPr>
        <w:t>observation, coming from a step</w:t>
      </w:r>
      <w:r w:rsidR="00440285" w:rsidRPr="00F340F6">
        <w:rPr>
          <w:color w:val="auto"/>
        </w:rPr>
        <w:t xml:space="preserve">parent </w:t>
      </w:r>
      <w:r w:rsidR="003B039F" w:rsidRPr="00F340F6">
        <w:rPr>
          <w:color w:val="auto"/>
        </w:rPr>
        <w:t>family</w:t>
      </w:r>
      <w:r w:rsidR="00440285" w:rsidRPr="00F340F6">
        <w:rPr>
          <w:color w:val="auto"/>
        </w:rPr>
        <w:t xml:space="preserve"> increased the odds of </w:t>
      </w:r>
      <w:r w:rsidR="00A009FE" w:rsidRPr="00F340F6">
        <w:rPr>
          <w:color w:val="auto"/>
        </w:rPr>
        <w:t xml:space="preserve">having </w:t>
      </w:r>
      <w:r w:rsidR="00440285" w:rsidRPr="00F340F6">
        <w:rPr>
          <w:color w:val="auto"/>
        </w:rPr>
        <w:t xml:space="preserve">dating </w:t>
      </w:r>
      <w:r w:rsidR="00A009FE" w:rsidRPr="00F340F6">
        <w:rPr>
          <w:color w:val="auto"/>
        </w:rPr>
        <w:t xml:space="preserve">experience </w:t>
      </w:r>
      <w:r w:rsidR="00440285" w:rsidRPr="00F340F6">
        <w:rPr>
          <w:color w:val="auto"/>
        </w:rPr>
        <w:t xml:space="preserve">by </w:t>
      </w:r>
      <w:r w:rsidR="00A009FE" w:rsidRPr="00F340F6">
        <w:rPr>
          <w:color w:val="auto"/>
        </w:rPr>
        <w:t>58.</w:t>
      </w:r>
      <w:r w:rsidR="007E2CC8" w:rsidRPr="00F340F6">
        <w:rPr>
          <w:color w:val="auto"/>
        </w:rPr>
        <w:t>2</w:t>
      </w:r>
      <w:r w:rsidR="00440285" w:rsidRPr="00F340F6">
        <w:rPr>
          <w:color w:val="auto"/>
        </w:rPr>
        <w:t xml:space="preserve">% compared to coming from an intact family. Of the </w:t>
      </w:r>
      <w:r w:rsidR="007A528B" w:rsidRPr="00F340F6">
        <w:rPr>
          <w:color w:val="auto"/>
        </w:rPr>
        <w:t xml:space="preserve">considered </w:t>
      </w:r>
      <w:r w:rsidR="009512C5" w:rsidRPr="00F340F6">
        <w:rPr>
          <w:color w:val="auto"/>
        </w:rPr>
        <w:t>parental</w:t>
      </w:r>
      <w:r w:rsidR="00440285" w:rsidRPr="00F340F6">
        <w:rPr>
          <w:color w:val="auto"/>
        </w:rPr>
        <w:t xml:space="preserve"> transitions, only the move out of a biological parent affected the likelihood of ever ha</w:t>
      </w:r>
      <w:r w:rsidR="00A009FE" w:rsidRPr="00F340F6">
        <w:rPr>
          <w:color w:val="auto"/>
        </w:rPr>
        <w:t>ving d</w:t>
      </w:r>
      <w:r w:rsidR="007E2CC8" w:rsidRPr="00F340F6">
        <w:rPr>
          <w:color w:val="auto"/>
        </w:rPr>
        <w:t>ated, increasing it by 134</w:t>
      </w:r>
      <w:r w:rsidR="000F0A11" w:rsidRPr="00F340F6">
        <w:rPr>
          <w:color w:val="auto"/>
        </w:rPr>
        <w:t>.9</w:t>
      </w:r>
      <w:r w:rsidR="00A009FE" w:rsidRPr="00F340F6">
        <w:rPr>
          <w:color w:val="auto"/>
        </w:rPr>
        <w:t xml:space="preserve">%. </w:t>
      </w:r>
      <w:r w:rsidR="00187A20" w:rsidRPr="00F340F6">
        <w:rPr>
          <w:color w:val="auto"/>
        </w:rPr>
        <w:t xml:space="preserve">With respect to the number of </w:t>
      </w:r>
      <w:r w:rsidR="00980656" w:rsidRPr="00F340F6">
        <w:rPr>
          <w:color w:val="auto"/>
        </w:rPr>
        <w:t xml:space="preserve">adolescent </w:t>
      </w:r>
      <w:r w:rsidR="007F1C9F" w:rsidRPr="00F340F6">
        <w:rPr>
          <w:color w:val="auto"/>
        </w:rPr>
        <w:t>romantic relations</w:t>
      </w:r>
      <w:r w:rsidR="00187A20" w:rsidRPr="00F340F6">
        <w:rPr>
          <w:color w:val="auto"/>
        </w:rPr>
        <w:t xml:space="preserve">, only </w:t>
      </w:r>
      <w:r w:rsidR="00980656" w:rsidRPr="00F340F6">
        <w:rPr>
          <w:color w:val="auto"/>
        </w:rPr>
        <w:t xml:space="preserve">coming from a </w:t>
      </w:r>
      <w:r w:rsidR="00A009FE" w:rsidRPr="00F340F6">
        <w:rPr>
          <w:color w:val="auto"/>
        </w:rPr>
        <w:t xml:space="preserve">single </w:t>
      </w:r>
      <w:r w:rsidR="00980656" w:rsidRPr="00F340F6">
        <w:rPr>
          <w:color w:val="auto"/>
        </w:rPr>
        <w:t xml:space="preserve">parent family at the beginning of observation </w:t>
      </w:r>
      <w:r w:rsidR="00A009FE" w:rsidRPr="00F340F6">
        <w:rPr>
          <w:i/>
          <w:color w:val="auto"/>
        </w:rPr>
        <w:t>decreased</w:t>
      </w:r>
      <w:r w:rsidR="00A009FE" w:rsidRPr="00F340F6">
        <w:rPr>
          <w:color w:val="auto"/>
        </w:rPr>
        <w:t xml:space="preserve"> </w:t>
      </w:r>
      <w:r w:rsidR="00980656" w:rsidRPr="00F340F6">
        <w:rPr>
          <w:color w:val="auto"/>
        </w:rPr>
        <w:t xml:space="preserve">their count by </w:t>
      </w:r>
      <w:r w:rsidR="00B87D81" w:rsidRPr="00F340F6">
        <w:rPr>
          <w:color w:val="auto"/>
        </w:rPr>
        <w:t>23</w:t>
      </w:r>
      <w:r w:rsidR="000F0A11" w:rsidRPr="00F340F6">
        <w:rPr>
          <w:color w:val="auto"/>
        </w:rPr>
        <w:t>.9</w:t>
      </w:r>
      <w:r w:rsidR="00A009FE" w:rsidRPr="00F340F6">
        <w:rPr>
          <w:color w:val="auto"/>
        </w:rPr>
        <w:t>%. The effect however</w:t>
      </w:r>
      <w:r w:rsidR="00BE4CEE" w:rsidRPr="00F340F6">
        <w:rPr>
          <w:color w:val="auto"/>
        </w:rPr>
        <w:t>,</w:t>
      </w:r>
      <w:r w:rsidR="00A009FE" w:rsidRPr="00F340F6">
        <w:rPr>
          <w:color w:val="auto"/>
        </w:rPr>
        <w:t xml:space="preserve"> was borderline insignificant (</w:t>
      </w:r>
      <w:r w:rsidR="00A009FE" w:rsidRPr="00F340F6">
        <w:rPr>
          <w:i/>
          <w:color w:val="auto"/>
        </w:rPr>
        <w:t>p</w:t>
      </w:r>
      <w:r w:rsidR="00A009FE" w:rsidRPr="00F340F6">
        <w:rPr>
          <w:color w:val="auto"/>
        </w:rPr>
        <w:t xml:space="preserve"> = 0.08).</w:t>
      </w:r>
      <w:r w:rsidR="00594C02" w:rsidRPr="00F340F6">
        <w:rPr>
          <w:color w:val="auto"/>
        </w:rPr>
        <w:t xml:space="preserve"> </w:t>
      </w:r>
    </w:p>
    <w:p w:rsidR="00D00EFD" w:rsidRPr="00F340F6" w:rsidRDefault="00D00EFD" w:rsidP="00F340F6">
      <w:pPr>
        <w:suppressLineNumbers/>
        <w:spacing w:line="480" w:lineRule="auto"/>
        <w:rPr>
          <w:i/>
          <w:color w:val="auto"/>
        </w:rPr>
      </w:pPr>
      <w:r w:rsidRPr="00F340F6">
        <w:rPr>
          <w:i/>
          <w:color w:val="auto"/>
        </w:rPr>
        <w:t>The Initiation of a Romantic Relationship in Adolescence</w:t>
      </w:r>
    </w:p>
    <w:p w:rsidR="004B3DAD" w:rsidRPr="00F340F6" w:rsidRDefault="00B16D30" w:rsidP="00F340F6">
      <w:pPr>
        <w:autoSpaceDE w:val="0"/>
        <w:autoSpaceDN w:val="0"/>
        <w:adjustRightInd w:val="0"/>
        <w:spacing w:line="480" w:lineRule="auto"/>
        <w:ind w:firstLine="720"/>
        <w:rPr>
          <w:color w:val="auto"/>
        </w:rPr>
      </w:pPr>
      <w:r w:rsidRPr="00F340F6">
        <w:rPr>
          <w:color w:val="auto"/>
        </w:rPr>
        <w:t>I</w:t>
      </w:r>
      <w:r w:rsidR="00D648DC" w:rsidRPr="00F340F6">
        <w:rPr>
          <w:color w:val="auto"/>
        </w:rPr>
        <w:t>n the second part of our analyse</w:t>
      </w:r>
      <w:r w:rsidRPr="00F340F6">
        <w:rPr>
          <w:color w:val="auto"/>
        </w:rPr>
        <w:t xml:space="preserve">s, we </w:t>
      </w:r>
      <w:r w:rsidR="004B3DAD" w:rsidRPr="00F340F6">
        <w:rPr>
          <w:color w:val="auto"/>
        </w:rPr>
        <w:t>examined</w:t>
      </w:r>
      <w:r w:rsidRPr="00F340F6">
        <w:rPr>
          <w:color w:val="auto"/>
        </w:rPr>
        <w:t xml:space="preserve"> how </w:t>
      </w:r>
      <w:r w:rsidR="00F1204E" w:rsidRPr="00F340F6">
        <w:rPr>
          <w:color w:val="auto"/>
        </w:rPr>
        <w:t xml:space="preserve">specific </w:t>
      </w:r>
      <w:r w:rsidR="0090086D" w:rsidRPr="00F340F6">
        <w:rPr>
          <w:color w:val="auto"/>
        </w:rPr>
        <w:t>parental</w:t>
      </w:r>
      <w:r w:rsidR="004B3DAD" w:rsidRPr="00F340F6">
        <w:rPr>
          <w:color w:val="auto"/>
        </w:rPr>
        <w:t xml:space="preserve"> transitions </w:t>
      </w:r>
      <w:r w:rsidRPr="00F340F6">
        <w:rPr>
          <w:color w:val="auto"/>
        </w:rPr>
        <w:t>affected adolescent</w:t>
      </w:r>
      <w:r w:rsidR="00F1204E" w:rsidRPr="00F340F6">
        <w:rPr>
          <w:color w:val="auto"/>
        </w:rPr>
        <w:t>s’</w:t>
      </w:r>
      <w:r w:rsidRPr="00F340F6">
        <w:rPr>
          <w:color w:val="auto"/>
        </w:rPr>
        <w:t xml:space="preserve"> </w:t>
      </w:r>
      <w:r w:rsidR="00D648DC" w:rsidRPr="00F340F6">
        <w:rPr>
          <w:color w:val="auto"/>
        </w:rPr>
        <w:t>odds</w:t>
      </w:r>
      <w:r w:rsidR="00F1204E" w:rsidRPr="00F340F6">
        <w:rPr>
          <w:color w:val="auto"/>
        </w:rPr>
        <w:t xml:space="preserve"> of initiating</w:t>
      </w:r>
      <w:r w:rsidRPr="00F340F6">
        <w:rPr>
          <w:color w:val="auto"/>
        </w:rPr>
        <w:t xml:space="preserve"> a romantic relationship. </w:t>
      </w:r>
      <w:r w:rsidR="00236655" w:rsidRPr="00F340F6">
        <w:rPr>
          <w:color w:val="auto"/>
        </w:rPr>
        <w:t xml:space="preserve">Our findings </w:t>
      </w:r>
      <w:r w:rsidR="00F1204E" w:rsidRPr="00F340F6">
        <w:rPr>
          <w:color w:val="auto"/>
        </w:rPr>
        <w:t xml:space="preserve">are shown </w:t>
      </w:r>
      <w:r w:rsidR="00236655" w:rsidRPr="00F340F6">
        <w:rPr>
          <w:color w:val="auto"/>
        </w:rPr>
        <w:t xml:space="preserve">in Table 3. </w:t>
      </w:r>
      <w:r w:rsidR="00D67E83" w:rsidRPr="00F340F6">
        <w:rPr>
          <w:color w:val="auto"/>
        </w:rPr>
        <w:t xml:space="preserve">None of the tested gender interactions were significant and </w:t>
      </w:r>
      <w:r w:rsidR="00D648DC" w:rsidRPr="00F340F6">
        <w:rPr>
          <w:color w:val="auto"/>
        </w:rPr>
        <w:t>were</w:t>
      </w:r>
      <w:r w:rsidR="00D67E83" w:rsidRPr="00F340F6">
        <w:rPr>
          <w:color w:val="auto"/>
        </w:rPr>
        <w:t xml:space="preserve"> thus not considered in the displayed models. </w:t>
      </w:r>
      <w:r w:rsidR="003F5719" w:rsidRPr="00F340F6">
        <w:rPr>
          <w:color w:val="auto"/>
        </w:rPr>
        <w:t>The m</w:t>
      </w:r>
      <w:r w:rsidR="00B87D81" w:rsidRPr="00F340F6">
        <w:rPr>
          <w:rFonts w:eastAsia="TimesNewRomanPSMT"/>
          <w:color w:val="auto"/>
        </w:rPr>
        <w:t>ultiplicative effects of a covariate on the odds of initiating a romantic relationship in a given interval can be obtained by exponentiating the coefficient</w:t>
      </w:r>
      <w:r w:rsidR="003F5719" w:rsidRPr="00F340F6">
        <w:rPr>
          <w:rFonts w:eastAsia="TimesNewRomanPSMT"/>
          <w:color w:val="auto"/>
        </w:rPr>
        <w:t xml:space="preserve"> and are also displayed in Table 3 (</w:t>
      </w:r>
      <w:r w:rsidR="003F5719" w:rsidRPr="00F340F6">
        <w:rPr>
          <w:i/>
        </w:rPr>
        <w:t>e</w:t>
      </w:r>
      <w:r w:rsidR="003F5719" w:rsidRPr="00F340F6">
        <w:rPr>
          <w:vertAlign w:val="superscript"/>
        </w:rPr>
        <w:t>B</w:t>
      </w:r>
      <w:r w:rsidR="003F5719" w:rsidRPr="00F340F6">
        <w:t>)</w:t>
      </w:r>
      <w:r w:rsidR="00B87D81" w:rsidRPr="00F340F6">
        <w:rPr>
          <w:rFonts w:eastAsia="TimesNewRomanPSMT"/>
          <w:color w:val="auto"/>
        </w:rPr>
        <w:t xml:space="preserve">. </w:t>
      </w:r>
      <w:r w:rsidR="00F1204E" w:rsidRPr="00F340F6">
        <w:rPr>
          <w:color w:val="auto"/>
        </w:rPr>
        <w:t>As expected, the move out of a biological parent from the household</w:t>
      </w:r>
      <w:r w:rsidR="00B87D81" w:rsidRPr="00F340F6">
        <w:rPr>
          <w:color w:val="auto"/>
        </w:rPr>
        <w:t xml:space="preserve"> increased </w:t>
      </w:r>
      <w:r w:rsidR="003F5719" w:rsidRPr="00F340F6">
        <w:rPr>
          <w:color w:val="auto"/>
        </w:rPr>
        <w:t xml:space="preserve">the odds of starting a relation </w:t>
      </w:r>
      <w:r w:rsidR="00B87D81" w:rsidRPr="00F340F6">
        <w:rPr>
          <w:color w:val="auto"/>
        </w:rPr>
        <w:t xml:space="preserve">by 1.32 </w:t>
      </w:r>
      <w:r w:rsidR="003F5719" w:rsidRPr="00F340F6">
        <w:rPr>
          <w:color w:val="auto"/>
        </w:rPr>
        <w:t xml:space="preserve">(see Model 1) but that effect was </w:t>
      </w:r>
      <w:r w:rsidR="00F1204E" w:rsidRPr="00F340F6">
        <w:rPr>
          <w:color w:val="auto"/>
        </w:rPr>
        <w:t>insignificant when the other parental transitions were added to the model</w:t>
      </w:r>
      <w:r w:rsidR="003F5719" w:rsidRPr="00F340F6">
        <w:rPr>
          <w:color w:val="auto"/>
        </w:rPr>
        <w:t xml:space="preserve"> (see Model 3)</w:t>
      </w:r>
      <w:r w:rsidR="00F1204E" w:rsidRPr="00F340F6">
        <w:rPr>
          <w:color w:val="auto"/>
        </w:rPr>
        <w:t xml:space="preserve">. Contrary to our expectations, the introduction of a new paternal partner in the life of the adolescent did not have a significant effect on the </w:t>
      </w:r>
      <w:r w:rsidR="00D67E83" w:rsidRPr="00F340F6">
        <w:rPr>
          <w:color w:val="auto"/>
        </w:rPr>
        <w:t>odds</w:t>
      </w:r>
      <w:r w:rsidR="00F1204E" w:rsidRPr="00F340F6">
        <w:rPr>
          <w:color w:val="auto"/>
        </w:rPr>
        <w:t xml:space="preserve"> of dating. </w:t>
      </w:r>
      <w:r w:rsidR="00363919" w:rsidRPr="00F340F6">
        <w:rPr>
          <w:color w:val="auto"/>
        </w:rPr>
        <w:t>On the other hand</w:t>
      </w:r>
      <w:r w:rsidR="00F1204E" w:rsidRPr="00F340F6">
        <w:rPr>
          <w:color w:val="auto"/>
        </w:rPr>
        <w:t xml:space="preserve">, we found the expected effect for a new maternal partner. When all parental transitions were considered </w:t>
      </w:r>
      <w:r w:rsidR="00D648DC" w:rsidRPr="00F340F6">
        <w:rPr>
          <w:color w:val="auto"/>
        </w:rPr>
        <w:t>in the model</w:t>
      </w:r>
      <w:r w:rsidR="00F1204E" w:rsidRPr="00F340F6">
        <w:rPr>
          <w:color w:val="auto"/>
        </w:rPr>
        <w:t xml:space="preserve">, the initiation of a new romantic relationship by the mother </w:t>
      </w:r>
      <w:r w:rsidR="00D67E83" w:rsidRPr="00F340F6">
        <w:rPr>
          <w:color w:val="auto"/>
        </w:rPr>
        <w:t xml:space="preserve">increased adolescents’ odds of starting a romantic relationship </w:t>
      </w:r>
      <w:r w:rsidR="00F1204E" w:rsidRPr="00F340F6">
        <w:rPr>
          <w:color w:val="auto"/>
        </w:rPr>
        <w:t xml:space="preserve">by </w:t>
      </w:r>
      <w:r w:rsidR="00D67E83" w:rsidRPr="00F340F6">
        <w:rPr>
          <w:color w:val="auto"/>
        </w:rPr>
        <w:t>1</w:t>
      </w:r>
      <w:r w:rsidR="00D648DC" w:rsidRPr="00F340F6">
        <w:rPr>
          <w:color w:val="auto"/>
        </w:rPr>
        <w:t xml:space="preserve">.79. </w:t>
      </w:r>
      <w:r w:rsidR="0034222B" w:rsidRPr="00F340F6">
        <w:rPr>
          <w:color w:val="auto"/>
        </w:rPr>
        <w:t xml:space="preserve">Both of the considered family compositions at the beginning of observation affected adolescents’ </w:t>
      </w:r>
      <w:r w:rsidR="00D648DC" w:rsidRPr="00F340F6">
        <w:rPr>
          <w:color w:val="auto"/>
        </w:rPr>
        <w:t xml:space="preserve">transitioning to </w:t>
      </w:r>
      <w:r w:rsidR="0034222B" w:rsidRPr="00F340F6">
        <w:rPr>
          <w:color w:val="auto"/>
        </w:rPr>
        <w:t>romantic relationship</w:t>
      </w:r>
      <w:r w:rsidR="00D648DC" w:rsidRPr="00F340F6">
        <w:rPr>
          <w:color w:val="auto"/>
        </w:rPr>
        <w:t>s</w:t>
      </w:r>
      <w:r w:rsidR="0034222B" w:rsidRPr="00F340F6">
        <w:rPr>
          <w:color w:val="auto"/>
        </w:rPr>
        <w:t xml:space="preserve">. Whereas coming from a stepparent family increased the odds of starting a relationship </w:t>
      </w:r>
      <w:r w:rsidR="00533E57" w:rsidRPr="00F340F6">
        <w:rPr>
          <w:color w:val="auto"/>
        </w:rPr>
        <w:t>by 1.30</w:t>
      </w:r>
      <w:r w:rsidR="0034222B" w:rsidRPr="00F340F6">
        <w:rPr>
          <w:color w:val="auto"/>
        </w:rPr>
        <w:t xml:space="preserve">, coming from a single-parent family </w:t>
      </w:r>
      <w:r w:rsidR="0034222B" w:rsidRPr="00F340F6">
        <w:rPr>
          <w:color w:val="auto"/>
        </w:rPr>
        <w:lastRenderedPageBreak/>
        <w:t xml:space="preserve">decreased </w:t>
      </w:r>
      <w:r w:rsidR="00533E57" w:rsidRPr="00F340F6">
        <w:rPr>
          <w:color w:val="auto"/>
        </w:rPr>
        <w:t xml:space="preserve">them by </w:t>
      </w:r>
      <w:r w:rsidR="0034222B" w:rsidRPr="00F340F6">
        <w:rPr>
          <w:color w:val="auto"/>
        </w:rPr>
        <w:t>.</w:t>
      </w:r>
      <w:r w:rsidR="00533E57" w:rsidRPr="00F340F6">
        <w:rPr>
          <w:color w:val="auto"/>
        </w:rPr>
        <w:t>6</w:t>
      </w:r>
      <w:r w:rsidR="0034222B" w:rsidRPr="00F340F6">
        <w:rPr>
          <w:color w:val="auto"/>
        </w:rPr>
        <w:t xml:space="preserve">9 (both compared to coming from an intact family). </w:t>
      </w:r>
      <w:r w:rsidR="00FD1F0F" w:rsidRPr="00F340F6">
        <w:rPr>
          <w:color w:val="auto"/>
        </w:rPr>
        <w:t>A</w:t>
      </w:r>
      <w:r w:rsidR="00F1204E" w:rsidRPr="00F340F6">
        <w:rPr>
          <w:color w:val="auto"/>
        </w:rPr>
        <w:t xml:space="preserve">s can be seen in </w:t>
      </w:r>
      <w:r w:rsidR="00533E57" w:rsidRPr="00F340F6">
        <w:rPr>
          <w:color w:val="auto"/>
        </w:rPr>
        <w:t>Model 3</w:t>
      </w:r>
      <w:r w:rsidR="00FD1F0F" w:rsidRPr="00F340F6">
        <w:rPr>
          <w:color w:val="auto"/>
        </w:rPr>
        <w:t xml:space="preserve">, </w:t>
      </w:r>
      <w:r w:rsidR="000F0A11" w:rsidRPr="00F340F6">
        <w:rPr>
          <w:color w:val="auto"/>
        </w:rPr>
        <w:t xml:space="preserve">girls had </w:t>
      </w:r>
      <w:r w:rsidR="00D648DC" w:rsidRPr="00F340F6">
        <w:rPr>
          <w:color w:val="auto"/>
        </w:rPr>
        <w:t>1.54 higher odds than boys of starting a relationship in any given interval</w:t>
      </w:r>
      <w:r w:rsidR="00430E17" w:rsidRPr="00F340F6">
        <w:rPr>
          <w:color w:val="auto"/>
        </w:rPr>
        <w:t xml:space="preserve">. As adolescents aged, their </w:t>
      </w:r>
      <w:r w:rsidR="00D648DC" w:rsidRPr="00F340F6">
        <w:rPr>
          <w:color w:val="auto"/>
        </w:rPr>
        <w:t>odds of</w:t>
      </w:r>
      <w:r w:rsidR="00F1204E" w:rsidRPr="00F340F6">
        <w:rPr>
          <w:color w:val="auto"/>
        </w:rPr>
        <w:t xml:space="preserve"> </w:t>
      </w:r>
      <w:r w:rsidR="00D648DC" w:rsidRPr="00F340F6">
        <w:rPr>
          <w:color w:val="auto"/>
        </w:rPr>
        <w:t>dating</w:t>
      </w:r>
      <w:r w:rsidR="00430E17" w:rsidRPr="00F340F6">
        <w:rPr>
          <w:color w:val="auto"/>
        </w:rPr>
        <w:t xml:space="preserve"> increased by </w:t>
      </w:r>
      <w:r w:rsidR="00D648DC" w:rsidRPr="00F340F6">
        <w:rPr>
          <w:color w:val="auto"/>
        </w:rPr>
        <w:t>1.71. H</w:t>
      </w:r>
      <w:r w:rsidR="00DC230F" w:rsidRPr="00F340F6">
        <w:rPr>
          <w:color w:val="auto"/>
        </w:rPr>
        <w:t xml:space="preserve">aving a father </w:t>
      </w:r>
      <w:r w:rsidR="0084613F" w:rsidRPr="00F340F6">
        <w:rPr>
          <w:color w:val="auto"/>
        </w:rPr>
        <w:t xml:space="preserve">with </w:t>
      </w:r>
      <w:r w:rsidR="00D648DC" w:rsidRPr="00F340F6">
        <w:rPr>
          <w:color w:val="auto"/>
        </w:rPr>
        <w:t>higher-than-low education</w:t>
      </w:r>
      <w:r w:rsidR="00DC230F" w:rsidRPr="00F340F6">
        <w:rPr>
          <w:color w:val="auto"/>
        </w:rPr>
        <w:t xml:space="preserve"> </w:t>
      </w:r>
      <w:r w:rsidR="00D648DC" w:rsidRPr="00F340F6">
        <w:rPr>
          <w:color w:val="auto"/>
        </w:rPr>
        <w:t>decreased the probability of starting a relationship by .84 (</w:t>
      </w:r>
      <w:r w:rsidR="00D648DC" w:rsidRPr="00F340F6">
        <w:rPr>
          <w:i/>
          <w:color w:val="auto"/>
        </w:rPr>
        <w:t xml:space="preserve">p </w:t>
      </w:r>
      <w:r w:rsidR="00D648DC" w:rsidRPr="00F340F6">
        <w:rPr>
          <w:color w:val="auto"/>
        </w:rPr>
        <w:t xml:space="preserve">= .06). Coming from a family with a father with high education also decreased the odds of dating by .75 (compared to not having a father with high education). </w:t>
      </w:r>
      <w:r w:rsidR="008E0EDA" w:rsidRPr="00F340F6">
        <w:rPr>
          <w:color w:val="auto"/>
        </w:rPr>
        <w:t xml:space="preserve">In all models, </w:t>
      </w:r>
      <w:r w:rsidR="00AC2020" w:rsidRPr="00F340F6">
        <w:rPr>
          <w:color w:val="auto"/>
        </w:rPr>
        <w:t>a significant part of the variance was explained by the variance of the random effects (see Table 3).</w:t>
      </w:r>
      <w:r w:rsidR="00F1204E" w:rsidRPr="00F340F6">
        <w:rPr>
          <w:color w:val="auto"/>
        </w:rPr>
        <w:t xml:space="preserve"> </w:t>
      </w:r>
    </w:p>
    <w:p w:rsidR="00CA20BF" w:rsidRPr="00F340F6" w:rsidRDefault="00CA20BF" w:rsidP="00F340F6">
      <w:pPr>
        <w:suppressLineNumbers/>
        <w:spacing w:line="480" w:lineRule="auto"/>
        <w:jc w:val="center"/>
        <w:rPr>
          <w:color w:val="auto"/>
        </w:rPr>
      </w:pPr>
      <w:r w:rsidRPr="00F340F6">
        <w:rPr>
          <w:color w:val="auto"/>
        </w:rPr>
        <w:t>Discussion</w:t>
      </w:r>
    </w:p>
    <w:p w:rsidR="007E4E8D" w:rsidRPr="00F340F6" w:rsidRDefault="00D152A7" w:rsidP="00F340F6">
      <w:pPr>
        <w:spacing w:line="480" w:lineRule="auto"/>
        <w:ind w:firstLine="720"/>
        <w:rPr>
          <w:color w:val="auto"/>
        </w:rPr>
      </w:pPr>
      <w:r w:rsidRPr="00F340F6">
        <w:rPr>
          <w:color w:val="auto"/>
        </w:rPr>
        <w:t xml:space="preserve">In this study, we </w:t>
      </w:r>
      <w:r w:rsidR="00312333" w:rsidRPr="00F340F6">
        <w:rPr>
          <w:color w:val="auto"/>
        </w:rPr>
        <w:t>extended</w:t>
      </w:r>
      <w:r w:rsidRPr="00F340F6">
        <w:rPr>
          <w:color w:val="auto"/>
        </w:rPr>
        <w:t xml:space="preserve"> our knowledge of the determinants of adolescent romantic relationships by focusing on how parental transitions could trigger </w:t>
      </w:r>
      <w:r w:rsidR="00BA6E2D" w:rsidRPr="00F340F6">
        <w:rPr>
          <w:color w:val="auto"/>
        </w:rPr>
        <w:t>these</w:t>
      </w:r>
      <w:r w:rsidRPr="00F340F6">
        <w:rPr>
          <w:color w:val="auto"/>
        </w:rPr>
        <w:t xml:space="preserve"> relations. We were guided by the assertion of life course researchers (Elder</w:t>
      </w:r>
      <w:r w:rsidR="00313BFD" w:rsidRPr="00F340F6">
        <w:rPr>
          <w:color w:val="auto"/>
        </w:rPr>
        <w:t xml:space="preserve">, 1985; Elder &amp; </w:t>
      </w:r>
      <w:r w:rsidR="00C964C2" w:rsidRPr="00F340F6">
        <w:rPr>
          <w:color w:val="auto"/>
        </w:rPr>
        <w:t>Shanahan, 2006</w:t>
      </w:r>
      <w:r w:rsidRPr="00F340F6">
        <w:rPr>
          <w:color w:val="auto"/>
        </w:rPr>
        <w:t xml:space="preserve">) that substantial changes in the lives of parents are bound to affect the transitions in adolescents’ lives. Previous work has shown that cumulative family instability (total number of changes </w:t>
      </w:r>
      <w:r w:rsidR="00B8510C" w:rsidRPr="00F340F6">
        <w:rPr>
          <w:color w:val="auto"/>
        </w:rPr>
        <w:t>within the parental household) wa</w:t>
      </w:r>
      <w:r w:rsidRPr="00F340F6">
        <w:rPr>
          <w:color w:val="auto"/>
        </w:rPr>
        <w:t xml:space="preserve">s the </w:t>
      </w:r>
      <w:r w:rsidR="00FC1C36" w:rsidRPr="00F340F6">
        <w:rPr>
          <w:color w:val="auto"/>
        </w:rPr>
        <w:t xml:space="preserve">strongest </w:t>
      </w:r>
      <w:r w:rsidRPr="00F340F6">
        <w:rPr>
          <w:color w:val="auto"/>
        </w:rPr>
        <w:t xml:space="preserve">predictor of current dating status </w:t>
      </w:r>
      <w:r w:rsidR="00FC1C36" w:rsidRPr="00F340F6">
        <w:rPr>
          <w:color w:val="auto"/>
        </w:rPr>
        <w:t xml:space="preserve">and the number of these relations </w:t>
      </w:r>
      <w:r w:rsidRPr="00F340F6">
        <w:rPr>
          <w:color w:val="auto"/>
        </w:rPr>
        <w:t xml:space="preserve">when considering the effect of family make-up on dating (Cavanagh, Crissey, &amp; Raley, 2008). </w:t>
      </w:r>
      <w:r w:rsidR="0077454B" w:rsidRPr="00F340F6">
        <w:rPr>
          <w:color w:val="auto"/>
        </w:rPr>
        <w:t xml:space="preserve">In our </w:t>
      </w:r>
      <w:r w:rsidR="00BF7DE9" w:rsidRPr="00F340F6">
        <w:rPr>
          <w:color w:val="auto"/>
        </w:rPr>
        <w:t>investigation</w:t>
      </w:r>
      <w:r w:rsidR="0077454B" w:rsidRPr="00F340F6">
        <w:rPr>
          <w:color w:val="auto"/>
        </w:rPr>
        <w:t xml:space="preserve">, we were able to use </w:t>
      </w:r>
      <w:r w:rsidR="00573BC8" w:rsidRPr="00F340F6">
        <w:rPr>
          <w:color w:val="auto"/>
        </w:rPr>
        <w:t xml:space="preserve">the </w:t>
      </w:r>
      <w:r w:rsidR="0077454B" w:rsidRPr="00F340F6">
        <w:rPr>
          <w:color w:val="auto"/>
        </w:rPr>
        <w:t>det</w:t>
      </w:r>
      <w:r w:rsidR="00FC1C36" w:rsidRPr="00F340F6">
        <w:rPr>
          <w:color w:val="auto"/>
        </w:rPr>
        <w:t xml:space="preserve">ailed </w:t>
      </w:r>
      <w:r w:rsidR="00312333" w:rsidRPr="00F340F6">
        <w:rPr>
          <w:color w:val="auto"/>
        </w:rPr>
        <w:t>timing</w:t>
      </w:r>
      <w:r w:rsidR="00FC1C36" w:rsidRPr="00F340F6">
        <w:rPr>
          <w:color w:val="auto"/>
        </w:rPr>
        <w:t xml:space="preserve"> of both parents’ </w:t>
      </w:r>
      <w:r w:rsidR="0077454B" w:rsidRPr="00F340F6">
        <w:rPr>
          <w:color w:val="auto"/>
        </w:rPr>
        <w:t>residential statu</w:t>
      </w:r>
      <w:r w:rsidR="00A769F2" w:rsidRPr="00F340F6">
        <w:rPr>
          <w:color w:val="auto"/>
        </w:rPr>
        <w:t xml:space="preserve">ses and re-partnering histories and connect these with </w:t>
      </w:r>
      <w:r w:rsidR="0077454B" w:rsidRPr="00F340F6">
        <w:rPr>
          <w:color w:val="auto"/>
        </w:rPr>
        <w:t xml:space="preserve">the dates of entry and exit into </w:t>
      </w:r>
      <w:r w:rsidR="00A769F2" w:rsidRPr="00F340F6">
        <w:rPr>
          <w:color w:val="auto"/>
        </w:rPr>
        <w:t xml:space="preserve">romantic relationships for </w:t>
      </w:r>
      <w:r w:rsidR="00BF7DE9" w:rsidRPr="00F340F6">
        <w:rPr>
          <w:color w:val="auto"/>
        </w:rPr>
        <w:t xml:space="preserve">the </w:t>
      </w:r>
      <w:r w:rsidR="00A769F2" w:rsidRPr="00F340F6">
        <w:rPr>
          <w:color w:val="auto"/>
        </w:rPr>
        <w:t>adolescents</w:t>
      </w:r>
      <w:r w:rsidR="0077454B" w:rsidRPr="00F340F6">
        <w:rPr>
          <w:color w:val="auto"/>
        </w:rPr>
        <w:t>.</w:t>
      </w:r>
      <w:r w:rsidR="003B488E" w:rsidRPr="00F340F6">
        <w:rPr>
          <w:color w:val="auto"/>
        </w:rPr>
        <w:t xml:space="preserve"> </w:t>
      </w:r>
      <w:r w:rsidR="00FC5C89" w:rsidRPr="00F340F6">
        <w:rPr>
          <w:color w:val="auto"/>
        </w:rPr>
        <w:t>Several</w:t>
      </w:r>
      <w:r w:rsidR="00BF7DE9" w:rsidRPr="00F340F6">
        <w:rPr>
          <w:color w:val="auto"/>
        </w:rPr>
        <w:t xml:space="preserve"> </w:t>
      </w:r>
      <w:r w:rsidR="009437B4" w:rsidRPr="00F340F6">
        <w:rPr>
          <w:color w:val="auto"/>
        </w:rPr>
        <w:t xml:space="preserve">noteworthy </w:t>
      </w:r>
      <w:r w:rsidR="00BF7DE9" w:rsidRPr="00F340F6">
        <w:rPr>
          <w:color w:val="auto"/>
        </w:rPr>
        <w:t>findings emerged from our work.</w:t>
      </w:r>
    </w:p>
    <w:p w:rsidR="00D274C2" w:rsidRPr="00F340F6" w:rsidRDefault="00312333" w:rsidP="00F340F6">
      <w:pPr>
        <w:spacing w:line="480" w:lineRule="auto"/>
        <w:ind w:firstLine="720"/>
        <w:rPr>
          <w:bCs/>
          <w:color w:val="auto"/>
        </w:rPr>
      </w:pPr>
      <w:r w:rsidRPr="00F340F6">
        <w:rPr>
          <w:color w:val="auto"/>
        </w:rPr>
        <w:t xml:space="preserve">Foremost, </w:t>
      </w:r>
      <w:r w:rsidR="00ED1F7A" w:rsidRPr="00F340F6">
        <w:rPr>
          <w:color w:val="auto"/>
        </w:rPr>
        <w:t xml:space="preserve">of the parental transitions of interest (biological parent’s move out of the household and the introduction of new parental partners into the life of the adolescent) </w:t>
      </w:r>
      <w:r w:rsidR="00BF7DE9" w:rsidRPr="00F340F6">
        <w:rPr>
          <w:color w:val="auto"/>
        </w:rPr>
        <w:t xml:space="preserve">only the </w:t>
      </w:r>
      <w:r w:rsidRPr="00F340F6">
        <w:rPr>
          <w:color w:val="auto"/>
        </w:rPr>
        <w:t>initiation</w:t>
      </w:r>
      <w:r w:rsidR="00BF7DE9" w:rsidRPr="00F340F6">
        <w:rPr>
          <w:color w:val="auto"/>
        </w:rPr>
        <w:t xml:space="preserve"> of a romantic relationship by the mother </w:t>
      </w:r>
      <w:r w:rsidRPr="00F340F6">
        <w:rPr>
          <w:color w:val="auto"/>
        </w:rPr>
        <w:t>lead</w:t>
      </w:r>
      <w:r w:rsidR="006813CE" w:rsidRPr="00F340F6">
        <w:rPr>
          <w:color w:val="auto"/>
        </w:rPr>
        <w:t xml:space="preserve"> to an increase in </w:t>
      </w:r>
      <w:r w:rsidR="00ED1F7A" w:rsidRPr="00F340F6">
        <w:rPr>
          <w:color w:val="auto"/>
        </w:rPr>
        <w:t>the adolescent</w:t>
      </w:r>
      <w:r w:rsidR="006813CE" w:rsidRPr="00F340F6">
        <w:rPr>
          <w:color w:val="auto"/>
        </w:rPr>
        <w:t xml:space="preserve"> propensity to </w:t>
      </w:r>
      <w:r w:rsidR="00943049" w:rsidRPr="00F340F6">
        <w:rPr>
          <w:color w:val="auto"/>
        </w:rPr>
        <w:t xml:space="preserve">date. </w:t>
      </w:r>
      <w:r w:rsidR="00D274C2" w:rsidRPr="00F340F6">
        <w:rPr>
          <w:color w:val="auto"/>
        </w:rPr>
        <w:t xml:space="preserve">In contrast, a new paternal partner did not have an effect on </w:t>
      </w:r>
      <w:r w:rsidR="00220283" w:rsidRPr="00F340F6">
        <w:rPr>
          <w:color w:val="auto"/>
        </w:rPr>
        <w:t xml:space="preserve">the adolescents’ likelihood to engage in a romantic relationship. This is not </w:t>
      </w:r>
      <w:r w:rsidR="00D24809" w:rsidRPr="00F340F6">
        <w:rPr>
          <w:color w:val="auto"/>
        </w:rPr>
        <w:t xml:space="preserve">necessarily a </w:t>
      </w:r>
      <w:r w:rsidR="00220283" w:rsidRPr="00F340F6">
        <w:rPr>
          <w:color w:val="auto"/>
        </w:rPr>
        <w:t xml:space="preserve">surprising </w:t>
      </w:r>
      <w:r w:rsidR="00D24809" w:rsidRPr="00F340F6">
        <w:rPr>
          <w:color w:val="auto"/>
        </w:rPr>
        <w:t xml:space="preserve">finding in </w:t>
      </w:r>
      <w:r w:rsidR="00D24809" w:rsidRPr="00F340F6">
        <w:rPr>
          <w:color w:val="auto"/>
        </w:rPr>
        <w:lastRenderedPageBreak/>
        <w:t>light of the fact that about 85% of Dutch children stay with the</w:t>
      </w:r>
      <w:r w:rsidR="00D152A7" w:rsidRPr="00F340F6">
        <w:rPr>
          <w:color w:val="auto"/>
        </w:rPr>
        <w:t>ir</w:t>
      </w:r>
      <w:r w:rsidR="00D24809" w:rsidRPr="00F340F6">
        <w:rPr>
          <w:color w:val="auto"/>
        </w:rPr>
        <w:t xml:space="preserve"> mother after parental relationship dissolution </w:t>
      </w:r>
      <w:r w:rsidR="00187E64" w:rsidRPr="00F340F6">
        <w:rPr>
          <w:color w:val="auto"/>
        </w:rPr>
        <w:t>(</w:t>
      </w:r>
      <w:r w:rsidR="008B024F" w:rsidRPr="00F340F6">
        <w:rPr>
          <w:color w:val="auto"/>
        </w:rPr>
        <w:t>de Graaf</w:t>
      </w:r>
      <w:r w:rsidR="00187E64" w:rsidRPr="00F340F6">
        <w:rPr>
          <w:color w:val="auto"/>
        </w:rPr>
        <w:t xml:space="preserve">, 2008) and are thus, probably exposed </w:t>
      </w:r>
      <w:r w:rsidRPr="00F340F6">
        <w:rPr>
          <w:color w:val="auto"/>
        </w:rPr>
        <w:t xml:space="preserve">more </w:t>
      </w:r>
      <w:r w:rsidR="00187E64" w:rsidRPr="00F340F6">
        <w:rPr>
          <w:color w:val="auto"/>
        </w:rPr>
        <w:t xml:space="preserve">to the mother’s </w:t>
      </w:r>
      <w:r w:rsidR="00C5628A" w:rsidRPr="00F340F6">
        <w:rPr>
          <w:color w:val="auto"/>
        </w:rPr>
        <w:t xml:space="preserve">rather than the father’s </w:t>
      </w:r>
      <w:r w:rsidR="00187E64" w:rsidRPr="00F340F6">
        <w:rPr>
          <w:color w:val="auto"/>
        </w:rPr>
        <w:t>behaviors</w:t>
      </w:r>
      <w:r w:rsidR="00D24809" w:rsidRPr="00F340F6">
        <w:rPr>
          <w:color w:val="auto"/>
        </w:rPr>
        <w:t xml:space="preserve">. </w:t>
      </w:r>
      <w:r w:rsidR="00EB145B" w:rsidRPr="00F340F6">
        <w:rPr>
          <w:color w:val="auto"/>
        </w:rPr>
        <w:t xml:space="preserve">Earlier work has demonstrated </w:t>
      </w:r>
      <w:r w:rsidR="00F62338" w:rsidRPr="00F340F6">
        <w:rPr>
          <w:color w:val="auto"/>
        </w:rPr>
        <w:t xml:space="preserve">how parental </w:t>
      </w:r>
      <w:r w:rsidR="00D152A7" w:rsidRPr="00F340F6">
        <w:rPr>
          <w:color w:val="auto"/>
        </w:rPr>
        <w:t xml:space="preserve">behaviors </w:t>
      </w:r>
      <w:r w:rsidR="00F62338" w:rsidRPr="00F340F6">
        <w:rPr>
          <w:color w:val="auto"/>
        </w:rPr>
        <w:t xml:space="preserve">and attitudes </w:t>
      </w:r>
      <w:r w:rsidR="00D152A7" w:rsidRPr="00F340F6">
        <w:rPr>
          <w:color w:val="auto"/>
        </w:rPr>
        <w:t xml:space="preserve">can serve as models </w:t>
      </w:r>
      <w:r w:rsidR="00187E64" w:rsidRPr="00F340F6">
        <w:rPr>
          <w:color w:val="auto"/>
        </w:rPr>
        <w:t xml:space="preserve">for </w:t>
      </w:r>
      <w:r w:rsidR="00D152A7" w:rsidRPr="00F340F6">
        <w:rPr>
          <w:color w:val="auto"/>
        </w:rPr>
        <w:t>adolescents</w:t>
      </w:r>
      <w:r w:rsidR="00F62338" w:rsidRPr="00F340F6">
        <w:rPr>
          <w:color w:val="auto"/>
        </w:rPr>
        <w:t>’ sexual behaviors</w:t>
      </w:r>
      <w:r w:rsidR="00D152A7" w:rsidRPr="00F340F6">
        <w:rPr>
          <w:color w:val="auto"/>
        </w:rPr>
        <w:t>. For example, research has established that</w:t>
      </w:r>
      <w:r w:rsidR="00187E64" w:rsidRPr="00F340F6">
        <w:rPr>
          <w:color w:val="auto"/>
        </w:rPr>
        <w:t xml:space="preserve"> the</w:t>
      </w:r>
      <w:r w:rsidR="00D152A7" w:rsidRPr="00F340F6">
        <w:rPr>
          <w:color w:val="auto"/>
        </w:rPr>
        <w:t xml:space="preserve"> </w:t>
      </w:r>
      <w:r w:rsidR="00187E64" w:rsidRPr="00F340F6">
        <w:rPr>
          <w:color w:val="auto"/>
        </w:rPr>
        <w:t xml:space="preserve">mother’s dating behaviors after </w:t>
      </w:r>
      <w:r w:rsidR="00C5628A" w:rsidRPr="00F340F6">
        <w:rPr>
          <w:color w:val="auto"/>
        </w:rPr>
        <w:t xml:space="preserve">a </w:t>
      </w:r>
      <w:r w:rsidR="00187E64" w:rsidRPr="00F340F6">
        <w:rPr>
          <w:color w:val="auto"/>
        </w:rPr>
        <w:t>parental marital dissolution were related to their adolescents’ level</w:t>
      </w:r>
      <w:r w:rsidR="00C5628A" w:rsidRPr="00F340F6">
        <w:rPr>
          <w:color w:val="auto"/>
        </w:rPr>
        <w:t>s</w:t>
      </w:r>
      <w:r w:rsidR="00187E64" w:rsidRPr="00F340F6">
        <w:rPr>
          <w:color w:val="auto"/>
        </w:rPr>
        <w:t xml:space="preserve"> of sexual activity (Whitbeck, Simons, &amp; Kao, 1994). </w:t>
      </w:r>
      <w:r w:rsidR="002A6C52" w:rsidRPr="00F340F6">
        <w:rPr>
          <w:color w:val="auto"/>
        </w:rPr>
        <w:t xml:space="preserve">Our </w:t>
      </w:r>
      <w:r w:rsidR="004E2B46" w:rsidRPr="00F340F6">
        <w:rPr>
          <w:color w:val="auto"/>
        </w:rPr>
        <w:t>work</w:t>
      </w:r>
      <w:r w:rsidR="002A6C52" w:rsidRPr="00F340F6">
        <w:rPr>
          <w:color w:val="auto"/>
        </w:rPr>
        <w:t xml:space="preserve"> also </w:t>
      </w:r>
      <w:r w:rsidR="00C05B34" w:rsidRPr="00F340F6">
        <w:rPr>
          <w:color w:val="auto"/>
        </w:rPr>
        <w:t>shows</w:t>
      </w:r>
      <w:r w:rsidR="002A6C52" w:rsidRPr="00F340F6">
        <w:rPr>
          <w:color w:val="auto"/>
        </w:rPr>
        <w:t xml:space="preserve"> that when the mother </w:t>
      </w:r>
      <w:r w:rsidRPr="00F340F6">
        <w:rPr>
          <w:color w:val="auto"/>
        </w:rPr>
        <w:t>s</w:t>
      </w:r>
      <w:r w:rsidR="00831BDA" w:rsidRPr="00F340F6">
        <w:rPr>
          <w:color w:val="auto"/>
        </w:rPr>
        <w:t>tarted</w:t>
      </w:r>
      <w:r w:rsidR="002A6C52" w:rsidRPr="00F340F6">
        <w:rPr>
          <w:color w:val="auto"/>
        </w:rPr>
        <w:t xml:space="preserve"> a new relationship, the adolescents </w:t>
      </w:r>
      <w:r w:rsidR="00831BDA" w:rsidRPr="00F340F6">
        <w:rPr>
          <w:color w:val="auto"/>
        </w:rPr>
        <w:t xml:space="preserve">were </w:t>
      </w:r>
      <w:r w:rsidR="002A6C52" w:rsidRPr="00F340F6">
        <w:rPr>
          <w:color w:val="auto"/>
        </w:rPr>
        <w:t xml:space="preserve">themselves more likely to do the same. </w:t>
      </w:r>
      <w:r w:rsidR="004E2B46" w:rsidRPr="00F340F6">
        <w:rPr>
          <w:color w:val="auto"/>
        </w:rPr>
        <w:t xml:space="preserve">The precise mechanism behind this finding </w:t>
      </w:r>
      <w:r w:rsidR="00C05B34" w:rsidRPr="00F340F6">
        <w:rPr>
          <w:color w:val="auto"/>
        </w:rPr>
        <w:t xml:space="preserve">however, </w:t>
      </w:r>
      <w:r w:rsidR="004E2B46" w:rsidRPr="00F340F6">
        <w:rPr>
          <w:color w:val="auto"/>
        </w:rPr>
        <w:t xml:space="preserve">remains unclear. </w:t>
      </w:r>
      <w:r w:rsidR="00BE5ACF" w:rsidRPr="00F340F6">
        <w:rPr>
          <w:color w:val="auto"/>
        </w:rPr>
        <w:t xml:space="preserve">Besides the possible socialization effects </w:t>
      </w:r>
      <w:r w:rsidR="00FA1E55" w:rsidRPr="00F340F6">
        <w:rPr>
          <w:color w:val="auto"/>
        </w:rPr>
        <w:t xml:space="preserve">which could </w:t>
      </w:r>
      <w:r w:rsidR="00B76472" w:rsidRPr="00F340F6">
        <w:rPr>
          <w:color w:val="auto"/>
        </w:rPr>
        <w:t xml:space="preserve">be at </w:t>
      </w:r>
      <w:r w:rsidR="00FA1E55" w:rsidRPr="00F340F6">
        <w:rPr>
          <w:color w:val="auto"/>
        </w:rPr>
        <w:t xml:space="preserve">play, it could </w:t>
      </w:r>
      <w:r w:rsidR="00C05B34" w:rsidRPr="00F340F6">
        <w:rPr>
          <w:color w:val="auto"/>
        </w:rPr>
        <w:t xml:space="preserve">also </w:t>
      </w:r>
      <w:r w:rsidR="00FA1E55" w:rsidRPr="00F340F6">
        <w:rPr>
          <w:color w:val="auto"/>
        </w:rPr>
        <w:t xml:space="preserve">be that once the mother </w:t>
      </w:r>
      <w:r w:rsidR="00C5628A" w:rsidRPr="00F340F6">
        <w:rPr>
          <w:color w:val="auto"/>
        </w:rPr>
        <w:t>initiates a new romantic relationship</w:t>
      </w:r>
      <w:r w:rsidR="00FA1E55" w:rsidRPr="00F340F6">
        <w:rPr>
          <w:color w:val="auto"/>
        </w:rPr>
        <w:t xml:space="preserve">, she begins to spend less time </w:t>
      </w:r>
      <w:r w:rsidR="00653645" w:rsidRPr="00F340F6">
        <w:rPr>
          <w:color w:val="auto"/>
        </w:rPr>
        <w:t>with</w:t>
      </w:r>
      <w:r w:rsidR="00FA1E55" w:rsidRPr="00F340F6">
        <w:rPr>
          <w:color w:val="auto"/>
        </w:rPr>
        <w:t xml:space="preserve"> her </w:t>
      </w:r>
      <w:r w:rsidR="006128E8" w:rsidRPr="00F340F6">
        <w:rPr>
          <w:color w:val="auto"/>
        </w:rPr>
        <w:t>children</w:t>
      </w:r>
      <w:r w:rsidR="00FA1E55" w:rsidRPr="00F340F6">
        <w:rPr>
          <w:color w:val="auto"/>
        </w:rPr>
        <w:t xml:space="preserve">. </w:t>
      </w:r>
      <w:r w:rsidR="00653645" w:rsidRPr="00F340F6">
        <w:rPr>
          <w:color w:val="auto"/>
        </w:rPr>
        <w:t xml:space="preserve">This decreased level of parental supervision has been shown to be associated with a higher likelihood of </w:t>
      </w:r>
      <w:r w:rsidR="006128E8" w:rsidRPr="00F340F6">
        <w:rPr>
          <w:color w:val="auto"/>
        </w:rPr>
        <w:t>engaging</w:t>
      </w:r>
      <w:r w:rsidR="00653645" w:rsidRPr="00F340F6">
        <w:rPr>
          <w:color w:val="auto"/>
        </w:rPr>
        <w:t xml:space="preserve"> in dating </w:t>
      </w:r>
      <w:r w:rsidR="006128E8" w:rsidRPr="00F340F6">
        <w:rPr>
          <w:color w:val="auto"/>
        </w:rPr>
        <w:t xml:space="preserve">for adolescents </w:t>
      </w:r>
      <w:r w:rsidR="00653645" w:rsidRPr="00F340F6">
        <w:rPr>
          <w:color w:val="auto"/>
        </w:rPr>
        <w:t>(</w:t>
      </w:r>
      <w:r w:rsidR="00653645" w:rsidRPr="00F340F6">
        <w:rPr>
          <w:bCs/>
          <w:color w:val="auto"/>
        </w:rPr>
        <w:t>Friedlander, Connolly, Pepler, &amp; Craig, 2007)</w:t>
      </w:r>
      <w:r w:rsidR="00C05B34" w:rsidRPr="00F340F6">
        <w:rPr>
          <w:bCs/>
          <w:color w:val="auto"/>
        </w:rPr>
        <w:t>. These accounts of the relationship which we found, however, remain speculative</w:t>
      </w:r>
      <w:r w:rsidR="00831BDA" w:rsidRPr="00F340F6">
        <w:rPr>
          <w:bCs/>
          <w:color w:val="auto"/>
        </w:rPr>
        <w:t>.</w:t>
      </w:r>
      <w:r w:rsidR="00C05B34" w:rsidRPr="00F340F6">
        <w:rPr>
          <w:bCs/>
          <w:color w:val="auto"/>
        </w:rPr>
        <w:t xml:space="preserve"> </w:t>
      </w:r>
      <w:r w:rsidR="00831BDA" w:rsidRPr="00F340F6">
        <w:rPr>
          <w:bCs/>
          <w:color w:val="auto"/>
        </w:rPr>
        <w:t>M</w:t>
      </w:r>
      <w:r w:rsidR="00C05B34" w:rsidRPr="00F340F6">
        <w:rPr>
          <w:bCs/>
          <w:color w:val="auto"/>
        </w:rPr>
        <w:t xml:space="preserve">ore detailed prospective information on parenting practices and attitudes both </w:t>
      </w:r>
      <w:r w:rsidR="00363919" w:rsidRPr="00F340F6">
        <w:rPr>
          <w:bCs/>
          <w:color w:val="auto"/>
        </w:rPr>
        <w:t xml:space="preserve">before </w:t>
      </w:r>
      <w:r w:rsidR="00C05B34" w:rsidRPr="00F340F6">
        <w:rPr>
          <w:bCs/>
          <w:color w:val="auto"/>
        </w:rPr>
        <w:t xml:space="preserve">and </w:t>
      </w:r>
      <w:r w:rsidR="00363919" w:rsidRPr="00F340F6">
        <w:rPr>
          <w:bCs/>
          <w:color w:val="auto"/>
        </w:rPr>
        <w:t xml:space="preserve">after the </w:t>
      </w:r>
      <w:r w:rsidR="00C05B34" w:rsidRPr="00F340F6">
        <w:rPr>
          <w:bCs/>
          <w:color w:val="auto"/>
        </w:rPr>
        <w:t xml:space="preserve">parental relationship dissolution </w:t>
      </w:r>
      <w:r w:rsidR="00AA5B0F" w:rsidRPr="00F340F6">
        <w:rPr>
          <w:bCs/>
          <w:color w:val="auto"/>
        </w:rPr>
        <w:t>is</w:t>
      </w:r>
      <w:r w:rsidR="00C05B34" w:rsidRPr="00F340F6">
        <w:rPr>
          <w:bCs/>
          <w:color w:val="auto"/>
        </w:rPr>
        <w:t xml:space="preserve"> necessary in order to </w:t>
      </w:r>
      <w:r w:rsidR="00C5628A" w:rsidRPr="00F340F6">
        <w:rPr>
          <w:bCs/>
          <w:color w:val="auto"/>
        </w:rPr>
        <w:t>clarify the mechanism behind it.</w:t>
      </w:r>
    </w:p>
    <w:p w:rsidR="00C5628A" w:rsidRPr="00F340F6" w:rsidRDefault="00B76472" w:rsidP="00F340F6">
      <w:pPr>
        <w:spacing w:line="480" w:lineRule="auto"/>
        <w:ind w:firstLine="720"/>
        <w:rPr>
          <w:color w:val="auto"/>
        </w:rPr>
      </w:pPr>
      <w:r w:rsidRPr="00F340F6">
        <w:rPr>
          <w:color w:val="auto"/>
        </w:rPr>
        <w:t xml:space="preserve">Our second key finding </w:t>
      </w:r>
      <w:r w:rsidR="00B220EA" w:rsidRPr="00F340F6">
        <w:rPr>
          <w:color w:val="auto"/>
        </w:rPr>
        <w:t xml:space="preserve">relates to the effect of the family composition at the beginning of observation </w:t>
      </w:r>
      <w:r w:rsidR="00AF3C60" w:rsidRPr="00F340F6">
        <w:rPr>
          <w:color w:val="auto"/>
        </w:rPr>
        <w:t>(</w:t>
      </w:r>
      <w:r w:rsidR="001C16E3" w:rsidRPr="00F340F6">
        <w:rPr>
          <w:color w:val="auto"/>
        </w:rPr>
        <w:t>single-parent, step</w:t>
      </w:r>
      <w:r w:rsidR="00D5501D" w:rsidRPr="00F340F6">
        <w:rPr>
          <w:color w:val="auto"/>
        </w:rPr>
        <w:t xml:space="preserve">parent, and two biological parents families) </w:t>
      </w:r>
      <w:r w:rsidR="00B220EA" w:rsidRPr="00F340F6">
        <w:rPr>
          <w:color w:val="auto"/>
        </w:rPr>
        <w:t xml:space="preserve">on adolescent propensity to date. </w:t>
      </w:r>
      <w:r w:rsidR="00D5501D" w:rsidRPr="00F340F6">
        <w:rPr>
          <w:color w:val="auto"/>
        </w:rPr>
        <w:t>W</w:t>
      </w:r>
      <w:r w:rsidR="00642173" w:rsidRPr="00F340F6">
        <w:rPr>
          <w:color w:val="auto"/>
        </w:rPr>
        <w:t xml:space="preserve">e found that coming from a stepparent family increased </w:t>
      </w:r>
      <w:r w:rsidR="00D5501D" w:rsidRPr="00F340F6">
        <w:rPr>
          <w:color w:val="auto"/>
        </w:rPr>
        <w:t xml:space="preserve">the </w:t>
      </w:r>
      <w:r w:rsidR="00642173" w:rsidRPr="00F340F6">
        <w:rPr>
          <w:color w:val="auto"/>
        </w:rPr>
        <w:t xml:space="preserve">adolescent </w:t>
      </w:r>
      <w:r w:rsidR="00D5501D" w:rsidRPr="00F340F6">
        <w:rPr>
          <w:color w:val="auto"/>
        </w:rPr>
        <w:t>odds of initiating a romantic relation</w:t>
      </w:r>
      <w:r w:rsidR="00642173" w:rsidRPr="00F340F6">
        <w:rPr>
          <w:color w:val="auto"/>
        </w:rPr>
        <w:t>.</w:t>
      </w:r>
      <w:r w:rsidR="00CB2044" w:rsidRPr="00F340F6">
        <w:rPr>
          <w:color w:val="auto"/>
        </w:rPr>
        <w:t xml:space="preserve"> </w:t>
      </w:r>
      <w:r w:rsidR="00BF2DF6" w:rsidRPr="00F340F6">
        <w:rPr>
          <w:color w:val="auto"/>
        </w:rPr>
        <w:t>On one hand, t</w:t>
      </w:r>
      <w:r w:rsidR="00D5501D" w:rsidRPr="00F340F6">
        <w:rPr>
          <w:color w:val="auto"/>
        </w:rPr>
        <w:t xml:space="preserve">his effect can be seen as </w:t>
      </w:r>
      <w:r w:rsidR="00CB2044" w:rsidRPr="00F340F6">
        <w:rPr>
          <w:color w:val="auto"/>
        </w:rPr>
        <w:t xml:space="preserve">support for </w:t>
      </w:r>
      <w:r w:rsidR="00D5501D" w:rsidRPr="00F340F6">
        <w:rPr>
          <w:color w:val="auto"/>
        </w:rPr>
        <w:t xml:space="preserve">previous </w:t>
      </w:r>
      <w:r w:rsidR="00CB2044" w:rsidRPr="00F340F6">
        <w:rPr>
          <w:color w:val="auto"/>
        </w:rPr>
        <w:t xml:space="preserve">findings </w:t>
      </w:r>
      <w:r w:rsidR="00BF2DF6" w:rsidRPr="00F340F6">
        <w:rPr>
          <w:color w:val="auto"/>
        </w:rPr>
        <w:t xml:space="preserve">that cumulative family instability was </w:t>
      </w:r>
      <w:r w:rsidR="00D5501D" w:rsidRPr="00F340F6">
        <w:rPr>
          <w:color w:val="auto"/>
        </w:rPr>
        <w:t>a strong</w:t>
      </w:r>
      <w:r w:rsidR="00BF2DF6" w:rsidRPr="00F340F6">
        <w:rPr>
          <w:color w:val="auto"/>
        </w:rPr>
        <w:t xml:space="preserve"> predictor of being currently involved in a romantic relationship</w:t>
      </w:r>
      <w:r w:rsidR="00D5501D" w:rsidRPr="00F340F6">
        <w:rPr>
          <w:color w:val="auto"/>
        </w:rPr>
        <w:t xml:space="preserve"> (e.g., Cavanagh et al., 2008)</w:t>
      </w:r>
      <w:r w:rsidR="00BF2DF6" w:rsidRPr="00F340F6">
        <w:rPr>
          <w:color w:val="auto"/>
        </w:rPr>
        <w:t xml:space="preserve">. Adolescents in stepparent families are likely to have experienced their biological parents’ relationship dissolution, the initiation of a new romantic relationship by one or both of </w:t>
      </w:r>
      <w:r w:rsidR="00D5501D" w:rsidRPr="00F340F6">
        <w:rPr>
          <w:color w:val="auto"/>
        </w:rPr>
        <w:t xml:space="preserve">the </w:t>
      </w:r>
      <w:r w:rsidR="00BF2DF6" w:rsidRPr="00F340F6">
        <w:rPr>
          <w:color w:val="auto"/>
        </w:rPr>
        <w:t xml:space="preserve">parents, and the entry of a stepparent into the </w:t>
      </w:r>
      <w:r w:rsidR="00BF2DF6" w:rsidRPr="00F340F6">
        <w:rPr>
          <w:color w:val="auto"/>
        </w:rPr>
        <w:lastRenderedPageBreak/>
        <w:t xml:space="preserve">household. </w:t>
      </w:r>
      <w:r w:rsidR="006473E2" w:rsidRPr="00F340F6">
        <w:rPr>
          <w:color w:val="auto"/>
        </w:rPr>
        <w:t xml:space="preserve">Being exposed to such </w:t>
      </w:r>
      <w:r w:rsidR="00C201E3" w:rsidRPr="00F340F6">
        <w:rPr>
          <w:color w:val="auto"/>
        </w:rPr>
        <w:t xml:space="preserve">multiple </w:t>
      </w:r>
      <w:r w:rsidR="00BF2DF6" w:rsidRPr="00F340F6">
        <w:rPr>
          <w:color w:val="auto"/>
        </w:rPr>
        <w:t>transitions play</w:t>
      </w:r>
      <w:r w:rsidR="006473E2" w:rsidRPr="00F340F6">
        <w:rPr>
          <w:color w:val="auto"/>
        </w:rPr>
        <w:t>s</w:t>
      </w:r>
      <w:r w:rsidR="00BF2DF6" w:rsidRPr="00F340F6">
        <w:rPr>
          <w:color w:val="auto"/>
        </w:rPr>
        <w:t xml:space="preserve"> an important role in shaping </w:t>
      </w:r>
      <w:r w:rsidR="006473E2" w:rsidRPr="00F340F6">
        <w:rPr>
          <w:color w:val="auto"/>
        </w:rPr>
        <w:t xml:space="preserve">the </w:t>
      </w:r>
      <w:r w:rsidR="00510814" w:rsidRPr="00F340F6">
        <w:rPr>
          <w:color w:val="auto"/>
        </w:rPr>
        <w:t>adolescent</w:t>
      </w:r>
      <w:r w:rsidR="00BF2DF6" w:rsidRPr="00F340F6">
        <w:rPr>
          <w:color w:val="auto"/>
        </w:rPr>
        <w:t xml:space="preserve"> lives</w:t>
      </w:r>
      <w:r w:rsidR="006473E2" w:rsidRPr="00F340F6">
        <w:rPr>
          <w:color w:val="auto"/>
        </w:rPr>
        <w:t xml:space="preserve"> (</w:t>
      </w:r>
      <w:r w:rsidR="00F25191" w:rsidRPr="00F340F6">
        <w:rPr>
          <w:color w:val="auto"/>
        </w:rPr>
        <w:t xml:space="preserve">Amato, 2000; </w:t>
      </w:r>
      <w:r w:rsidR="006473E2" w:rsidRPr="00F340F6">
        <w:rPr>
          <w:color w:val="auto"/>
        </w:rPr>
        <w:t>Crosnoe &amp; Cavanagh, 2010)</w:t>
      </w:r>
      <w:r w:rsidR="00BF2DF6" w:rsidRPr="00F340F6">
        <w:rPr>
          <w:color w:val="auto"/>
        </w:rPr>
        <w:t xml:space="preserve">. On the other hand, it could be the quality of the stepparent-adolescent relationship which </w:t>
      </w:r>
      <w:r w:rsidR="00DA2ABB" w:rsidRPr="00F340F6">
        <w:rPr>
          <w:color w:val="auto"/>
        </w:rPr>
        <w:t xml:space="preserve">drives </w:t>
      </w:r>
      <w:r w:rsidR="00BF2DF6" w:rsidRPr="00F340F6">
        <w:rPr>
          <w:color w:val="auto"/>
        </w:rPr>
        <w:t xml:space="preserve">the effect which we found. For example, previous work has found that in the cases when boys perceived the relationship with their stepfather to be close and caring, they were less likely </w:t>
      </w:r>
      <w:r w:rsidR="00E95EEC" w:rsidRPr="00F340F6">
        <w:rPr>
          <w:color w:val="auto"/>
        </w:rPr>
        <w:t>to engage in sexual activity (Ma</w:t>
      </w:r>
      <w:r w:rsidR="00BF2DF6" w:rsidRPr="00F340F6">
        <w:rPr>
          <w:color w:val="auto"/>
        </w:rPr>
        <w:t>nning, Holtzman, &amp; Kapinus, 2007).</w:t>
      </w:r>
      <w:r w:rsidR="00425EBC" w:rsidRPr="00F340F6">
        <w:rPr>
          <w:color w:val="auto"/>
        </w:rPr>
        <w:t xml:space="preserve"> Though we include</w:t>
      </w:r>
      <w:r w:rsidR="007857D7" w:rsidRPr="00F340F6">
        <w:rPr>
          <w:color w:val="auto"/>
        </w:rPr>
        <w:t>d</w:t>
      </w:r>
      <w:r w:rsidR="00425EBC" w:rsidRPr="00F340F6">
        <w:rPr>
          <w:color w:val="auto"/>
        </w:rPr>
        <w:t xml:space="preserve"> a measure of the quality of the family climate in our work</w:t>
      </w:r>
      <w:r w:rsidR="00DA2ABB" w:rsidRPr="00F340F6">
        <w:rPr>
          <w:color w:val="auto"/>
        </w:rPr>
        <w:t xml:space="preserve"> and it did not have an effect</w:t>
      </w:r>
      <w:r w:rsidR="00425EBC" w:rsidRPr="00F340F6">
        <w:rPr>
          <w:color w:val="auto"/>
        </w:rPr>
        <w:t xml:space="preserve">, we </w:t>
      </w:r>
      <w:r w:rsidR="008E4904" w:rsidRPr="00F340F6">
        <w:rPr>
          <w:color w:val="auto"/>
        </w:rPr>
        <w:t xml:space="preserve">were not able to </w:t>
      </w:r>
      <w:r w:rsidR="00425EBC" w:rsidRPr="00F340F6">
        <w:rPr>
          <w:color w:val="auto"/>
        </w:rPr>
        <w:t xml:space="preserve">directly assess the stepparent-adolescent relationship </w:t>
      </w:r>
      <w:r w:rsidR="007857D7" w:rsidRPr="00F340F6">
        <w:rPr>
          <w:color w:val="auto"/>
        </w:rPr>
        <w:t xml:space="preserve">which future </w:t>
      </w:r>
      <w:r w:rsidR="008E4904" w:rsidRPr="00F340F6">
        <w:rPr>
          <w:color w:val="auto"/>
        </w:rPr>
        <w:t xml:space="preserve">work can </w:t>
      </w:r>
      <w:r w:rsidR="00BA6E2D" w:rsidRPr="00F340F6">
        <w:rPr>
          <w:color w:val="auto"/>
        </w:rPr>
        <w:t>address</w:t>
      </w:r>
      <w:r w:rsidR="007857D7" w:rsidRPr="00F340F6">
        <w:rPr>
          <w:color w:val="auto"/>
        </w:rPr>
        <w:t>.</w:t>
      </w:r>
    </w:p>
    <w:p w:rsidR="007857D7" w:rsidRPr="00F340F6" w:rsidRDefault="007857D7" w:rsidP="00F340F6">
      <w:pPr>
        <w:spacing w:line="480" w:lineRule="auto"/>
        <w:ind w:firstLine="720"/>
        <w:rPr>
          <w:color w:val="auto"/>
        </w:rPr>
      </w:pPr>
      <w:r w:rsidRPr="00F340F6">
        <w:rPr>
          <w:color w:val="auto"/>
        </w:rPr>
        <w:t xml:space="preserve">Our other </w:t>
      </w:r>
      <w:r w:rsidR="007C5C53" w:rsidRPr="00F340F6">
        <w:rPr>
          <w:color w:val="auto"/>
        </w:rPr>
        <w:t>notable</w:t>
      </w:r>
      <w:r w:rsidRPr="00F340F6">
        <w:rPr>
          <w:color w:val="auto"/>
        </w:rPr>
        <w:t xml:space="preserve"> finding </w:t>
      </w:r>
      <w:r w:rsidR="007C5C53" w:rsidRPr="00F340F6">
        <w:rPr>
          <w:color w:val="auto"/>
        </w:rPr>
        <w:t xml:space="preserve">related </w:t>
      </w:r>
      <w:r w:rsidRPr="00F340F6">
        <w:rPr>
          <w:color w:val="auto"/>
        </w:rPr>
        <w:t xml:space="preserve">to the effect of family composition was that adolescents from single-parent households were </w:t>
      </w:r>
      <w:r w:rsidRPr="00F340F6">
        <w:rPr>
          <w:i/>
          <w:color w:val="auto"/>
        </w:rPr>
        <w:t>less</w:t>
      </w:r>
      <w:r w:rsidRPr="00F340F6">
        <w:rPr>
          <w:color w:val="auto"/>
        </w:rPr>
        <w:t xml:space="preserve"> likely to </w:t>
      </w:r>
      <w:r w:rsidR="00FF4867" w:rsidRPr="00F340F6">
        <w:rPr>
          <w:color w:val="auto"/>
        </w:rPr>
        <w:t xml:space="preserve">initiate </w:t>
      </w:r>
      <w:r w:rsidRPr="00F340F6">
        <w:rPr>
          <w:color w:val="auto"/>
        </w:rPr>
        <w:t>romantic relationships. This result is particularly interesting in light of</w:t>
      </w:r>
      <w:r w:rsidR="006473E2" w:rsidRPr="00F340F6">
        <w:rPr>
          <w:color w:val="auto"/>
        </w:rPr>
        <w:t xml:space="preserve"> findings that residing in a single-parent family is associated with higher likelihood of being currently involved in a dating relationship</w:t>
      </w:r>
      <w:r w:rsidRPr="00F340F6">
        <w:rPr>
          <w:color w:val="auto"/>
        </w:rPr>
        <w:t xml:space="preserve"> </w:t>
      </w:r>
      <w:r w:rsidR="006473E2" w:rsidRPr="00F340F6">
        <w:rPr>
          <w:color w:val="auto"/>
        </w:rPr>
        <w:t xml:space="preserve">and the number of these relations for adolescents (e.g., Cavanagh et al., 2008), </w:t>
      </w:r>
      <w:r w:rsidR="0054174A" w:rsidRPr="00F340F6">
        <w:rPr>
          <w:color w:val="auto"/>
        </w:rPr>
        <w:t>greater odds of early cohabitation for young adults (Ryan, Franzetta, Schelar, &amp; Manlove, 2009)</w:t>
      </w:r>
      <w:r w:rsidR="00E23037" w:rsidRPr="00F340F6">
        <w:rPr>
          <w:color w:val="auto"/>
        </w:rPr>
        <w:t xml:space="preserve">, </w:t>
      </w:r>
      <w:r w:rsidR="00F42BFF" w:rsidRPr="00F340F6">
        <w:rPr>
          <w:color w:val="auto"/>
        </w:rPr>
        <w:t xml:space="preserve">and </w:t>
      </w:r>
      <w:r w:rsidR="007B3DB5" w:rsidRPr="00F340F6">
        <w:rPr>
          <w:color w:val="auto"/>
        </w:rPr>
        <w:t>increased risk of teenage pregnancy (</w:t>
      </w:r>
      <w:r w:rsidR="0007337D" w:rsidRPr="00F340F6">
        <w:rPr>
          <w:color w:val="auto"/>
        </w:rPr>
        <w:t xml:space="preserve">Teachman, </w:t>
      </w:r>
      <w:r w:rsidR="007B3DB5" w:rsidRPr="00F340F6">
        <w:rPr>
          <w:color w:val="auto"/>
        </w:rPr>
        <w:t xml:space="preserve">2004) </w:t>
      </w:r>
      <w:r w:rsidR="00E23037" w:rsidRPr="00F340F6">
        <w:rPr>
          <w:color w:val="auto"/>
        </w:rPr>
        <w:t xml:space="preserve">to mention just a few. Our finding </w:t>
      </w:r>
      <w:r w:rsidRPr="00F340F6">
        <w:rPr>
          <w:color w:val="auto"/>
        </w:rPr>
        <w:t xml:space="preserve">likely points to the </w:t>
      </w:r>
      <w:r w:rsidR="00CF7DCA" w:rsidRPr="00F340F6">
        <w:rPr>
          <w:color w:val="auto"/>
        </w:rPr>
        <w:t>decidedly</w:t>
      </w:r>
      <w:r w:rsidRPr="00F340F6">
        <w:rPr>
          <w:color w:val="auto"/>
        </w:rPr>
        <w:t xml:space="preserve"> different institutional contexts in which </w:t>
      </w:r>
      <w:r w:rsidR="00E23037" w:rsidRPr="00F340F6">
        <w:rPr>
          <w:color w:val="auto"/>
        </w:rPr>
        <w:t>Dutch</w:t>
      </w:r>
      <w:r w:rsidR="00905146" w:rsidRPr="00F340F6">
        <w:rPr>
          <w:color w:val="auto"/>
        </w:rPr>
        <w:t xml:space="preserve"> single-parent families are embedded.</w:t>
      </w:r>
      <w:r w:rsidR="00906AB9" w:rsidRPr="00F340F6">
        <w:rPr>
          <w:color w:val="auto"/>
        </w:rPr>
        <w:t xml:space="preserve"> Dutch single-parent households are protected by governmental regulations and benefit </w:t>
      </w:r>
      <w:r w:rsidR="000F3C09" w:rsidRPr="00F340F6">
        <w:rPr>
          <w:color w:val="auto"/>
        </w:rPr>
        <w:t xml:space="preserve">substantially </w:t>
      </w:r>
      <w:r w:rsidR="00906AB9" w:rsidRPr="00F340F6">
        <w:rPr>
          <w:color w:val="auto"/>
        </w:rPr>
        <w:t xml:space="preserve">from various </w:t>
      </w:r>
      <w:r w:rsidR="00903BD5" w:rsidRPr="00F340F6">
        <w:rPr>
          <w:color w:val="auto"/>
        </w:rPr>
        <w:t xml:space="preserve">family </w:t>
      </w:r>
      <w:r w:rsidR="00906AB9" w:rsidRPr="00F340F6">
        <w:rPr>
          <w:color w:val="auto"/>
        </w:rPr>
        <w:t>income and tax measures (</w:t>
      </w:r>
      <w:r w:rsidR="008B024F" w:rsidRPr="00F340F6">
        <w:rPr>
          <w:color w:val="auto"/>
        </w:rPr>
        <w:t>Lok</w:t>
      </w:r>
      <w:r w:rsidR="00906AB9" w:rsidRPr="00F340F6">
        <w:rPr>
          <w:color w:val="auto"/>
        </w:rPr>
        <w:t>, 2009).</w:t>
      </w:r>
      <w:r w:rsidR="000F3C09" w:rsidRPr="00F340F6">
        <w:rPr>
          <w:color w:val="auto"/>
        </w:rPr>
        <w:t xml:space="preserve"> </w:t>
      </w:r>
      <w:r w:rsidR="00D560D8" w:rsidRPr="00F340F6">
        <w:rPr>
          <w:color w:val="auto"/>
        </w:rPr>
        <w:t xml:space="preserve">Additionally, only a very small percentage of single-parents in the Netherlands </w:t>
      </w:r>
      <w:r w:rsidR="009F578A" w:rsidRPr="00F340F6">
        <w:rPr>
          <w:color w:val="auto"/>
        </w:rPr>
        <w:t>work full-</w:t>
      </w:r>
      <w:r w:rsidR="00D560D8" w:rsidRPr="00F340F6">
        <w:rPr>
          <w:color w:val="auto"/>
        </w:rPr>
        <w:t>time or use any sort of day-care services (Portegijs, Cloïn, Ooms, &amp; Eggink, 2006).</w:t>
      </w:r>
      <w:r w:rsidR="000C7E01" w:rsidRPr="00F340F6">
        <w:rPr>
          <w:color w:val="auto"/>
        </w:rPr>
        <w:t xml:space="preserve"> In comparison, about half of all custodial parents in the United States work full-time, year-round (Grall, 2009).</w:t>
      </w:r>
      <w:r w:rsidR="0081136A" w:rsidRPr="00F340F6">
        <w:rPr>
          <w:color w:val="auto"/>
        </w:rPr>
        <w:t xml:space="preserve"> </w:t>
      </w:r>
      <w:r w:rsidR="00745381" w:rsidRPr="00F340F6">
        <w:rPr>
          <w:color w:val="auto"/>
        </w:rPr>
        <w:t xml:space="preserve">In other words, </w:t>
      </w:r>
      <w:r w:rsidR="00903BD5" w:rsidRPr="00F340F6">
        <w:rPr>
          <w:color w:val="auto"/>
        </w:rPr>
        <w:t>less Dutch single-parents spend substantial amount</w:t>
      </w:r>
      <w:r w:rsidR="008C463E" w:rsidRPr="00F340F6">
        <w:rPr>
          <w:color w:val="auto"/>
        </w:rPr>
        <w:t>s</w:t>
      </w:r>
      <w:r w:rsidR="00903BD5" w:rsidRPr="00F340F6">
        <w:rPr>
          <w:color w:val="auto"/>
        </w:rPr>
        <w:t xml:space="preserve"> of time engaged in the labor market and </w:t>
      </w:r>
      <w:r w:rsidR="00CF7DCA" w:rsidRPr="00F340F6">
        <w:rPr>
          <w:color w:val="auto"/>
        </w:rPr>
        <w:t xml:space="preserve">thus, </w:t>
      </w:r>
      <w:r w:rsidR="00903BD5" w:rsidRPr="00F340F6">
        <w:rPr>
          <w:color w:val="auto"/>
        </w:rPr>
        <w:t xml:space="preserve">away from their maturing adolescents. As previously mentioned, parental control and knowledge of the </w:t>
      </w:r>
      <w:r w:rsidR="00903BD5" w:rsidRPr="00F340F6">
        <w:rPr>
          <w:color w:val="auto"/>
        </w:rPr>
        <w:lastRenderedPageBreak/>
        <w:t>adolescent</w:t>
      </w:r>
      <w:r w:rsidR="00CF7DCA" w:rsidRPr="00F340F6">
        <w:rPr>
          <w:color w:val="auto"/>
        </w:rPr>
        <w:t>’s</w:t>
      </w:r>
      <w:r w:rsidR="00903BD5" w:rsidRPr="00F340F6">
        <w:rPr>
          <w:color w:val="auto"/>
        </w:rPr>
        <w:t xml:space="preserve"> whereabouts are strong predictors of adolescent dating status (</w:t>
      </w:r>
      <w:r w:rsidR="00903BD5" w:rsidRPr="00F340F6">
        <w:rPr>
          <w:bCs/>
          <w:color w:val="auto"/>
        </w:rPr>
        <w:t>Friedlander et al., 2007).</w:t>
      </w:r>
      <w:r w:rsidR="008C463E" w:rsidRPr="00F340F6">
        <w:rPr>
          <w:bCs/>
          <w:color w:val="auto"/>
        </w:rPr>
        <w:t xml:space="preserve"> </w:t>
      </w:r>
      <w:r w:rsidR="00CF7DCA" w:rsidRPr="00F340F6">
        <w:rPr>
          <w:bCs/>
          <w:color w:val="auto"/>
        </w:rPr>
        <w:t>At the same time</w:t>
      </w:r>
      <w:r w:rsidR="00FC1540" w:rsidRPr="00F340F6">
        <w:rPr>
          <w:bCs/>
          <w:color w:val="auto"/>
        </w:rPr>
        <w:t>, our findings showed that the transition from a two- to a single-pare</w:t>
      </w:r>
      <w:r w:rsidR="00CF7DCA" w:rsidRPr="00F340F6">
        <w:rPr>
          <w:bCs/>
          <w:color w:val="auto"/>
        </w:rPr>
        <w:t xml:space="preserve">nt family </w:t>
      </w:r>
      <w:r w:rsidR="00695646" w:rsidRPr="00F340F6">
        <w:rPr>
          <w:bCs/>
          <w:color w:val="auto"/>
        </w:rPr>
        <w:t xml:space="preserve">(i.e., a biological parent’s move out of the household) </w:t>
      </w:r>
      <w:r w:rsidR="00CF7DCA" w:rsidRPr="00F340F6">
        <w:rPr>
          <w:bCs/>
          <w:color w:val="auto"/>
        </w:rPr>
        <w:t xml:space="preserve">was associated with </w:t>
      </w:r>
      <w:r w:rsidR="00FC1540" w:rsidRPr="00F340F6">
        <w:rPr>
          <w:bCs/>
          <w:i/>
          <w:color w:val="auto"/>
        </w:rPr>
        <w:t>higher</w:t>
      </w:r>
      <w:r w:rsidR="00FC1540" w:rsidRPr="00F340F6">
        <w:rPr>
          <w:bCs/>
          <w:color w:val="auto"/>
        </w:rPr>
        <w:t xml:space="preserve"> likelihood of having </w:t>
      </w:r>
      <w:r w:rsidR="00695646" w:rsidRPr="00F340F6">
        <w:rPr>
          <w:bCs/>
          <w:color w:val="auto"/>
        </w:rPr>
        <w:t xml:space="preserve">at least some </w:t>
      </w:r>
      <w:r w:rsidR="00FC1540" w:rsidRPr="00F340F6">
        <w:rPr>
          <w:bCs/>
          <w:color w:val="auto"/>
        </w:rPr>
        <w:t>dating experience</w:t>
      </w:r>
      <w:r w:rsidR="0005679F" w:rsidRPr="00F340F6">
        <w:rPr>
          <w:bCs/>
          <w:color w:val="auto"/>
        </w:rPr>
        <w:t>. The</w:t>
      </w:r>
      <w:r w:rsidR="00FC1540" w:rsidRPr="00F340F6">
        <w:rPr>
          <w:bCs/>
          <w:color w:val="auto"/>
        </w:rPr>
        <w:t>s</w:t>
      </w:r>
      <w:r w:rsidR="0005679F" w:rsidRPr="00F340F6">
        <w:rPr>
          <w:bCs/>
          <w:color w:val="auto"/>
        </w:rPr>
        <w:t>e</w:t>
      </w:r>
      <w:r w:rsidR="00FC1540" w:rsidRPr="00F340F6">
        <w:rPr>
          <w:bCs/>
          <w:color w:val="auto"/>
        </w:rPr>
        <w:t xml:space="preserve"> result</w:t>
      </w:r>
      <w:r w:rsidR="0005679F" w:rsidRPr="00F340F6">
        <w:rPr>
          <w:bCs/>
          <w:color w:val="auto"/>
        </w:rPr>
        <w:t xml:space="preserve">s, however, are not necessarily contradictory. We assessed the family composition </w:t>
      </w:r>
      <w:r w:rsidR="00695646" w:rsidRPr="00F340F6">
        <w:rPr>
          <w:bCs/>
          <w:color w:val="auto"/>
        </w:rPr>
        <w:t xml:space="preserve">(single-parent, stepparent, and two biological parents) </w:t>
      </w:r>
      <w:r w:rsidR="0005679F" w:rsidRPr="00F340F6">
        <w:rPr>
          <w:bCs/>
          <w:color w:val="auto"/>
        </w:rPr>
        <w:t>at the beginning of observation; in other words, this was the family</w:t>
      </w:r>
      <w:r w:rsidR="00A62918" w:rsidRPr="00F340F6">
        <w:rPr>
          <w:bCs/>
          <w:color w:val="auto"/>
        </w:rPr>
        <w:t xml:space="preserve">’s </w:t>
      </w:r>
      <w:r w:rsidR="00A62918" w:rsidRPr="00F340F6">
        <w:rPr>
          <w:bCs/>
          <w:i/>
          <w:color w:val="auto"/>
        </w:rPr>
        <w:t>status quo</w:t>
      </w:r>
      <w:r w:rsidR="0005679F" w:rsidRPr="00F340F6">
        <w:rPr>
          <w:bCs/>
          <w:i/>
          <w:color w:val="auto"/>
        </w:rPr>
        <w:t xml:space="preserve"> </w:t>
      </w:r>
      <w:r w:rsidR="00A62918" w:rsidRPr="00F340F6">
        <w:rPr>
          <w:bCs/>
          <w:color w:val="auto"/>
        </w:rPr>
        <w:t xml:space="preserve">at the time the </w:t>
      </w:r>
      <w:r w:rsidR="0005679F" w:rsidRPr="00F340F6">
        <w:rPr>
          <w:bCs/>
          <w:color w:val="auto"/>
        </w:rPr>
        <w:t xml:space="preserve">adolescents came into our study and was thus, the result of </w:t>
      </w:r>
      <w:r w:rsidR="00094120" w:rsidRPr="00F340F6">
        <w:rPr>
          <w:bCs/>
          <w:color w:val="auto"/>
        </w:rPr>
        <w:t xml:space="preserve">possible </w:t>
      </w:r>
      <w:r w:rsidR="0005679F" w:rsidRPr="00F340F6">
        <w:rPr>
          <w:bCs/>
          <w:color w:val="auto"/>
        </w:rPr>
        <w:t xml:space="preserve">changes experienced before adolescence. In contrast, the parental residential transitions </w:t>
      </w:r>
      <w:r w:rsidR="00094120" w:rsidRPr="00F340F6">
        <w:rPr>
          <w:bCs/>
          <w:color w:val="auto"/>
        </w:rPr>
        <w:t>(e.g., the biological parent’s move out of the household) were observed in the</w:t>
      </w:r>
      <w:r w:rsidR="0005679F" w:rsidRPr="00F340F6">
        <w:rPr>
          <w:bCs/>
          <w:color w:val="auto"/>
        </w:rPr>
        <w:t xml:space="preserve"> five year period starting with the entry into adolescence. </w:t>
      </w:r>
      <w:r w:rsidR="00A62918" w:rsidRPr="00F340F6">
        <w:rPr>
          <w:bCs/>
          <w:color w:val="auto"/>
        </w:rPr>
        <w:t xml:space="preserve">Previous work has already established that </w:t>
      </w:r>
      <w:r w:rsidR="00A62918" w:rsidRPr="00F340F6">
        <w:rPr>
          <w:color w:val="auto"/>
        </w:rPr>
        <w:t>stressors which are experienced during transitional periods such as the entry into adolescence can have stronger effects on adjustment than if they are experienced at another time (Graber &amp; Brooks-Gunn, 1996)</w:t>
      </w:r>
      <w:r w:rsidR="00D302E0" w:rsidRPr="00F340F6">
        <w:rPr>
          <w:color w:val="auto"/>
        </w:rPr>
        <w:t xml:space="preserve">. </w:t>
      </w:r>
      <w:r w:rsidR="003346E2" w:rsidRPr="00F340F6">
        <w:rPr>
          <w:color w:val="auto"/>
        </w:rPr>
        <w:t>This difference in the timing of the parental transitions could account for the effects which we found.</w:t>
      </w:r>
    </w:p>
    <w:p w:rsidR="006242F4" w:rsidRPr="00F340F6" w:rsidRDefault="006242F4" w:rsidP="00F340F6">
      <w:pPr>
        <w:spacing w:line="480" w:lineRule="auto"/>
        <w:ind w:firstLine="720"/>
        <w:rPr>
          <w:color w:val="auto"/>
        </w:rPr>
      </w:pPr>
      <w:r w:rsidRPr="00F340F6">
        <w:rPr>
          <w:color w:val="auto"/>
        </w:rPr>
        <w:t xml:space="preserve">Despite the </w:t>
      </w:r>
      <w:r w:rsidR="004A4911" w:rsidRPr="00F340F6">
        <w:rPr>
          <w:color w:val="auto"/>
        </w:rPr>
        <w:t>interesting findings</w:t>
      </w:r>
      <w:r w:rsidRPr="00F340F6">
        <w:rPr>
          <w:color w:val="auto"/>
        </w:rPr>
        <w:t xml:space="preserve"> of this study, there are certain limitations that </w:t>
      </w:r>
      <w:r w:rsidR="004A4911" w:rsidRPr="00F340F6">
        <w:rPr>
          <w:color w:val="auto"/>
        </w:rPr>
        <w:t xml:space="preserve">we </w:t>
      </w:r>
      <w:r w:rsidR="009F578A" w:rsidRPr="00F340F6">
        <w:rPr>
          <w:color w:val="auto"/>
        </w:rPr>
        <w:t>should</w:t>
      </w:r>
      <w:r w:rsidR="004A4911" w:rsidRPr="00F340F6">
        <w:rPr>
          <w:color w:val="auto"/>
        </w:rPr>
        <w:t xml:space="preserve"> address</w:t>
      </w:r>
      <w:r w:rsidRPr="00F340F6">
        <w:rPr>
          <w:color w:val="auto"/>
        </w:rPr>
        <w:t xml:space="preserve">. In our work we did not find any significant gender interactions. On one hand side, it could be that the low number of adolescents from non-intact families </w:t>
      </w:r>
      <w:r w:rsidR="008801A6" w:rsidRPr="00F340F6">
        <w:rPr>
          <w:color w:val="auto"/>
        </w:rPr>
        <w:t xml:space="preserve">(especially the very few single-father families) </w:t>
      </w:r>
      <w:r w:rsidRPr="00F340F6">
        <w:rPr>
          <w:color w:val="auto"/>
        </w:rPr>
        <w:t xml:space="preserve">and </w:t>
      </w:r>
      <w:r w:rsidR="008801A6" w:rsidRPr="00F340F6">
        <w:rPr>
          <w:color w:val="auto"/>
        </w:rPr>
        <w:t xml:space="preserve">the low </w:t>
      </w:r>
      <w:r w:rsidRPr="00F340F6">
        <w:rPr>
          <w:color w:val="auto"/>
        </w:rPr>
        <w:t xml:space="preserve">number of parental transitions in our sample did not allow for gender differences to be detected. Yet, it should also be kept in mind that previous investigations have reported mixed findings about possible gender differences in the effect of parental relational instability, with a substantial number reporting little or no differentiation (for an overview, see Amato, 2010). Thus, the fact that we found that girls and boys experience household transitions in a similar way </w:t>
      </w:r>
      <w:r w:rsidR="00DB3A32" w:rsidRPr="00F340F6">
        <w:rPr>
          <w:color w:val="auto"/>
        </w:rPr>
        <w:t>wa</w:t>
      </w:r>
      <w:r w:rsidRPr="00F340F6">
        <w:rPr>
          <w:color w:val="auto"/>
        </w:rPr>
        <w:t xml:space="preserve">s not necessarily surprising. </w:t>
      </w:r>
      <w:r w:rsidR="008801A6" w:rsidRPr="00F340F6">
        <w:rPr>
          <w:color w:val="auto"/>
        </w:rPr>
        <w:t xml:space="preserve">Furthermore, </w:t>
      </w:r>
      <w:r w:rsidR="007B0148" w:rsidRPr="00F340F6">
        <w:rPr>
          <w:color w:val="auto"/>
        </w:rPr>
        <w:t xml:space="preserve">with respect </w:t>
      </w:r>
      <w:r w:rsidR="007B0148" w:rsidRPr="00F340F6">
        <w:rPr>
          <w:color w:val="auto"/>
        </w:rPr>
        <w:lastRenderedPageBreak/>
        <w:t xml:space="preserve">to the few single-father households, </w:t>
      </w:r>
      <w:r w:rsidR="008801A6" w:rsidRPr="00F340F6">
        <w:rPr>
          <w:color w:val="auto"/>
        </w:rPr>
        <w:t xml:space="preserve">our sample was rather representative of the Dutch context in which the majority of adolescents in single-parent families reside in single-mother </w:t>
      </w:r>
      <w:r w:rsidR="007B0148" w:rsidRPr="00F340F6">
        <w:rPr>
          <w:color w:val="auto"/>
        </w:rPr>
        <w:t>homes</w:t>
      </w:r>
      <w:r w:rsidR="008801A6" w:rsidRPr="00F340F6">
        <w:rPr>
          <w:color w:val="auto"/>
        </w:rPr>
        <w:t xml:space="preserve"> (</w:t>
      </w:r>
      <w:r w:rsidR="007B0148" w:rsidRPr="00F340F6">
        <w:rPr>
          <w:color w:val="auto"/>
        </w:rPr>
        <w:t>de Graaf, 2008).</w:t>
      </w:r>
      <w:r w:rsidR="008801A6" w:rsidRPr="00F340F6">
        <w:rPr>
          <w:color w:val="auto"/>
        </w:rPr>
        <w:t xml:space="preserve"> </w:t>
      </w:r>
      <w:r w:rsidRPr="00F340F6">
        <w:rPr>
          <w:color w:val="auto"/>
        </w:rPr>
        <w:t xml:space="preserve">Another specificity of our work is the limited 5-year </w:t>
      </w:r>
      <w:r w:rsidR="009F578A" w:rsidRPr="00F340F6">
        <w:rPr>
          <w:color w:val="auto"/>
        </w:rPr>
        <w:t xml:space="preserve">observation </w:t>
      </w:r>
      <w:r w:rsidRPr="00F340F6">
        <w:rPr>
          <w:color w:val="auto"/>
        </w:rPr>
        <w:t xml:space="preserve">period. </w:t>
      </w:r>
      <w:r w:rsidR="00FD33E2" w:rsidRPr="00F340F6">
        <w:rPr>
          <w:color w:val="auto"/>
        </w:rPr>
        <w:t xml:space="preserve">This impeded us from investigating the effects of cumulative family instability </w:t>
      </w:r>
      <w:r w:rsidR="009F578A" w:rsidRPr="00F340F6">
        <w:rPr>
          <w:color w:val="auto"/>
        </w:rPr>
        <w:t xml:space="preserve">from birth until at least early adolescence which is </w:t>
      </w:r>
      <w:r w:rsidR="00FD33E2" w:rsidRPr="00F340F6">
        <w:rPr>
          <w:color w:val="auto"/>
        </w:rPr>
        <w:t>a strong predictor of various aspects of adolescent</w:t>
      </w:r>
      <w:r w:rsidR="009F578A" w:rsidRPr="00F340F6">
        <w:rPr>
          <w:color w:val="auto"/>
        </w:rPr>
        <w:t xml:space="preserve"> functioning (</w:t>
      </w:r>
      <w:r w:rsidR="00FD33E2" w:rsidRPr="00F340F6">
        <w:rPr>
          <w:color w:val="auto"/>
        </w:rPr>
        <w:t xml:space="preserve">Amato, 2000; Cavangh et al, 2008; Crosnoe &amp; Cavanagh, 2010). </w:t>
      </w:r>
      <w:r w:rsidRPr="00F340F6">
        <w:rPr>
          <w:color w:val="auto"/>
        </w:rPr>
        <w:t xml:space="preserve">Still, we believe that we were able to capture a crucial </w:t>
      </w:r>
      <w:r w:rsidR="009F578A" w:rsidRPr="00F340F6">
        <w:rPr>
          <w:color w:val="auto"/>
        </w:rPr>
        <w:t xml:space="preserve">transitional </w:t>
      </w:r>
      <w:r w:rsidRPr="00F340F6">
        <w:rPr>
          <w:color w:val="auto"/>
        </w:rPr>
        <w:t xml:space="preserve">period </w:t>
      </w:r>
      <w:r w:rsidR="009F578A" w:rsidRPr="00F340F6">
        <w:rPr>
          <w:color w:val="auto"/>
        </w:rPr>
        <w:t xml:space="preserve">(i.e., the entry into </w:t>
      </w:r>
      <w:r w:rsidRPr="00F340F6">
        <w:rPr>
          <w:color w:val="auto"/>
        </w:rPr>
        <w:t>adolescence</w:t>
      </w:r>
      <w:r w:rsidR="009F578A" w:rsidRPr="00F340F6">
        <w:rPr>
          <w:color w:val="auto"/>
        </w:rPr>
        <w:t>)</w:t>
      </w:r>
      <w:r w:rsidRPr="00F340F6">
        <w:rPr>
          <w:color w:val="auto"/>
        </w:rPr>
        <w:t xml:space="preserve"> when youth </w:t>
      </w:r>
      <w:r w:rsidR="009F578A" w:rsidRPr="00F340F6">
        <w:rPr>
          <w:color w:val="auto"/>
        </w:rPr>
        <w:t xml:space="preserve">might be </w:t>
      </w:r>
      <w:r w:rsidRPr="00F340F6">
        <w:rPr>
          <w:color w:val="auto"/>
        </w:rPr>
        <w:t xml:space="preserve">even more susceptible to the effects of family instability. </w:t>
      </w:r>
      <w:r w:rsidR="007B0148" w:rsidRPr="00F340F6">
        <w:rPr>
          <w:color w:val="auto"/>
        </w:rPr>
        <w:t>Despite the fact that</w:t>
      </w:r>
      <w:r w:rsidRPr="00F340F6">
        <w:rPr>
          <w:color w:val="auto"/>
        </w:rPr>
        <w:t xml:space="preserve"> we established a clear causal link between parental transitions and the initiation of a dating relation in adolescence, we </w:t>
      </w:r>
      <w:r w:rsidR="007B0148" w:rsidRPr="00F340F6">
        <w:rPr>
          <w:color w:val="auto"/>
        </w:rPr>
        <w:t xml:space="preserve">were </w:t>
      </w:r>
      <w:r w:rsidRPr="00F340F6">
        <w:rPr>
          <w:color w:val="auto"/>
        </w:rPr>
        <w:t xml:space="preserve">unable to make any conclusion about how adolescents experience these romantic relationships. We did not find evidence of an association between family structure, parental transitions, and the count of dating relations but it remains to future investigations to establish how adolescents fare in romantic relations initiated after a substantial parental transition. </w:t>
      </w:r>
    </w:p>
    <w:p w:rsidR="008B04AB" w:rsidRPr="00F340F6" w:rsidRDefault="00985055" w:rsidP="00F340F6">
      <w:pPr>
        <w:suppressLineNumbers/>
        <w:spacing w:line="480" w:lineRule="auto"/>
        <w:ind w:firstLine="720"/>
        <w:rPr>
          <w:color w:val="auto"/>
        </w:rPr>
      </w:pPr>
      <w:r w:rsidRPr="00F340F6">
        <w:rPr>
          <w:color w:val="auto"/>
        </w:rPr>
        <w:t>Despite certain limitations, this study makes an important contribution to the study of family events and ado</w:t>
      </w:r>
      <w:r w:rsidR="00AC3E27" w:rsidRPr="00F340F6">
        <w:rPr>
          <w:color w:val="auto"/>
        </w:rPr>
        <w:t xml:space="preserve">lescent romantic relationships by establishing a </w:t>
      </w:r>
      <w:r w:rsidR="006B2A8F" w:rsidRPr="00F340F6">
        <w:rPr>
          <w:color w:val="auto"/>
        </w:rPr>
        <w:t>clear</w:t>
      </w:r>
      <w:r w:rsidRPr="00F340F6">
        <w:rPr>
          <w:color w:val="auto"/>
        </w:rPr>
        <w:t xml:space="preserve"> causal link be</w:t>
      </w:r>
      <w:r w:rsidR="006B2A8F" w:rsidRPr="00F340F6">
        <w:rPr>
          <w:color w:val="auto"/>
        </w:rPr>
        <w:t xml:space="preserve">tween parental and adolescent transitions. This confirms life-course researchers’ assertion of “linked lives” – important changes in parents’ lives are bound to </w:t>
      </w:r>
      <w:r w:rsidR="00AC3E27" w:rsidRPr="00F340F6">
        <w:rPr>
          <w:color w:val="auto"/>
        </w:rPr>
        <w:t>have a ripple effect on the life-courses of their adolescents</w:t>
      </w:r>
      <w:r w:rsidR="006B2A8F" w:rsidRPr="00F340F6">
        <w:rPr>
          <w:color w:val="auto"/>
        </w:rPr>
        <w:t xml:space="preserve">. </w:t>
      </w:r>
      <w:r w:rsidRPr="00F340F6">
        <w:rPr>
          <w:color w:val="auto"/>
        </w:rPr>
        <w:t xml:space="preserve">It remains to be seen </w:t>
      </w:r>
      <w:r w:rsidR="00AC3E27" w:rsidRPr="00F340F6">
        <w:rPr>
          <w:color w:val="auto"/>
        </w:rPr>
        <w:t xml:space="preserve">whether </w:t>
      </w:r>
      <w:r w:rsidRPr="00F340F6">
        <w:rPr>
          <w:color w:val="auto"/>
        </w:rPr>
        <w:t xml:space="preserve">the fact that the initiation of those romantic </w:t>
      </w:r>
      <w:r w:rsidR="00AC3E27" w:rsidRPr="00F340F6">
        <w:rPr>
          <w:color w:val="auto"/>
        </w:rPr>
        <w:t xml:space="preserve">relationships </w:t>
      </w:r>
      <w:r w:rsidRPr="00F340F6">
        <w:rPr>
          <w:color w:val="auto"/>
        </w:rPr>
        <w:t xml:space="preserve">was affected by </w:t>
      </w:r>
      <w:r w:rsidR="00AC3E27" w:rsidRPr="00F340F6">
        <w:rPr>
          <w:color w:val="auto"/>
        </w:rPr>
        <w:t xml:space="preserve">a </w:t>
      </w:r>
      <w:r w:rsidRPr="00F340F6">
        <w:rPr>
          <w:color w:val="auto"/>
        </w:rPr>
        <w:t xml:space="preserve">parental </w:t>
      </w:r>
      <w:r w:rsidR="00AC3E27" w:rsidRPr="00F340F6">
        <w:rPr>
          <w:color w:val="auto"/>
        </w:rPr>
        <w:t xml:space="preserve">transition </w:t>
      </w:r>
      <w:r w:rsidRPr="00F340F6">
        <w:rPr>
          <w:color w:val="auto"/>
        </w:rPr>
        <w:t xml:space="preserve">will also have </w:t>
      </w:r>
      <w:r w:rsidR="00AC3E27" w:rsidRPr="00F340F6">
        <w:rPr>
          <w:color w:val="auto"/>
        </w:rPr>
        <w:t xml:space="preserve">an effect on how the </w:t>
      </w:r>
      <w:r w:rsidRPr="00F340F6">
        <w:rPr>
          <w:color w:val="auto"/>
        </w:rPr>
        <w:t xml:space="preserve">adolescent </w:t>
      </w:r>
      <w:r w:rsidR="00AC3E27" w:rsidRPr="00F340F6">
        <w:rPr>
          <w:color w:val="auto"/>
        </w:rPr>
        <w:t>functions in these bonds</w:t>
      </w:r>
      <w:r w:rsidRPr="00F340F6">
        <w:rPr>
          <w:color w:val="auto"/>
        </w:rPr>
        <w:t>.</w:t>
      </w:r>
    </w:p>
    <w:p w:rsidR="00E95EEC" w:rsidRPr="00F340F6" w:rsidRDefault="00E95EEC" w:rsidP="00F340F6">
      <w:pPr>
        <w:suppressLineNumbers/>
        <w:spacing w:line="480" w:lineRule="auto"/>
        <w:ind w:firstLine="720"/>
        <w:rPr>
          <w:color w:val="auto"/>
        </w:rPr>
      </w:pPr>
    </w:p>
    <w:p w:rsidR="0095449A" w:rsidRPr="00F340F6" w:rsidRDefault="00311C91" w:rsidP="00F340F6">
      <w:pPr>
        <w:autoSpaceDE w:val="0"/>
        <w:autoSpaceDN w:val="0"/>
        <w:adjustRightInd w:val="0"/>
        <w:spacing w:line="480" w:lineRule="auto"/>
        <w:ind w:left="540" w:hanging="540"/>
        <w:jc w:val="center"/>
        <w:rPr>
          <w:color w:val="auto"/>
        </w:rPr>
      </w:pPr>
      <w:r w:rsidRPr="00F340F6">
        <w:rPr>
          <w:color w:val="auto"/>
        </w:rPr>
        <w:br w:type="page"/>
      </w:r>
      <w:r w:rsidR="0095449A" w:rsidRPr="00F340F6">
        <w:rPr>
          <w:color w:val="auto"/>
        </w:rPr>
        <w:lastRenderedPageBreak/>
        <w:t>References</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Aalen, O. O., Borgan, Ø., &amp; Gjessing, H. K. (2008). </w:t>
      </w:r>
      <w:r w:rsidRPr="00F340F6">
        <w:rPr>
          <w:i/>
          <w:color w:val="auto"/>
        </w:rPr>
        <w:t>Survival and event history analysis. A process point of view</w:t>
      </w:r>
      <w:r w:rsidRPr="00F340F6">
        <w:rPr>
          <w:color w:val="auto"/>
        </w:rPr>
        <w:t>. New York, NY: Springer.</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Allison, P. D. (1982). Discrete-time methods for the analysis of event histories. </w:t>
      </w:r>
      <w:r w:rsidRPr="00F340F6">
        <w:rPr>
          <w:i/>
          <w:color w:val="auto"/>
        </w:rPr>
        <w:t>Sociological Methodology, 13</w:t>
      </w:r>
      <w:r w:rsidRPr="00F340F6">
        <w:rPr>
          <w:color w:val="auto"/>
        </w:rPr>
        <w:t>, 61 – 98.</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Amato, P. R. (2010). Research on divorce: Continuing trends and new developments. </w:t>
      </w:r>
      <w:r w:rsidRPr="00F340F6">
        <w:rPr>
          <w:i/>
          <w:color w:val="auto"/>
        </w:rPr>
        <w:t>Journal of Marriage and Family, 72</w:t>
      </w:r>
      <w:r w:rsidRPr="00F340F6">
        <w:rPr>
          <w:color w:val="auto"/>
        </w:rPr>
        <w:t>, 650 – 666.</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Amato, P. R., &amp; DeBoer, D. D. (2001). The transmission of marital instability across generations: Relationship skills or commitment to marriage? </w:t>
      </w:r>
      <w:r w:rsidRPr="00F340F6">
        <w:rPr>
          <w:i/>
          <w:color w:val="auto"/>
        </w:rPr>
        <w:t>Journal of Marriage and Family, 63</w:t>
      </w:r>
      <w:r w:rsidRPr="00F340F6">
        <w:rPr>
          <w:color w:val="auto"/>
        </w:rPr>
        <w:t>, 1038 – 1051.</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Amato, P.R. (2000). </w:t>
      </w:r>
      <w:r w:rsidRPr="00F340F6">
        <w:rPr>
          <w:rFonts w:eastAsia="TimesNewRomanPSMT"/>
          <w:color w:val="auto"/>
        </w:rPr>
        <w:t xml:space="preserve">The consequences of divorce for adults and children. </w:t>
      </w:r>
      <w:r w:rsidRPr="00F340F6">
        <w:rPr>
          <w:rFonts w:eastAsia="TimesNewRomanPSMT"/>
          <w:i/>
          <w:iCs/>
          <w:color w:val="auto"/>
        </w:rPr>
        <w:t>Journal of Marriage and Family</w:t>
      </w:r>
      <w:r w:rsidRPr="00F340F6">
        <w:rPr>
          <w:rFonts w:eastAsia="TimesNewRomanPSMT"/>
          <w:color w:val="auto"/>
        </w:rPr>
        <w:t xml:space="preserve">, </w:t>
      </w:r>
      <w:r w:rsidRPr="00F340F6">
        <w:rPr>
          <w:rFonts w:eastAsia="TimesNewRomanPSMT"/>
          <w:i/>
          <w:iCs/>
          <w:color w:val="auto"/>
        </w:rPr>
        <w:t>62</w:t>
      </w:r>
      <w:r w:rsidRPr="00F340F6">
        <w:rPr>
          <w:rFonts w:eastAsia="TimesNewRomanPSMT"/>
          <w:color w:val="auto"/>
        </w:rPr>
        <w:t>, 1269 – 1287.</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Blossfeld, H. P., &amp; Mills, M. (2001). A causal approach to interrelated family events: A cross-national comparison of cohabitation, nonmarital conception, and marriage. </w:t>
      </w:r>
      <w:r w:rsidRPr="00F340F6">
        <w:rPr>
          <w:i/>
          <w:color w:val="auto"/>
        </w:rPr>
        <w:t>Special Issue on Longitudinal Methodology, Canadian Studies in Population, 28</w:t>
      </w:r>
      <w:r w:rsidRPr="00F340F6">
        <w:rPr>
          <w:color w:val="auto"/>
        </w:rPr>
        <w:t>, 409 – 437.</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Bumpass, L. L., Martin, T. C., &amp; Sweet, J. A. (1991). The impact of family background and early marital factors on marital disruption. </w:t>
      </w:r>
      <w:r w:rsidRPr="00F340F6">
        <w:rPr>
          <w:i/>
          <w:color w:val="auto"/>
        </w:rPr>
        <w:t>Journal of Family Issues, 12</w:t>
      </w:r>
      <w:r w:rsidRPr="00F340F6">
        <w:rPr>
          <w:color w:val="auto"/>
        </w:rPr>
        <w:t>, 22-42.</w:t>
      </w:r>
    </w:p>
    <w:p w:rsidR="00C80753" w:rsidRPr="00F340F6" w:rsidRDefault="00C80753" w:rsidP="00F340F6">
      <w:pPr>
        <w:pStyle w:val="BodyText3"/>
        <w:spacing w:after="0" w:line="480" w:lineRule="auto"/>
        <w:ind w:left="720" w:hanging="720"/>
        <w:rPr>
          <w:color w:val="auto"/>
          <w:sz w:val="24"/>
          <w:szCs w:val="24"/>
        </w:rPr>
      </w:pPr>
      <w:r w:rsidRPr="00F340F6">
        <w:rPr>
          <w:color w:val="auto"/>
          <w:sz w:val="24"/>
          <w:szCs w:val="24"/>
        </w:rPr>
        <w:t xml:space="preserve">Cavanagh, S. E., Crissey, S. R., &amp; Raley, R. K. (2008). Family structure history and adolescent romance. </w:t>
      </w:r>
      <w:r w:rsidRPr="00F340F6">
        <w:rPr>
          <w:i/>
          <w:color w:val="auto"/>
          <w:sz w:val="24"/>
          <w:szCs w:val="24"/>
        </w:rPr>
        <w:t>Journal of Marriage and Family, 70</w:t>
      </w:r>
      <w:r w:rsidRPr="00F340F6">
        <w:rPr>
          <w:color w:val="auto"/>
          <w:sz w:val="24"/>
          <w:szCs w:val="24"/>
        </w:rPr>
        <w:t>, 698 – 714.</w:t>
      </w:r>
    </w:p>
    <w:p w:rsidR="00C80753" w:rsidRPr="00F340F6" w:rsidRDefault="00C80753" w:rsidP="00F340F6">
      <w:pPr>
        <w:spacing w:line="480" w:lineRule="auto"/>
        <w:ind w:left="720" w:hanging="720"/>
        <w:rPr>
          <w:iCs/>
        </w:rPr>
      </w:pPr>
      <w:r w:rsidRPr="00F340F6">
        <w:rPr>
          <w:iCs/>
        </w:rPr>
        <w:t xml:space="preserve">Connolly, J. A., Craig, W., Goldberg, A., &amp; Pepler, D. (2004). Mixed-gender groups, dating, and romantic relationships in early adolescence. </w:t>
      </w:r>
      <w:r w:rsidRPr="00F340F6">
        <w:rPr>
          <w:i/>
          <w:iCs/>
        </w:rPr>
        <w:t>Journal of Research on Adolescence, 14</w:t>
      </w:r>
      <w:r w:rsidRPr="00F340F6">
        <w:rPr>
          <w:iCs/>
        </w:rPr>
        <w:t>, 185 – 207.</w:t>
      </w:r>
    </w:p>
    <w:p w:rsidR="00C80753" w:rsidRPr="00F340F6" w:rsidRDefault="00C80753" w:rsidP="00F340F6">
      <w:pPr>
        <w:pStyle w:val="Heading1"/>
        <w:spacing w:before="0" w:beforeAutospacing="0" w:after="0" w:afterAutospacing="0" w:line="480" w:lineRule="auto"/>
        <w:ind w:left="720" w:hanging="720"/>
        <w:rPr>
          <w:b w:val="0"/>
          <w:sz w:val="24"/>
          <w:szCs w:val="24"/>
        </w:rPr>
      </w:pPr>
      <w:r w:rsidRPr="00F340F6">
        <w:rPr>
          <w:b w:val="0"/>
          <w:sz w:val="24"/>
          <w:szCs w:val="24"/>
        </w:rPr>
        <w:lastRenderedPageBreak/>
        <w:t xml:space="preserve">Crosnoe, R., &amp; Cavanagh, S. E. (2010). Families with children and adolescents: A review, critique, and future agenda. </w:t>
      </w:r>
      <w:r w:rsidRPr="00F340F6">
        <w:rPr>
          <w:b w:val="0"/>
          <w:i/>
          <w:sz w:val="24"/>
          <w:szCs w:val="24"/>
        </w:rPr>
        <w:t>Journal of Marriage and Family, 72</w:t>
      </w:r>
      <w:r w:rsidRPr="00F340F6">
        <w:rPr>
          <w:b w:val="0"/>
          <w:sz w:val="24"/>
          <w:szCs w:val="24"/>
        </w:rPr>
        <w:t xml:space="preserve">, 594 – 611. </w:t>
      </w:r>
    </w:p>
    <w:p w:rsidR="00C80753" w:rsidRPr="00F340F6" w:rsidRDefault="00C80753" w:rsidP="00F340F6">
      <w:pPr>
        <w:pStyle w:val="Heading1"/>
        <w:spacing w:before="0" w:beforeAutospacing="0" w:after="0" w:afterAutospacing="0" w:line="480" w:lineRule="auto"/>
        <w:ind w:left="720" w:hanging="720"/>
        <w:rPr>
          <w:b w:val="0"/>
          <w:sz w:val="24"/>
          <w:szCs w:val="24"/>
        </w:rPr>
      </w:pPr>
      <w:r w:rsidRPr="00F340F6">
        <w:rPr>
          <w:b w:val="0"/>
          <w:sz w:val="24"/>
          <w:szCs w:val="24"/>
        </w:rPr>
        <w:t xml:space="preserve">de Graaf, A. (2008). </w:t>
      </w:r>
      <w:r w:rsidRPr="00F340F6">
        <w:rPr>
          <w:b w:val="0"/>
          <w:i/>
          <w:sz w:val="24"/>
          <w:szCs w:val="24"/>
        </w:rPr>
        <w:t>Nearly half a million single parents in the Netherlands</w:t>
      </w:r>
      <w:r w:rsidRPr="00F340F6">
        <w:rPr>
          <w:b w:val="0"/>
          <w:sz w:val="24"/>
          <w:szCs w:val="24"/>
        </w:rPr>
        <w:t>. Retrieved from Statistics Netherlands website: http://www.cbs.nl/en-GB/menu/themas/bevolking/publicaties/artikelen/archief/2008/2008-2546-wm.htm</w:t>
      </w:r>
    </w:p>
    <w:p w:rsidR="00C80753" w:rsidRPr="00F340F6" w:rsidRDefault="00C80753" w:rsidP="00F340F6">
      <w:pPr>
        <w:pStyle w:val="BodyText3"/>
        <w:spacing w:after="0" w:line="480" w:lineRule="auto"/>
        <w:ind w:left="720" w:hanging="720"/>
        <w:rPr>
          <w:color w:val="auto"/>
          <w:sz w:val="24"/>
          <w:szCs w:val="24"/>
        </w:rPr>
      </w:pPr>
      <w:r w:rsidRPr="00F340F6">
        <w:rPr>
          <w:color w:val="auto"/>
          <w:sz w:val="24"/>
          <w:szCs w:val="24"/>
        </w:rPr>
        <w:t xml:space="preserve">De Winter, A. F., Oldehinkel, A. J., Veenstra, R., Brunnekreef, J. A., Verhulst, F. C., &amp; Ormel, J. (2005). Evaluation of non-response bias in mental health determinants and outcomes in a large sample of pre-adolescents. </w:t>
      </w:r>
      <w:r w:rsidRPr="00F340F6">
        <w:rPr>
          <w:i/>
          <w:iCs/>
          <w:color w:val="auto"/>
          <w:sz w:val="24"/>
          <w:szCs w:val="24"/>
        </w:rPr>
        <w:t>European Journal of Epidemiology</w:t>
      </w:r>
      <w:r w:rsidRPr="00F340F6">
        <w:rPr>
          <w:color w:val="auto"/>
          <w:sz w:val="24"/>
          <w:szCs w:val="24"/>
        </w:rPr>
        <w:t xml:space="preserve">, </w:t>
      </w:r>
      <w:r w:rsidRPr="00F340F6">
        <w:rPr>
          <w:i/>
          <w:color w:val="auto"/>
          <w:sz w:val="24"/>
          <w:szCs w:val="24"/>
        </w:rPr>
        <w:t>20</w:t>
      </w:r>
      <w:r w:rsidRPr="00F340F6">
        <w:rPr>
          <w:color w:val="auto"/>
          <w:sz w:val="24"/>
          <w:szCs w:val="24"/>
        </w:rPr>
        <w:t xml:space="preserve">, 173 </w:t>
      </w:r>
      <w:r w:rsidRPr="00F340F6">
        <w:rPr>
          <w:iCs/>
          <w:color w:val="auto"/>
          <w:sz w:val="24"/>
          <w:szCs w:val="24"/>
        </w:rPr>
        <w:t xml:space="preserve">– </w:t>
      </w:r>
      <w:r w:rsidRPr="00F340F6">
        <w:rPr>
          <w:color w:val="auto"/>
          <w:sz w:val="24"/>
          <w:szCs w:val="24"/>
        </w:rPr>
        <w:t>181.</w:t>
      </w:r>
    </w:p>
    <w:p w:rsidR="00C80753" w:rsidRPr="00F340F6" w:rsidRDefault="00C80753" w:rsidP="00F340F6">
      <w:pPr>
        <w:pStyle w:val="BodyText3"/>
        <w:spacing w:after="0" w:line="480" w:lineRule="auto"/>
        <w:ind w:left="720" w:hanging="720"/>
        <w:rPr>
          <w:color w:val="auto"/>
          <w:sz w:val="24"/>
          <w:szCs w:val="24"/>
        </w:rPr>
      </w:pPr>
      <w:r w:rsidRPr="00F340F6">
        <w:rPr>
          <w:color w:val="auto"/>
          <w:sz w:val="24"/>
          <w:szCs w:val="24"/>
        </w:rPr>
        <w:t xml:space="preserve">Demo, D. H., &amp; Acock, A. C. (1996). Family structure, family process, and adolescent well-being. </w:t>
      </w:r>
      <w:r w:rsidRPr="00F340F6">
        <w:rPr>
          <w:i/>
          <w:color w:val="auto"/>
          <w:sz w:val="24"/>
          <w:szCs w:val="24"/>
        </w:rPr>
        <w:t>Journal of Research on Adolescence, 6</w:t>
      </w:r>
      <w:r w:rsidRPr="00F340F6">
        <w:rPr>
          <w:color w:val="auto"/>
          <w:sz w:val="24"/>
          <w:szCs w:val="24"/>
        </w:rPr>
        <w:t>, 457 – 488.</w:t>
      </w:r>
    </w:p>
    <w:p w:rsidR="00C80753" w:rsidRPr="00F340F6" w:rsidRDefault="00C80753" w:rsidP="00F340F6">
      <w:pPr>
        <w:autoSpaceDE w:val="0"/>
        <w:autoSpaceDN w:val="0"/>
        <w:adjustRightInd w:val="0"/>
        <w:spacing w:line="480" w:lineRule="auto"/>
        <w:ind w:left="720" w:hanging="720"/>
      </w:pPr>
      <w:r w:rsidRPr="00F340F6">
        <w:t xml:space="preserve">Elder, G. H. (1985). </w:t>
      </w:r>
      <w:r w:rsidRPr="00F340F6">
        <w:rPr>
          <w:i/>
        </w:rPr>
        <w:t>Life course dynamics: Trajectories and transitions, 1968 – 1980</w:t>
      </w:r>
      <w:r w:rsidRPr="00F340F6">
        <w:t xml:space="preserve">. London, </w:t>
      </w:r>
      <w:r w:rsidR="00583AA6" w:rsidRPr="00F340F6">
        <w:t>UK</w:t>
      </w:r>
      <w:r w:rsidRPr="00F340F6">
        <w:t>: Cornell University Press.</w:t>
      </w:r>
    </w:p>
    <w:p w:rsidR="00C80753" w:rsidRPr="00F340F6" w:rsidRDefault="00C80753" w:rsidP="00F340F6">
      <w:pPr>
        <w:spacing w:line="480" w:lineRule="auto"/>
        <w:ind w:left="720" w:hanging="720"/>
      </w:pPr>
      <w:r w:rsidRPr="00F340F6">
        <w:t xml:space="preserve">Elder, G. H., &amp; Shanahan, M. J. (2006). The life course and human development. In W. Damon, &amp; R. M. Lerner (Eds.), </w:t>
      </w:r>
      <w:r w:rsidRPr="00F340F6">
        <w:rPr>
          <w:i/>
        </w:rPr>
        <w:t>Handbook of child psychology</w:t>
      </w:r>
      <w:r w:rsidRPr="00F340F6">
        <w:t xml:space="preserve"> (6</w:t>
      </w:r>
      <w:r w:rsidRPr="00F340F6">
        <w:rPr>
          <w:vertAlign w:val="superscript"/>
        </w:rPr>
        <w:t>th</w:t>
      </w:r>
      <w:r w:rsidRPr="00F340F6">
        <w:t xml:space="preserve"> ed., Vol. 1, pp. 665 – 715). New Jersey, NJ: John Wiley &amp; Sons, Inc.</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Epstein, N. B., Baldwin, L. M., &amp; Bishop, D. S. (1983). The McMaster family assessment device. </w:t>
      </w:r>
      <w:r w:rsidRPr="00F340F6">
        <w:rPr>
          <w:i/>
          <w:color w:val="auto"/>
        </w:rPr>
        <w:t>Journal of Marital and Family Therapy, 9</w:t>
      </w:r>
      <w:r w:rsidRPr="00F340F6">
        <w:rPr>
          <w:color w:val="auto"/>
        </w:rPr>
        <w:t>, 171–180.</w:t>
      </w:r>
    </w:p>
    <w:p w:rsidR="00C80753" w:rsidRPr="00F340F6" w:rsidRDefault="00C80753" w:rsidP="00F340F6">
      <w:pPr>
        <w:pStyle w:val="BodyText3"/>
        <w:spacing w:after="0" w:line="480" w:lineRule="auto"/>
        <w:ind w:left="720" w:hanging="720"/>
        <w:rPr>
          <w:color w:val="auto"/>
          <w:sz w:val="24"/>
          <w:szCs w:val="24"/>
        </w:rPr>
      </w:pPr>
      <w:r w:rsidRPr="00F340F6">
        <w:rPr>
          <w:color w:val="auto"/>
          <w:sz w:val="24"/>
          <w:szCs w:val="24"/>
        </w:rPr>
        <w:t xml:space="preserve">Esping-Andersen, G. (1990). </w:t>
      </w:r>
      <w:r w:rsidRPr="00F340F6">
        <w:rPr>
          <w:i/>
          <w:iCs/>
          <w:color w:val="auto"/>
          <w:sz w:val="24"/>
          <w:szCs w:val="24"/>
        </w:rPr>
        <w:t>The three worlds of welfare capitalism</w:t>
      </w:r>
      <w:r w:rsidRPr="00F340F6">
        <w:rPr>
          <w:color w:val="auto"/>
          <w:sz w:val="24"/>
          <w:szCs w:val="24"/>
        </w:rPr>
        <w:t xml:space="preserve">. Cambridge, </w:t>
      </w:r>
      <w:r w:rsidR="00583AA6" w:rsidRPr="00F340F6">
        <w:rPr>
          <w:color w:val="auto"/>
          <w:sz w:val="24"/>
          <w:szCs w:val="24"/>
        </w:rPr>
        <w:t>UK</w:t>
      </w:r>
      <w:r w:rsidRPr="00F340F6">
        <w:rPr>
          <w:color w:val="auto"/>
          <w:sz w:val="24"/>
          <w:szCs w:val="24"/>
        </w:rPr>
        <w:t>: Polity.</w:t>
      </w:r>
    </w:p>
    <w:p w:rsidR="00C80753" w:rsidRPr="00F340F6" w:rsidRDefault="00C80753" w:rsidP="00F340F6">
      <w:pPr>
        <w:suppressLineNumbers/>
        <w:autoSpaceDE w:val="0"/>
        <w:autoSpaceDN w:val="0"/>
        <w:adjustRightInd w:val="0"/>
        <w:spacing w:line="480" w:lineRule="auto"/>
        <w:ind w:left="720" w:hanging="720"/>
        <w:rPr>
          <w:color w:val="auto"/>
        </w:rPr>
      </w:pPr>
      <w:r w:rsidRPr="00F340F6">
        <w:rPr>
          <w:color w:val="auto"/>
        </w:rPr>
        <w:t xml:space="preserve">Friedlander, L. J., Connolly, J. A., Pepler, D. J., &amp; Craig, W. M. (2007). Biological, familial, and peer influences on dating in early adolescence. </w:t>
      </w:r>
      <w:r w:rsidRPr="00F340F6">
        <w:rPr>
          <w:i/>
          <w:color w:val="auto"/>
        </w:rPr>
        <w:t>Archives of Sexual Behavior, 36</w:t>
      </w:r>
      <w:r w:rsidRPr="00F340F6">
        <w:rPr>
          <w:color w:val="auto"/>
        </w:rPr>
        <w:t>, 821 – 830.</w:t>
      </w:r>
    </w:p>
    <w:p w:rsidR="00C80753" w:rsidRPr="00F340F6" w:rsidRDefault="00C80753" w:rsidP="00F340F6">
      <w:pPr>
        <w:autoSpaceDE w:val="0"/>
        <w:autoSpaceDN w:val="0"/>
        <w:adjustRightInd w:val="0"/>
        <w:spacing w:line="480" w:lineRule="auto"/>
        <w:ind w:left="720" w:hanging="720"/>
        <w:rPr>
          <w:bCs/>
          <w:color w:val="auto"/>
        </w:rPr>
      </w:pPr>
      <w:r w:rsidRPr="00F340F6">
        <w:rPr>
          <w:bCs/>
          <w:color w:val="auto"/>
        </w:rPr>
        <w:lastRenderedPageBreak/>
        <w:t xml:space="preserve">Furstenberg, F. F., &amp; Teitler, J. O. (1994). Reconsidering the effects of marital disruption: What happens to children of divorce in early adulthood? </w:t>
      </w:r>
      <w:r w:rsidRPr="00F340F6">
        <w:rPr>
          <w:bCs/>
          <w:i/>
          <w:color w:val="auto"/>
        </w:rPr>
        <w:t>Journal of Family Issues, 15</w:t>
      </w:r>
      <w:r w:rsidRPr="00F340F6">
        <w:rPr>
          <w:bCs/>
          <w:color w:val="auto"/>
        </w:rPr>
        <w:t>, 173 - 190.</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Gomez, A. M. (2011). Testing the cycle of violence hypothesis: Child abuse and adolescent dating violence as predictors of intimate partner violence in young adulthood. </w:t>
      </w:r>
      <w:r w:rsidRPr="00F340F6">
        <w:rPr>
          <w:i/>
          <w:color w:val="auto"/>
        </w:rPr>
        <w:t>Youth and Society, 43</w:t>
      </w:r>
      <w:r w:rsidRPr="00F340F6">
        <w:rPr>
          <w:color w:val="auto"/>
        </w:rPr>
        <w:t>, 171 – 192.</w:t>
      </w:r>
    </w:p>
    <w:p w:rsidR="00C80753" w:rsidRPr="00F340F6" w:rsidRDefault="00C80753" w:rsidP="00F340F6">
      <w:pPr>
        <w:suppressLineNumbers/>
        <w:autoSpaceDE w:val="0"/>
        <w:autoSpaceDN w:val="0"/>
        <w:adjustRightInd w:val="0"/>
        <w:spacing w:line="480" w:lineRule="auto"/>
        <w:ind w:left="720" w:hanging="720"/>
        <w:rPr>
          <w:color w:val="auto"/>
        </w:rPr>
      </w:pPr>
      <w:r w:rsidRPr="00F340F6">
        <w:rPr>
          <w:color w:val="auto"/>
        </w:rPr>
        <w:t xml:space="preserve">Graber, J. A., &amp; Brooks-Gunn, J. (1996). Transitions and turning points: Navigating the passage from childhood through adolescence. </w:t>
      </w:r>
      <w:r w:rsidRPr="00F340F6">
        <w:rPr>
          <w:i/>
          <w:color w:val="auto"/>
        </w:rPr>
        <w:t>Developmental Psychology, 32</w:t>
      </w:r>
      <w:r w:rsidRPr="00F340F6">
        <w:rPr>
          <w:color w:val="auto"/>
        </w:rPr>
        <w:t>, 768 – 776.</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Grall, T. (2009). </w:t>
      </w:r>
      <w:r w:rsidRPr="00F340F6">
        <w:rPr>
          <w:i/>
          <w:color w:val="auto"/>
        </w:rPr>
        <w:t>Custodial mothers and fathers and their child support: 2007</w:t>
      </w:r>
      <w:r w:rsidRPr="00F340F6">
        <w:rPr>
          <w:color w:val="auto"/>
        </w:rPr>
        <w:t>. Retrieved from US Census Bureau website: http://www.census.gov/prod/2009pubs/p60-237.pdf</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Heifetz, M., Connolly, J., Pepler, D, &amp; Craig, W. (2010). Family divorce and romantic relationships in early adolescence. </w:t>
      </w:r>
      <w:r w:rsidRPr="00F340F6">
        <w:rPr>
          <w:i/>
          <w:color w:val="auto"/>
        </w:rPr>
        <w:t>Journal of Divorce and Remarriage, 51</w:t>
      </w:r>
      <w:r w:rsidRPr="00F340F6">
        <w:rPr>
          <w:color w:val="auto"/>
        </w:rPr>
        <w:t>, 366 – 378.</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Hines, A. M. (1997). Divorce-related transitions, adolescent development, and the role of the parent-child relationship: A review of the literature. </w:t>
      </w:r>
      <w:r w:rsidRPr="00F340F6">
        <w:rPr>
          <w:i/>
          <w:color w:val="auto"/>
        </w:rPr>
        <w:t>Journal of Marriage and Family, 59</w:t>
      </w:r>
      <w:r w:rsidRPr="00F340F6">
        <w:rPr>
          <w:color w:val="auto"/>
        </w:rPr>
        <w:t xml:space="preserve">, 375 – 388. </w:t>
      </w:r>
    </w:p>
    <w:p w:rsidR="00C80753" w:rsidRPr="00F340F6" w:rsidRDefault="00C80753" w:rsidP="00F340F6">
      <w:pPr>
        <w:tabs>
          <w:tab w:val="left" w:pos="0"/>
        </w:tabs>
        <w:spacing w:line="480" w:lineRule="auto"/>
        <w:ind w:left="720" w:hanging="720"/>
        <w:rPr>
          <w:color w:val="auto"/>
        </w:rPr>
      </w:pPr>
      <w:r w:rsidRPr="00F340F6">
        <w:rPr>
          <w:color w:val="auto"/>
        </w:rPr>
        <w:t xml:space="preserve">Huisman, M., Oldehinkel, A. J., De Winter, A., Minderaa, R. B., De Bildt, A., Huizink, A. C., … Ormel, J. (2008). Cohort Profile: The Dutch TRacking Adolescents Individual Lives Survey; TRAILS. </w:t>
      </w:r>
      <w:r w:rsidRPr="00F340F6">
        <w:rPr>
          <w:i/>
          <w:color w:val="auto"/>
        </w:rPr>
        <w:t>International Journal of Epidemiology, 37,</w:t>
      </w:r>
      <w:r w:rsidRPr="00F340F6">
        <w:rPr>
          <w:color w:val="auto"/>
        </w:rPr>
        <w:t xml:space="preserve"> 1227 </w:t>
      </w:r>
      <w:r w:rsidRPr="00F340F6">
        <w:rPr>
          <w:iCs/>
          <w:color w:val="auto"/>
        </w:rPr>
        <w:t xml:space="preserve">– </w:t>
      </w:r>
      <w:r w:rsidRPr="00F340F6">
        <w:rPr>
          <w:color w:val="auto"/>
        </w:rPr>
        <w:t>1235.</w:t>
      </w:r>
    </w:p>
    <w:p w:rsidR="00C80753" w:rsidRPr="00F340F6" w:rsidRDefault="00C80753" w:rsidP="00F340F6">
      <w:pPr>
        <w:tabs>
          <w:tab w:val="left" w:pos="0"/>
        </w:tabs>
        <w:spacing w:line="480" w:lineRule="auto"/>
        <w:ind w:left="720" w:hanging="720"/>
        <w:rPr>
          <w:color w:val="auto"/>
        </w:rPr>
      </w:pPr>
      <w:r w:rsidRPr="00F340F6">
        <w:rPr>
          <w:color w:val="auto"/>
        </w:rPr>
        <w:t xml:space="preserve">Ivanova, K., Mills, M., &amp; Veenstra, R. (2011). The initation of dating in adolescence: The effect of parental divorce. The TRAILS study. </w:t>
      </w:r>
      <w:r w:rsidRPr="00F340F6">
        <w:rPr>
          <w:i/>
          <w:color w:val="auto"/>
        </w:rPr>
        <w:t>Journal of Research on Adolescence</w:t>
      </w:r>
      <w:r w:rsidRPr="00F340F6">
        <w:rPr>
          <w:color w:val="auto"/>
        </w:rPr>
        <w:t>. Advance online publication. doi: 10.1111/j.1532-7795.2010.00734.x</w:t>
      </w:r>
    </w:p>
    <w:p w:rsidR="00C80753" w:rsidRPr="00F340F6" w:rsidRDefault="00C80753" w:rsidP="00F340F6">
      <w:pPr>
        <w:tabs>
          <w:tab w:val="left" w:pos="0"/>
        </w:tabs>
        <w:spacing w:line="480" w:lineRule="auto"/>
        <w:ind w:left="720" w:hanging="720"/>
        <w:rPr>
          <w:color w:val="auto"/>
        </w:rPr>
      </w:pPr>
      <w:r w:rsidRPr="00F340F6">
        <w:rPr>
          <w:color w:val="auto"/>
        </w:rPr>
        <w:t xml:space="preserve">Kalmijn, M., Loevre, A., &amp; Manting, D. (2007). Income dynamics in couples and the dissolution of marriage and cohabitation. </w:t>
      </w:r>
      <w:r w:rsidRPr="00F340F6">
        <w:rPr>
          <w:i/>
          <w:color w:val="auto"/>
        </w:rPr>
        <w:t>Demography, 44</w:t>
      </w:r>
      <w:r w:rsidRPr="00F340F6">
        <w:rPr>
          <w:color w:val="auto"/>
        </w:rPr>
        <w:t>, 159 – 179.</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lastRenderedPageBreak/>
        <w:t xml:space="preserve">Kim, H. S. (2011). Consequences of parental divorce for child development. </w:t>
      </w:r>
      <w:r w:rsidRPr="00F340F6">
        <w:rPr>
          <w:i/>
          <w:color w:val="auto"/>
        </w:rPr>
        <w:t>American Sociological Review, 76</w:t>
      </w:r>
      <w:r w:rsidRPr="00F340F6">
        <w:rPr>
          <w:color w:val="auto"/>
        </w:rPr>
        <w:t>, 487 – 511.</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Kim, J., Hetherington, M., &amp; Reiss, D. (1999). Associations among family relationships, antisocial peers, and adolescents' externalizing behavior: Gender and family type differences. </w:t>
      </w:r>
      <w:r w:rsidRPr="00F340F6">
        <w:rPr>
          <w:i/>
          <w:iCs/>
          <w:color w:val="auto"/>
        </w:rPr>
        <w:t xml:space="preserve">Child Development, 70, </w:t>
      </w:r>
      <w:r w:rsidR="004C1D1C" w:rsidRPr="00F340F6">
        <w:rPr>
          <w:color w:val="auto"/>
        </w:rPr>
        <w:t xml:space="preserve">1209 – </w:t>
      </w:r>
      <w:r w:rsidRPr="00F340F6">
        <w:rPr>
          <w:color w:val="auto"/>
        </w:rPr>
        <w:t>1230.</w:t>
      </w:r>
    </w:p>
    <w:p w:rsidR="00C80753" w:rsidRPr="00F340F6" w:rsidRDefault="00C80753" w:rsidP="00F340F6">
      <w:pPr>
        <w:pStyle w:val="Heading1"/>
        <w:spacing w:before="0" w:beforeAutospacing="0" w:after="0" w:afterAutospacing="0" w:line="480" w:lineRule="auto"/>
        <w:ind w:left="720" w:hanging="720"/>
        <w:rPr>
          <w:b w:val="0"/>
          <w:sz w:val="24"/>
          <w:szCs w:val="24"/>
        </w:rPr>
      </w:pPr>
      <w:r w:rsidRPr="00F340F6">
        <w:rPr>
          <w:b w:val="0"/>
          <w:sz w:val="24"/>
          <w:szCs w:val="24"/>
          <w:lang w:val="nl-NL"/>
        </w:rPr>
        <w:t xml:space="preserve">Latten, J., &amp; de Graaf, A. (2010). </w:t>
      </w:r>
      <w:r w:rsidRPr="00F340F6">
        <w:rPr>
          <w:b w:val="0"/>
          <w:i/>
          <w:sz w:val="24"/>
          <w:szCs w:val="24"/>
        </w:rPr>
        <w:t>One quarter of couples married in the early 1990s are divorced 20 years later.</w:t>
      </w:r>
      <w:r w:rsidRPr="00F340F6">
        <w:rPr>
          <w:b w:val="0"/>
          <w:sz w:val="24"/>
          <w:szCs w:val="24"/>
        </w:rPr>
        <w:t xml:space="preserve"> Retrieved from Statistics Netherlands website: http://www.cbs.nl/en-GB/menu/themas/bevolking/publicaties/artikelen/archief/2010/2010-3230-wm.htm</w:t>
      </w:r>
    </w:p>
    <w:p w:rsidR="00C80753" w:rsidRPr="00F340F6" w:rsidRDefault="00C80753" w:rsidP="00F340F6">
      <w:pPr>
        <w:pStyle w:val="Heading1"/>
        <w:spacing w:before="0" w:beforeAutospacing="0" w:after="0" w:afterAutospacing="0" w:line="480" w:lineRule="auto"/>
        <w:ind w:left="720" w:hanging="720"/>
        <w:rPr>
          <w:b w:val="0"/>
          <w:sz w:val="24"/>
          <w:szCs w:val="24"/>
        </w:rPr>
      </w:pPr>
      <w:r w:rsidRPr="00F340F6">
        <w:rPr>
          <w:b w:val="0"/>
          <w:sz w:val="24"/>
          <w:szCs w:val="24"/>
        </w:rPr>
        <w:t xml:space="preserve">Lok, R. (2009). </w:t>
      </w:r>
      <w:r w:rsidRPr="00F340F6">
        <w:rPr>
          <w:b w:val="0"/>
          <w:i/>
          <w:sz w:val="24"/>
          <w:szCs w:val="24"/>
        </w:rPr>
        <w:t>More than 2,800 euro extra for families with children in 2007</w:t>
      </w:r>
      <w:r w:rsidRPr="00F340F6">
        <w:rPr>
          <w:b w:val="0"/>
          <w:sz w:val="24"/>
          <w:szCs w:val="24"/>
        </w:rPr>
        <w:t>. Retrieved from Statistics Netherlands website: http://www.cbs.nl/en-GB/menu/themas/inkomen-bestedingen/publicaties/artikelen/archief/2009/2009-2799-wm.htm</w:t>
      </w:r>
    </w:p>
    <w:p w:rsidR="00C80753" w:rsidRPr="00F340F6" w:rsidRDefault="00C80753" w:rsidP="00F340F6">
      <w:pPr>
        <w:tabs>
          <w:tab w:val="left" w:pos="0"/>
        </w:tabs>
        <w:spacing w:line="480" w:lineRule="auto"/>
        <w:ind w:left="720" w:hanging="720"/>
        <w:rPr>
          <w:color w:val="auto"/>
        </w:rPr>
      </w:pPr>
      <w:r w:rsidRPr="00F340F6">
        <w:rPr>
          <w:color w:val="auto"/>
        </w:rPr>
        <w:t xml:space="preserve">Madsen, S. D., &amp; Collins, W. A. (2011). The salience of adolescent romantic experiences for romantic relationship qualities in young adulthood. </w:t>
      </w:r>
      <w:r w:rsidRPr="00F340F6">
        <w:rPr>
          <w:i/>
          <w:color w:val="auto"/>
        </w:rPr>
        <w:t>Journal of Research on Adolescence</w:t>
      </w:r>
      <w:r w:rsidRPr="00F340F6">
        <w:rPr>
          <w:color w:val="auto"/>
        </w:rPr>
        <w:t>. Advance online publication. doi: 10.1111/j.1532-7795.2011.00737.x</w:t>
      </w:r>
    </w:p>
    <w:p w:rsidR="00C80753" w:rsidRPr="00F340F6" w:rsidRDefault="00C80753" w:rsidP="00F340F6">
      <w:pPr>
        <w:tabs>
          <w:tab w:val="left" w:pos="0"/>
        </w:tabs>
        <w:spacing w:line="480" w:lineRule="auto"/>
        <w:ind w:left="720" w:hanging="720"/>
        <w:rPr>
          <w:color w:val="auto"/>
        </w:rPr>
      </w:pPr>
      <w:r w:rsidRPr="00F340F6">
        <w:rPr>
          <w:color w:val="auto"/>
          <w:lang w:val="nl-NL"/>
        </w:rPr>
        <w:t xml:space="preserve">Manning, C., Holtzman, M., &amp; Kapinus, C. (2007). </w:t>
      </w:r>
      <w:r w:rsidRPr="00F340F6">
        <w:rPr>
          <w:color w:val="auto"/>
        </w:rPr>
        <w:t xml:space="preserve">Stepfather involvement and adolescents’ disposition toward having sex. </w:t>
      </w:r>
      <w:r w:rsidRPr="00F340F6">
        <w:rPr>
          <w:i/>
          <w:color w:val="auto"/>
        </w:rPr>
        <w:t>Perspectives on Sexual and Reproductive Health, 39</w:t>
      </w:r>
      <w:r w:rsidRPr="00F340F6">
        <w:rPr>
          <w:color w:val="auto"/>
        </w:rPr>
        <w:t>, 82 – 89.</w:t>
      </w:r>
    </w:p>
    <w:p w:rsidR="00C80753" w:rsidRPr="00F340F6" w:rsidRDefault="00C80753" w:rsidP="00F340F6">
      <w:pPr>
        <w:suppressLineNumbers/>
        <w:autoSpaceDE w:val="0"/>
        <w:autoSpaceDN w:val="0"/>
        <w:adjustRightInd w:val="0"/>
        <w:spacing w:line="480" w:lineRule="auto"/>
        <w:ind w:left="720" w:hanging="720"/>
        <w:rPr>
          <w:color w:val="auto"/>
        </w:rPr>
      </w:pPr>
      <w:r w:rsidRPr="00F340F6">
        <w:rPr>
          <w:color w:val="auto"/>
          <w:lang w:val="it-IT"/>
        </w:rPr>
        <w:t xml:space="preserve">Manning, W. D., Longmore, M. A., &amp; Giordano, P. C. (2007). </w:t>
      </w:r>
      <w:r w:rsidRPr="00F340F6">
        <w:rPr>
          <w:color w:val="auto"/>
        </w:rPr>
        <w:t xml:space="preserve">The changing institution of marriage: Adolescents’ expectations to cohabit and marry. </w:t>
      </w:r>
      <w:r w:rsidRPr="00F340F6">
        <w:rPr>
          <w:i/>
          <w:color w:val="auto"/>
        </w:rPr>
        <w:t>Journal of Marriage and Family, 69</w:t>
      </w:r>
      <w:r w:rsidRPr="00F340F6">
        <w:rPr>
          <w:color w:val="auto"/>
        </w:rPr>
        <w:t>, 559 – 575.</w:t>
      </w:r>
    </w:p>
    <w:p w:rsidR="00C80753" w:rsidRPr="00F340F6" w:rsidRDefault="00C80753" w:rsidP="00F340F6">
      <w:pPr>
        <w:suppressLineNumbers/>
        <w:autoSpaceDE w:val="0"/>
        <w:autoSpaceDN w:val="0"/>
        <w:adjustRightInd w:val="0"/>
        <w:spacing w:line="480" w:lineRule="auto"/>
        <w:ind w:left="720" w:hanging="720"/>
        <w:rPr>
          <w:color w:val="auto"/>
        </w:rPr>
      </w:pPr>
      <w:r w:rsidRPr="00F340F6">
        <w:rPr>
          <w:color w:val="auto"/>
        </w:rPr>
        <w:t xml:space="preserve">Martin, V., Mills, M., &amp; LeBourdais, C. (2005). The consequences of parental divorce on the life course outcomes of Canadian children. </w:t>
      </w:r>
      <w:r w:rsidRPr="00F340F6">
        <w:rPr>
          <w:i/>
          <w:color w:val="auto"/>
        </w:rPr>
        <w:t xml:space="preserve">Canadian Studies in Population, 32, </w:t>
      </w:r>
      <w:r w:rsidRPr="00F340F6">
        <w:rPr>
          <w:color w:val="auto"/>
        </w:rPr>
        <w:t>29 – 51.</w:t>
      </w:r>
    </w:p>
    <w:p w:rsidR="00C80753" w:rsidRPr="00F340F6" w:rsidRDefault="00C80753" w:rsidP="00F340F6">
      <w:pPr>
        <w:suppressLineNumbers/>
        <w:autoSpaceDE w:val="0"/>
        <w:autoSpaceDN w:val="0"/>
        <w:adjustRightInd w:val="0"/>
        <w:spacing w:line="480" w:lineRule="auto"/>
        <w:ind w:left="720" w:hanging="720"/>
        <w:rPr>
          <w:color w:val="auto"/>
        </w:rPr>
      </w:pPr>
      <w:r w:rsidRPr="00F340F6">
        <w:rPr>
          <w:color w:val="auto"/>
        </w:rPr>
        <w:lastRenderedPageBreak/>
        <w:t xml:space="preserve">Mills, M. (2011). </w:t>
      </w:r>
      <w:r w:rsidRPr="00F340F6">
        <w:rPr>
          <w:i/>
          <w:color w:val="auto"/>
        </w:rPr>
        <w:t>Introducing survival and event history analysis</w:t>
      </w:r>
      <w:r w:rsidRPr="00F340F6">
        <w:rPr>
          <w:color w:val="auto"/>
        </w:rPr>
        <w:t>. London, UK: Sage.</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Mills, M., &amp; Poortman, A.R. (2010, April). </w:t>
      </w:r>
      <w:r w:rsidRPr="00F340F6">
        <w:rPr>
          <w:i/>
          <w:color w:val="auto"/>
        </w:rPr>
        <w:t>Registered partnerships in Europe: An alternative to marriage and cohabitation?</w:t>
      </w:r>
      <w:r w:rsidRPr="00F340F6">
        <w:rPr>
          <w:color w:val="auto"/>
        </w:rPr>
        <w:t xml:space="preserve"> Paper presented at the Population Association of America Annual Meeting, Dallas, Texas, USA.</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Mueller, C. W., &amp; Pope, H. (1977). Marital instability: A study of its transmission between generations</w:t>
      </w:r>
      <w:r w:rsidRPr="00F340F6">
        <w:rPr>
          <w:i/>
          <w:color w:val="auto"/>
        </w:rPr>
        <w:t>. Journal of Marriage and Family, 39</w:t>
      </w:r>
      <w:r w:rsidRPr="00F340F6">
        <w:rPr>
          <w:color w:val="auto"/>
        </w:rPr>
        <w:t>, 83 – 93.</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Mullahy, J. (1986). Specification and testing in some modified count data models. </w:t>
      </w:r>
      <w:r w:rsidRPr="00F340F6">
        <w:rPr>
          <w:i/>
          <w:iCs/>
          <w:color w:val="auto"/>
        </w:rPr>
        <w:t xml:space="preserve">Journal of Econometrics, </w:t>
      </w:r>
      <w:r w:rsidRPr="00F340F6">
        <w:rPr>
          <w:bCs/>
          <w:i/>
          <w:color w:val="auto"/>
        </w:rPr>
        <w:t>33</w:t>
      </w:r>
      <w:r w:rsidRPr="00F340F6">
        <w:rPr>
          <w:color w:val="auto"/>
        </w:rPr>
        <w:t>, 341</w:t>
      </w:r>
      <w:r w:rsidR="004C1D1C" w:rsidRPr="00F340F6">
        <w:rPr>
          <w:color w:val="auto"/>
        </w:rPr>
        <w:t xml:space="preserve"> </w:t>
      </w:r>
      <w:r w:rsidRPr="00F340F6">
        <w:rPr>
          <w:color w:val="auto"/>
        </w:rPr>
        <w:t>–</w:t>
      </w:r>
      <w:r w:rsidR="004C1D1C" w:rsidRPr="00F340F6">
        <w:rPr>
          <w:color w:val="auto"/>
        </w:rPr>
        <w:t xml:space="preserve"> </w:t>
      </w:r>
      <w:r w:rsidRPr="00F340F6">
        <w:rPr>
          <w:color w:val="auto"/>
        </w:rPr>
        <w:t>365.</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Portegijs, W., Cloïn, M., Ooms, I., &amp; Eggink, E. (2006). </w:t>
      </w:r>
      <w:r w:rsidRPr="00F340F6">
        <w:rPr>
          <w:i/>
          <w:color w:val="auto"/>
        </w:rPr>
        <w:t>Hoe het werkt met kinderen: Moeders over kinderopvang en werk</w:t>
      </w:r>
      <w:r w:rsidRPr="00F340F6">
        <w:rPr>
          <w:color w:val="auto"/>
        </w:rPr>
        <w:t>. Den Haag, the Netherlands: Sociaal en Cultureel Planbureau.</w:t>
      </w:r>
    </w:p>
    <w:p w:rsidR="00C80753" w:rsidRPr="00F340F6" w:rsidRDefault="00C80753" w:rsidP="00F340F6">
      <w:pPr>
        <w:spacing w:line="480" w:lineRule="auto"/>
        <w:ind w:left="720" w:hanging="720"/>
        <w:rPr>
          <w:color w:val="auto"/>
        </w:rPr>
      </w:pPr>
      <w:r w:rsidRPr="00F340F6">
        <w:rPr>
          <w:color w:val="auto"/>
        </w:rPr>
        <w:t xml:space="preserve">Potter, D. (2010). Psychosocial well-being and the relationship between divorce and children’s academic achievement. </w:t>
      </w:r>
      <w:r w:rsidRPr="00F340F6">
        <w:rPr>
          <w:i/>
          <w:color w:val="auto"/>
        </w:rPr>
        <w:t>Journal of Marriage and Family, 72</w:t>
      </w:r>
      <w:r w:rsidRPr="00F340F6">
        <w:rPr>
          <w:color w:val="auto"/>
        </w:rPr>
        <w:t>, 933 – 946.</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Raley, R. K., Crissey, S. R., &amp; Muller, C. (2007). Of sex and romance: Late adolescent relationships and young adult union formation. </w:t>
      </w:r>
      <w:r w:rsidRPr="00F340F6">
        <w:rPr>
          <w:i/>
          <w:color w:val="auto"/>
        </w:rPr>
        <w:t>Journal of Marriage and Family, 69</w:t>
      </w:r>
      <w:r w:rsidRPr="00F340F6">
        <w:rPr>
          <w:color w:val="auto"/>
        </w:rPr>
        <w:t>, 1210 – 1226.</w:t>
      </w:r>
    </w:p>
    <w:p w:rsidR="00C80753" w:rsidRPr="00F340F6" w:rsidRDefault="00C80753" w:rsidP="00F340F6">
      <w:pPr>
        <w:autoSpaceDE w:val="0"/>
        <w:autoSpaceDN w:val="0"/>
        <w:adjustRightInd w:val="0"/>
        <w:spacing w:line="480" w:lineRule="auto"/>
        <w:ind w:left="720" w:hanging="720"/>
        <w:jc w:val="both"/>
        <w:rPr>
          <w:color w:val="auto"/>
        </w:rPr>
      </w:pPr>
      <w:r w:rsidRPr="00F340F6">
        <w:rPr>
          <w:color w:val="auto"/>
        </w:rPr>
        <w:t xml:space="preserve">Ryan, S., Franzetta, K., Schelar, E., &amp; Manlove, J. (2009). Family structure history: Links to relationship formation behaviors in young adulthood. </w:t>
      </w:r>
      <w:r w:rsidRPr="00F340F6">
        <w:rPr>
          <w:i/>
          <w:color w:val="auto"/>
        </w:rPr>
        <w:t>Journal of Marriage and Family, 71</w:t>
      </w:r>
      <w:r w:rsidRPr="00F340F6">
        <w:rPr>
          <w:color w:val="auto"/>
        </w:rPr>
        <w:t>, 935 – 953.</w:t>
      </w:r>
    </w:p>
    <w:p w:rsidR="0049469F" w:rsidRDefault="00C80753" w:rsidP="00F340F6">
      <w:pPr>
        <w:pStyle w:val="Heading1"/>
        <w:spacing w:before="0" w:beforeAutospacing="0" w:after="0" w:afterAutospacing="0" w:line="480" w:lineRule="auto"/>
        <w:ind w:left="720" w:hanging="720"/>
        <w:rPr>
          <w:b w:val="0"/>
          <w:sz w:val="24"/>
          <w:szCs w:val="24"/>
        </w:rPr>
      </w:pPr>
      <w:r w:rsidRPr="00F340F6">
        <w:rPr>
          <w:b w:val="0"/>
          <w:sz w:val="24"/>
          <w:szCs w:val="24"/>
        </w:rPr>
        <w:t xml:space="preserve">Schalet, A. T. (2000). Raging hormones, regulated love: Adolescent sexuality and the constitution of the modern individual in the United States of America and the Netherlands. </w:t>
      </w:r>
      <w:r w:rsidRPr="00F340F6">
        <w:rPr>
          <w:b w:val="0"/>
          <w:bCs w:val="0"/>
          <w:i/>
          <w:sz w:val="24"/>
          <w:szCs w:val="24"/>
        </w:rPr>
        <w:t xml:space="preserve">Body and Society, </w:t>
      </w:r>
      <w:r w:rsidRPr="00F340F6">
        <w:rPr>
          <w:b w:val="0"/>
          <w:i/>
          <w:sz w:val="24"/>
          <w:szCs w:val="24"/>
        </w:rPr>
        <w:t>6,</w:t>
      </w:r>
      <w:r w:rsidRPr="00F340F6">
        <w:rPr>
          <w:b w:val="0"/>
          <w:sz w:val="24"/>
          <w:szCs w:val="24"/>
        </w:rPr>
        <w:t xml:space="preserve"> 75</w:t>
      </w:r>
      <w:r w:rsidR="004C1D1C" w:rsidRPr="00F340F6">
        <w:rPr>
          <w:b w:val="0"/>
          <w:sz w:val="24"/>
          <w:szCs w:val="24"/>
        </w:rPr>
        <w:t xml:space="preserve"> </w:t>
      </w:r>
      <w:r w:rsidR="004C1D1C" w:rsidRPr="00F340F6">
        <w:rPr>
          <w:sz w:val="24"/>
          <w:szCs w:val="24"/>
        </w:rPr>
        <w:t>–</w:t>
      </w:r>
      <w:r w:rsidR="004C1D1C" w:rsidRPr="00F340F6">
        <w:rPr>
          <w:b w:val="0"/>
          <w:sz w:val="24"/>
          <w:szCs w:val="24"/>
        </w:rPr>
        <w:t xml:space="preserve"> </w:t>
      </w:r>
      <w:r w:rsidRPr="00F340F6">
        <w:rPr>
          <w:b w:val="0"/>
          <w:sz w:val="24"/>
          <w:szCs w:val="24"/>
        </w:rPr>
        <w:t>105.</w:t>
      </w:r>
    </w:p>
    <w:p w:rsidR="00C80753" w:rsidRPr="00F340F6" w:rsidRDefault="00C80753" w:rsidP="00F340F6">
      <w:pPr>
        <w:pStyle w:val="Heading1"/>
        <w:spacing w:before="0" w:beforeAutospacing="0" w:after="0" w:afterAutospacing="0" w:line="480" w:lineRule="auto"/>
        <w:ind w:left="720" w:hanging="720"/>
        <w:rPr>
          <w:b w:val="0"/>
          <w:sz w:val="24"/>
          <w:szCs w:val="24"/>
        </w:rPr>
      </w:pPr>
      <w:r w:rsidRPr="00F340F6">
        <w:rPr>
          <w:b w:val="0"/>
          <w:sz w:val="24"/>
          <w:szCs w:val="24"/>
        </w:rPr>
        <w:lastRenderedPageBreak/>
        <w:t xml:space="preserve">Siebenbruner, J., Zimmer-Gembeck, M. J., &amp; Egeland, B. (2007). Sexual partners and contraceptive use: A 16-year prospective study predicting abstinence and risk behavior. </w:t>
      </w:r>
      <w:r w:rsidRPr="00F340F6">
        <w:rPr>
          <w:b w:val="0"/>
          <w:i/>
          <w:sz w:val="24"/>
          <w:szCs w:val="24"/>
        </w:rPr>
        <w:t>Journal of Research on Adolescence, 17</w:t>
      </w:r>
      <w:r w:rsidRPr="00F340F6">
        <w:rPr>
          <w:b w:val="0"/>
          <w:sz w:val="24"/>
          <w:szCs w:val="24"/>
        </w:rPr>
        <w:t xml:space="preserve">, 179 – 205. </w:t>
      </w:r>
    </w:p>
    <w:p w:rsidR="00C80753" w:rsidRPr="00F340F6" w:rsidRDefault="00C80753" w:rsidP="00F340F6">
      <w:pPr>
        <w:pStyle w:val="Heading1"/>
        <w:spacing w:before="0" w:beforeAutospacing="0" w:after="0" w:afterAutospacing="0" w:line="480" w:lineRule="auto"/>
        <w:ind w:left="720" w:hanging="720"/>
        <w:rPr>
          <w:b w:val="0"/>
          <w:sz w:val="24"/>
          <w:szCs w:val="24"/>
        </w:rPr>
      </w:pPr>
      <w:r w:rsidRPr="00F340F6">
        <w:rPr>
          <w:b w:val="0"/>
          <w:sz w:val="24"/>
          <w:szCs w:val="24"/>
        </w:rPr>
        <w:t xml:space="preserve">Steele, F. A. (2005). </w:t>
      </w:r>
      <w:r w:rsidRPr="00F340F6">
        <w:rPr>
          <w:b w:val="0"/>
          <w:i/>
          <w:sz w:val="24"/>
          <w:szCs w:val="24"/>
        </w:rPr>
        <w:t>Event history analysis</w:t>
      </w:r>
      <w:r w:rsidRPr="00F340F6">
        <w:rPr>
          <w:b w:val="0"/>
          <w:sz w:val="24"/>
          <w:szCs w:val="24"/>
        </w:rPr>
        <w:t>. Retrieved from http://eprints.ncrm.ac.uk/88/1/MethodsReviewPaperNCRM-004.pdf</w:t>
      </w:r>
    </w:p>
    <w:p w:rsidR="00C80753" w:rsidRPr="00F340F6" w:rsidRDefault="00C80753" w:rsidP="00F340F6">
      <w:pPr>
        <w:suppressLineNumbers/>
        <w:autoSpaceDE w:val="0"/>
        <w:autoSpaceDN w:val="0"/>
        <w:adjustRightInd w:val="0"/>
        <w:spacing w:line="480" w:lineRule="auto"/>
        <w:ind w:left="720" w:hanging="720"/>
        <w:rPr>
          <w:color w:val="auto"/>
        </w:rPr>
      </w:pPr>
      <w:r w:rsidRPr="00F340F6">
        <w:rPr>
          <w:color w:val="auto"/>
        </w:rPr>
        <w:t xml:space="preserve">Teachman, J. D. (2004). The childhood living arrangements of children and the characteristics of their marriages. </w:t>
      </w:r>
      <w:r w:rsidRPr="00F340F6">
        <w:rPr>
          <w:i/>
          <w:color w:val="auto"/>
        </w:rPr>
        <w:t>Journal of Family Issues, 25</w:t>
      </w:r>
      <w:r w:rsidRPr="00F340F6">
        <w:rPr>
          <w:color w:val="auto"/>
        </w:rPr>
        <w:t>, 86</w:t>
      </w:r>
      <w:r w:rsidR="004C1D1C" w:rsidRPr="00F340F6">
        <w:rPr>
          <w:b/>
        </w:rPr>
        <w:t xml:space="preserve"> – </w:t>
      </w:r>
      <w:r w:rsidRPr="00F340F6">
        <w:rPr>
          <w:color w:val="auto"/>
        </w:rPr>
        <w:t>111.</w:t>
      </w:r>
    </w:p>
    <w:p w:rsidR="00C80753" w:rsidRPr="00F340F6" w:rsidRDefault="00C80753" w:rsidP="00F340F6">
      <w:pPr>
        <w:suppressLineNumbers/>
        <w:autoSpaceDE w:val="0"/>
        <w:autoSpaceDN w:val="0"/>
        <w:adjustRightInd w:val="0"/>
        <w:spacing w:line="480" w:lineRule="auto"/>
        <w:ind w:left="720" w:hanging="720"/>
        <w:rPr>
          <w:color w:val="auto"/>
        </w:rPr>
      </w:pPr>
      <w:r w:rsidRPr="00F340F6">
        <w:rPr>
          <w:color w:val="auto"/>
        </w:rPr>
        <w:t xml:space="preserve">Therneau, T. M., &amp; Grambsch, P. M. (2000). </w:t>
      </w:r>
      <w:r w:rsidRPr="00F340F6">
        <w:rPr>
          <w:i/>
          <w:color w:val="auto"/>
        </w:rPr>
        <w:t>Modeling survival data: Extending the Cox model</w:t>
      </w:r>
      <w:r w:rsidRPr="00F340F6">
        <w:rPr>
          <w:color w:val="auto"/>
        </w:rPr>
        <w:t>. New York, NY: Springer.</w:t>
      </w:r>
    </w:p>
    <w:p w:rsidR="00C80753" w:rsidRPr="00F340F6" w:rsidRDefault="00C80753" w:rsidP="00F340F6">
      <w:pPr>
        <w:suppressLineNumbers/>
        <w:autoSpaceDE w:val="0"/>
        <w:autoSpaceDN w:val="0"/>
        <w:adjustRightInd w:val="0"/>
        <w:spacing w:line="480" w:lineRule="auto"/>
        <w:ind w:left="720" w:hanging="720"/>
        <w:rPr>
          <w:color w:val="auto"/>
        </w:rPr>
      </w:pPr>
      <w:r w:rsidRPr="00F340F6">
        <w:rPr>
          <w:color w:val="auto"/>
        </w:rPr>
        <w:t xml:space="preserve">Thornton, A., &amp; Camburn, D. (1987). The influence of the family on premarital sexual attitudes and behavior, </w:t>
      </w:r>
      <w:r w:rsidRPr="00F340F6">
        <w:rPr>
          <w:i/>
          <w:iCs/>
          <w:color w:val="auto"/>
        </w:rPr>
        <w:t xml:space="preserve">Demography, </w:t>
      </w:r>
      <w:r w:rsidRPr="00F340F6">
        <w:rPr>
          <w:i/>
          <w:color w:val="auto"/>
        </w:rPr>
        <w:t>24,</w:t>
      </w:r>
      <w:r w:rsidRPr="00F340F6">
        <w:rPr>
          <w:color w:val="auto"/>
        </w:rPr>
        <w:t xml:space="preserve"> 323 – 340.</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Walter, S. D., Feinstein, A. R., &amp; Wells, C. K. (1987). Coding ordinal independent variables in multiple regression analyses. </w:t>
      </w:r>
      <w:r w:rsidRPr="00F340F6">
        <w:rPr>
          <w:i/>
          <w:color w:val="auto"/>
        </w:rPr>
        <w:t>American Journal of Epidemiology, 125</w:t>
      </w:r>
      <w:r w:rsidRPr="00F340F6">
        <w:rPr>
          <w:color w:val="auto"/>
        </w:rPr>
        <w:t>, 319 – 323.</w:t>
      </w:r>
    </w:p>
    <w:p w:rsidR="00C80753" w:rsidRPr="00F340F6" w:rsidRDefault="00C80753" w:rsidP="00F340F6">
      <w:pPr>
        <w:suppressLineNumbers/>
        <w:autoSpaceDE w:val="0"/>
        <w:autoSpaceDN w:val="0"/>
        <w:adjustRightInd w:val="0"/>
        <w:spacing w:line="480" w:lineRule="auto"/>
        <w:ind w:left="720" w:hanging="720"/>
        <w:rPr>
          <w:color w:val="auto"/>
        </w:rPr>
      </w:pPr>
      <w:r w:rsidRPr="00F340F6">
        <w:rPr>
          <w:color w:val="auto"/>
        </w:rPr>
        <w:t xml:space="preserve">Whitbeck, L. B., Simons, R. L., &amp; Kao, M. Y. (1994). The effects of divorced mothers’ dating behaviors and sexual attitudes on the sexual attitudes and behaviors of their adolescent children, </w:t>
      </w:r>
      <w:r w:rsidRPr="00F340F6">
        <w:rPr>
          <w:i/>
          <w:iCs/>
          <w:color w:val="auto"/>
        </w:rPr>
        <w:t xml:space="preserve">Journal of Marriage and Family, </w:t>
      </w:r>
      <w:r w:rsidRPr="00F340F6">
        <w:rPr>
          <w:i/>
          <w:color w:val="auto"/>
        </w:rPr>
        <w:t>56</w:t>
      </w:r>
      <w:r w:rsidRPr="00F340F6">
        <w:rPr>
          <w:color w:val="auto"/>
        </w:rPr>
        <w:t>, 615</w:t>
      </w:r>
      <w:r w:rsidR="00F340F6" w:rsidRPr="00F340F6">
        <w:rPr>
          <w:color w:val="auto"/>
        </w:rPr>
        <w:t xml:space="preserve"> </w:t>
      </w:r>
      <w:r w:rsidRPr="00F340F6">
        <w:rPr>
          <w:color w:val="auto"/>
        </w:rPr>
        <w:t>–</w:t>
      </w:r>
      <w:r w:rsidR="00F340F6" w:rsidRPr="00F340F6">
        <w:rPr>
          <w:color w:val="auto"/>
        </w:rPr>
        <w:t xml:space="preserve"> </w:t>
      </w:r>
      <w:r w:rsidRPr="00F340F6">
        <w:rPr>
          <w:color w:val="auto"/>
        </w:rPr>
        <w:t>621</w:t>
      </w:r>
    </w:p>
    <w:p w:rsidR="00C80753" w:rsidRPr="00F340F6" w:rsidRDefault="00C80753" w:rsidP="00F340F6">
      <w:pPr>
        <w:autoSpaceDE w:val="0"/>
        <w:autoSpaceDN w:val="0"/>
        <w:adjustRightInd w:val="0"/>
        <w:spacing w:line="480" w:lineRule="auto"/>
        <w:ind w:left="720" w:hanging="720"/>
        <w:rPr>
          <w:color w:val="auto"/>
        </w:rPr>
      </w:pPr>
      <w:r w:rsidRPr="00F340F6">
        <w:rPr>
          <w:color w:val="auto"/>
        </w:rPr>
        <w:t xml:space="preserve">Wolfinger, N. H. (2005). </w:t>
      </w:r>
      <w:r w:rsidRPr="00F340F6">
        <w:rPr>
          <w:i/>
          <w:color w:val="auto"/>
        </w:rPr>
        <w:t>Understanding the divorce cycle: The children of divorce in their own marriages</w:t>
      </w:r>
      <w:r w:rsidRPr="00F340F6">
        <w:rPr>
          <w:color w:val="auto"/>
        </w:rPr>
        <w:t>. New York, NY: Cambridge University Press.</w:t>
      </w:r>
    </w:p>
    <w:p w:rsidR="001461E6" w:rsidRPr="007D6470" w:rsidRDefault="00183A93" w:rsidP="00DA7A08">
      <w:pPr>
        <w:suppressLineNumbers/>
        <w:spacing w:line="480" w:lineRule="auto"/>
        <w:rPr>
          <w:color w:val="auto"/>
        </w:rPr>
      </w:pPr>
      <w:r w:rsidRPr="007D6470">
        <w:rPr>
          <w:color w:val="auto"/>
        </w:rPr>
        <w:br w:type="page"/>
      </w:r>
      <w:r w:rsidR="008929FB" w:rsidRPr="007D6470">
        <w:rPr>
          <w:color w:val="auto"/>
        </w:rPr>
        <w:lastRenderedPageBreak/>
        <w:t xml:space="preserve">Table 1 </w:t>
      </w:r>
    </w:p>
    <w:p w:rsidR="008929FB" w:rsidRPr="008C5427" w:rsidRDefault="008929FB" w:rsidP="00DA7A08">
      <w:pPr>
        <w:suppressLineNumbers/>
        <w:spacing w:line="480" w:lineRule="auto"/>
        <w:rPr>
          <w:i/>
          <w:color w:val="auto"/>
        </w:rPr>
      </w:pPr>
      <w:r w:rsidRPr="008C5427">
        <w:rPr>
          <w:i/>
          <w:color w:val="auto"/>
        </w:rPr>
        <w:t xml:space="preserve">Descriptive </w:t>
      </w:r>
      <w:r w:rsidR="00820397" w:rsidRPr="008C5427">
        <w:rPr>
          <w:i/>
          <w:color w:val="auto"/>
        </w:rPr>
        <w:t>S</w:t>
      </w:r>
      <w:r w:rsidRPr="008C5427">
        <w:rPr>
          <w:i/>
          <w:color w:val="auto"/>
        </w:rPr>
        <w:t>tatistics</w:t>
      </w:r>
      <w:r w:rsidR="001461E6" w:rsidRPr="008C5427">
        <w:rPr>
          <w:i/>
          <w:color w:val="auto"/>
        </w:rPr>
        <w:t xml:space="preserve"> of </w:t>
      </w:r>
      <w:r w:rsidR="00820397" w:rsidRPr="008C5427">
        <w:rPr>
          <w:i/>
          <w:color w:val="auto"/>
        </w:rPr>
        <w:t>V</w:t>
      </w:r>
      <w:r w:rsidR="001461E6" w:rsidRPr="008C5427">
        <w:rPr>
          <w:i/>
          <w:color w:val="auto"/>
        </w:rPr>
        <w:t xml:space="preserve">ariables </w:t>
      </w:r>
      <w:r w:rsidR="00820397" w:rsidRPr="008C5427">
        <w:rPr>
          <w:i/>
          <w:color w:val="auto"/>
        </w:rPr>
        <w:t>U</w:t>
      </w:r>
      <w:r w:rsidR="001461E6" w:rsidRPr="008C5427">
        <w:rPr>
          <w:i/>
          <w:color w:val="auto"/>
        </w:rPr>
        <w:t xml:space="preserve">sed for </w:t>
      </w:r>
      <w:r w:rsidR="00BD3392">
        <w:rPr>
          <w:i/>
          <w:color w:val="auto"/>
        </w:rPr>
        <w:t xml:space="preserve">Count Data Hurdle Models </w:t>
      </w:r>
      <w:r w:rsidR="001461E6" w:rsidRPr="008C5427">
        <w:rPr>
          <w:i/>
          <w:color w:val="auto"/>
        </w:rPr>
        <w:t>and Event History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4"/>
        <w:gridCol w:w="2336"/>
        <w:gridCol w:w="683"/>
        <w:gridCol w:w="683"/>
      </w:tblGrid>
      <w:tr w:rsidR="00B1064C" w:rsidRPr="008C5427" w:rsidTr="00EB6770">
        <w:trPr>
          <w:trHeight w:hRule="exact" w:val="288"/>
        </w:trPr>
        <w:tc>
          <w:tcPr>
            <w:tcW w:w="0" w:type="auto"/>
            <w:tcBorders>
              <w:left w:val="nil"/>
              <w:bottom w:val="single" w:sz="4" w:space="0" w:color="auto"/>
              <w:right w:val="nil"/>
            </w:tcBorders>
            <w:shd w:val="clear" w:color="auto" w:fill="auto"/>
            <w:vAlign w:val="center"/>
          </w:tcPr>
          <w:p w:rsidR="00B1064C" w:rsidRPr="008C5427" w:rsidRDefault="00820397" w:rsidP="00EB6770">
            <w:pPr>
              <w:suppressLineNumbers/>
              <w:rPr>
                <w:color w:val="auto"/>
              </w:rPr>
            </w:pPr>
            <w:r w:rsidRPr="008C5427">
              <w:rPr>
                <w:color w:val="auto"/>
              </w:rPr>
              <w:t>Variables</w:t>
            </w:r>
          </w:p>
        </w:tc>
        <w:tc>
          <w:tcPr>
            <w:tcW w:w="0" w:type="auto"/>
            <w:tcBorders>
              <w:left w:val="nil"/>
              <w:bottom w:val="single" w:sz="4" w:space="0" w:color="auto"/>
              <w:right w:val="nil"/>
            </w:tcBorders>
            <w:shd w:val="clear" w:color="auto" w:fill="auto"/>
            <w:vAlign w:val="center"/>
          </w:tcPr>
          <w:p w:rsidR="00B1064C" w:rsidRPr="008C5427" w:rsidRDefault="00162379" w:rsidP="007D6470">
            <w:pPr>
              <w:suppressLineNumbers/>
              <w:jc w:val="center"/>
              <w:rPr>
                <w:color w:val="auto"/>
              </w:rPr>
            </w:pPr>
            <w:r w:rsidRPr="008C5427">
              <w:rPr>
                <w:i/>
                <w:color w:val="auto"/>
              </w:rPr>
              <w:t>N</w:t>
            </w:r>
            <w:r w:rsidRPr="008C5427">
              <w:rPr>
                <w:color w:val="auto"/>
              </w:rPr>
              <w:t xml:space="preserve"> (% of EHC</w:t>
            </w:r>
            <w:r w:rsidR="00B1064C" w:rsidRPr="008C5427">
              <w:rPr>
                <w:color w:val="auto"/>
              </w:rPr>
              <w:t xml:space="preserve"> sample)</w:t>
            </w:r>
          </w:p>
        </w:tc>
        <w:tc>
          <w:tcPr>
            <w:tcW w:w="0" w:type="auto"/>
            <w:gridSpan w:val="2"/>
            <w:tcBorders>
              <w:left w:val="nil"/>
              <w:bottom w:val="single" w:sz="4" w:space="0" w:color="auto"/>
              <w:right w:val="nil"/>
            </w:tcBorders>
            <w:shd w:val="clear" w:color="auto" w:fill="auto"/>
            <w:vAlign w:val="center"/>
          </w:tcPr>
          <w:p w:rsidR="00B1064C" w:rsidRPr="008C5427" w:rsidRDefault="00B1064C" w:rsidP="007D6470">
            <w:pPr>
              <w:suppressLineNumbers/>
              <w:jc w:val="center"/>
              <w:rPr>
                <w:i/>
                <w:color w:val="auto"/>
              </w:rPr>
            </w:pPr>
            <w:r w:rsidRPr="008C5427">
              <w:rPr>
                <w:i/>
                <w:color w:val="auto"/>
              </w:rPr>
              <w:t>M (S</w:t>
            </w:r>
            <w:r w:rsidR="00261698" w:rsidRPr="008C5427">
              <w:rPr>
                <w:i/>
                <w:color w:val="auto"/>
              </w:rPr>
              <w:t>D</w:t>
            </w:r>
            <w:r w:rsidRPr="008C5427">
              <w:rPr>
                <w:i/>
                <w:color w:val="auto"/>
              </w:rPr>
              <w:t>)</w:t>
            </w:r>
          </w:p>
        </w:tc>
      </w:tr>
      <w:tr w:rsidR="008929FB" w:rsidRPr="008C5427" w:rsidTr="00DA7A08">
        <w:trPr>
          <w:trHeight w:hRule="exact" w:val="288"/>
        </w:trPr>
        <w:tc>
          <w:tcPr>
            <w:tcW w:w="0" w:type="auto"/>
            <w:tcBorders>
              <w:top w:val="single" w:sz="4" w:space="0" w:color="auto"/>
              <w:left w:val="nil"/>
              <w:bottom w:val="nil"/>
              <w:right w:val="nil"/>
            </w:tcBorders>
            <w:shd w:val="clear" w:color="auto" w:fill="auto"/>
            <w:vAlign w:val="center"/>
          </w:tcPr>
          <w:p w:rsidR="00445BFC" w:rsidRPr="008C5427" w:rsidRDefault="00162379" w:rsidP="007D6470">
            <w:pPr>
              <w:suppressLineNumbers/>
              <w:rPr>
                <w:color w:val="auto"/>
              </w:rPr>
            </w:pPr>
            <w:r w:rsidRPr="008C5427">
              <w:rPr>
                <w:color w:val="auto"/>
              </w:rPr>
              <w:t>N</w:t>
            </w:r>
            <w:r w:rsidR="00D23790" w:rsidRPr="008C5427">
              <w:rPr>
                <w:color w:val="auto"/>
              </w:rPr>
              <w:t>umber of romantic relations</w:t>
            </w:r>
            <w:r w:rsidRPr="008C5427">
              <w:rPr>
                <w:color w:val="auto"/>
              </w:rPr>
              <w:t xml:space="preserve"> during </w:t>
            </w:r>
            <w:r w:rsidR="00820397" w:rsidRPr="008C5427">
              <w:rPr>
                <w:color w:val="auto"/>
              </w:rPr>
              <w:t>observation</w:t>
            </w:r>
          </w:p>
        </w:tc>
        <w:tc>
          <w:tcPr>
            <w:tcW w:w="0" w:type="auto"/>
            <w:tcBorders>
              <w:top w:val="single" w:sz="4" w:space="0" w:color="auto"/>
              <w:left w:val="nil"/>
              <w:bottom w:val="nil"/>
              <w:right w:val="nil"/>
            </w:tcBorders>
            <w:shd w:val="clear" w:color="auto" w:fill="auto"/>
            <w:vAlign w:val="center"/>
          </w:tcPr>
          <w:p w:rsidR="008929FB" w:rsidRPr="008C5427" w:rsidRDefault="008929FB" w:rsidP="007D6470">
            <w:pPr>
              <w:suppressLineNumbers/>
              <w:jc w:val="center"/>
              <w:rPr>
                <w:b/>
                <w:color w:val="auto"/>
              </w:rPr>
            </w:pPr>
          </w:p>
        </w:tc>
        <w:tc>
          <w:tcPr>
            <w:tcW w:w="0" w:type="auto"/>
            <w:tcBorders>
              <w:top w:val="single" w:sz="4" w:space="0" w:color="auto"/>
              <w:left w:val="nil"/>
              <w:bottom w:val="nil"/>
              <w:right w:val="nil"/>
            </w:tcBorders>
            <w:shd w:val="clear" w:color="auto" w:fill="auto"/>
            <w:vAlign w:val="center"/>
          </w:tcPr>
          <w:p w:rsidR="008929FB" w:rsidRPr="008C5427" w:rsidRDefault="008929FB" w:rsidP="00DA7A08">
            <w:pPr>
              <w:suppressLineNumbers/>
              <w:tabs>
                <w:tab w:val="decimal" w:pos="329"/>
              </w:tabs>
              <w:jc w:val="center"/>
              <w:rPr>
                <w:b/>
                <w:color w:val="auto"/>
              </w:rPr>
            </w:pPr>
          </w:p>
        </w:tc>
        <w:tc>
          <w:tcPr>
            <w:tcW w:w="0" w:type="auto"/>
            <w:tcBorders>
              <w:top w:val="single" w:sz="4" w:space="0" w:color="auto"/>
              <w:left w:val="nil"/>
              <w:bottom w:val="nil"/>
              <w:right w:val="nil"/>
            </w:tcBorders>
            <w:shd w:val="clear" w:color="auto" w:fill="auto"/>
            <w:vAlign w:val="center"/>
          </w:tcPr>
          <w:p w:rsidR="008929FB" w:rsidRPr="008C5427" w:rsidRDefault="008929FB" w:rsidP="00DA7A08">
            <w:pPr>
              <w:suppressLineNumbers/>
              <w:tabs>
                <w:tab w:val="decimal" w:pos="329"/>
              </w:tabs>
              <w:jc w:val="center"/>
              <w:rPr>
                <w:b/>
                <w:color w:val="auto"/>
              </w:rPr>
            </w:pPr>
          </w:p>
        </w:tc>
      </w:tr>
      <w:tr w:rsidR="008332EB" w:rsidRPr="008C5427" w:rsidTr="00DA7A08">
        <w:trPr>
          <w:trHeight w:hRule="exact" w:val="288"/>
        </w:trPr>
        <w:tc>
          <w:tcPr>
            <w:tcW w:w="0" w:type="auto"/>
            <w:tcBorders>
              <w:top w:val="nil"/>
              <w:left w:val="nil"/>
              <w:bottom w:val="nil"/>
              <w:right w:val="nil"/>
            </w:tcBorders>
            <w:shd w:val="clear" w:color="auto" w:fill="auto"/>
            <w:vAlign w:val="center"/>
          </w:tcPr>
          <w:p w:rsidR="008332EB" w:rsidRPr="008C5427" w:rsidRDefault="008332EB" w:rsidP="00D928FF">
            <w:pPr>
              <w:suppressLineNumbers/>
              <w:ind w:left="180"/>
              <w:rPr>
                <w:color w:val="auto"/>
              </w:rPr>
            </w:pPr>
            <w:r w:rsidRPr="008C5427">
              <w:rPr>
                <w:color w:val="auto"/>
              </w:rPr>
              <w:t>0</w:t>
            </w:r>
          </w:p>
        </w:tc>
        <w:tc>
          <w:tcPr>
            <w:tcW w:w="0" w:type="auto"/>
            <w:tcBorders>
              <w:top w:val="nil"/>
              <w:left w:val="nil"/>
              <w:bottom w:val="nil"/>
              <w:right w:val="nil"/>
            </w:tcBorders>
            <w:shd w:val="clear" w:color="auto" w:fill="auto"/>
            <w:vAlign w:val="center"/>
          </w:tcPr>
          <w:p w:rsidR="008332EB" w:rsidRPr="008C5427" w:rsidRDefault="00D26C7A" w:rsidP="0069252E">
            <w:pPr>
              <w:suppressLineNumbers/>
              <w:jc w:val="center"/>
              <w:rPr>
                <w:color w:val="auto"/>
              </w:rPr>
            </w:pPr>
            <w:r w:rsidRPr="008C5427">
              <w:rPr>
                <w:color w:val="auto"/>
              </w:rPr>
              <w:t>555 (36.7</w:t>
            </w:r>
            <w:r w:rsidR="008332EB" w:rsidRPr="008C5427">
              <w:rPr>
                <w:color w:val="auto"/>
              </w:rPr>
              <w:t xml:space="preserve"> %)</w:t>
            </w:r>
          </w:p>
        </w:tc>
        <w:tc>
          <w:tcPr>
            <w:tcW w:w="0" w:type="auto"/>
            <w:tcBorders>
              <w:top w:val="nil"/>
              <w:left w:val="nil"/>
              <w:bottom w:val="nil"/>
              <w:right w:val="nil"/>
            </w:tcBorders>
            <w:shd w:val="clear" w:color="auto" w:fill="auto"/>
            <w:vAlign w:val="center"/>
          </w:tcPr>
          <w:p w:rsidR="008332EB" w:rsidRPr="008C5427" w:rsidRDefault="008332EB"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8332EB" w:rsidRPr="008C5427" w:rsidRDefault="008332EB" w:rsidP="00DA7A08">
            <w:pPr>
              <w:suppressLineNumbers/>
              <w:tabs>
                <w:tab w:val="decimal" w:pos="329"/>
              </w:tabs>
              <w:jc w:val="center"/>
              <w:rPr>
                <w:color w:val="auto"/>
              </w:rPr>
            </w:pPr>
          </w:p>
        </w:tc>
      </w:tr>
      <w:tr w:rsidR="008929FB" w:rsidRPr="008C5427" w:rsidTr="00DA7A08">
        <w:trPr>
          <w:trHeight w:hRule="exact" w:val="288"/>
        </w:trPr>
        <w:tc>
          <w:tcPr>
            <w:tcW w:w="0" w:type="auto"/>
            <w:tcBorders>
              <w:top w:val="nil"/>
              <w:left w:val="nil"/>
              <w:bottom w:val="nil"/>
              <w:right w:val="nil"/>
            </w:tcBorders>
            <w:shd w:val="clear" w:color="auto" w:fill="auto"/>
            <w:vAlign w:val="center"/>
          </w:tcPr>
          <w:p w:rsidR="008929FB" w:rsidRPr="008C5427" w:rsidRDefault="00445BFC" w:rsidP="00D928FF">
            <w:pPr>
              <w:suppressLineNumbers/>
              <w:ind w:left="180"/>
              <w:rPr>
                <w:color w:val="auto"/>
              </w:rPr>
            </w:pPr>
            <w:r w:rsidRPr="008C5427">
              <w:rPr>
                <w:color w:val="auto"/>
              </w:rPr>
              <w:t>1</w:t>
            </w:r>
          </w:p>
        </w:tc>
        <w:tc>
          <w:tcPr>
            <w:tcW w:w="0" w:type="auto"/>
            <w:tcBorders>
              <w:top w:val="nil"/>
              <w:left w:val="nil"/>
              <w:bottom w:val="nil"/>
              <w:right w:val="nil"/>
            </w:tcBorders>
            <w:shd w:val="clear" w:color="auto" w:fill="auto"/>
            <w:vAlign w:val="center"/>
          </w:tcPr>
          <w:p w:rsidR="008929FB" w:rsidRPr="008C5427" w:rsidRDefault="00D26C7A" w:rsidP="0069252E">
            <w:pPr>
              <w:suppressLineNumbers/>
              <w:jc w:val="center"/>
              <w:rPr>
                <w:color w:val="auto"/>
              </w:rPr>
            </w:pPr>
            <w:r w:rsidRPr="008C5427">
              <w:rPr>
                <w:color w:val="auto"/>
              </w:rPr>
              <w:t>493 (32.6</w:t>
            </w:r>
            <w:r w:rsidR="00445BFC" w:rsidRPr="008C5427">
              <w:rPr>
                <w:color w:val="auto"/>
              </w:rPr>
              <w:t xml:space="preserve"> %)</w:t>
            </w:r>
          </w:p>
        </w:tc>
        <w:tc>
          <w:tcPr>
            <w:tcW w:w="0" w:type="auto"/>
            <w:tcBorders>
              <w:top w:val="nil"/>
              <w:left w:val="nil"/>
              <w:bottom w:val="nil"/>
              <w:right w:val="nil"/>
            </w:tcBorders>
            <w:shd w:val="clear" w:color="auto" w:fill="auto"/>
            <w:vAlign w:val="center"/>
          </w:tcPr>
          <w:p w:rsidR="008929FB" w:rsidRPr="008C5427" w:rsidRDefault="008929FB"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8929FB" w:rsidRPr="008C5427" w:rsidRDefault="008929FB" w:rsidP="00DA7A08">
            <w:pPr>
              <w:suppressLineNumbers/>
              <w:tabs>
                <w:tab w:val="decimal" w:pos="329"/>
              </w:tabs>
              <w:jc w:val="center"/>
              <w:rPr>
                <w:color w:val="auto"/>
              </w:rPr>
            </w:pPr>
          </w:p>
        </w:tc>
      </w:tr>
      <w:tr w:rsidR="008929FB" w:rsidRPr="008C5427" w:rsidTr="00DA7A08">
        <w:trPr>
          <w:trHeight w:hRule="exact" w:val="288"/>
        </w:trPr>
        <w:tc>
          <w:tcPr>
            <w:tcW w:w="0" w:type="auto"/>
            <w:tcBorders>
              <w:top w:val="nil"/>
              <w:left w:val="nil"/>
              <w:bottom w:val="nil"/>
              <w:right w:val="nil"/>
            </w:tcBorders>
            <w:shd w:val="clear" w:color="auto" w:fill="auto"/>
            <w:vAlign w:val="center"/>
          </w:tcPr>
          <w:p w:rsidR="008929FB" w:rsidRPr="008C5427" w:rsidRDefault="00445BFC" w:rsidP="00D928FF">
            <w:pPr>
              <w:suppressLineNumbers/>
              <w:ind w:left="180"/>
              <w:rPr>
                <w:color w:val="auto"/>
              </w:rPr>
            </w:pPr>
            <w:r w:rsidRPr="008C5427">
              <w:rPr>
                <w:color w:val="auto"/>
              </w:rPr>
              <w:t>2</w:t>
            </w:r>
          </w:p>
        </w:tc>
        <w:tc>
          <w:tcPr>
            <w:tcW w:w="0" w:type="auto"/>
            <w:tcBorders>
              <w:top w:val="nil"/>
              <w:left w:val="nil"/>
              <w:bottom w:val="nil"/>
              <w:right w:val="nil"/>
            </w:tcBorders>
            <w:shd w:val="clear" w:color="auto" w:fill="auto"/>
            <w:vAlign w:val="center"/>
          </w:tcPr>
          <w:p w:rsidR="008929FB" w:rsidRPr="008C5427" w:rsidRDefault="00D26C7A" w:rsidP="0069252E">
            <w:pPr>
              <w:suppressLineNumbers/>
              <w:jc w:val="center"/>
              <w:rPr>
                <w:color w:val="auto"/>
              </w:rPr>
            </w:pPr>
            <w:r w:rsidRPr="008C5427">
              <w:rPr>
                <w:color w:val="auto"/>
              </w:rPr>
              <w:t>293 (19.4</w:t>
            </w:r>
            <w:r w:rsidR="009969FF" w:rsidRPr="008C5427">
              <w:rPr>
                <w:color w:val="auto"/>
              </w:rPr>
              <w:t xml:space="preserve"> %</w:t>
            </w:r>
            <w:r w:rsidR="00445BFC" w:rsidRPr="008C5427">
              <w:rPr>
                <w:color w:val="auto"/>
              </w:rPr>
              <w:t>)</w:t>
            </w:r>
          </w:p>
        </w:tc>
        <w:tc>
          <w:tcPr>
            <w:tcW w:w="0" w:type="auto"/>
            <w:tcBorders>
              <w:top w:val="nil"/>
              <w:left w:val="nil"/>
              <w:bottom w:val="nil"/>
              <w:right w:val="nil"/>
            </w:tcBorders>
            <w:shd w:val="clear" w:color="auto" w:fill="auto"/>
            <w:vAlign w:val="center"/>
          </w:tcPr>
          <w:p w:rsidR="008929FB" w:rsidRPr="008C5427" w:rsidRDefault="008929FB"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8929FB" w:rsidRPr="008C5427" w:rsidRDefault="008929FB" w:rsidP="00DA7A08">
            <w:pPr>
              <w:suppressLineNumbers/>
              <w:tabs>
                <w:tab w:val="decimal" w:pos="329"/>
              </w:tabs>
              <w:jc w:val="center"/>
              <w:rPr>
                <w:color w:val="auto"/>
              </w:rPr>
            </w:pPr>
          </w:p>
        </w:tc>
      </w:tr>
      <w:tr w:rsidR="008929FB" w:rsidRPr="008C5427" w:rsidTr="00DA7A08">
        <w:trPr>
          <w:trHeight w:hRule="exact" w:val="288"/>
        </w:trPr>
        <w:tc>
          <w:tcPr>
            <w:tcW w:w="0" w:type="auto"/>
            <w:tcBorders>
              <w:top w:val="nil"/>
              <w:left w:val="nil"/>
              <w:bottom w:val="nil"/>
              <w:right w:val="nil"/>
            </w:tcBorders>
            <w:shd w:val="clear" w:color="auto" w:fill="auto"/>
            <w:vAlign w:val="center"/>
          </w:tcPr>
          <w:p w:rsidR="008929FB" w:rsidRPr="008C5427" w:rsidRDefault="00445BFC" w:rsidP="00D928FF">
            <w:pPr>
              <w:suppressLineNumbers/>
              <w:ind w:left="180"/>
              <w:rPr>
                <w:color w:val="auto"/>
              </w:rPr>
            </w:pPr>
            <w:r w:rsidRPr="008C5427">
              <w:rPr>
                <w:color w:val="auto"/>
              </w:rPr>
              <w:t>3</w:t>
            </w:r>
          </w:p>
        </w:tc>
        <w:tc>
          <w:tcPr>
            <w:tcW w:w="0" w:type="auto"/>
            <w:tcBorders>
              <w:top w:val="nil"/>
              <w:left w:val="nil"/>
              <w:bottom w:val="nil"/>
              <w:right w:val="nil"/>
            </w:tcBorders>
            <w:shd w:val="clear" w:color="auto" w:fill="auto"/>
            <w:vAlign w:val="center"/>
          </w:tcPr>
          <w:p w:rsidR="008929FB" w:rsidRPr="008C5427" w:rsidRDefault="00D26C7A" w:rsidP="0069252E">
            <w:pPr>
              <w:suppressLineNumbers/>
              <w:jc w:val="center"/>
              <w:rPr>
                <w:color w:val="auto"/>
              </w:rPr>
            </w:pPr>
            <w:r w:rsidRPr="008C5427">
              <w:rPr>
                <w:color w:val="auto"/>
              </w:rPr>
              <w:t>110 (7.3</w:t>
            </w:r>
            <w:r w:rsidR="009969FF" w:rsidRPr="008C5427">
              <w:rPr>
                <w:color w:val="auto"/>
              </w:rPr>
              <w:t xml:space="preserve"> %</w:t>
            </w:r>
            <w:r w:rsidR="00445BFC" w:rsidRPr="008C5427">
              <w:rPr>
                <w:color w:val="auto"/>
              </w:rPr>
              <w:t>)</w:t>
            </w:r>
          </w:p>
        </w:tc>
        <w:tc>
          <w:tcPr>
            <w:tcW w:w="0" w:type="auto"/>
            <w:tcBorders>
              <w:top w:val="nil"/>
              <w:left w:val="nil"/>
              <w:bottom w:val="nil"/>
              <w:right w:val="nil"/>
            </w:tcBorders>
            <w:shd w:val="clear" w:color="auto" w:fill="auto"/>
            <w:vAlign w:val="center"/>
          </w:tcPr>
          <w:p w:rsidR="008929FB" w:rsidRPr="008C5427" w:rsidRDefault="008929FB"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8929FB" w:rsidRPr="008C5427" w:rsidRDefault="008929FB" w:rsidP="00DA7A08">
            <w:pPr>
              <w:suppressLineNumbers/>
              <w:tabs>
                <w:tab w:val="decimal" w:pos="329"/>
              </w:tabs>
              <w:jc w:val="center"/>
              <w:rPr>
                <w:color w:val="auto"/>
              </w:rPr>
            </w:pPr>
          </w:p>
        </w:tc>
      </w:tr>
      <w:tr w:rsidR="008929FB" w:rsidRPr="008C5427" w:rsidTr="00DA7A08">
        <w:trPr>
          <w:trHeight w:hRule="exact" w:val="288"/>
        </w:trPr>
        <w:tc>
          <w:tcPr>
            <w:tcW w:w="0" w:type="auto"/>
            <w:tcBorders>
              <w:top w:val="nil"/>
              <w:left w:val="nil"/>
              <w:bottom w:val="nil"/>
              <w:right w:val="nil"/>
            </w:tcBorders>
            <w:shd w:val="clear" w:color="auto" w:fill="auto"/>
            <w:vAlign w:val="center"/>
          </w:tcPr>
          <w:p w:rsidR="008929FB" w:rsidRPr="008C5427" w:rsidRDefault="00445BFC" w:rsidP="00D928FF">
            <w:pPr>
              <w:suppressLineNumbers/>
              <w:ind w:left="180"/>
              <w:rPr>
                <w:color w:val="auto"/>
              </w:rPr>
            </w:pPr>
            <w:r w:rsidRPr="008C5427">
              <w:rPr>
                <w:color w:val="auto"/>
              </w:rPr>
              <w:t>4</w:t>
            </w:r>
          </w:p>
        </w:tc>
        <w:tc>
          <w:tcPr>
            <w:tcW w:w="0" w:type="auto"/>
            <w:tcBorders>
              <w:top w:val="nil"/>
              <w:left w:val="nil"/>
              <w:bottom w:val="nil"/>
              <w:right w:val="nil"/>
            </w:tcBorders>
            <w:shd w:val="clear" w:color="auto" w:fill="auto"/>
            <w:vAlign w:val="center"/>
          </w:tcPr>
          <w:p w:rsidR="008929FB" w:rsidRPr="008C5427" w:rsidRDefault="00D26C7A" w:rsidP="0069252E">
            <w:pPr>
              <w:suppressLineNumbers/>
              <w:jc w:val="center"/>
              <w:rPr>
                <w:color w:val="auto"/>
              </w:rPr>
            </w:pPr>
            <w:r w:rsidRPr="008C5427">
              <w:rPr>
                <w:color w:val="auto"/>
              </w:rPr>
              <w:t>33 (2.2</w:t>
            </w:r>
            <w:r w:rsidR="009969FF" w:rsidRPr="008C5427">
              <w:rPr>
                <w:color w:val="auto"/>
              </w:rPr>
              <w:t xml:space="preserve"> %</w:t>
            </w:r>
            <w:r w:rsidR="00445BFC" w:rsidRPr="008C5427">
              <w:rPr>
                <w:color w:val="auto"/>
              </w:rPr>
              <w:t>)</w:t>
            </w:r>
          </w:p>
        </w:tc>
        <w:tc>
          <w:tcPr>
            <w:tcW w:w="0" w:type="auto"/>
            <w:tcBorders>
              <w:top w:val="nil"/>
              <w:left w:val="nil"/>
              <w:bottom w:val="nil"/>
              <w:right w:val="nil"/>
            </w:tcBorders>
            <w:shd w:val="clear" w:color="auto" w:fill="auto"/>
            <w:vAlign w:val="center"/>
          </w:tcPr>
          <w:p w:rsidR="008929FB" w:rsidRPr="008C5427" w:rsidRDefault="008929FB"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8929FB" w:rsidRPr="008C5427" w:rsidRDefault="008929FB" w:rsidP="00DA7A08">
            <w:pPr>
              <w:suppressLineNumbers/>
              <w:tabs>
                <w:tab w:val="decimal" w:pos="329"/>
              </w:tabs>
              <w:jc w:val="center"/>
              <w:rPr>
                <w:color w:val="auto"/>
              </w:rPr>
            </w:pPr>
          </w:p>
        </w:tc>
      </w:tr>
      <w:tr w:rsidR="008929FB" w:rsidRPr="008C5427" w:rsidTr="00DA7A08">
        <w:trPr>
          <w:trHeight w:hRule="exact" w:val="288"/>
        </w:trPr>
        <w:tc>
          <w:tcPr>
            <w:tcW w:w="0" w:type="auto"/>
            <w:tcBorders>
              <w:top w:val="nil"/>
              <w:left w:val="nil"/>
              <w:bottom w:val="nil"/>
              <w:right w:val="nil"/>
            </w:tcBorders>
            <w:shd w:val="clear" w:color="auto" w:fill="auto"/>
            <w:vAlign w:val="center"/>
          </w:tcPr>
          <w:p w:rsidR="008929FB" w:rsidRPr="008C5427" w:rsidRDefault="00445BFC" w:rsidP="00D928FF">
            <w:pPr>
              <w:suppressLineNumbers/>
              <w:ind w:left="180"/>
              <w:rPr>
                <w:color w:val="auto"/>
              </w:rPr>
            </w:pPr>
            <w:r w:rsidRPr="008C5427">
              <w:rPr>
                <w:color w:val="auto"/>
              </w:rPr>
              <w:t>5</w:t>
            </w:r>
          </w:p>
        </w:tc>
        <w:tc>
          <w:tcPr>
            <w:tcW w:w="0" w:type="auto"/>
            <w:tcBorders>
              <w:top w:val="nil"/>
              <w:left w:val="nil"/>
              <w:bottom w:val="nil"/>
              <w:right w:val="nil"/>
            </w:tcBorders>
            <w:shd w:val="clear" w:color="auto" w:fill="auto"/>
            <w:vAlign w:val="center"/>
          </w:tcPr>
          <w:p w:rsidR="008929FB" w:rsidRPr="008C5427" w:rsidRDefault="00D26C7A" w:rsidP="0069252E">
            <w:pPr>
              <w:suppressLineNumbers/>
              <w:jc w:val="center"/>
              <w:rPr>
                <w:color w:val="auto"/>
              </w:rPr>
            </w:pPr>
            <w:r w:rsidRPr="008C5427">
              <w:rPr>
                <w:color w:val="auto"/>
              </w:rPr>
              <w:t>20 (1.3</w:t>
            </w:r>
            <w:r w:rsidR="009969FF" w:rsidRPr="008C5427">
              <w:rPr>
                <w:color w:val="auto"/>
              </w:rPr>
              <w:t xml:space="preserve"> %</w:t>
            </w:r>
            <w:r w:rsidR="00445BFC" w:rsidRPr="008C5427">
              <w:rPr>
                <w:color w:val="auto"/>
              </w:rPr>
              <w:t>)</w:t>
            </w:r>
          </w:p>
        </w:tc>
        <w:tc>
          <w:tcPr>
            <w:tcW w:w="0" w:type="auto"/>
            <w:tcBorders>
              <w:top w:val="nil"/>
              <w:left w:val="nil"/>
              <w:bottom w:val="nil"/>
              <w:right w:val="nil"/>
            </w:tcBorders>
            <w:shd w:val="clear" w:color="auto" w:fill="auto"/>
            <w:vAlign w:val="center"/>
          </w:tcPr>
          <w:p w:rsidR="008929FB" w:rsidRPr="008C5427" w:rsidRDefault="008929FB"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8929FB" w:rsidRPr="008C5427" w:rsidRDefault="008929FB" w:rsidP="00DA7A08">
            <w:pPr>
              <w:suppressLineNumbers/>
              <w:tabs>
                <w:tab w:val="decimal" w:pos="329"/>
              </w:tabs>
              <w:jc w:val="center"/>
              <w:rPr>
                <w:color w:val="auto"/>
              </w:rPr>
            </w:pPr>
          </w:p>
        </w:tc>
      </w:tr>
      <w:tr w:rsidR="008929FB" w:rsidRPr="008C5427" w:rsidTr="00DA7A08">
        <w:trPr>
          <w:trHeight w:hRule="exact" w:val="288"/>
        </w:trPr>
        <w:tc>
          <w:tcPr>
            <w:tcW w:w="0" w:type="auto"/>
            <w:tcBorders>
              <w:top w:val="nil"/>
              <w:left w:val="nil"/>
              <w:bottom w:val="nil"/>
              <w:right w:val="nil"/>
            </w:tcBorders>
            <w:shd w:val="clear" w:color="auto" w:fill="auto"/>
            <w:vAlign w:val="center"/>
          </w:tcPr>
          <w:p w:rsidR="008929FB" w:rsidRPr="008C5427" w:rsidRDefault="00445BFC" w:rsidP="00D928FF">
            <w:pPr>
              <w:suppressLineNumbers/>
              <w:ind w:left="180"/>
              <w:rPr>
                <w:color w:val="auto"/>
              </w:rPr>
            </w:pPr>
            <w:r w:rsidRPr="008C5427">
              <w:rPr>
                <w:color w:val="auto"/>
              </w:rPr>
              <w:t>6</w:t>
            </w:r>
          </w:p>
        </w:tc>
        <w:tc>
          <w:tcPr>
            <w:tcW w:w="0" w:type="auto"/>
            <w:tcBorders>
              <w:top w:val="nil"/>
              <w:left w:val="nil"/>
              <w:bottom w:val="nil"/>
              <w:right w:val="nil"/>
            </w:tcBorders>
            <w:shd w:val="clear" w:color="auto" w:fill="auto"/>
            <w:vAlign w:val="center"/>
          </w:tcPr>
          <w:p w:rsidR="008929FB" w:rsidRPr="008C5427" w:rsidRDefault="00D26C7A" w:rsidP="0069252E">
            <w:pPr>
              <w:suppressLineNumbers/>
              <w:jc w:val="center"/>
              <w:rPr>
                <w:color w:val="auto"/>
              </w:rPr>
            </w:pPr>
            <w:r w:rsidRPr="008C5427">
              <w:rPr>
                <w:color w:val="auto"/>
              </w:rPr>
              <w:t>8 (0.5</w:t>
            </w:r>
            <w:r w:rsidR="009969FF" w:rsidRPr="008C5427">
              <w:rPr>
                <w:color w:val="auto"/>
              </w:rPr>
              <w:t xml:space="preserve"> %</w:t>
            </w:r>
            <w:r w:rsidR="00445BFC" w:rsidRPr="008C5427">
              <w:rPr>
                <w:color w:val="auto"/>
              </w:rPr>
              <w:t>)</w:t>
            </w:r>
          </w:p>
        </w:tc>
        <w:tc>
          <w:tcPr>
            <w:tcW w:w="0" w:type="auto"/>
            <w:tcBorders>
              <w:top w:val="nil"/>
              <w:left w:val="nil"/>
              <w:bottom w:val="nil"/>
              <w:right w:val="nil"/>
            </w:tcBorders>
            <w:shd w:val="clear" w:color="auto" w:fill="auto"/>
            <w:vAlign w:val="center"/>
          </w:tcPr>
          <w:p w:rsidR="008929FB" w:rsidRPr="008C5427" w:rsidRDefault="008929FB"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8929FB" w:rsidRPr="008C5427" w:rsidRDefault="008929FB" w:rsidP="00DA7A08">
            <w:pPr>
              <w:suppressLineNumbers/>
              <w:tabs>
                <w:tab w:val="decimal" w:pos="329"/>
              </w:tabs>
              <w:jc w:val="center"/>
              <w:rPr>
                <w:color w:val="auto"/>
              </w:rPr>
            </w:pPr>
          </w:p>
        </w:tc>
      </w:tr>
      <w:tr w:rsidR="008929FB" w:rsidRPr="008C5427" w:rsidTr="00DA7A08">
        <w:trPr>
          <w:trHeight w:hRule="exact" w:val="288"/>
        </w:trPr>
        <w:tc>
          <w:tcPr>
            <w:tcW w:w="0" w:type="auto"/>
            <w:tcBorders>
              <w:top w:val="nil"/>
              <w:left w:val="nil"/>
              <w:bottom w:val="nil"/>
              <w:right w:val="nil"/>
            </w:tcBorders>
            <w:shd w:val="clear" w:color="auto" w:fill="auto"/>
            <w:vAlign w:val="center"/>
          </w:tcPr>
          <w:p w:rsidR="008929FB" w:rsidRPr="008C5427" w:rsidRDefault="00445BFC" w:rsidP="00D928FF">
            <w:pPr>
              <w:suppressLineNumbers/>
              <w:ind w:left="180"/>
              <w:rPr>
                <w:color w:val="auto"/>
              </w:rPr>
            </w:pPr>
            <w:r w:rsidRPr="008C5427">
              <w:rPr>
                <w:color w:val="auto"/>
              </w:rPr>
              <w:t>7</w:t>
            </w:r>
          </w:p>
        </w:tc>
        <w:tc>
          <w:tcPr>
            <w:tcW w:w="0" w:type="auto"/>
            <w:tcBorders>
              <w:top w:val="nil"/>
              <w:left w:val="nil"/>
              <w:bottom w:val="nil"/>
              <w:right w:val="nil"/>
            </w:tcBorders>
            <w:shd w:val="clear" w:color="auto" w:fill="auto"/>
            <w:vAlign w:val="center"/>
          </w:tcPr>
          <w:p w:rsidR="008929FB" w:rsidRPr="008C5427" w:rsidRDefault="00D26C7A" w:rsidP="0069252E">
            <w:pPr>
              <w:suppressLineNumbers/>
              <w:jc w:val="center"/>
              <w:rPr>
                <w:color w:val="auto"/>
              </w:rPr>
            </w:pPr>
            <w:r w:rsidRPr="008C5427">
              <w:rPr>
                <w:color w:val="auto"/>
              </w:rPr>
              <w:t>1 (0.1</w:t>
            </w:r>
            <w:r w:rsidR="009969FF" w:rsidRPr="008C5427">
              <w:rPr>
                <w:color w:val="auto"/>
              </w:rPr>
              <w:t xml:space="preserve"> %</w:t>
            </w:r>
            <w:r w:rsidR="00445BFC" w:rsidRPr="008C5427">
              <w:rPr>
                <w:color w:val="auto"/>
              </w:rPr>
              <w:t>)</w:t>
            </w:r>
          </w:p>
        </w:tc>
        <w:tc>
          <w:tcPr>
            <w:tcW w:w="0" w:type="auto"/>
            <w:tcBorders>
              <w:top w:val="nil"/>
              <w:left w:val="nil"/>
              <w:bottom w:val="nil"/>
              <w:right w:val="nil"/>
            </w:tcBorders>
            <w:shd w:val="clear" w:color="auto" w:fill="auto"/>
            <w:vAlign w:val="center"/>
          </w:tcPr>
          <w:p w:rsidR="008929FB" w:rsidRPr="008C5427" w:rsidRDefault="008929FB"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8929FB" w:rsidRPr="008C5427" w:rsidRDefault="008929FB" w:rsidP="00DA7A08">
            <w:pPr>
              <w:suppressLineNumbers/>
              <w:tabs>
                <w:tab w:val="decimal" w:pos="329"/>
              </w:tabs>
              <w:jc w:val="center"/>
              <w:rPr>
                <w:color w:val="auto"/>
              </w:rPr>
            </w:pPr>
          </w:p>
        </w:tc>
      </w:tr>
      <w:tr w:rsidR="00445BFC" w:rsidRPr="008C5427" w:rsidTr="00DA7A08">
        <w:trPr>
          <w:trHeight w:hRule="exact" w:val="288"/>
        </w:trPr>
        <w:tc>
          <w:tcPr>
            <w:tcW w:w="0" w:type="auto"/>
            <w:tcBorders>
              <w:top w:val="nil"/>
              <w:left w:val="nil"/>
              <w:bottom w:val="nil"/>
              <w:right w:val="nil"/>
            </w:tcBorders>
            <w:shd w:val="clear" w:color="auto" w:fill="auto"/>
            <w:vAlign w:val="center"/>
          </w:tcPr>
          <w:p w:rsidR="00445BFC" w:rsidRPr="008C5427" w:rsidRDefault="006F6F0A" w:rsidP="007D6470">
            <w:pPr>
              <w:suppressLineNumbers/>
              <w:rPr>
                <w:color w:val="auto"/>
              </w:rPr>
            </w:pPr>
            <w:r w:rsidRPr="008C5427">
              <w:rPr>
                <w:color w:val="auto"/>
              </w:rPr>
              <w:t xml:space="preserve">Family instability </w:t>
            </w:r>
            <w:r w:rsidR="00D23790" w:rsidRPr="008C5427">
              <w:rPr>
                <w:color w:val="auto"/>
              </w:rPr>
              <w:t>&amp;</w:t>
            </w:r>
            <w:r w:rsidRPr="008C5427">
              <w:rPr>
                <w:color w:val="auto"/>
              </w:rPr>
              <w:t xml:space="preserve"> transitions</w:t>
            </w:r>
            <w:r w:rsidR="00EC1122" w:rsidRPr="008C5427">
              <w:rPr>
                <w:color w:val="auto"/>
              </w:rPr>
              <w:t xml:space="preserve"> during </w:t>
            </w:r>
            <w:r w:rsidR="00D26C7A" w:rsidRPr="008C5427">
              <w:rPr>
                <w:color w:val="auto"/>
              </w:rPr>
              <w:t>observation</w:t>
            </w:r>
          </w:p>
        </w:tc>
        <w:tc>
          <w:tcPr>
            <w:tcW w:w="0" w:type="auto"/>
            <w:tcBorders>
              <w:top w:val="nil"/>
              <w:left w:val="nil"/>
              <w:bottom w:val="nil"/>
              <w:right w:val="nil"/>
            </w:tcBorders>
            <w:shd w:val="clear" w:color="auto" w:fill="auto"/>
            <w:vAlign w:val="center"/>
          </w:tcPr>
          <w:p w:rsidR="00445BFC" w:rsidRPr="008C5427" w:rsidRDefault="00445BFC" w:rsidP="0069252E">
            <w:pPr>
              <w:suppressLineNumbers/>
              <w:jc w:val="center"/>
              <w:rPr>
                <w:color w:val="auto"/>
              </w:rPr>
            </w:pPr>
          </w:p>
        </w:tc>
        <w:tc>
          <w:tcPr>
            <w:tcW w:w="0" w:type="auto"/>
            <w:tcBorders>
              <w:top w:val="nil"/>
              <w:left w:val="nil"/>
              <w:bottom w:val="nil"/>
              <w:right w:val="nil"/>
            </w:tcBorders>
            <w:shd w:val="clear" w:color="auto" w:fill="auto"/>
            <w:vAlign w:val="center"/>
          </w:tcPr>
          <w:p w:rsidR="00445BFC" w:rsidRPr="008C5427" w:rsidRDefault="00445BFC"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445BFC" w:rsidRPr="008C5427" w:rsidRDefault="00445BFC" w:rsidP="00DA7A08">
            <w:pPr>
              <w:suppressLineNumbers/>
              <w:tabs>
                <w:tab w:val="decimal" w:pos="329"/>
              </w:tabs>
              <w:jc w:val="center"/>
              <w:rPr>
                <w:color w:val="auto"/>
              </w:rPr>
            </w:pPr>
          </w:p>
        </w:tc>
      </w:tr>
      <w:tr w:rsidR="00445BFC" w:rsidRPr="008C5427" w:rsidTr="00DA7A08">
        <w:trPr>
          <w:trHeight w:hRule="exact" w:val="288"/>
        </w:trPr>
        <w:tc>
          <w:tcPr>
            <w:tcW w:w="0" w:type="auto"/>
            <w:tcBorders>
              <w:top w:val="nil"/>
              <w:left w:val="nil"/>
              <w:bottom w:val="nil"/>
              <w:right w:val="nil"/>
            </w:tcBorders>
            <w:shd w:val="clear" w:color="auto" w:fill="auto"/>
            <w:vAlign w:val="center"/>
          </w:tcPr>
          <w:p w:rsidR="00445BFC" w:rsidRPr="008C5427" w:rsidRDefault="006F6F0A" w:rsidP="00D928FF">
            <w:pPr>
              <w:suppressLineNumbers/>
              <w:ind w:left="180"/>
              <w:rPr>
                <w:color w:val="auto"/>
              </w:rPr>
            </w:pPr>
            <w:r w:rsidRPr="008C5427">
              <w:rPr>
                <w:color w:val="auto"/>
              </w:rPr>
              <w:t>Biological pare</w:t>
            </w:r>
            <w:r w:rsidR="00AA3104" w:rsidRPr="008C5427">
              <w:rPr>
                <w:color w:val="auto"/>
              </w:rPr>
              <w:t>nt moved</w:t>
            </w:r>
            <w:r w:rsidRPr="008C5427">
              <w:rPr>
                <w:color w:val="auto"/>
              </w:rPr>
              <w:t xml:space="preserve"> out</w:t>
            </w:r>
          </w:p>
        </w:tc>
        <w:tc>
          <w:tcPr>
            <w:tcW w:w="0" w:type="auto"/>
            <w:tcBorders>
              <w:top w:val="nil"/>
              <w:left w:val="nil"/>
              <w:bottom w:val="nil"/>
              <w:right w:val="nil"/>
            </w:tcBorders>
            <w:shd w:val="clear" w:color="auto" w:fill="auto"/>
            <w:vAlign w:val="center"/>
          </w:tcPr>
          <w:p w:rsidR="00445BFC" w:rsidRPr="008C5427" w:rsidRDefault="00AA3104" w:rsidP="0069252E">
            <w:pPr>
              <w:suppressLineNumbers/>
              <w:jc w:val="center"/>
              <w:rPr>
                <w:color w:val="auto"/>
              </w:rPr>
            </w:pPr>
            <w:r w:rsidRPr="008C5427">
              <w:rPr>
                <w:color w:val="auto"/>
              </w:rPr>
              <w:t>121</w:t>
            </w:r>
            <w:r w:rsidR="00D26C7A" w:rsidRPr="008C5427">
              <w:rPr>
                <w:color w:val="auto"/>
              </w:rPr>
              <w:t xml:space="preserve"> (8.0</w:t>
            </w:r>
            <w:r w:rsidR="00A60E5D" w:rsidRPr="008C5427">
              <w:rPr>
                <w:color w:val="auto"/>
              </w:rPr>
              <w:t xml:space="preserve"> %)</w:t>
            </w:r>
          </w:p>
        </w:tc>
        <w:tc>
          <w:tcPr>
            <w:tcW w:w="0" w:type="auto"/>
            <w:tcBorders>
              <w:top w:val="nil"/>
              <w:left w:val="nil"/>
              <w:bottom w:val="nil"/>
              <w:right w:val="nil"/>
            </w:tcBorders>
            <w:shd w:val="clear" w:color="auto" w:fill="auto"/>
            <w:vAlign w:val="center"/>
          </w:tcPr>
          <w:p w:rsidR="00445BFC" w:rsidRPr="008C5427" w:rsidRDefault="00445BFC"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445BFC" w:rsidRPr="008C5427" w:rsidRDefault="00445BFC" w:rsidP="00DA7A08">
            <w:pPr>
              <w:suppressLineNumbers/>
              <w:tabs>
                <w:tab w:val="decimal" w:pos="329"/>
              </w:tabs>
              <w:jc w:val="center"/>
              <w:rPr>
                <w:color w:val="auto"/>
              </w:rPr>
            </w:pPr>
          </w:p>
        </w:tc>
      </w:tr>
      <w:tr w:rsidR="00445BFC" w:rsidRPr="008C5427" w:rsidTr="00DA7A08">
        <w:trPr>
          <w:trHeight w:hRule="exact" w:val="288"/>
        </w:trPr>
        <w:tc>
          <w:tcPr>
            <w:tcW w:w="0" w:type="auto"/>
            <w:tcBorders>
              <w:top w:val="nil"/>
              <w:left w:val="nil"/>
              <w:bottom w:val="nil"/>
              <w:right w:val="nil"/>
            </w:tcBorders>
            <w:shd w:val="clear" w:color="auto" w:fill="auto"/>
            <w:vAlign w:val="center"/>
          </w:tcPr>
          <w:p w:rsidR="00445BFC" w:rsidRPr="008C5427" w:rsidRDefault="00B220EA" w:rsidP="00D928FF">
            <w:pPr>
              <w:suppressLineNumbers/>
              <w:ind w:left="180"/>
              <w:rPr>
                <w:color w:val="auto"/>
              </w:rPr>
            </w:pPr>
            <w:r w:rsidRPr="008C5427">
              <w:rPr>
                <w:color w:val="auto"/>
              </w:rPr>
              <w:t>Step</w:t>
            </w:r>
            <w:r w:rsidR="00AA3104" w:rsidRPr="008C5427">
              <w:rPr>
                <w:color w:val="auto"/>
              </w:rPr>
              <w:t xml:space="preserve">parent / </w:t>
            </w:r>
            <w:r w:rsidR="006A36A7" w:rsidRPr="008C5427">
              <w:rPr>
                <w:color w:val="auto"/>
              </w:rPr>
              <w:t>s</w:t>
            </w:r>
            <w:r w:rsidRPr="008C5427">
              <w:rPr>
                <w:color w:val="auto"/>
              </w:rPr>
              <w:t>tep</w:t>
            </w:r>
            <w:r w:rsidR="00AA3104" w:rsidRPr="008C5427">
              <w:rPr>
                <w:color w:val="auto"/>
              </w:rPr>
              <w:t>sibling moved</w:t>
            </w:r>
            <w:r w:rsidR="006F6F0A" w:rsidRPr="008C5427">
              <w:rPr>
                <w:color w:val="auto"/>
              </w:rPr>
              <w:t xml:space="preserve"> in</w:t>
            </w:r>
          </w:p>
        </w:tc>
        <w:tc>
          <w:tcPr>
            <w:tcW w:w="0" w:type="auto"/>
            <w:tcBorders>
              <w:top w:val="nil"/>
              <w:left w:val="nil"/>
              <w:bottom w:val="nil"/>
              <w:right w:val="nil"/>
            </w:tcBorders>
            <w:shd w:val="clear" w:color="auto" w:fill="auto"/>
            <w:vAlign w:val="center"/>
          </w:tcPr>
          <w:p w:rsidR="00445BFC" w:rsidRPr="008C5427" w:rsidRDefault="00AA3104" w:rsidP="0069252E">
            <w:pPr>
              <w:suppressLineNumbers/>
              <w:jc w:val="center"/>
              <w:rPr>
                <w:color w:val="auto"/>
              </w:rPr>
            </w:pPr>
            <w:r w:rsidRPr="008C5427">
              <w:rPr>
                <w:color w:val="auto"/>
              </w:rPr>
              <w:t>47</w:t>
            </w:r>
            <w:r w:rsidR="00D26C7A" w:rsidRPr="008C5427">
              <w:rPr>
                <w:color w:val="auto"/>
              </w:rPr>
              <w:t xml:space="preserve"> (3.1</w:t>
            </w:r>
            <w:r w:rsidR="00A60E5D" w:rsidRPr="008C5427">
              <w:rPr>
                <w:color w:val="auto"/>
              </w:rPr>
              <w:t xml:space="preserve"> %)</w:t>
            </w:r>
          </w:p>
        </w:tc>
        <w:tc>
          <w:tcPr>
            <w:tcW w:w="0" w:type="auto"/>
            <w:tcBorders>
              <w:top w:val="nil"/>
              <w:left w:val="nil"/>
              <w:bottom w:val="nil"/>
              <w:right w:val="nil"/>
            </w:tcBorders>
            <w:shd w:val="clear" w:color="auto" w:fill="auto"/>
            <w:vAlign w:val="center"/>
          </w:tcPr>
          <w:p w:rsidR="00445BFC" w:rsidRPr="008C5427" w:rsidRDefault="00445BFC"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445BFC" w:rsidRPr="008C5427" w:rsidRDefault="00445BFC" w:rsidP="00DA7A08">
            <w:pPr>
              <w:suppressLineNumbers/>
              <w:tabs>
                <w:tab w:val="decimal" w:pos="329"/>
              </w:tabs>
              <w:jc w:val="center"/>
              <w:rPr>
                <w:color w:val="auto"/>
              </w:rPr>
            </w:pPr>
          </w:p>
        </w:tc>
      </w:tr>
      <w:tr w:rsidR="00445BFC" w:rsidRPr="008C5427" w:rsidTr="00DA7A08">
        <w:trPr>
          <w:trHeight w:hRule="exact" w:val="288"/>
        </w:trPr>
        <w:tc>
          <w:tcPr>
            <w:tcW w:w="0" w:type="auto"/>
            <w:tcBorders>
              <w:top w:val="nil"/>
              <w:left w:val="nil"/>
              <w:bottom w:val="nil"/>
              <w:right w:val="nil"/>
            </w:tcBorders>
            <w:shd w:val="clear" w:color="auto" w:fill="auto"/>
            <w:vAlign w:val="center"/>
          </w:tcPr>
          <w:p w:rsidR="00445BFC" w:rsidRPr="008C5427" w:rsidRDefault="006F6F0A" w:rsidP="00D928FF">
            <w:pPr>
              <w:suppressLineNumbers/>
              <w:ind w:left="180"/>
              <w:rPr>
                <w:color w:val="auto"/>
              </w:rPr>
            </w:pPr>
            <w:r w:rsidRPr="008C5427">
              <w:rPr>
                <w:color w:val="auto"/>
              </w:rPr>
              <w:t>First new paternal partner</w:t>
            </w:r>
          </w:p>
        </w:tc>
        <w:tc>
          <w:tcPr>
            <w:tcW w:w="0" w:type="auto"/>
            <w:tcBorders>
              <w:top w:val="nil"/>
              <w:left w:val="nil"/>
              <w:bottom w:val="nil"/>
              <w:right w:val="nil"/>
            </w:tcBorders>
            <w:shd w:val="clear" w:color="auto" w:fill="auto"/>
            <w:vAlign w:val="center"/>
          </w:tcPr>
          <w:p w:rsidR="00445BFC" w:rsidRPr="008C5427" w:rsidRDefault="00AA3104" w:rsidP="0069252E">
            <w:pPr>
              <w:suppressLineNumbers/>
              <w:jc w:val="center"/>
              <w:rPr>
                <w:color w:val="auto"/>
              </w:rPr>
            </w:pPr>
            <w:r w:rsidRPr="008C5427">
              <w:rPr>
                <w:color w:val="auto"/>
              </w:rPr>
              <w:t>115</w:t>
            </w:r>
            <w:r w:rsidR="00A60E5D" w:rsidRPr="008C5427">
              <w:rPr>
                <w:color w:val="auto"/>
              </w:rPr>
              <w:t xml:space="preserve"> (7.6 %)</w:t>
            </w:r>
          </w:p>
        </w:tc>
        <w:tc>
          <w:tcPr>
            <w:tcW w:w="0" w:type="auto"/>
            <w:tcBorders>
              <w:top w:val="nil"/>
              <w:left w:val="nil"/>
              <w:bottom w:val="nil"/>
              <w:right w:val="nil"/>
            </w:tcBorders>
            <w:shd w:val="clear" w:color="auto" w:fill="auto"/>
            <w:vAlign w:val="center"/>
          </w:tcPr>
          <w:p w:rsidR="00445BFC" w:rsidRPr="008C5427" w:rsidRDefault="00445BFC"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445BFC" w:rsidRPr="008C5427" w:rsidRDefault="00445BFC" w:rsidP="00DA7A08">
            <w:pPr>
              <w:suppressLineNumbers/>
              <w:tabs>
                <w:tab w:val="decimal" w:pos="329"/>
              </w:tabs>
              <w:jc w:val="center"/>
              <w:rPr>
                <w:color w:val="auto"/>
              </w:rPr>
            </w:pPr>
          </w:p>
        </w:tc>
      </w:tr>
      <w:tr w:rsidR="006F6F0A" w:rsidRPr="008C5427" w:rsidTr="00DA7A08">
        <w:trPr>
          <w:trHeight w:hRule="exact" w:val="288"/>
        </w:trPr>
        <w:tc>
          <w:tcPr>
            <w:tcW w:w="0" w:type="auto"/>
            <w:tcBorders>
              <w:top w:val="nil"/>
              <w:left w:val="nil"/>
              <w:bottom w:val="nil"/>
              <w:right w:val="nil"/>
            </w:tcBorders>
            <w:shd w:val="clear" w:color="auto" w:fill="auto"/>
            <w:vAlign w:val="center"/>
          </w:tcPr>
          <w:p w:rsidR="006F6F0A" w:rsidRPr="008C5427" w:rsidRDefault="006F6F0A" w:rsidP="00D928FF">
            <w:pPr>
              <w:suppressLineNumbers/>
              <w:ind w:left="180"/>
              <w:rPr>
                <w:color w:val="auto"/>
              </w:rPr>
            </w:pPr>
            <w:r w:rsidRPr="008C5427">
              <w:rPr>
                <w:color w:val="auto"/>
              </w:rPr>
              <w:t>First new maternal partner</w:t>
            </w:r>
          </w:p>
        </w:tc>
        <w:tc>
          <w:tcPr>
            <w:tcW w:w="0" w:type="auto"/>
            <w:tcBorders>
              <w:top w:val="nil"/>
              <w:left w:val="nil"/>
              <w:bottom w:val="nil"/>
              <w:right w:val="nil"/>
            </w:tcBorders>
            <w:shd w:val="clear" w:color="auto" w:fill="auto"/>
            <w:vAlign w:val="center"/>
          </w:tcPr>
          <w:p w:rsidR="006F6F0A" w:rsidRPr="008C5427" w:rsidRDefault="00AA3104" w:rsidP="0069252E">
            <w:pPr>
              <w:suppressLineNumbers/>
              <w:jc w:val="center"/>
              <w:rPr>
                <w:color w:val="auto"/>
              </w:rPr>
            </w:pPr>
            <w:r w:rsidRPr="008C5427">
              <w:rPr>
                <w:color w:val="auto"/>
              </w:rPr>
              <w:t>124</w:t>
            </w:r>
            <w:r w:rsidR="00A60E5D" w:rsidRPr="008C5427">
              <w:rPr>
                <w:color w:val="auto"/>
              </w:rPr>
              <w:t xml:space="preserve"> (8.2 %)</w:t>
            </w:r>
          </w:p>
        </w:tc>
        <w:tc>
          <w:tcPr>
            <w:tcW w:w="0" w:type="auto"/>
            <w:tcBorders>
              <w:top w:val="nil"/>
              <w:left w:val="nil"/>
              <w:bottom w:val="nil"/>
              <w:right w:val="nil"/>
            </w:tcBorders>
            <w:shd w:val="clear" w:color="auto" w:fill="auto"/>
            <w:vAlign w:val="center"/>
          </w:tcPr>
          <w:p w:rsidR="006F6F0A" w:rsidRPr="008C5427" w:rsidRDefault="006F6F0A"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6F6F0A" w:rsidRPr="008C5427" w:rsidRDefault="006F6F0A" w:rsidP="00DA7A08">
            <w:pPr>
              <w:suppressLineNumbers/>
              <w:tabs>
                <w:tab w:val="decimal" w:pos="329"/>
              </w:tabs>
              <w:jc w:val="center"/>
              <w:rPr>
                <w:color w:val="auto"/>
              </w:rPr>
            </w:pPr>
          </w:p>
        </w:tc>
      </w:tr>
      <w:tr w:rsidR="00820397" w:rsidRPr="008C5427" w:rsidTr="00DA7A08">
        <w:trPr>
          <w:trHeight w:hRule="exact" w:val="288"/>
        </w:trPr>
        <w:tc>
          <w:tcPr>
            <w:tcW w:w="0" w:type="auto"/>
            <w:tcBorders>
              <w:top w:val="nil"/>
              <w:left w:val="nil"/>
              <w:bottom w:val="nil"/>
              <w:right w:val="nil"/>
            </w:tcBorders>
            <w:shd w:val="clear" w:color="auto" w:fill="auto"/>
            <w:vAlign w:val="center"/>
          </w:tcPr>
          <w:p w:rsidR="00820397" w:rsidRPr="008C5427" w:rsidRDefault="00820397" w:rsidP="007D6470">
            <w:pPr>
              <w:suppressLineNumbers/>
              <w:rPr>
                <w:color w:val="auto"/>
              </w:rPr>
            </w:pPr>
            <w:r w:rsidRPr="008C5427">
              <w:rPr>
                <w:color w:val="auto"/>
              </w:rPr>
              <w:t>Family structure at beginning of observation</w:t>
            </w:r>
          </w:p>
        </w:tc>
        <w:tc>
          <w:tcPr>
            <w:tcW w:w="0" w:type="auto"/>
            <w:tcBorders>
              <w:top w:val="nil"/>
              <w:left w:val="nil"/>
              <w:bottom w:val="nil"/>
              <w:right w:val="nil"/>
            </w:tcBorders>
            <w:shd w:val="clear" w:color="auto" w:fill="auto"/>
            <w:vAlign w:val="center"/>
          </w:tcPr>
          <w:p w:rsidR="00820397" w:rsidRPr="008C5427" w:rsidRDefault="00820397" w:rsidP="0069252E">
            <w:pPr>
              <w:suppressLineNumbers/>
              <w:jc w:val="center"/>
              <w:rPr>
                <w:b/>
                <w:color w:val="auto"/>
              </w:rPr>
            </w:pPr>
          </w:p>
        </w:tc>
        <w:tc>
          <w:tcPr>
            <w:tcW w:w="0" w:type="auto"/>
            <w:tcBorders>
              <w:top w:val="nil"/>
              <w:left w:val="nil"/>
              <w:bottom w:val="nil"/>
              <w:right w:val="nil"/>
            </w:tcBorders>
            <w:shd w:val="clear" w:color="auto" w:fill="auto"/>
            <w:vAlign w:val="center"/>
          </w:tcPr>
          <w:p w:rsidR="00820397" w:rsidRPr="008C5427" w:rsidRDefault="00820397" w:rsidP="00DA7A08">
            <w:pPr>
              <w:suppressLineNumbers/>
              <w:tabs>
                <w:tab w:val="decimal" w:pos="329"/>
              </w:tabs>
              <w:jc w:val="center"/>
              <w:rPr>
                <w:b/>
                <w:color w:val="auto"/>
              </w:rPr>
            </w:pPr>
          </w:p>
        </w:tc>
        <w:tc>
          <w:tcPr>
            <w:tcW w:w="0" w:type="auto"/>
            <w:tcBorders>
              <w:top w:val="nil"/>
              <w:left w:val="nil"/>
              <w:bottom w:val="nil"/>
              <w:right w:val="nil"/>
            </w:tcBorders>
            <w:shd w:val="clear" w:color="auto" w:fill="auto"/>
            <w:vAlign w:val="center"/>
          </w:tcPr>
          <w:p w:rsidR="00820397" w:rsidRPr="008C5427" w:rsidRDefault="00820397" w:rsidP="00DA7A08">
            <w:pPr>
              <w:suppressLineNumbers/>
              <w:tabs>
                <w:tab w:val="decimal" w:pos="329"/>
              </w:tabs>
              <w:jc w:val="center"/>
              <w:rPr>
                <w:b/>
                <w:color w:val="auto"/>
              </w:rPr>
            </w:pPr>
          </w:p>
        </w:tc>
      </w:tr>
      <w:tr w:rsidR="00820397" w:rsidRPr="008C5427" w:rsidTr="00DA7A08">
        <w:trPr>
          <w:trHeight w:hRule="exact" w:val="288"/>
        </w:trPr>
        <w:tc>
          <w:tcPr>
            <w:tcW w:w="0" w:type="auto"/>
            <w:tcBorders>
              <w:top w:val="nil"/>
              <w:left w:val="nil"/>
              <w:bottom w:val="nil"/>
              <w:right w:val="nil"/>
            </w:tcBorders>
            <w:shd w:val="clear" w:color="auto" w:fill="auto"/>
            <w:vAlign w:val="center"/>
          </w:tcPr>
          <w:p w:rsidR="00820397" w:rsidRPr="008C5427" w:rsidRDefault="00820397" w:rsidP="00D928FF">
            <w:pPr>
              <w:suppressLineNumbers/>
              <w:ind w:left="180"/>
              <w:rPr>
                <w:color w:val="auto"/>
              </w:rPr>
            </w:pPr>
            <w:r w:rsidRPr="008C5427">
              <w:rPr>
                <w:color w:val="auto"/>
              </w:rPr>
              <w:t>Two biological parents</w:t>
            </w:r>
          </w:p>
        </w:tc>
        <w:tc>
          <w:tcPr>
            <w:tcW w:w="0" w:type="auto"/>
            <w:tcBorders>
              <w:top w:val="nil"/>
              <w:left w:val="nil"/>
              <w:bottom w:val="nil"/>
              <w:right w:val="nil"/>
            </w:tcBorders>
            <w:shd w:val="clear" w:color="auto" w:fill="auto"/>
            <w:vAlign w:val="center"/>
          </w:tcPr>
          <w:p w:rsidR="00820397" w:rsidRPr="008C5427" w:rsidRDefault="00820397" w:rsidP="0069252E">
            <w:pPr>
              <w:suppressLineNumbers/>
              <w:jc w:val="center"/>
              <w:rPr>
                <w:color w:val="auto"/>
              </w:rPr>
            </w:pPr>
            <w:r w:rsidRPr="008C5427">
              <w:rPr>
                <w:color w:val="auto"/>
              </w:rPr>
              <w:t>1,187 (78.5 %)</w:t>
            </w:r>
          </w:p>
        </w:tc>
        <w:tc>
          <w:tcPr>
            <w:tcW w:w="0" w:type="auto"/>
            <w:tcBorders>
              <w:top w:val="nil"/>
              <w:left w:val="nil"/>
              <w:bottom w:val="nil"/>
              <w:right w:val="nil"/>
            </w:tcBorders>
            <w:shd w:val="clear" w:color="auto" w:fill="auto"/>
            <w:vAlign w:val="center"/>
          </w:tcPr>
          <w:p w:rsidR="00820397" w:rsidRPr="008C5427" w:rsidRDefault="00820397"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820397" w:rsidRPr="008C5427" w:rsidRDefault="00820397" w:rsidP="00DA7A08">
            <w:pPr>
              <w:suppressLineNumbers/>
              <w:tabs>
                <w:tab w:val="decimal" w:pos="329"/>
              </w:tabs>
              <w:jc w:val="center"/>
              <w:rPr>
                <w:color w:val="auto"/>
              </w:rPr>
            </w:pPr>
          </w:p>
        </w:tc>
      </w:tr>
      <w:tr w:rsidR="00820397" w:rsidRPr="008C5427" w:rsidTr="00DA7A08">
        <w:trPr>
          <w:trHeight w:hRule="exact" w:val="288"/>
        </w:trPr>
        <w:tc>
          <w:tcPr>
            <w:tcW w:w="0" w:type="auto"/>
            <w:tcBorders>
              <w:top w:val="nil"/>
              <w:left w:val="nil"/>
              <w:bottom w:val="nil"/>
              <w:right w:val="nil"/>
            </w:tcBorders>
            <w:shd w:val="clear" w:color="auto" w:fill="auto"/>
            <w:vAlign w:val="center"/>
          </w:tcPr>
          <w:p w:rsidR="00820397" w:rsidRPr="008C5427" w:rsidRDefault="00B220EA" w:rsidP="00D928FF">
            <w:pPr>
              <w:suppressLineNumbers/>
              <w:ind w:left="180"/>
              <w:rPr>
                <w:color w:val="auto"/>
              </w:rPr>
            </w:pPr>
            <w:r w:rsidRPr="008C5427">
              <w:rPr>
                <w:color w:val="auto"/>
              </w:rPr>
              <w:t>Biological and step</w:t>
            </w:r>
            <w:r w:rsidR="00820397" w:rsidRPr="008C5427">
              <w:rPr>
                <w:color w:val="auto"/>
              </w:rPr>
              <w:t>parent</w:t>
            </w:r>
          </w:p>
        </w:tc>
        <w:tc>
          <w:tcPr>
            <w:tcW w:w="0" w:type="auto"/>
            <w:tcBorders>
              <w:top w:val="nil"/>
              <w:left w:val="nil"/>
              <w:bottom w:val="nil"/>
              <w:right w:val="nil"/>
            </w:tcBorders>
            <w:shd w:val="clear" w:color="auto" w:fill="auto"/>
            <w:vAlign w:val="center"/>
          </w:tcPr>
          <w:p w:rsidR="00820397" w:rsidRPr="008C5427" w:rsidRDefault="00820397" w:rsidP="0069252E">
            <w:pPr>
              <w:suppressLineNumbers/>
              <w:jc w:val="center"/>
              <w:rPr>
                <w:color w:val="auto"/>
              </w:rPr>
            </w:pPr>
            <w:r w:rsidRPr="008C5427">
              <w:rPr>
                <w:color w:val="auto"/>
              </w:rPr>
              <w:t>117 (7.7 %)</w:t>
            </w:r>
          </w:p>
        </w:tc>
        <w:tc>
          <w:tcPr>
            <w:tcW w:w="0" w:type="auto"/>
            <w:tcBorders>
              <w:top w:val="nil"/>
              <w:left w:val="nil"/>
              <w:bottom w:val="nil"/>
              <w:right w:val="nil"/>
            </w:tcBorders>
            <w:shd w:val="clear" w:color="auto" w:fill="auto"/>
            <w:vAlign w:val="center"/>
          </w:tcPr>
          <w:p w:rsidR="00820397" w:rsidRPr="008C5427" w:rsidRDefault="00820397"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820397" w:rsidRPr="008C5427" w:rsidRDefault="00820397" w:rsidP="00DA7A08">
            <w:pPr>
              <w:suppressLineNumbers/>
              <w:tabs>
                <w:tab w:val="decimal" w:pos="329"/>
              </w:tabs>
              <w:jc w:val="center"/>
              <w:rPr>
                <w:color w:val="auto"/>
              </w:rPr>
            </w:pPr>
          </w:p>
        </w:tc>
      </w:tr>
      <w:tr w:rsidR="00820397" w:rsidRPr="008C5427" w:rsidTr="00DA7A08">
        <w:trPr>
          <w:trHeight w:hRule="exact" w:val="288"/>
        </w:trPr>
        <w:tc>
          <w:tcPr>
            <w:tcW w:w="0" w:type="auto"/>
            <w:tcBorders>
              <w:top w:val="nil"/>
              <w:left w:val="nil"/>
              <w:bottom w:val="nil"/>
              <w:right w:val="nil"/>
            </w:tcBorders>
            <w:shd w:val="clear" w:color="auto" w:fill="auto"/>
            <w:vAlign w:val="center"/>
          </w:tcPr>
          <w:p w:rsidR="00820397" w:rsidRPr="008C5427" w:rsidRDefault="00820397" w:rsidP="00D928FF">
            <w:pPr>
              <w:suppressLineNumbers/>
              <w:ind w:left="180"/>
              <w:rPr>
                <w:color w:val="auto"/>
              </w:rPr>
            </w:pPr>
            <w:r w:rsidRPr="008C5427">
              <w:rPr>
                <w:color w:val="auto"/>
              </w:rPr>
              <w:t>Single parent</w:t>
            </w:r>
          </w:p>
        </w:tc>
        <w:tc>
          <w:tcPr>
            <w:tcW w:w="0" w:type="auto"/>
            <w:tcBorders>
              <w:top w:val="nil"/>
              <w:left w:val="nil"/>
              <w:bottom w:val="nil"/>
              <w:right w:val="nil"/>
            </w:tcBorders>
            <w:shd w:val="clear" w:color="auto" w:fill="auto"/>
            <w:vAlign w:val="center"/>
          </w:tcPr>
          <w:p w:rsidR="00820397" w:rsidRPr="008C5427" w:rsidRDefault="00820397" w:rsidP="0069252E">
            <w:pPr>
              <w:suppressLineNumbers/>
              <w:jc w:val="center"/>
              <w:rPr>
                <w:color w:val="auto"/>
              </w:rPr>
            </w:pPr>
            <w:r w:rsidRPr="008C5427">
              <w:rPr>
                <w:color w:val="auto"/>
              </w:rPr>
              <w:t>207 (13.7 %)</w:t>
            </w:r>
          </w:p>
        </w:tc>
        <w:tc>
          <w:tcPr>
            <w:tcW w:w="0" w:type="auto"/>
            <w:tcBorders>
              <w:top w:val="nil"/>
              <w:left w:val="nil"/>
              <w:bottom w:val="nil"/>
              <w:right w:val="nil"/>
            </w:tcBorders>
            <w:shd w:val="clear" w:color="auto" w:fill="auto"/>
            <w:vAlign w:val="center"/>
          </w:tcPr>
          <w:p w:rsidR="00820397" w:rsidRPr="008C5427" w:rsidRDefault="00820397"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820397" w:rsidRPr="008C5427" w:rsidRDefault="00820397" w:rsidP="00DA7A08">
            <w:pPr>
              <w:suppressLineNumbers/>
              <w:tabs>
                <w:tab w:val="decimal" w:pos="329"/>
              </w:tabs>
              <w:jc w:val="center"/>
              <w:rPr>
                <w:color w:val="auto"/>
              </w:rPr>
            </w:pPr>
          </w:p>
        </w:tc>
      </w:tr>
      <w:tr w:rsidR="006F6F0A" w:rsidRPr="008C5427" w:rsidTr="00DA7A08">
        <w:trPr>
          <w:trHeight w:hRule="exact" w:val="288"/>
        </w:trPr>
        <w:tc>
          <w:tcPr>
            <w:tcW w:w="0" w:type="auto"/>
            <w:tcBorders>
              <w:top w:val="nil"/>
              <w:left w:val="nil"/>
              <w:bottom w:val="nil"/>
              <w:right w:val="nil"/>
            </w:tcBorders>
            <w:shd w:val="clear" w:color="auto" w:fill="auto"/>
            <w:vAlign w:val="center"/>
          </w:tcPr>
          <w:p w:rsidR="006F6F0A" w:rsidRPr="008C5427" w:rsidRDefault="006F6F0A" w:rsidP="007D6470">
            <w:pPr>
              <w:suppressLineNumbers/>
              <w:rPr>
                <w:color w:val="auto"/>
              </w:rPr>
            </w:pPr>
            <w:r w:rsidRPr="008C5427">
              <w:rPr>
                <w:color w:val="auto"/>
              </w:rPr>
              <w:t>Child and family characteristics</w:t>
            </w:r>
          </w:p>
        </w:tc>
        <w:tc>
          <w:tcPr>
            <w:tcW w:w="0" w:type="auto"/>
            <w:tcBorders>
              <w:top w:val="nil"/>
              <w:left w:val="nil"/>
              <w:bottom w:val="nil"/>
              <w:right w:val="nil"/>
            </w:tcBorders>
            <w:shd w:val="clear" w:color="auto" w:fill="auto"/>
            <w:vAlign w:val="center"/>
          </w:tcPr>
          <w:p w:rsidR="006F6F0A" w:rsidRPr="008C5427" w:rsidRDefault="006F6F0A" w:rsidP="0069252E">
            <w:pPr>
              <w:suppressLineNumbers/>
              <w:jc w:val="center"/>
              <w:rPr>
                <w:b/>
                <w:color w:val="auto"/>
              </w:rPr>
            </w:pPr>
          </w:p>
        </w:tc>
        <w:tc>
          <w:tcPr>
            <w:tcW w:w="0" w:type="auto"/>
            <w:tcBorders>
              <w:top w:val="nil"/>
              <w:left w:val="nil"/>
              <w:bottom w:val="nil"/>
              <w:right w:val="nil"/>
            </w:tcBorders>
            <w:shd w:val="clear" w:color="auto" w:fill="auto"/>
            <w:vAlign w:val="center"/>
          </w:tcPr>
          <w:p w:rsidR="006F6F0A" w:rsidRPr="008C5427" w:rsidRDefault="006F6F0A" w:rsidP="00DA7A08">
            <w:pPr>
              <w:suppressLineNumbers/>
              <w:tabs>
                <w:tab w:val="decimal" w:pos="329"/>
              </w:tabs>
              <w:jc w:val="center"/>
              <w:rPr>
                <w:b/>
                <w:color w:val="auto"/>
              </w:rPr>
            </w:pPr>
          </w:p>
        </w:tc>
        <w:tc>
          <w:tcPr>
            <w:tcW w:w="0" w:type="auto"/>
            <w:tcBorders>
              <w:top w:val="nil"/>
              <w:left w:val="nil"/>
              <w:bottom w:val="nil"/>
              <w:right w:val="nil"/>
            </w:tcBorders>
            <w:shd w:val="clear" w:color="auto" w:fill="auto"/>
            <w:vAlign w:val="center"/>
          </w:tcPr>
          <w:p w:rsidR="006F6F0A" w:rsidRPr="008C5427" w:rsidRDefault="006F6F0A" w:rsidP="00DA7A08">
            <w:pPr>
              <w:suppressLineNumbers/>
              <w:tabs>
                <w:tab w:val="decimal" w:pos="329"/>
              </w:tabs>
              <w:jc w:val="center"/>
              <w:rPr>
                <w:b/>
                <w:color w:val="auto"/>
              </w:rPr>
            </w:pPr>
          </w:p>
        </w:tc>
      </w:tr>
      <w:tr w:rsidR="006F6F0A" w:rsidRPr="008C5427" w:rsidTr="00DA7A08">
        <w:trPr>
          <w:trHeight w:hRule="exact" w:val="288"/>
        </w:trPr>
        <w:tc>
          <w:tcPr>
            <w:tcW w:w="0" w:type="auto"/>
            <w:tcBorders>
              <w:top w:val="nil"/>
              <w:left w:val="nil"/>
              <w:bottom w:val="nil"/>
              <w:right w:val="nil"/>
            </w:tcBorders>
            <w:shd w:val="clear" w:color="auto" w:fill="auto"/>
            <w:vAlign w:val="center"/>
          </w:tcPr>
          <w:p w:rsidR="006F6F0A" w:rsidRPr="008C5427" w:rsidRDefault="006F6F0A" w:rsidP="00D928FF">
            <w:pPr>
              <w:suppressLineNumbers/>
              <w:ind w:left="180"/>
              <w:rPr>
                <w:color w:val="auto"/>
              </w:rPr>
            </w:pPr>
            <w:r w:rsidRPr="008C5427">
              <w:rPr>
                <w:color w:val="auto"/>
              </w:rPr>
              <w:t>Female</w:t>
            </w:r>
          </w:p>
        </w:tc>
        <w:tc>
          <w:tcPr>
            <w:tcW w:w="0" w:type="auto"/>
            <w:tcBorders>
              <w:top w:val="nil"/>
              <w:left w:val="nil"/>
              <w:bottom w:val="nil"/>
              <w:right w:val="nil"/>
            </w:tcBorders>
            <w:shd w:val="clear" w:color="auto" w:fill="auto"/>
            <w:vAlign w:val="center"/>
          </w:tcPr>
          <w:p w:rsidR="006F6F0A" w:rsidRPr="008C5427" w:rsidRDefault="00D26C7A" w:rsidP="0069252E">
            <w:pPr>
              <w:suppressLineNumbers/>
              <w:jc w:val="center"/>
              <w:rPr>
                <w:color w:val="auto"/>
              </w:rPr>
            </w:pPr>
            <w:r w:rsidRPr="008C5427">
              <w:rPr>
                <w:color w:val="auto"/>
              </w:rPr>
              <w:t>830 (54.9</w:t>
            </w:r>
            <w:r w:rsidR="004E661A" w:rsidRPr="008C5427">
              <w:rPr>
                <w:color w:val="auto"/>
              </w:rPr>
              <w:t xml:space="preserve"> %)</w:t>
            </w:r>
          </w:p>
        </w:tc>
        <w:tc>
          <w:tcPr>
            <w:tcW w:w="0" w:type="auto"/>
            <w:tcBorders>
              <w:top w:val="nil"/>
              <w:left w:val="nil"/>
              <w:bottom w:val="nil"/>
              <w:right w:val="nil"/>
            </w:tcBorders>
            <w:shd w:val="clear" w:color="auto" w:fill="auto"/>
            <w:vAlign w:val="center"/>
          </w:tcPr>
          <w:p w:rsidR="006F6F0A" w:rsidRPr="008C5427" w:rsidRDefault="006F6F0A"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6F6F0A" w:rsidRPr="008C5427" w:rsidRDefault="006F6F0A" w:rsidP="00DA7A08">
            <w:pPr>
              <w:suppressLineNumbers/>
              <w:tabs>
                <w:tab w:val="decimal" w:pos="329"/>
              </w:tabs>
              <w:jc w:val="center"/>
              <w:rPr>
                <w:color w:val="auto"/>
              </w:rPr>
            </w:pPr>
          </w:p>
        </w:tc>
      </w:tr>
      <w:tr w:rsidR="00B1064C" w:rsidRPr="008C5427" w:rsidTr="00DA7A08">
        <w:trPr>
          <w:trHeight w:hRule="exact" w:val="288"/>
        </w:trPr>
        <w:tc>
          <w:tcPr>
            <w:tcW w:w="0" w:type="auto"/>
            <w:tcBorders>
              <w:top w:val="nil"/>
              <w:left w:val="nil"/>
              <w:bottom w:val="nil"/>
              <w:right w:val="nil"/>
            </w:tcBorders>
            <w:shd w:val="clear" w:color="auto" w:fill="auto"/>
            <w:vAlign w:val="center"/>
          </w:tcPr>
          <w:p w:rsidR="00B1064C" w:rsidRPr="008C5427" w:rsidRDefault="00B1064C" w:rsidP="00D928FF">
            <w:pPr>
              <w:suppressLineNumbers/>
              <w:ind w:left="180"/>
              <w:rPr>
                <w:color w:val="auto"/>
              </w:rPr>
            </w:pPr>
            <w:r w:rsidRPr="008C5427">
              <w:rPr>
                <w:color w:val="auto"/>
              </w:rPr>
              <w:t xml:space="preserve">Age at </w:t>
            </w:r>
            <w:r w:rsidR="009F2D80" w:rsidRPr="008C5427">
              <w:rPr>
                <w:color w:val="auto"/>
              </w:rPr>
              <w:t>start of observation</w:t>
            </w:r>
          </w:p>
        </w:tc>
        <w:tc>
          <w:tcPr>
            <w:tcW w:w="0" w:type="auto"/>
            <w:tcBorders>
              <w:top w:val="nil"/>
              <w:left w:val="nil"/>
              <w:bottom w:val="nil"/>
              <w:right w:val="nil"/>
            </w:tcBorders>
            <w:shd w:val="clear" w:color="auto" w:fill="auto"/>
            <w:vAlign w:val="center"/>
          </w:tcPr>
          <w:p w:rsidR="00B1064C" w:rsidRPr="008C5427" w:rsidRDefault="00B1064C" w:rsidP="0069252E">
            <w:pPr>
              <w:suppressLineNumbers/>
              <w:jc w:val="center"/>
              <w:rPr>
                <w:color w:val="auto"/>
              </w:rPr>
            </w:pPr>
          </w:p>
        </w:tc>
        <w:tc>
          <w:tcPr>
            <w:tcW w:w="0" w:type="auto"/>
            <w:gridSpan w:val="2"/>
            <w:tcBorders>
              <w:top w:val="nil"/>
              <w:left w:val="nil"/>
              <w:bottom w:val="nil"/>
              <w:right w:val="nil"/>
            </w:tcBorders>
            <w:shd w:val="clear" w:color="auto" w:fill="auto"/>
            <w:vAlign w:val="center"/>
          </w:tcPr>
          <w:p w:rsidR="00B1064C" w:rsidRPr="008C5427" w:rsidRDefault="002C4283" w:rsidP="00DA7A08">
            <w:pPr>
              <w:suppressLineNumbers/>
              <w:tabs>
                <w:tab w:val="decimal" w:pos="329"/>
              </w:tabs>
              <w:jc w:val="center"/>
              <w:rPr>
                <w:color w:val="auto"/>
              </w:rPr>
            </w:pPr>
            <w:r>
              <w:rPr>
                <w:color w:val="auto"/>
              </w:rPr>
              <w:t>11.30 (</w:t>
            </w:r>
            <w:r w:rsidR="00B1064C" w:rsidRPr="008C5427">
              <w:rPr>
                <w:color w:val="auto"/>
              </w:rPr>
              <w:t>.65)</w:t>
            </w:r>
          </w:p>
        </w:tc>
      </w:tr>
      <w:tr w:rsidR="009E1DF0" w:rsidRPr="008C5427" w:rsidTr="00DA7A08">
        <w:trPr>
          <w:trHeight w:hRule="exact" w:val="288"/>
        </w:trPr>
        <w:tc>
          <w:tcPr>
            <w:tcW w:w="0" w:type="auto"/>
            <w:tcBorders>
              <w:top w:val="nil"/>
              <w:left w:val="nil"/>
              <w:bottom w:val="nil"/>
              <w:right w:val="nil"/>
            </w:tcBorders>
            <w:shd w:val="clear" w:color="auto" w:fill="auto"/>
            <w:vAlign w:val="center"/>
          </w:tcPr>
          <w:p w:rsidR="009E1DF0" w:rsidRPr="008C5427" w:rsidRDefault="009E1DF0" w:rsidP="00D928FF">
            <w:pPr>
              <w:suppressLineNumbers/>
              <w:ind w:left="180"/>
              <w:rPr>
                <w:color w:val="auto"/>
              </w:rPr>
            </w:pPr>
            <w:r w:rsidRPr="008C5427">
              <w:rPr>
                <w:color w:val="auto"/>
              </w:rPr>
              <w:t>Age at interview</w:t>
            </w:r>
          </w:p>
        </w:tc>
        <w:tc>
          <w:tcPr>
            <w:tcW w:w="0" w:type="auto"/>
            <w:tcBorders>
              <w:top w:val="nil"/>
              <w:left w:val="nil"/>
              <w:bottom w:val="nil"/>
              <w:right w:val="nil"/>
            </w:tcBorders>
            <w:shd w:val="clear" w:color="auto" w:fill="auto"/>
            <w:vAlign w:val="center"/>
          </w:tcPr>
          <w:p w:rsidR="009E1DF0" w:rsidRPr="008C5427" w:rsidRDefault="009E1DF0" w:rsidP="0069252E">
            <w:pPr>
              <w:suppressLineNumbers/>
              <w:jc w:val="center"/>
              <w:rPr>
                <w:color w:val="auto"/>
              </w:rPr>
            </w:pPr>
          </w:p>
        </w:tc>
        <w:tc>
          <w:tcPr>
            <w:tcW w:w="0" w:type="auto"/>
            <w:gridSpan w:val="2"/>
            <w:tcBorders>
              <w:top w:val="nil"/>
              <w:left w:val="nil"/>
              <w:bottom w:val="nil"/>
              <w:right w:val="nil"/>
            </w:tcBorders>
            <w:shd w:val="clear" w:color="auto" w:fill="auto"/>
            <w:vAlign w:val="center"/>
          </w:tcPr>
          <w:p w:rsidR="009E1DF0" w:rsidRPr="008C5427" w:rsidRDefault="002C4283" w:rsidP="00DA7A08">
            <w:pPr>
              <w:suppressLineNumbers/>
              <w:tabs>
                <w:tab w:val="decimal" w:pos="329"/>
              </w:tabs>
              <w:jc w:val="center"/>
              <w:rPr>
                <w:color w:val="auto"/>
              </w:rPr>
            </w:pPr>
            <w:r>
              <w:rPr>
                <w:color w:val="auto"/>
              </w:rPr>
              <w:t>16.25 (</w:t>
            </w:r>
            <w:r w:rsidR="009E1DF0" w:rsidRPr="008C5427">
              <w:rPr>
                <w:color w:val="auto"/>
              </w:rPr>
              <w:t>.67)</w:t>
            </w:r>
          </w:p>
        </w:tc>
      </w:tr>
      <w:tr w:rsidR="006F6F0A" w:rsidRPr="008C5427" w:rsidTr="00DA7A08">
        <w:trPr>
          <w:trHeight w:hRule="exact" w:val="288"/>
        </w:trPr>
        <w:tc>
          <w:tcPr>
            <w:tcW w:w="0" w:type="auto"/>
            <w:tcBorders>
              <w:top w:val="nil"/>
              <w:left w:val="nil"/>
              <w:bottom w:val="nil"/>
              <w:right w:val="nil"/>
            </w:tcBorders>
            <w:shd w:val="clear" w:color="auto" w:fill="auto"/>
            <w:vAlign w:val="center"/>
          </w:tcPr>
          <w:p w:rsidR="006F6F0A" w:rsidRPr="008C5427" w:rsidRDefault="006F6F0A" w:rsidP="00D928FF">
            <w:pPr>
              <w:suppressLineNumbers/>
              <w:ind w:left="180"/>
              <w:rPr>
                <w:color w:val="auto"/>
              </w:rPr>
            </w:pPr>
            <w:r w:rsidRPr="008C5427">
              <w:rPr>
                <w:color w:val="auto"/>
              </w:rPr>
              <w:t>Non-Dutch ethnicity</w:t>
            </w:r>
          </w:p>
        </w:tc>
        <w:tc>
          <w:tcPr>
            <w:tcW w:w="0" w:type="auto"/>
            <w:tcBorders>
              <w:top w:val="nil"/>
              <w:left w:val="nil"/>
              <w:bottom w:val="nil"/>
              <w:right w:val="nil"/>
            </w:tcBorders>
            <w:shd w:val="clear" w:color="auto" w:fill="auto"/>
            <w:vAlign w:val="center"/>
          </w:tcPr>
          <w:p w:rsidR="006F6F0A" w:rsidRPr="008C5427" w:rsidRDefault="00D26C7A" w:rsidP="0069252E">
            <w:pPr>
              <w:suppressLineNumbers/>
              <w:jc w:val="center"/>
              <w:rPr>
                <w:color w:val="auto"/>
              </w:rPr>
            </w:pPr>
            <w:r w:rsidRPr="008C5427">
              <w:rPr>
                <w:color w:val="auto"/>
              </w:rPr>
              <w:t>171 (11.3</w:t>
            </w:r>
            <w:r w:rsidR="004E661A" w:rsidRPr="008C5427">
              <w:rPr>
                <w:color w:val="auto"/>
              </w:rPr>
              <w:t xml:space="preserve"> %)</w:t>
            </w:r>
          </w:p>
        </w:tc>
        <w:tc>
          <w:tcPr>
            <w:tcW w:w="0" w:type="auto"/>
            <w:tcBorders>
              <w:top w:val="nil"/>
              <w:left w:val="nil"/>
              <w:bottom w:val="nil"/>
              <w:right w:val="nil"/>
            </w:tcBorders>
            <w:shd w:val="clear" w:color="auto" w:fill="auto"/>
            <w:vAlign w:val="center"/>
          </w:tcPr>
          <w:p w:rsidR="006F6F0A" w:rsidRPr="008C5427" w:rsidRDefault="006F6F0A"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6F6F0A" w:rsidRPr="008C5427" w:rsidRDefault="006F6F0A" w:rsidP="00DA7A08">
            <w:pPr>
              <w:suppressLineNumbers/>
              <w:tabs>
                <w:tab w:val="decimal" w:pos="329"/>
              </w:tabs>
              <w:jc w:val="center"/>
              <w:rPr>
                <w:color w:val="auto"/>
              </w:rPr>
            </w:pPr>
          </w:p>
        </w:tc>
      </w:tr>
      <w:tr w:rsidR="004E661A" w:rsidRPr="008C5427" w:rsidTr="00DA7A08">
        <w:trPr>
          <w:trHeight w:hRule="exact" w:val="288"/>
        </w:trPr>
        <w:tc>
          <w:tcPr>
            <w:tcW w:w="0" w:type="auto"/>
            <w:tcBorders>
              <w:top w:val="nil"/>
              <w:left w:val="nil"/>
              <w:bottom w:val="nil"/>
              <w:right w:val="nil"/>
            </w:tcBorders>
            <w:shd w:val="clear" w:color="auto" w:fill="auto"/>
            <w:vAlign w:val="center"/>
          </w:tcPr>
          <w:p w:rsidR="004E661A" w:rsidRPr="008C5427" w:rsidRDefault="004E661A" w:rsidP="00D928FF">
            <w:pPr>
              <w:widowControl w:val="0"/>
              <w:autoSpaceDE w:val="0"/>
              <w:autoSpaceDN w:val="0"/>
              <w:adjustRightInd w:val="0"/>
              <w:ind w:left="180"/>
              <w:rPr>
                <w:color w:val="auto"/>
              </w:rPr>
            </w:pPr>
            <w:r w:rsidRPr="008C5427">
              <w:rPr>
                <w:color w:val="auto"/>
              </w:rPr>
              <w:t xml:space="preserve">Father elementary </w:t>
            </w:r>
            <w:r w:rsidR="009C7CFF" w:rsidRPr="008C5427">
              <w:rPr>
                <w:color w:val="auto"/>
              </w:rPr>
              <w:t>/</w:t>
            </w:r>
            <w:r w:rsidRPr="008C5427">
              <w:rPr>
                <w:color w:val="auto"/>
              </w:rPr>
              <w:t xml:space="preserve"> lower secondary education</w:t>
            </w:r>
            <w:r w:rsidR="0004418F">
              <w:rPr>
                <w:color w:val="auto"/>
              </w:rPr>
              <w:t xml:space="preserve"> (low)</w:t>
            </w:r>
          </w:p>
        </w:tc>
        <w:tc>
          <w:tcPr>
            <w:tcW w:w="0" w:type="auto"/>
            <w:tcBorders>
              <w:top w:val="nil"/>
              <w:left w:val="nil"/>
              <w:bottom w:val="nil"/>
              <w:right w:val="nil"/>
            </w:tcBorders>
            <w:shd w:val="clear" w:color="auto" w:fill="auto"/>
            <w:vAlign w:val="center"/>
          </w:tcPr>
          <w:p w:rsidR="004E661A" w:rsidRPr="008C5427" w:rsidRDefault="00D26C7A" w:rsidP="0069252E">
            <w:pPr>
              <w:suppressLineNumbers/>
              <w:jc w:val="center"/>
              <w:rPr>
                <w:color w:val="auto"/>
              </w:rPr>
            </w:pPr>
            <w:r w:rsidRPr="008C5427">
              <w:rPr>
                <w:color w:val="auto"/>
              </w:rPr>
              <w:t>373 (24.7</w:t>
            </w:r>
            <w:r w:rsidR="004E661A" w:rsidRPr="008C5427">
              <w:rPr>
                <w:color w:val="auto"/>
              </w:rPr>
              <w:t xml:space="preserve"> %)</w:t>
            </w:r>
          </w:p>
        </w:tc>
        <w:tc>
          <w:tcPr>
            <w:tcW w:w="0" w:type="auto"/>
            <w:tcBorders>
              <w:top w:val="nil"/>
              <w:left w:val="nil"/>
              <w:bottom w:val="nil"/>
              <w:right w:val="nil"/>
            </w:tcBorders>
            <w:shd w:val="clear" w:color="auto" w:fill="auto"/>
            <w:vAlign w:val="center"/>
          </w:tcPr>
          <w:p w:rsidR="004E661A" w:rsidRPr="008C5427" w:rsidRDefault="004E661A"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4E661A" w:rsidRPr="008C5427" w:rsidRDefault="004E661A" w:rsidP="00DA7A08">
            <w:pPr>
              <w:suppressLineNumbers/>
              <w:tabs>
                <w:tab w:val="decimal" w:pos="329"/>
              </w:tabs>
              <w:jc w:val="center"/>
              <w:rPr>
                <w:color w:val="auto"/>
              </w:rPr>
            </w:pPr>
          </w:p>
        </w:tc>
      </w:tr>
      <w:tr w:rsidR="006F6F0A" w:rsidRPr="008C5427" w:rsidTr="00DA7A08">
        <w:trPr>
          <w:trHeight w:hRule="exact" w:val="288"/>
        </w:trPr>
        <w:tc>
          <w:tcPr>
            <w:tcW w:w="0" w:type="auto"/>
            <w:tcBorders>
              <w:top w:val="nil"/>
              <w:left w:val="nil"/>
              <w:bottom w:val="nil"/>
              <w:right w:val="nil"/>
            </w:tcBorders>
            <w:shd w:val="clear" w:color="auto" w:fill="auto"/>
            <w:vAlign w:val="center"/>
          </w:tcPr>
          <w:p w:rsidR="006F6F0A" w:rsidRPr="008C5427" w:rsidRDefault="006F6F0A" w:rsidP="00D928FF">
            <w:pPr>
              <w:widowControl w:val="0"/>
              <w:autoSpaceDE w:val="0"/>
              <w:autoSpaceDN w:val="0"/>
              <w:adjustRightInd w:val="0"/>
              <w:ind w:left="180"/>
              <w:rPr>
                <w:color w:val="auto"/>
              </w:rPr>
            </w:pPr>
            <w:r w:rsidRPr="008C5427">
              <w:rPr>
                <w:color w:val="auto"/>
              </w:rPr>
              <w:t>Father higher secondary education</w:t>
            </w:r>
            <w:r w:rsidR="0004418F">
              <w:rPr>
                <w:color w:val="auto"/>
              </w:rPr>
              <w:t xml:space="preserve"> (middle)</w:t>
            </w:r>
          </w:p>
        </w:tc>
        <w:tc>
          <w:tcPr>
            <w:tcW w:w="0" w:type="auto"/>
            <w:tcBorders>
              <w:top w:val="nil"/>
              <w:left w:val="nil"/>
              <w:bottom w:val="nil"/>
              <w:right w:val="nil"/>
            </w:tcBorders>
            <w:shd w:val="clear" w:color="auto" w:fill="auto"/>
            <w:vAlign w:val="center"/>
          </w:tcPr>
          <w:p w:rsidR="006F6F0A" w:rsidRPr="008C5427" w:rsidRDefault="00D26C7A" w:rsidP="0069252E">
            <w:pPr>
              <w:suppressLineNumbers/>
              <w:jc w:val="center"/>
              <w:rPr>
                <w:color w:val="auto"/>
              </w:rPr>
            </w:pPr>
            <w:r w:rsidRPr="008C5427">
              <w:rPr>
                <w:color w:val="auto"/>
              </w:rPr>
              <w:t>414 (27.4</w:t>
            </w:r>
            <w:r w:rsidR="004E661A" w:rsidRPr="008C5427">
              <w:rPr>
                <w:color w:val="auto"/>
              </w:rPr>
              <w:t xml:space="preserve"> %)</w:t>
            </w:r>
          </w:p>
        </w:tc>
        <w:tc>
          <w:tcPr>
            <w:tcW w:w="0" w:type="auto"/>
            <w:tcBorders>
              <w:top w:val="nil"/>
              <w:left w:val="nil"/>
              <w:bottom w:val="nil"/>
              <w:right w:val="nil"/>
            </w:tcBorders>
            <w:shd w:val="clear" w:color="auto" w:fill="auto"/>
            <w:vAlign w:val="center"/>
          </w:tcPr>
          <w:p w:rsidR="006F6F0A" w:rsidRPr="008C5427" w:rsidRDefault="006F6F0A"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6F6F0A" w:rsidRPr="008C5427" w:rsidRDefault="006F6F0A" w:rsidP="00DA7A08">
            <w:pPr>
              <w:suppressLineNumbers/>
              <w:tabs>
                <w:tab w:val="decimal" w:pos="329"/>
              </w:tabs>
              <w:jc w:val="center"/>
              <w:rPr>
                <w:color w:val="auto"/>
              </w:rPr>
            </w:pPr>
          </w:p>
        </w:tc>
      </w:tr>
      <w:tr w:rsidR="006F6F0A" w:rsidRPr="008C5427" w:rsidTr="00DA7A08">
        <w:trPr>
          <w:trHeight w:hRule="exact" w:val="288"/>
        </w:trPr>
        <w:tc>
          <w:tcPr>
            <w:tcW w:w="0" w:type="auto"/>
            <w:tcBorders>
              <w:top w:val="nil"/>
              <w:left w:val="nil"/>
              <w:bottom w:val="nil"/>
              <w:right w:val="nil"/>
            </w:tcBorders>
            <w:shd w:val="clear" w:color="auto" w:fill="auto"/>
            <w:vAlign w:val="center"/>
          </w:tcPr>
          <w:p w:rsidR="006F6F0A" w:rsidRPr="008C5427" w:rsidRDefault="006F6F0A" w:rsidP="00D928FF">
            <w:pPr>
              <w:widowControl w:val="0"/>
              <w:autoSpaceDE w:val="0"/>
              <w:autoSpaceDN w:val="0"/>
              <w:adjustRightInd w:val="0"/>
              <w:ind w:left="180"/>
              <w:rPr>
                <w:color w:val="auto"/>
              </w:rPr>
            </w:pPr>
            <w:r w:rsidRPr="008C5427">
              <w:rPr>
                <w:color w:val="auto"/>
              </w:rPr>
              <w:t>Father senior vocational / University</w:t>
            </w:r>
            <w:r w:rsidR="0004418F">
              <w:rPr>
                <w:color w:val="auto"/>
              </w:rPr>
              <w:t xml:space="preserve"> (high)</w:t>
            </w:r>
          </w:p>
        </w:tc>
        <w:tc>
          <w:tcPr>
            <w:tcW w:w="0" w:type="auto"/>
            <w:tcBorders>
              <w:top w:val="nil"/>
              <w:left w:val="nil"/>
              <w:bottom w:val="nil"/>
              <w:right w:val="nil"/>
            </w:tcBorders>
            <w:shd w:val="clear" w:color="auto" w:fill="auto"/>
            <w:vAlign w:val="center"/>
          </w:tcPr>
          <w:p w:rsidR="006F6F0A" w:rsidRPr="008C5427" w:rsidRDefault="004E661A" w:rsidP="0069252E">
            <w:pPr>
              <w:suppressLineNumbers/>
              <w:jc w:val="center"/>
              <w:rPr>
                <w:color w:val="auto"/>
              </w:rPr>
            </w:pPr>
            <w:r w:rsidRPr="008C5427">
              <w:rPr>
                <w:color w:val="auto"/>
              </w:rPr>
              <w:t>510 (</w:t>
            </w:r>
            <w:r w:rsidR="00D26C7A" w:rsidRPr="008C5427">
              <w:rPr>
                <w:color w:val="auto"/>
              </w:rPr>
              <w:t>33.7</w:t>
            </w:r>
            <w:r w:rsidR="00A60E5D" w:rsidRPr="008C5427">
              <w:rPr>
                <w:color w:val="auto"/>
              </w:rPr>
              <w:t xml:space="preserve"> %)</w:t>
            </w:r>
          </w:p>
        </w:tc>
        <w:tc>
          <w:tcPr>
            <w:tcW w:w="0" w:type="auto"/>
            <w:tcBorders>
              <w:top w:val="nil"/>
              <w:left w:val="nil"/>
              <w:bottom w:val="nil"/>
              <w:right w:val="nil"/>
            </w:tcBorders>
            <w:shd w:val="clear" w:color="auto" w:fill="auto"/>
            <w:vAlign w:val="center"/>
          </w:tcPr>
          <w:p w:rsidR="006F6F0A" w:rsidRPr="008C5427" w:rsidRDefault="006F6F0A" w:rsidP="00DA7A08">
            <w:pPr>
              <w:suppressLineNumbers/>
              <w:tabs>
                <w:tab w:val="decimal" w:pos="329"/>
              </w:tabs>
              <w:jc w:val="center"/>
              <w:rPr>
                <w:color w:val="auto"/>
              </w:rPr>
            </w:pPr>
          </w:p>
        </w:tc>
        <w:tc>
          <w:tcPr>
            <w:tcW w:w="0" w:type="auto"/>
            <w:tcBorders>
              <w:top w:val="nil"/>
              <w:left w:val="nil"/>
              <w:bottom w:val="nil"/>
              <w:right w:val="nil"/>
            </w:tcBorders>
            <w:shd w:val="clear" w:color="auto" w:fill="auto"/>
            <w:vAlign w:val="center"/>
          </w:tcPr>
          <w:p w:rsidR="006F6F0A" w:rsidRPr="008C5427" w:rsidRDefault="006F6F0A" w:rsidP="00DA7A08">
            <w:pPr>
              <w:suppressLineNumbers/>
              <w:tabs>
                <w:tab w:val="decimal" w:pos="329"/>
              </w:tabs>
              <w:jc w:val="center"/>
              <w:rPr>
                <w:color w:val="auto"/>
              </w:rPr>
            </w:pPr>
          </w:p>
        </w:tc>
      </w:tr>
      <w:tr w:rsidR="00836CAD" w:rsidRPr="008C5427" w:rsidTr="00DA7A08">
        <w:trPr>
          <w:trHeight w:hRule="exact" w:val="288"/>
        </w:trPr>
        <w:tc>
          <w:tcPr>
            <w:tcW w:w="0" w:type="auto"/>
            <w:tcBorders>
              <w:top w:val="nil"/>
              <w:left w:val="nil"/>
              <w:right w:val="nil"/>
            </w:tcBorders>
            <w:shd w:val="clear" w:color="auto" w:fill="auto"/>
            <w:vAlign w:val="center"/>
          </w:tcPr>
          <w:p w:rsidR="00836CAD" w:rsidRPr="008C5427" w:rsidRDefault="00836CAD" w:rsidP="00FA6A95">
            <w:pPr>
              <w:widowControl w:val="0"/>
              <w:autoSpaceDE w:val="0"/>
              <w:autoSpaceDN w:val="0"/>
              <w:adjustRightInd w:val="0"/>
              <w:ind w:left="180"/>
              <w:rPr>
                <w:color w:val="auto"/>
              </w:rPr>
            </w:pPr>
            <w:r w:rsidRPr="008C5427">
              <w:rPr>
                <w:color w:val="auto"/>
              </w:rPr>
              <w:t>Family assessment device</w:t>
            </w:r>
            <w:r w:rsidR="00384CC0" w:rsidRPr="008C5427">
              <w:rPr>
                <w:color w:val="auto"/>
              </w:rPr>
              <w:t xml:space="preserve"> (</w:t>
            </w:r>
            <w:r w:rsidR="00820397" w:rsidRPr="008C5427">
              <w:rPr>
                <w:color w:val="auto"/>
              </w:rPr>
              <w:t xml:space="preserve">range </w:t>
            </w:r>
            <w:r w:rsidR="00384CC0" w:rsidRPr="008C5427">
              <w:rPr>
                <w:color w:val="auto"/>
              </w:rPr>
              <w:t>1 - 4)</w:t>
            </w:r>
          </w:p>
        </w:tc>
        <w:tc>
          <w:tcPr>
            <w:tcW w:w="0" w:type="auto"/>
            <w:tcBorders>
              <w:top w:val="nil"/>
              <w:left w:val="nil"/>
              <w:right w:val="nil"/>
            </w:tcBorders>
            <w:shd w:val="clear" w:color="auto" w:fill="auto"/>
            <w:vAlign w:val="center"/>
          </w:tcPr>
          <w:p w:rsidR="00836CAD" w:rsidRPr="008C5427" w:rsidRDefault="00836CAD" w:rsidP="00D928FF">
            <w:pPr>
              <w:suppressLineNumbers/>
              <w:jc w:val="center"/>
              <w:rPr>
                <w:color w:val="auto"/>
              </w:rPr>
            </w:pPr>
          </w:p>
        </w:tc>
        <w:tc>
          <w:tcPr>
            <w:tcW w:w="0" w:type="auto"/>
            <w:gridSpan w:val="2"/>
            <w:tcBorders>
              <w:top w:val="nil"/>
              <w:left w:val="nil"/>
              <w:right w:val="nil"/>
            </w:tcBorders>
            <w:shd w:val="clear" w:color="auto" w:fill="auto"/>
            <w:vAlign w:val="center"/>
          </w:tcPr>
          <w:p w:rsidR="00836CAD" w:rsidRPr="008C5427" w:rsidRDefault="002C4283" w:rsidP="00DA7A08">
            <w:pPr>
              <w:suppressLineNumbers/>
              <w:tabs>
                <w:tab w:val="decimal" w:pos="329"/>
              </w:tabs>
              <w:jc w:val="center"/>
              <w:rPr>
                <w:color w:val="auto"/>
              </w:rPr>
            </w:pPr>
            <w:r>
              <w:rPr>
                <w:color w:val="auto"/>
              </w:rPr>
              <w:t>1.76 (</w:t>
            </w:r>
            <w:r w:rsidR="00836CAD" w:rsidRPr="008C5427">
              <w:rPr>
                <w:color w:val="auto"/>
              </w:rPr>
              <w:t>.36)</w:t>
            </w:r>
          </w:p>
        </w:tc>
      </w:tr>
    </w:tbl>
    <w:p w:rsidR="009F2D80" w:rsidRPr="008C5427" w:rsidRDefault="009F2D80" w:rsidP="009F2D80">
      <w:pPr>
        <w:suppressLineNumbers/>
        <w:spacing w:line="480" w:lineRule="auto"/>
        <w:ind w:firstLine="540"/>
        <w:rPr>
          <w:color w:val="auto"/>
        </w:rPr>
      </w:pPr>
    </w:p>
    <w:p w:rsidR="00183A93" w:rsidRPr="008C5427" w:rsidRDefault="00183A93" w:rsidP="00D107C5">
      <w:pPr>
        <w:suppressLineNumbers/>
        <w:spacing w:line="480" w:lineRule="auto"/>
        <w:rPr>
          <w:color w:val="auto"/>
        </w:rPr>
        <w:sectPr w:rsidR="00183A93" w:rsidRPr="008C5427" w:rsidSect="00C10974">
          <w:headerReference w:type="even" r:id="rId7"/>
          <w:headerReference w:type="default" r:id="rId8"/>
          <w:footnotePr>
            <w:numRestart w:val="eachPage"/>
          </w:footnotePr>
          <w:pgSz w:w="12240" w:h="15840"/>
          <w:pgMar w:top="1440" w:right="1440" w:bottom="1440" w:left="1440" w:header="720" w:footer="720" w:gutter="0"/>
          <w:cols w:space="720"/>
          <w:docGrid w:linePitch="360"/>
        </w:sectPr>
      </w:pPr>
    </w:p>
    <w:p w:rsidR="00D9231F" w:rsidRDefault="00D9231F" w:rsidP="00D9231F">
      <w:pPr>
        <w:spacing w:line="480" w:lineRule="auto"/>
      </w:pPr>
      <w:r>
        <w:lastRenderedPageBreak/>
        <w:t>Table 2a</w:t>
      </w:r>
    </w:p>
    <w:p w:rsidR="00D9231F" w:rsidRDefault="00D9231F" w:rsidP="00D9231F">
      <w:pPr>
        <w:spacing w:line="480" w:lineRule="auto"/>
      </w:pPr>
      <w:r>
        <w:rPr>
          <w:i/>
        </w:rPr>
        <w:t xml:space="preserve">Summary of </w:t>
      </w:r>
      <w:r w:rsidR="00BD3392">
        <w:rPr>
          <w:i/>
        </w:rPr>
        <w:t xml:space="preserve">Count Data Hurdle Model </w:t>
      </w:r>
      <w:r>
        <w:rPr>
          <w:i/>
        </w:rPr>
        <w:t xml:space="preserve">Predicting the Probability of Having Any Adolescent Romantic Relationship Experience (Zero Hurdle Portion; </w:t>
      </w:r>
      <w:r w:rsidRPr="00C66C24">
        <w:rPr>
          <w:i/>
        </w:rPr>
        <w:t>N = 1,243</w:t>
      </w:r>
      <w:r>
        <w:rPr>
          <w:i/>
        </w:rPr>
        <w:t>)</w:t>
      </w:r>
    </w:p>
    <w:tbl>
      <w:tblPr>
        <w:tblW w:w="0" w:type="auto"/>
        <w:tblBorders>
          <w:top w:val="single" w:sz="4" w:space="0" w:color="000000"/>
          <w:bottom w:val="single" w:sz="4" w:space="0" w:color="000000"/>
        </w:tblBorders>
        <w:tblLook w:val="04A0" w:firstRow="1" w:lastRow="0" w:firstColumn="1" w:lastColumn="0" w:noHBand="0" w:noVBand="1"/>
      </w:tblPr>
      <w:tblGrid>
        <w:gridCol w:w="3669"/>
        <w:gridCol w:w="1069"/>
        <w:gridCol w:w="1143"/>
        <w:gridCol w:w="673"/>
        <w:gridCol w:w="222"/>
        <w:gridCol w:w="1126"/>
        <w:gridCol w:w="1143"/>
        <w:gridCol w:w="753"/>
        <w:gridCol w:w="222"/>
        <w:gridCol w:w="1084"/>
        <w:gridCol w:w="1143"/>
        <w:gridCol w:w="681"/>
      </w:tblGrid>
      <w:tr w:rsidR="00D9231F" w:rsidRPr="001D7F2C" w:rsidTr="00B10D3A">
        <w:tc>
          <w:tcPr>
            <w:tcW w:w="0" w:type="auto"/>
            <w:tcBorders>
              <w:bottom w:val="nil"/>
            </w:tcBorders>
          </w:tcPr>
          <w:p w:rsidR="00D9231F" w:rsidRPr="001D7F2C" w:rsidRDefault="00D9231F" w:rsidP="00B10D3A">
            <w:pPr>
              <w:jc w:val="center"/>
            </w:pPr>
          </w:p>
        </w:tc>
        <w:tc>
          <w:tcPr>
            <w:tcW w:w="0" w:type="auto"/>
            <w:gridSpan w:val="3"/>
            <w:tcBorders>
              <w:top w:val="single" w:sz="4" w:space="0" w:color="000000"/>
              <w:bottom w:val="single" w:sz="4" w:space="0" w:color="000000"/>
            </w:tcBorders>
          </w:tcPr>
          <w:p w:rsidR="00D9231F" w:rsidRPr="001D7F2C" w:rsidRDefault="00D9231F" w:rsidP="00B10D3A">
            <w:pPr>
              <w:jc w:val="center"/>
            </w:pPr>
            <w:r w:rsidRPr="001D7F2C">
              <w:t>Model 1</w:t>
            </w:r>
          </w:p>
        </w:tc>
        <w:tc>
          <w:tcPr>
            <w:tcW w:w="0" w:type="auto"/>
            <w:tcBorders>
              <w:top w:val="single" w:sz="4" w:space="0" w:color="000000"/>
              <w:bottom w:val="single" w:sz="4" w:space="0" w:color="000000"/>
            </w:tcBorders>
          </w:tcPr>
          <w:p w:rsidR="00D9231F" w:rsidRPr="001D7F2C" w:rsidRDefault="00D9231F" w:rsidP="00B10D3A">
            <w:pPr>
              <w:jc w:val="center"/>
            </w:pPr>
          </w:p>
        </w:tc>
        <w:tc>
          <w:tcPr>
            <w:tcW w:w="0" w:type="auto"/>
            <w:gridSpan w:val="3"/>
            <w:tcBorders>
              <w:top w:val="single" w:sz="4" w:space="0" w:color="000000"/>
              <w:bottom w:val="single" w:sz="4" w:space="0" w:color="000000"/>
            </w:tcBorders>
          </w:tcPr>
          <w:p w:rsidR="00D9231F" w:rsidRPr="001D7F2C" w:rsidRDefault="00D9231F" w:rsidP="00B10D3A">
            <w:pPr>
              <w:jc w:val="center"/>
            </w:pPr>
            <w:r w:rsidRPr="001D7F2C">
              <w:t>Model 2</w:t>
            </w:r>
          </w:p>
        </w:tc>
        <w:tc>
          <w:tcPr>
            <w:tcW w:w="0" w:type="auto"/>
            <w:tcBorders>
              <w:top w:val="single" w:sz="4" w:space="0" w:color="000000"/>
              <w:bottom w:val="single" w:sz="4" w:space="0" w:color="000000"/>
            </w:tcBorders>
          </w:tcPr>
          <w:p w:rsidR="00D9231F" w:rsidRPr="001D7F2C" w:rsidRDefault="00D9231F" w:rsidP="00B10D3A">
            <w:pPr>
              <w:jc w:val="center"/>
            </w:pPr>
          </w:p>
        </w:tc>
        <w:tc>
          <w:tcPr>
            <w:tcW w:w="0" w:type="auto"/>
            <w:gridSpan w:val="3"/>
            <w:tcBorders>
              <w:top w:val="single" w:sz="4" w:space="0" w:color="000000"/>
              <w:bottom w:val="single" w:sz="4" w:space="0" w:color="000000"/>
            </w:tcBorders>
          </w:tcPr>
          <w:p w:rsidR="00D9231F" w:rsidRPr="001D7F2C" w:rsidRDefault="00D9231F" w:rsidP="00B10D3A">
            <w:pPr>
              <w:jc w:val="center"/>
            </w:pPr>
            <w:r w:rsidRPr="001D7F2C">
              <w:t>Model 3</w:t>
            </w:r>
          </w:p>
        </w:tc>
      </w:tr>
      <w:tr w:rsidR="00D9231F" w:rsidRPr="001D7F2C" w:rsidTr="00B10D3A">
        <w:tc>
          <w:tcPr>
            <w:tcW w:w="0" w:type="auto"/>
            <w:tcBorders>
              <w:top w:val="nil"/>
              <w:bottom w:val="single" w:sz="4" w:space="0" w:color="000000"/>
            </w:tcBorders>
          </w:tcPr>
          <w:p w:rsidR="00D9231F" w:rsidRPr="001D7F2C" w:rsidRDefault="00D9231F" w:rsidP="00B10D3A"/>
        </w:tc>
        <w:tc>
          <w:tcPr>
            <w:tcW w:w="0" w:type="auto"/>
            <w:tcBorders>
              <w:top w:val="single" w:sz="4" w:space="0" w:color="000000"/>
              <w:bottom w:val="single" w:sz="4" w:space="0" w:color="000000"/>
            </w:tcBorders>
            <w:vAlign w:val="center"/>
          </w:tcPr>
          <w:p w:rsidR="00D9231F" w:rsidRPr="001D7F2C" w:rsidRDefault="00D9231F" w:rsidP="00B10D3A">
            <w:pPr>
              <w:tabs>
                <w:tab w:val="decimal" w:pos="192"/>
              </w:tabs>
              <w:jc w:val="center"/>
              <w:rPr>
                <w:i/>
              </w:rPr>
            </w:pPr>
            <w:r w:rsidRPr="001D7F2C">
              <w:rPr>
                <w:i/>
              </w:rPr>
              <w:t>B</w:t>
            </w:r>
          </w:p>
        </w:tc>
        <w:tc>
          <w:tcPr>
            <w:tcW w:w="0" w:type="auto"/>
            <w:tcBorders>
              <w:top w:val="single" w:sz="4" w:space="0" w:color="000000"/>
              <w:bottom w:val="single" w:sz="4" w:space="0" w:color="000000"/>
            </w:tcBorders>
            <w:vAlign w:val="center"/>
          </w:tcPr>
          <w:p w:rsidR="00D9231F" w:rsidRPr="001D7F2C" w:rsidRDefault="00D9231F" w:rsidP="00B10D3A">
            <w:pPr>
              <w:tabs>
                <w:tab w:val="decimal" w:pos="278"/>
              </w:tabs>
              <w:jc w:val="center"/>
            </w:pPr>
            <w:r w:rsidRPr="001D7F2C">
              <w:t xml:space="preserve">robust </w:t>
            </w:r>
            <w:r w:rsidRPr="001D7F2C">
              <w:rPr>
                <w:i/>
              </w:rPr>
              <w:t>SE</w:t>
            </w:r>
          </w:p>
        </w:tc>
        <w:tc>
          <w:tcPr>
            <w:tcW w:w="0" w:type="auto"/>
            <w:tcBorders>
              <w:top w:val="single" w:sz="4" w:space="0" w:color="000000"/>
              <w:bottom w:val="single" w:sz="4" w:space="0" w:color="000000"/>
            </w:tcBorders>
            <w:vAlign w:val="center"/>
          </w:tcPr>
          <w:p w:rsidR="00D9231F" w:rsidRPr="001D7F2C" w:rsidRDefault="00D9231F" w:rsidP="00B10D3A">
            <w:pPr>
              <w:tabs>
                <w:tab w:val="decimal" w:pos="156"/>
              </w:tabs>
              <w:jc w:val="center"/>
              <w:rPr>
                <w:i/>
              </w:rPr>
            </w:pPr>
            <w:r w:rsidRPr="001D7F2C">
              <w:rPr>
                <w:i/>
              </w:rPr>
              <w:t>OR</w:t>
            </w:r>
          </w:p>
        </w:tc>
        <w:tc>
          <w:tcPr>
            <w:tcW w:w="0" w:type="auto"/>
            <w:tcBorders>
              <w:top w:val="single" w:sz="4" w:space="0" w:color="000000"/>
              <w:bottom w:val="single" w:sz="4" w:space="0" w:color="000000"/>
            </w:tcBorders>
          </w:tcPr>
          <w:p w:rsidR="00D9231F" w:rsidRPr="001D7F2C" w:rsidRDefault="00D9231F" w:rsidP="00B10D3A">
            <w:pPr>
              <w:tabs>
                <w:tab w:val="decimal" w:pos="250"/>
              </w:tabs>
              <w:jc w:val="center"/>
              <w:rPr>
                <w:i/>
              </w:rPr>
            </w:pPr>
          </w:p>
        </w:tc>
        <w:tc>
          <w:tcPr>
            <w:tcW w:w="0" w:type="auto"/>
            <w:tcBorders>
              <w:top w:val="single" w:sz="4" w:space="0" w:color="000000"/>
              <w:bottom w:val="single" w:sz="4" w:space="0" w:color="000000"/>
            </w:tcBorders>
            <w:vAlign w:val="center"/>
          </w:tcPr>
          <w:p w:rsidR="00D9231F" w:rsidRPr="001D7F2C" w:rsidRDefault="00D9231F" w:rsidP="00B10D3A">
            <w:pPr>
              <w:tabs>
                <w:tab w:val="decimal" w:pos="250"/>
              </w:tabs>
              <w:jc w:val="center"/>
              <w:rPr>
                <w:i/>
              </w:rPr>
            </w:pPr>
            <w:r w:rsidRPr="001D7F2C">
              <w:rPr>
                <w:i/>
              </w:rPr>
              <w:t>B</w:t>
            </w:r>
          </w:p>
        </w:tc>
        <w:tc>
          <w:tcPr>
            <w:tcW w:w="0" w:type="auto"/>
            <w:tcBorders>
              <w:top w:val="single" w:sz="4" w:space="0" w:color="000000"/>
              <w:bottom w:val="single" w:sz="4" w:space="0" w:color="000000"/>
            </w:tcBorders>
            <w:vAlign w:val="center"/>
          </w:tcPr>
          <w:p w:rsidR="00D9231F" w:rsidRPr="001D7F2C" w:rsidRDefault="00D9231F" w:rsidP="00B10D3A">
            <w:pPr>
              <w:tabs>
                <w:tab w:val="decimal" w:pos="264"/>
              </w:tabs>
              <w:jc w:val="center"/>
            </w:pPr>
            <w:r w:rsidRPr="001D7F2C">
              <w:t xml:space="preserve">robust </w:t>
            </w:r>
            <w:r w:rsidRPr="001D7F2C">
              <w:rPr>
                <w:i/>
              </w:rPr>
              <w:t>SE</w:t>
            </w:r>
          </w:p>
        </w:tc>
        <w:tc>
          <w:tcPr>
            <w:tcW w:w="0" w:type="auto"/>
            <w:tcBorders>
              <w:top w:val="single" w:sz="4" w:space="0" w:color="000000"/>
              <w:bottom w:val="single" w:sz="4" w:space="0" w:color="000000"/>
            </w:tcBorders>
            <w:vAlign w:val="center"/>
          </w:tcPr>
          <w:p w:rsidR="00D9231F" w:rsidRPr="001D7F2C" w:rsidRDefault="00D9231F" w:rsidP="00B10D3A">
            <w:pPr>
              <w:tabs>
                <w:tab w:val="decimal" w:pos="236"/>
              </w:tabs>
              <w:jc w:val="center"/>
              <w:rPr>
                <w:i/>
              </w:rPr>
            </w:pPr>
            <w:r w:rsidRPr="001D7F2C">
              <w:rPr>
                <w:i/>
              </w:rPr>
              <w:t>OR</w:t>
            </w:r>
          </w:p>
        </w:tc>
        <w:tc>
          <w:tcPr>
            <w:tcW w:w="0" w:type="auto"/>
            <w:tcBorders>
              <w:top w:val="single" w:sz="4" w:space="0" w:color="000000"/>
              <w:bottom w:val="single" w:sz="4" w:space="0" w:color="000000"/>
            </w:tcBorders>
          </w:tcPr>
          <w:p w:rsidR="00D9231F" w:rsidRPr="001D7F2C" w:rsidRDefault="00D9231F" w:rsidP="00B10D3A">
            <w:pPr>
              <w:tabs>
                <w:tab w:val="decimal" w:pos="208"/>
              </w:tabs>
              <w:jc w:val="center"/>
              <w:rPr>
                <w:i/>
              </w:rPr>
            </w:pPr>
          </w:p>
        </w:tc>
        <w:tc>
          <w:tcPr>
            <w:tcW w:w="0" w:type="auto"/>
            <w:tcBorders>
              <w:top w:val="single" w:sz="4" w:space="0" w:color="000000"/>
              <w:bottom w:val="single" w:sz="4" w:space="0" w:color="000000"/>
            </w:tcBorders>
            <w:vAlign w:val="center"/>
          </w:tcPr>
          <w:p w:rsidR="00D9231F" w:rsidRPr="001D7F2C" w:rsidRDefault="00D9231F" w:rsidP="00B10D3A">
            <w:pPr>
              <w:tabs>
                <w:tab w:val="decimal" w:pos="208"/>
              </w:tabs>
              <w:jc w:val="center"/>
              <w:rPr>
                <w:i/>
              </w:rPr>
            </w:pPr>
            <w:r w:rsidRPr="001D7F2C">
              <w:rPr>
                <w:i/>
              </w:rPr>
              <w:t>B</w:t>
            </w:r>
          </w:p>
        </w:tc>
        <w:tc>
          <w:tcPr>
            <w:tcW w:w="0" w:type="auto"/>
            <w:tcBorders>
              <w:top w:val="single" w:sz="4" w:space="0" w:color="000000"/>
              <w:bottom w:val="single" w:sz="4" w:space="0" w:color="000000"/>
            </w:tcBorders>
            <w:vAlign w:val="center"/>
          </w:tcPr>
          <w:p w:rsidR="00D9231F" w:rsidRPr="001D7F2C" w:rsidRDefault="00D9231F" w:rsidP="00B10D3A">
            <w:pPr>
              <w:jc w:val="center"/>
            </w:pPr>
            <w:r w:rsidRPr="001D7F2C">
              <w:t xml:space="preserve">robust </w:t>
            </w:r>
            <w:r w:rsidRPr="001D7F2C">
              <w:rPr>
                <w:i/>
              </w:rPr>
              <w:t>SE</w:t>
            </w:r>
          </w:p>
        </w:tc>
        <w:tc>
          <w:tcPr>
            <w:tcW w:w="0" w:type="auto"/>
            <w:tcBorders>
              <w:top w:val="single" w:sz="4" w:space="0" w:color="000000"/>
              <w:bottom w:val="single" w:sz="4" w:space="0" w:color="000000"/>
            </w:tcBorders>
            <w:vAlign w:val="center"/>
          </w:tcPr>
          <w:p w:rsidR="00D9231F" w:rsidRPr="001D7F2C" w:rsidRDefault="00D9231F" w:rsidP="00B10D3A">
            <w:pPr>
              <w:jc w:val="center"/>
              <w:rPr>
                <w:i/>
              </w:rPr>
            </w:pPr>
            <w:r w:rsidRPr="001D7F2C">
              <w:rPr>
                <w:i/>
              </w:rPr>
              <w:t>OR</w:t>
            </w:r>
          </w:p>
        </w:tc>
      </w:tr>
      <w:tr w:rsidR="00D9231F" w:rsidRPr="001D7F2C" w:rsidTr="00B10D3A">
        <w:tc>
          <w:tcPr>
            <w:tcW w:w="0" w:type="auto"/>
            <w:tcBorders>
              <w:top w:val="single" w:sz="4" w:space="0" w:color="000000"/>
            </w:tcBorders>
          </w:tcPr>
          <w:p w:rsidR="00D9231F" w:rsidRPr="001D7F2C" w:rsidRDefault="00D9231F" w:rsidP="00B10D3A">
            <w:r w:rsidRPr="001D7F2C">
              <w:t>Household instability</w:t>
            </w:r>
          </w:p>
        </w:tc>
        <w:tc>
          <w:tcPr>
            <w:tcW w:w="0" w:type="auto"/>
            <w:tcBorders>
              <w:top w:val="single" w:sz="4" w:space="0" w:color="000000"/>
            </w:tcBorders>
            <w:vAlign w:val="center"/>
          </w:tcPr>
          <w:p w:rsidR="00D9231F" w:rsidRPr="001D7F2C" w:rsidRDefault="00D9231F" w:rsidP="00B10D3A">
            <w:pPr>
              <w:tabs>
                <w:tab w:val="decimal" w:pos="192"/>
              </w:tabs>
            </w:pPr>
          </w:p>
        </w:tc>
        <w:tc>
          <w:tcPr>
            <w:tcW w:w="0" w:type="auto"/>
            <w:tcBorders>
              <w:top w:val="single" w:sz="4" w:space="0" w:color="000000"/>
            </w:tcBorders>
            <w:vAlign w:val="center"/>
          </w:tcPr>
          <w:p w:rsidR="00D9231F" w:rsidRPr="001D7F2C" w:rsidRDefault="00D9231F" w:rsidP="00B10D3A">
            <w:pPr>
              <w:tabs>
                <w:tab w:val="decimal" w:pos="278"/>
              </w:tabs>
            </w:pPr>
          </w:p>
        </w:tc>
        <w:tc>
          <w:tcPr>
            <w:tcW w:w="0" w:type="auto"/>
            <w:tcBorders>
              <w:top w:val="single" w:sz="4" w:space="0" w:color="000000"/>
            </w:tcBorders>
            <w:vAlign w:val="center"/>
          </w:tcPr>
          <w:p w:rsidR="00D9231F" w:rsidRPr="001D7F2C" w:rsidRDefault="00D9231F" w:rsidP="00B10D3A">
            <w:pPr>
              <w:tabs>
                <w:tab w:val="decimal" w:pos="156"/>
              </w:tabs>
            </w:pPr>
          </w:p>
        </w:tc>
        <w:tc>
          <w:tcPr>
            <w:tcW w:w="0" w:type="auto"/>
            <w:tcBorders>
              <w:top w:val="single" w:sz="4" w:space="0" w:color="000000"/>
            </w:tcBorders>
          </w:tcPr>
          <w:p w:rsidR="00D9231F" w:rsidRPr="001D7F2C" w:rsidRDefault="00D9231F" w:rsidP="00B10D3A">
            <w:pPr>
              <w:tabs>
                <w:tab w:val="decimal" w:pos="250"/>
              </w:tabs>
            </w:pPr>
          </w:p>
        </w:tc>
        <w:tc>
          <w:tcPr>
            <w:tcW w:w="0" w:type="auto"/>
            <w:tcBorders>
              <w:top w:val="single" w:sz="4" w:space="0" w:color="000000"/>
            </w:tcBorders>
            <w:vAlign w:val="center"/>
          </w:tcPr>
          <w:p w:rsidR="00D9231F" w:rsidRPr="001D7F2C" w:rsidRDefault="00D9231F" w:rsidP="00B10D3A">
            <w:pPr>
              <w:tabs>
                <w:tab w:val="decimal" w:pos="250"/>
              </w:tabs>
            </w:pPr>
          </w:p>
        </w:tc>
        <w:tc>
          <w:tcPr>
            <w:tcW w:w="0" w:type="auto"/>
            <w:tcBorders>
              <w:top w:val="single" w:sz="4" w:space="0" w:color="000000"/>
            </w:tcBorders>
            <w:vAlign w:val="center"/>
          </w:tcPr>
          <w:p w:rsidR="00D9231F" w:rsidRPr="001D7F2C" w:rsidRDefault="00D9231F" w:rsidP="00B10D3A">
            <w:pPr>
              <w:tabs>
                <w:tab w:val="decimal" w:pos="264"/>
              </w:tabs>
            </w:pPr>
          </w:p>
        </w:tc>
        <w:tc>
          <w:tcPr>
            <w:tcW w:w="0" w:type="auto"/>
            <w:tcBorders>
              <w:top w:val="single" w:sz="4" w:space="0" w:color="000000"/>
            </w:tcBorders>
            <w:vAlign w:val="center"/>
          </w:tcPr>
          <w:p w:rsidR="00D9231F" w:rsidRPr="001D7F2C" w:rsidRDefault="00D9231F" w:rsidP="00B10D3A">
            <w:pPr>
              <w:tabs>
                <w:tab w:val="decimal" w:pos="236"/>
              </w:tabs>
            </w:pPr>
          </w:p>
        </w:tc>
        <w:tc>
          <w:tcPr>
            <w:tcW w:w="0" w:type="auto"/>
            <w:tcBorders>
              <w:top w:val="single" w:sz="4" w:space="0" w:color="000000"/>
            </w:tcBorders>
          </w:tcPr>
          <w:p w:rsidR="00D9231F" w:rsidRPr="001D7F2C" w:rsidRDefault="00D9231F" w:rsidP="00B10D3A">
            <w:pPr>
              <w:tabs>
                <w:tab w:val="decimal" w:pos="208"/>
              </w:tabs>
              <w:jc w:val="center"/>
            </w:pPr>
          </w:p>
        </w:tc>
        <w:tc>
          <w:tcPr>
            <w:tcW w:w="0" w:type="auto"/>
            <w:tcBorders>
              <w:top w:val="single" w:sz="4" w:space="0" w:color="000000"/>
            </w:tcBorders>
            <w:vAlign w:val="center"/>
          </w:tcPr>
          <w:p w:rsidR="00D9231F" w:rsidRPr="001D7F2C" w:rsidRDefault="00D9231F" w:rsidP="00B10D3A">
            <w:pPr>
              <w:tabs>
                <w:tab w:val="decimal" w:pos="208"/>
              </w:tabs>
              <w:jc w:val="center"/>
            </w:pPr>
          </w:p>
        </w:tc>
        <w:tc>
          <w:tcPr>
            <w:tcW w:w="0" w:type="auto"/>
            <w:tcBorders>
              <w:top w:val="single" w:sz="4" w:space="0" w:color="000000"/>
            </w:tcBorders>
            <w:vAlign w:val="center"/>
          </w:tcPr>
          <w:p w:rsidR="00D9231F" w:rsidRPr="001D7F2C" w:rsidRDefault="00D9231F" w:rsidP="00B10D3A">
            <w:pPr>
              <w:jc w:val="center"/>
            </w:pPr>
          </w:p>
        </w:tc>
        <w:tc>
          <w:tcPr>
            <w:tcW w:w="0" w:type="auto"/>
            <w:tcBorders>
              <w:top w:val="single" w:sz="4" w:space="0" w:color="000000"/>
            </w:tcBorders>
            <w:vAlign w:val="center"/>
          </w:tcPr>
          <w:p w:rsidR="00D9231F" w:rsidRPr="001D7F2C" w:rsidRDefault="00D9231F" w:rsidP="00B10D3A">
            <w:pPr>
              <w:jc w:val="center"/>
            </w:pPr>
          </w:p>
        </w:tc>
      </w:tr>
      <w:tr w:rsidR="00D9231F" w:rsidRPr="001D7F2C" w:rsidTr="00B10D3A">
        <w:tc>
          <w:tcPr>
            <w:tcW w:w="0" w:type="auto"/>
          </w:tcPr>
          <w:p w:rsidR="00D9231F" w:rsidRPr="001D7F2C" w:rsidRDefault="00D9231F" w:rsidP="00B10D3A">
            <w:pPr>
              <w:ind w:left="180"/>
            </w:pPr>
            <w:r w:rsidRPr="001D7F2C">
              <w:t>Biological parent moved out</w:t>
            </w:r>
          </w:p>
        </w:tc>
        <w:tc>
          <w:tcPr>
            <w:tcW w:w="0" w:type="auto"/>
            <w:vAlign w:val="center"/>
          </w:tcPr>
          <w:p w:rsidR="00D9231F" w:rsidRPr="001D7F2C" w:rsidRDefault="00D9231F" w:rsidP="00B10D3A">
            <w:pPr>
              <w:tabs>
                <w:tab w:val="decimal" w:pos="192"/>
              </w:tabs>
            </w:pPr>
          </w:p>
        </w:tc>
        <w:tc>
          <w:tcPr>
            <w:tcW w:w="0" w:type="auto"/>
            <w:vAlign w:val="center"/>
          </w:tcPr>
          <w:p w:rsidR="00D9231F" w:rsidRPr="001D7F2C" w:rsidRDefault="00D9231F" w:rsidP="00B10D3A">
            <w:pPr>
              <w:tabs>
                <w:tab w:val="decimal" w:pos="278"/>
              </w:tabs>
            </w:pPr>
          </w:p>
        </w:tc>
        <w:tc>
          <w:tcPr>
            <w:tcW w:w="0" w:type="auto"/>
            <w:vAlign w:val="center"/>
          </w:tcPr>
          <w:p w:rsidR="00D9231F" w:rsidRPr="001D7F2C" w:rsidRDefault="00D9231F" w:rsidP="00B10D3A">
            <w:pPr>
              <w:tabs>
                <w:tab w:val="decimal" w:pos="156"/>
              </w:tabs>
            </w:pPr>
          </w:p>
        </w:tc>
        <w:tc>
          <w:tcPr>
            <w:tcW w:w="0" w:type="auto"/>
          </w:tcPr>
          <w:p w:rsidR="00D9231F" w:rsidRDefault="00D9231F" w:rsidP="00B10D3A">
            <w:pPr>
              <w:tabs>
                <w:tab w:val="decimal" w:pos="250"/>
              </w:tabs>
            </w:pPr>
          </w:p>
        </w:tc>
        <w:tc>
          <w:tcPr>
            <w:tcW w:w="0" w:type="auto"/>
            <w:vAlign w:val="center"/>
          </w:tcPr>
          <w:p w:rsidR="00D9231F" w:rsidRPr="001D7F2C" w:rsidRDefault="00D9231F" w:rsidP="00B10D3A">
            <w:pPr>
              <w:tabs>
                <w:tab w:val="decimal" w:pos="250"/>
              </w:tabs>
            </w:pPr>
            <w:r>
              <w:t>1.25</w:t>
            </w:r>
            <w:r w:rsidRPr="001D7F2C">
              <w:t>***</w:t>
            </w:r>
          </w:p>
        </w:tc>
        <w:tc>
          <w:tcPr>
            <w:tcW w:w="0" w:type="auto"/>
            <w:vAlign w:val="center"/>
          </w:tcPr>
          <w:p w:rsidR="00D9231F" w:rsidRPr="001D7F2C" w:rsidRDefault="00D9231F" w:rsidP="00B10D3A">
            <w:pPr>
              <w:tabs>
                <w:tab w:val="decimal" w:pos="264"/>
              </w:tabs>
            </w:pPr>
            <w:r w:rsidRPr="001D7F2C">
              <w:t>.</w:t>
            </w:r>
            <w:r>
              <w:t>30</w:t>
            </w:r>
          </w:p>
        </w:tc>
        <w:tc>
          <w:tcPr>
            <w:tcW w:w="0" w:type="auto"/>
            <w:vAlign w:val="center"/>
          </w:tcPr>
          <w:p w:rsidR="00D9231F" w:rsidRPr="001D7F2C" w:rsidRDefault="00D9231F" w:rsidP="00B10D3A">
            <w:pPr>
              <w:tabs>
                <w:tab w:val="decimal" w:pos="236"/>
              </w:tabs>
            </w:pPr>
            <w:r>
              <w:t>3</w:t>
            </w:r>
            <w:r w:rsidRPr="001D7F2C">
              <w:t>.</w:t>
            </w:r>
            <w:r>
              <w:t>48</w:t>
            </w:r>
          </w:p>
        </w:tc>
        <w:tc>
          <w:tcPr>
            <w:tcW w:w="0" w:type="auto"/>
          </w:tcPr>
          <w:p w:rsidR="00D9231F" w:rsidRDefault="00D9231F" w:rsidP="00B10D3A">
            <w:pPr>
              <w:tabs>
                <w:tab w:val="decimal" w:pos="208"/>
              </w:tabs>
            </w:pPr>
          </w:p>
        </w:tc>
        <w:tc>
          <w:tcPr>
            <w:tcW w:w="0" w:type="auto"/>
            <w:vAlign w:val="center"/>
          </w:tcPr>
          <w:p w:rsidR="00D9231F" w:rsidRPr="001D7F2C" w:rsidRDefault="00D9231F" w:rsidP="00B10D3A">
            <w:pPr>
              <w:tabs>
                <w:tab w:val="decimal" w:pos="208"/>
              </w:tabs>
            </w:pPr>
            <w:r>
              <w:t>1.30</w:t>
            </w:r>
            <w:r w:rsidRPr="001D7F2C">
              <w:t>***</w:t>
            </w:r>
          </w:p>
        </w:tc>
        <w:tc>
          <w:tcPr>
            <w:tcW w:w="0" w:type="auto"/>
            <w:vAlign w:val="center"/>
          </w:tcPr>
          <w:p w:rsidR="00D9231F" w:rsidRPr="001D7F2C" w:rsidRDefault="00D9231F" w:rsidP="00B10D3A">
            <w:pPr>
              <w:tabs>
                <w:tab w:val="decimal" w:pos="249"/>
              </w:tabs>
            </w:pPr>
            <w:r w:rsidRPr="001D7F2C">
              <w:t>.</w:t>
            </w:r>
            <w:r>
              <w:t>30</w:t>
            </w:r>
          </w:p>
        </w:tc>
        <w:tc>
          <w:tcPr>
            <w:tcW w:w="0" w:type="auto"/>
            <w:vAlign w:val="center"/>
          </w:tcPr>
          <w:p w:rsidR="00D9231F" w:rsidRPr="001D7F2C" w:rsidRDefault="00D9231F" w:rsidP="00B10D3A">
            <w:pPr>
              <w:tabs>
                <w:tab w:val="decimal" w:pos="165"/>
              </w:tabs>
            </w:pPr>
            <w:r>
              <w:t>3</w:t>
            </w:r>
            <w:r w:rsidRPr="001D7F2C">
              <w:t>.</w:t>
            </w:r>
            <w:r>
              <w:t>66</w:t>
            </w:r>
          </w:p>
        </w:tc>
      </w:tr>
      <w:tr w:rsidR="00D9231F" w:rsidRPr="001D7F2C" w:rsidTr="00B10D3A">
        <w:tc>
          <w:tcPr>
            <w:tcW w:w="0" w:type="auto"/>
          </w:tcPr>
          <w:p w:rsidR="00D9231F" w:rsidRPr="001D7F2C" w:rsidRDefault="001C16E3" w:rsidP="00B10D3A">
            <w:pPr>
              <w:ind w:left="180"/>
            </w:pPr>
            <w:r>
              <w:t>Stepparent / step</w:t>
            </w:r>
            <w:r w:rsidR="00D9231F" w:rsidRPr="001D7F2C">
              <w:t>sibling in</w:t>
            </w:r>
          </w:p>
        </w:tc>
        <w:tc>
          <w:tcPr>
            <w:tcW w:w="0" w:type="auto"/>
            <w:vAlign w:val="center"/>
          </w:tcPr>
          <w:p w:rsidR="00D9231F" w:rsidRPr="001D7F2C" w:rsidRDefault="00D9231F" w:rsidP="00B10D3A">
            <w:pPr>
              <w:tabs>
                <w:tab w:val="decimal" w:pos="192"/>
              </w:tabs>
            </w:pPr>
          </w:p>
        </w:tc>
        <w:tc>
          <w:tcPr>
            <w:tcW w:w="0" w:type="auto"/>
            <w:vAlign w:val="center"/>
          </w:tcPr>
          <w:p w:rsidR="00D9231F" w:rsidRPr="001D7F2C" w:rsidRDefault="00D9231F" w:rsidP="00B10D3A">
            <w:pPr>
              <w:tabs>
                <w:tab w:val="decimal" w:pos="278"/>
              </w:tabs>
            </w:pPr>
          </w:p>
        </w:tc>
        <w:tc>
          <w:tcPr>
            <w:tcW w:w="0" w:type="auto"/>
            <w:vAlign w:val="center"/>
          </w:tcPr>
          <w:p w:rsidR="00D9231F" w:rsidRPr="001D7F2C" w:rsidRDefault="00D9231F" w:rsidP="00B10D3A">
            <w:pPr>
              <w:tabs>
                <w:tab w:val="decimal" w:pos="156"/>
              </w:tabs>
            </w:pPr>
          </w:p>
        </w:tc>
        <w:tc>
          <w:tcPr>
            <w:tcW w:w="0" w:type="auto"/>
          </w:tcPr>
          <w:p w:rsidR="00D9231F" w:rsidRDefault="00D9231F" w:rsidP="00B10D3A">
            <w:pPr>
              <w:tabs>
                <w:tab w:val="decimal" w:pos="250"/>
              </w:tabs>
            </w:pPr>
          </w:p>
        </w:tc>
        <w:tc>
          <w:tcPr>
            <w:tcW w:w="0" w:type="auto"/>
            <w:vAlign w:val="center"/>
          </w:tcPr>
          <w:p w:rsidR="00D9231F" w:rsidRPr="001D7F2C" w:rsidRDefault="00D9231F" w:rsidP="00B10D3A">
            <w:pPr>
              <w:tabs>
                <w:tab w:val="decimal" w:pos="250"/>
              </w:tabs>
            </w:pPr>
            <w:r>
              <w:t>-.14</w:t>
            </w:r>
          </w:p>
        </w:tc>
        <w:tc>
          <w:tcPr>
            <w:tcW w:w="0" w:type="auto"/>
            <w:vAlign w:val="center"/>
          </w:tcPr>
          <w:p w:rsidR="00D9231F" w:rsidRPr="001D7F2C" w:rsidRDefault="00D9231F" w:rsidP="00B10D3A">
            <w:pPr>
              <w:tabs>
                <w:tab w:val="decimal" w:pos="264"/>
              </w:tabs>
            </w:pPr>
            <w:r w:rsidRPr="001D7F2C">
              <w:t>.</w:t>
            </w:r>
            <w:r>
              <w:t>48</w:t>
            </w:r>
          </w:p>
        </w:tc>
        <w:tc>
          <w:tcPr>
            <w:tcW w:w="0" w:type="auto"/>
            <w:vAlign w:val="center"/>
          </w:tcPr>
          <w:p w:rsidR="00D9231F" w:rsidRPr="001D7F2C" w:rsidRDefault="00D9231F" w:rsidP="00B10D3A">
            <w:pPr>
              <w:tabs>
                <w:tab w:val="decimal" w:pos="236"/>
              </w:tabs>
            </w:pPr>
            <w:r w:rsidRPr="001D7F2C">
              <w:t>.</w:t>
            </w:r>
            <w:r>
              <w:t>87</w:t>
            </w:r>
          </w:p>
        </w:tc>
        <w:tc>
          <w:tcPr>
            <w:tcW w:w="0" w:type="auto"/>
          </w:tcPr>
          <w:p w:rsidR="00D9231F" w:rsidRDefault="00D9231F" w:rsidP="00B10D3A">
            <w:pPr>
              <w:tabs>
                <w:tab w:val="decimal" w:pos="208"/>
              </w:tabs>
            </w:pPr>
          </w:p>
        </w:tc>
        <w:tc>
          <w:tcPr>
            <w:tcW w:w="0" w:type="auto"/>
            <w:vAlign w:val="center"/>
          </w:tcPr>
          <w:p w:rsidR="00D9231F" w:rsidRPr="001D7F2C" w:rsidRDefault="00D9231F" w:rsidP="00B10D3A">
            <w:pPr>
              <w:tabs>
                <w:tab w:val="decimal" w:pos="208"/>
              </w:tabs>
            </w:pPr>
            <w:r>
              <w:t>.01</w:t>
            </w:r>
          </w:p>
        </w:tc>
        <w:tc>
          <w:tcPr>
            <w:tcW w:w="0" w:type="auto"/>
            <w:vAlign w:val="center"/>
          </w:tcPr>
          <w:p w:rsidR="00D9231F" w:rsidRPr="001D7F2C" w:rsidRDefault="00D9231F" w:rsidP="00B10D3A">
            <w:pPr>
              <w:tabs>
                <w:tab w:val="decimal" w:pos="249"/>
              </w:tabs>
            </w:pPr>
            <w:r w:rsidRPr="001D7F2C">
              <w:t>.</w:t>
            </w:r>
            <w:r>
              <w:t>51</w:t>
            </w:r>
          </w:p>
        </w:tc>
        <w:tc>
          <w:tcPr>
            <w:tcW w:w="0" w:type="auto"/>
            <w:vAlign w:val="center"/>
          </w:tcPr>
          <w:p w:rsidR="00D9231F" w:rsidRPr="001D7F2C" w:rsidRDefault="00D9231F" w:rsidP="00B10D3A">
            <w:pPr>
              <w:tabs>
                <w:tab w:val="decimal" w:pos="165"/>
              </w:tabs>
            </w:pPr>
            <w:r>
              <w:t>1</w:t>
            </w:r>
            <w:r w:rsidRPr="001D7F2C">
              <w:t>.</w:t>
            </w:r>
            <w:r>
              <w:t>01</w:t>
            </w:r>
          </w:p>
        </w:tc>
      </w:tr>
      <w:tr w:rsidR="00D9231F" w:rsidRPr="001D7F2C" w:rsidTr="00B10D3A">
        <w:tc>
          <w:tcPr>
            <w:tcW w:w="0" w:type="auto"/>
          </w:tcPr>
          <w:p w:rsidR="00D9231F" w:rsidRPr="001D7F2C" w:rsidRDefault="00D9231F" w:rsidP="00B10D3A">
            <w:pPr>
              <w:ind w:left="180"/>
            </w:pPr>
            <w:r w:rsidRPr="001D7F2C">
              <w:t>No family instability (ref)</w:t>
            </w:r>
          </w:p>
        </w:tc>
        <w:tc>
          <w:tcPr>
            <w:tcW w:w="0" w:type="auto"/>
            <w:vAlign w:val="center"/>
          </w:tcPr>
          <w:p w:rsidR="00D9231F" w:rsidRPr="001D7F2C" w:rsidRDefault="00D9231F" w:rsidP="00B10D3A">
            <w:pPr>
              <w:tabs>
                <w:tab w:val="decimal" w:pos="192"/>
              </w:tabs>
            </w:pPr>
          </w:p>
        </w:tc>
        <w:tc>
          <w:tcPr>
            <w:tcW w:w="0" w:type="auto"/>
            <w:vAlign w:val="center"/>
          </w:tcPr>
          <w:p w:rsidR="00D9231F" w:rsidRPr="001D7F2C" w:rsidRDefault="00D9231F" w:rsidP="00B10D3A">
            <w:pPr>
              <w:tabs>
                <w:tab w:val="decimal" w:pos="278"/>
              </w:tabs>
            </w:pPr>
          </w:p>
        </w:tc>
        <w:tc>
          <w:tcPr>
            <w:tcW w:w="0" w:type="auto"/>
            <w:vAlign w:val="center"/>
          </w:tcPr>
          <w:p w:rsidR="00D9231F" w:rsidRPr="001D7F2C" w:rsidRDefault="00D9231F" w:rsidP="00B10D3A">
            <w:pPr>
              <w:tabs>
                <w:tab w:val="decimal" w:pos="156"/>
              </w:tabs>
            </w:pPr>
          </w:p>
        </w:tc>
        <w:tc>
          <w:tcPr>
            <w:tcW w:w="0" w:type="auto"/>
          </w:tcPr>
          <w:p w:rsidR="00D9231F" w:rsidRPr="001D7F2C" w:rsidRDefault="00D9231F" w:rsidP="00B10D3A">
            <w:pPr>
              <w:tabs>
                <w:tab w:val="decimal" w:pos="250"/>
              </w:tabs>
            </w:pPr>
          </w:p>
        </w:tc>
        <w:tc>
          <w:tcPr>
            <w:tcW w:w="0" w:type="auto"/>
            <w:vAlign w:val="center"/>
          </w:tcPr>
          <w:p w:rsidR="00D9231F" w:rsidRPr="001D7F2C" w:rsidRDefault="00D9231F" w:rsidP="00B10D3A">
            <w:pPr>
              <w:tabs>
                <w:tab w:val="decimal" w:pos="250"/>
              </w:tabs>
            </w:pPr>
          </w:p>
        </w:tc>
        <w:tc>
          <w:tcPr>
            <w:tcW w:w="0" w:type="auto"/>
            <w:vAlign w:val="center"/>
          </w:tcPr>
          <w:p w:rsidR="00D9231F" w:rsidRPr="001D7F2C" w:rsidRDefault="00D9231F" w:rsidP="00B10D3A">
            <w:pPr>
              <w:tabs>
                <w:tab w:val="decimal" w:pos="264"/>
              </w:tabs>
            </w:pPr>
          </w:p>
        </w:tc>
        <w:tc>
          <w:tcPr>
            <w:tcW w:w="0" w:type="auto"/>
            <w:vAlign w:val="center"/>
          </w:tcPr>
          <w:p w:rsidR="00D9231F" w:rsidRPr="001D7F2C" w:rsidRDefault="00D9231F" w:rsidP="00B10D3A">
            <w:pPr>
              <w:tabs>
                <w:tab w:val="decimal" w:pos="236"/>
              </w:tabs>
            </w:pPr>
          </w:p>
        </w:tc>
        <w:tc>
          <w:tcPr>
            <w:tcW w:w="0" w:type="auto"/>
          </w:tcPr>
          <w:p w:rsidR="00D9231F" w:rsidRPr="001D7F2C" w:rsidRDefault="00D9231F" w:rsidP="00B10D3A">
            <w:pPr>
              <w:tabs>
                <w:tab w:val="decimal" w:pos="208"/>
              </w:tabs>
            </w:pPr>
          </w:p>
        </w:tc>
        <w:tc>
          <w:tcPr>
            <w:tcW w:w="0" w:type="auto"/>
            <w:vAlign w:val="center"/>
          </w:tcPr>
          <w:p w:rsidR="00D9231F" w:rsidRPr="001D7F2C" w:rsidRDefault="00D9231F" w:rsidP="00B10D3A">
            <w:pPr>
              <w:tabs>
                <w:tab w:val="decimal" w:pos="208"/>
              </w:tabs>
            </w:pPr>
          </w:p>
        </w:tc>
        <w:tc>
          <w:tcPr>
            <w:tcW w:w="0" w:type="auto"/>
            <w:vAlign w:val="center"/>
          </w:tcPr>
          <w:p w:rsidR="00D9231F" w:rsidRPr="001D7F2C" w:rsidRDefault="00D9231F" w:rsidP="00B10D3A">
            <w:pPr>
              <w:tabs>
                <w:tab w:val="decimal" w:pos="249"/>
              </w:tabs>
            </w:pPr>
          </w:p>
        </w:tc>
        <w:tc>
          <w:tcPr>
            <w:tcW w:w="0" w:type="auto"/>
            <w:vAlign w:val="center"/>
          </w:tcPr>
          <w:p w:rsidR="00D9231F" w:rsidRPr="001D7F2C" w:rsidRDefault="00D9231F" w:rsidP="00B10D3A">
            <w:pPr>
              <w:tabs>
                <w:tab w:val="decimal" w:pos="165"/>
              </w:tabs>
            </w:pPr>
          </w:p>
        </w:tc>
      </w:tr>
      <w:tr w:rsidR="00D9231F" w:rsidRPr="001D7F2C" w:rsidTr="00B10D3A">
        <w:tc>
          <w:tcPr>
            <w:tcW w:w="0" w:type="auto"/>
          </w:tcPr>
          <w:p w:rsidR="00D9231F" w:rsidRPr="001D7F2C" w:rsidRDefault="00D9231F" w:rsidP="00B10D3A">
            <w:r w:rsidRPr="001D7F2C">
              <w:t>Family structure at beginning</w:t>
            </w:r>
          </w:p>
        </w:tc>
        <w:tc>
          <w:tcPr>
            <w:tcW w:w="0" w:type="auto"/>
            <w:gridSpan w:val="3"/>
            <w:vAlign w:val="center"/>
          </w:tcPr>
          <w:p w:rsidR="00D9231F" w:rsidRPr="001D7F2C" w:rsidRDefault="00D9231F" w:rsidP="00B10D3A">
            <w:pPr>
              <w:tabs>
                <w:tab w:val="decimal" w:pos="156"/>
                <w:tab w:val="decimal" w:pos="192"/>
                <w:tab w:val="decimal" w:pos="278"/>
              </w:tabs>
            </w:pPr>
          </w:p>
        </w:tc>
        <w:tc>
          <w:tcPr>
            <w:tcW w:w="0" w:type="auto"/>
          </w:tcPr>
          <w:p w:rsidR="00D9231F" w:rsidRPr="001D7F2C" w:rsidRDefault="00D9231F" w:rsidP="00B10D3A">
            <w:pPr>
              <w:tabs>
                <w:tab w:val="decimal" w:pos="250"/>
              </w:tabs>
            </w:pPr>
          </w:p>
        </w:tc>
        <w:tc>
          <w:tcPr>
            <w:tcW w:w="0" w:type="auto"/>
            <w:gridSpan w:val="3"/>
            <w:vAlign w:val="center"/>
          </w:tcPr>
          <w:p w:rsidR="00D9231F" w:rsidRPr="001D7F2C" w:rsidRDefault="00D9231F" w:rsidP="00B10D3A">
            <w:pPr>
              <w:tabs>
                <w:tab w:val="decimal" w:pos="250"/>
              </w:tabs>
            </w:pPr>
          </w:p>
        </w:tc>
        <w:tc>
          <w:tcPr>
            <w:tcW w:w="0" w:type="auto"/>
          </w:tcPr>
          <w:p w:rsidR="00D9231F" w:rsidRPr="001D7F2C" w:rsidRDefault="00D9231F" w:rsidP="00B10D3A">
            <w:pPr>
              <w:tabs>
                <w:tab w:val="decimal" w:pos="165"/>
                <w:tab w:val="decimal" w:pos="208"/>
                <w:tab w:val="decimal" w:pos="249"/>
              </w:tabs>
            </w:pPr>
          </w:p>
        </w:tc>
        <w:tc>
          <w:tcPr>
            <w:tcW w:w="0" w:type="auto"/>
            <w:vAlign w:val="center"/>
          </w:tcPr>
          <w:p w:rsidR="00D9231F" w:rsidRPr="001D7F2C" w:rsidRDefault="00D9231F" w:rsidP="00B10D3A">
            <w:pPr>
              <w:tabs>
                <w:tab w:val="decimal" w:pos="165"/>
                <w:tab w:val="decimal" w:pos="208"/>
                <w:tab w:val="decimal" w:pos="249"/>
              </w:tabs>
            </w:pPr>
          </w:p>
        </w:tc>
        <w:tc>
          <w:tcPr>
            <w:tcW w:w="0" w:type="auto"/>
            <w:vAlign w:val="center"/>
          </w:tcPr>
          <w:p w:rsidR="00D9231F" w:rsidRPr="001D7F2C" w:rsidRDefault="00D9231F" w:rsidP="00B10D3A">
            <w:pPr>
              <w:tabs>
                <w:tab w:val="decimal" w:pos="165"/>
                <w:tab w:val="decimal" w:pos="208"/>
                <w:tab w:val="decimal" w:pos="249"/>
              </w:tabs>
            </w:pPr>
          </w:p>
        </w:tc>
        <w:tc>
          <w:tcPr>
            <w:tcW w:w="0" w:type="auto"/>
            <w:vAlign w:val="center"/>
          </w:tcPr>
          <w:p w:rsidR="00D9231F" w:rsidRPr="001D7F2C" w:rsidRDefault="00D9231F" w:rsidP="00B10D3A">
            <w:pPr>
              <w:tabs>
                <w:tab w:val="decimal" w:pos="165"/>
                <w:tab w:val="decimal" w:pos="208"/>
                <w:tab w:val="decimal" w:pos="249"/>
              </w:tabs>
            </w:pPr>
          </w:p>
        </w:tc>
      </w:tr>
      <w:tr w:rsidR="00D9231F" w:rsidRPr="001D7F2C" w:rsidTr="00B10D3A">
        <w:tc>
          <w:tcPr>
            <w:tcW w:w="0" w:type="auto"/>
          </w:tcPr>
          <w:p w:rsidR="00D9231F" w:rsidRPr="001D7F2C" w:rsidRDefault="001C16E3" w:rsidP="00B10D3A">
            <w:pPr>
              <w:ind w:left="180"/>
            </w:pPr>
            <w:r>
              <w:t>Step</w:t>
            </w:r>
            <w:r w:rsidR="00D9231F" w:rsidRPr="001D7F2C">
              <w:t>parent family</w:t>
            </w:r>
          </w:p>
        </w:tc>
        <w:tc>
          <w:tcPr>
            <w:tcW w:w="0" w:type="auto"/>
            <w:vAlign w:val="center"/>
          </w:tcPr>
          <w:p w:rsidR="00D9231F" w:rsidRPr="001D7F2C" w:rsidRDefault="00D9231F" w:rsidP="00B10D3A">
            <w:pPr>
              <w:tabs>
                <w:tab w:val="decimal" w:pos="192"/>
              </w:tabs>
            </w:pPr>
            <w:r>
              <w:t>.37</w:t>
            </w:r>
          </w:p>
        </w:tc>
        <w:tc>
          <w:tcPr>
            <w:tcW w:w="0" w:type="auto"/>
            <w:vAlign w:val="center"/>
          </w:tcPr>
          <w:p w:rsidR="00D9231F" w:rsidRPr="001D7F2C" w:rsidRDefault="00D9231F" w:rsidP="00B10D3A">
            <w:pPr>
              <w:tabs>
                <w:tab w:val="decimal" w:pos="278"/>
              </w:tabs>
            </w:pPr>
            <w:r w:rsidRPr="001D7F2C">
              <w:t>.</w:t>
            </w:r>
            <w:r>
              <w:t>23</w:t>
            </w:r>
          </w:p>
        </w:tc>
        <w:tc>
          <w:tcPr>
            <w:tcW w:w="0" w:type="auto"/>
            <w:vAlign w:val="center"/>
          </w:tcPr>
          <w:p w:rsidR="00D9231F" w:rsidRPr="001D7F2C" w:rsidRDefault="00D9231F" w:rsidP="00B10D3A">
            <w:pPr>
              <w:tabs>
                <w:tab w:val="decimal" w:pos="156"/>
              </w:tabs>
            </w:pPr>
            <w:r>
              <w:t>1</w:t>
            </w:r>
            <w:r w:rsidRPr="001D7F2C">
              <w:t>.</w:t>
            </w:r>
            <w:r>
              <w:t>45</w:t>
            </w:r>
          </w:p>
        </w:tc>
        <w:tc>
          <w:tcPr>
            <w:tcW w:w="0" w:type="auto"/>
          </w:tcPr>
          <w:p w:rsidR="00D9231F" w:rsidRPr="001D7F2C" w:rsidRDefault="00D9231F" w:rsidP="00B10D3A">
            <w:pPr>
              <w:tabs>
                <w:tab w:val="decimal" w:pos="250"/>
              </w:tabs>
            </w:pPr>
          </w:p>
        </w:tc>
        <w:tc>
          <w:tcPr>
            <w:tcW w:w="0" w:type="auto"/>
            <w:vAlign w:val="center"/>
          </w:tcPr>
          <w:p w:rsidR="00D9231F" w:rsidRPr="001D7F2C" w:rsidRDefault="00D9231F" w:rsidP="00B10D3A">
            <w:pPr>
              <w:tabs>
                <w:tab w:val="decimal" w:pos="250"/>
              </w:tabs>
            </w:pPr>
          </w:p>
        </w:tc>
        <w:tc>
          <w:tcPr>
            <w:tcW w:w="0" w:type="auto"/>
            <w:vAlign w:val="center"/>
          </w:tcPr>
          <w:p w:rsidR="00D9231F" w:rsidRPr="001D7F2C" w:rsidRDefault="00D9231F" w:rsidP="00B10D3A">
            <w:pPr>
              <w:tabs>
                <w:tab w:val="decimal" w:pos="264"/>
              </w:tabs>
            </w:pPr>
          </w:p>
        </w:tc>
        <w:tc>
          <w:tcPr>
            <w:tcW w:w="0" w:type="auto"/>
            <w:vAlign w:val="center"/>
          </w:tcPr>
          <w:p w:rsidR="00D9231F" w:rsidRPr="001D7F2C" w:rsidRDefault="00D9231F" w:rsidP="00B10D3A">
            <w:pPr>
              <w:tabs>
                <w:tab w:val="decimal" w:pos="236"/>
              </w:tabs>
            </w:pPr>
          </w:p>
        </w:tc>
        <w:tc>
          <w:tcPr>
            <w:tcW w:w="0" w:type="auto"/>
          </w:tcPr>
          <w:p w:rsidR="00D9231F" w:rsidRDefault="00D9231F" w:rsidP="00B10D3A">
            <w:pPr>
              <w:tabs>
                <w:tab w:val="decimal" w:pos="208"/>
              </w:tabs>
            </w:pPr>
          </w:p>
        </w:tc>
        <w:tc>
          <w:tcPr>
            <w:tcW w:w="0" w:type="auto"/>
            <w:vAlign w:val="center"/>
          </w:tcPr>
          <w:p w:rsidR="00D9231F" w:rsidRPr="001D7F2C" w:rsidRDefault="00D9231F" w:rsidP="00B10D3A">
            <w:pPr>
              <w:tabs>
                <w:tab w:val="decimal" w:pos="208"/>
              </w:tabs>
            </w:pPr>
            <w:r>
              <w:t>.46</w:t>
            </w:r>
            <w:r w:rsidRPr="001D7F2C">
              <w:t>*</w:t>
            </w:r>
          </w:p>
        </w:tc>
        <w:tc>
          <w:tcPr>
            <w:tcW w:w="0" w:type="auto"/>
            <w:vAlign w:val="center"/>
          </w:tcPr>
          <w:p w:rsidR="00D9231F" w:rsidRPr="001D7F2C" w:rsidRDefault="00D9231F" w:rsidP="00B10D3A">
            <w:pPr>
              <w:tabs>
                <w:tab w:val="decimal" w:pos="249"/>
              </w:tabs>
            </w:pPr>
            <w:r w:rsidRPr="001D7F2C">
              <w:t>.</w:t>
            </w:r>
            <w:r>
              <w:t>23</w:t>
            </w:r>
          </w:p>
        </w:tc>
        <w:tc>
          <w:tcPr>
            <w:tcW w:w="0" w:type="auto"/>
            <w:vAlign w:val="center"/>
          </w:tcPr>
          <w:p w:rsidR="00D9231F" w:rsidRPr="001D7F2C" w:rsidRDefault="00D9231F" w:rsidP="00B10D3A">
            <w:pPr>
              <w:tabs>
                <w:tab w:val="decimal" w:pos="165"/>
              </w:tabs>
            </w:pPr>
            <w:r>
              <w:t>1</w:t>
            </w:r>
            <w:r w:rsidRPr="001D7F2C">
              <w:t>.</w:t>
            </w:r>
            <w:r>
              <w:t>58</w:t>
            </w:r>
          </w:p>
        </w:tc>
      </w:tr>
      <w:tr w:rsidR="00D9231F" w:rsidRPr="001D7F2C" w:rsidTr="00B10D3A">
        <w:tc>
          <w:tcPr>
            <w:tcW w:w="0" w:type="auto"/>
          </w:tcPr>
          <w:p w:rsidR="00D9231F" w:rsidRPr="001D7F2C" w:rsidRDefault="00D9231F" w:rsidP="00B10D3A">
            <w:pPr>
              <w:ind w:left="180"/>
            </w:pPr>
            <w:r w:rsidRPr="001D7F2C">
              <w:t>Single-parent family</w:t>
            </w:r>
          </w:p>
        </w:tc>
        <w:tc>
          <w:tcPr>
            <w:tcW w:w="0" w:type="auto"/>
            <w:vAlign w:val="center"/>
          </w:tcPr>
          <w:p w:rsidR="00D9231F" w:rsidRPr="001D7F2C" w:rsidRDefault="00D9231F" w:rsidP="00B10D3A">
            <w:pPr>
              <w:tabs>
                <w:tab w:val="decimal" w:pos="192"/>
              </w:tabs>
            </w:pPr>
            <w:r>
              <w:t>-.27</w:t>
            </w:r>
          </w:p>
        </w:tc>
        <w:tc>
          <w:tcPr>
            <w:tcW w:w="0" w:type="auto"/>
            <w:vAlign w:val="center"/>
          </w:tcPr>
          <w:p w:rsidR="00D9231F" w:rsidRPr="001D7F2C" w:rsidRDefault="00D9231F" w:rsidP="00B10D3A">
            <w:pPr>
              <w:tabs>
                <w:tab w:val="decimal" w:pos="278"/>
              </w:tabs>
            </w:pPr>
            <w:r w:rsidRPr="001D7F2C">
              <w:t>.</w:t>
            </w:r>
            <w:r>
              <w:t>27</w:t>
            </w:r>
          </w:p>
        </w:tc>
        <w:tc>
          <w:tcPr>
            <w:tcW w:w="0" w:type="auto"/>
            <w:vAlign w:val="center"/>
          </w:tcPr>
          <w:p w:rsidR="00D9231F" w:rsidRPr="001D7F2C" w:rsidRDefault="00D9231F" w:rsidP="00B10D3A">
            <w:pPr>
              <w:tabs>
                <w:tab w:val="decimal" w:pos="156"/>
              </w:tabs>
            </w:pPr>
            <w:r w:rsidRPr="001D7F2C">
              <w:t>.</w:t>
            </w:r>
            <w:r>
              <w:t>76</w:t>
            </w:r>
          </w:p>
        </w:tc>
        <w:tc>
          <w:tcPr>
            <w:tcW w:w="0" w:type="auto"/>
          </w:tcPr>
          <w:p w:rsidR="00D9231F" w:rsidRPr="001D7F2C" w:rsidRDefault="00D9231F" w:rsidP="00B10D3A">
            <w:pPr>
              <w:tabs>
                <w:tab w:val="decimal" w:pos="250"/>
              </w:tabs>
            </w:pPr>
          </w:p>
        </w:tc>
        <w:tc>
          <w:tcPr>
            <w:tcW w:w="0" w:type="auto"/>
            <w:vAlign w:val="center"/>
          </w:tcPr>
          <w:p w:rsidR="00D9231F" w:rsidRPr="001D7F2C" w:rsidRDefault="00D9231F" w:rsidP="00B10D3A">
            <w:pPr>
              <w:tabs>
                <w:tab w:val="decimal" w:pos="250"/>
              </w:tabs>
            </w:pPr>
          </w:p>
        </w:tc>
        <w:tc>
          <w:tcPr>
            <w:tcW w:w="0" w:type="auto"/>
            <w:vAlign w:val="center"/>
          </w:tcPr>
          <w:p w:rsidR="00D9231F" w:rsidRPr="001D7F2C" w:rsidRDefault="00D9231F" w:rsidP="00B10D3A">
            <w:pPr>
              <w:tabs>
                <w:tab w:val="decimal" w:pos="264"/>
              </w:tabs>
            </w:pPr>
          </w:p>
        </w:tc>
        <w:tc>
          <w:tcPr>
            <w:tcW w:w="0" w:type="auto"/>
            <w:vAlign w:val="center"/>
          </w:tcPr>
          <w:p w:rsidR="00D9231F" w:rsidRPr="001D7F2C" w:rsidRDefault="00D9231F" w:rsidP="00B10D3A">
            <w:pPr>
              <w:tabs>
                <w:tab w:val="decimal" w:pos="236"/>
              </w:tabs>
            </w:pPr>
          </w:p>
        </w:tc>
        <w:tc>
          <w:tcPr>
            <w:tcW w:w="0" w:type="auto"/>
          </w:tcPr>
          <w:p w:rsidR="00D9231F" w:rsidRDefault="00D9231F" w:rsidP="00B10D3A">
            <w:pPr>
              <w:tabs>
                <w:tab w:val="decimal" w:pos="208"/>
              </w:tabs>
            </w:pPr>
          </w:p>
        </w:tc>
        <w:tc>
          <w:tcPr>
            <w:tcW w:w="0" w:type="auto"/>
            <w:vAlign w:val="center"/>
          </w:tcPr>
          <w:p w:rsidR="00D9231F" w:rsidRPr="001D7F2C" w:rsidRDefault="00D9231F" w:rsidP="00B10D3A">
            <w:pPr>
              <w:tabs>
                <w:tab w:val="decimal" w:pos="208"/>
              </w:tabs>
            </w:pPr>
            <w:r>
              <w:t>-.38</w:t>
            </w:r>
          </w:p>
        </w:tc>
        <w:tc>
          <w:tcPr>
            <w:tcW w:w="0" w:type="auto"/>
            <w:vAlign w:val="center"/>
          </w:tcPr>
          <w:p w:rsidR="00D9231F" w:rsidRPr="001D7F2C" w:rsidRDefault="00D9231F" w:rsidP="00B10D3A">
            <w:pPr>
              <w:tabs>
                <w:tab w:val="decimal" w:pos="249"/>
              </w:tabs>
            </w:pPr>
            <w:r w:rsidRPr="001D7F2C">
              <w:t>.</w:t>
            </w:r>
            <w:r>
              <w:t>27</w:t>
            </w:r>
          </w:p>
        </w:tc>
        <w:tc>
          <w:tcPr>
            <w:tcW w:w="0" w:type="auto"/>
            <w:vAlign w:val="center"/>
          </w:tcPr>
          <w:p w:rsidR="00D9231F" w:rsidRPr="001D7F2C" w:rsidRDefault="00D9231F" w:rsidP="00B10D3A">
            <w:pPr>
              <w:tabs>
                <w:tab w:val="decimal" w:pos="165"/>
              </w:tabs>
            </w:pPr>
            <w:r w:rsidRPr="001D7F2C">
              <w:t>.</w:t>
            </w:r>
            <w:r>
              <w:t>69</w:t>
            </w:r>
          </w:p>
        </w:tc>
      </w:tr>
      <w:tr w:rsidR="00D9231F" w:rsidRPr="001D7F2C" w:rsidTr="00B10D3A">
        <w:tc>
          <w:tcPr>
            <w:tcW w:w="0" w:type="auto"/>
          </w:tcPr>
          <w:p w:rsidR="00D9231F" w:rsidRPr="001D7F2C" w:rsidRDefault="00D9231F" w:rsidP="00B10D3A">
            <w:pPr>
              <w:ind w:left="180"/>
            </w:pPr>
            <w:r w:rsidRPr="001D7F2C">
              <w:t>Two biological parents (ref)</w:t>
            </w:r>
          </w:p>
        </w:tc>
        <w:tc>
          <w:tcPr>
            <w:tcW w:w="0" w:type="auto"/>
            <w:vAlign w:val="center"/>
          </w:tcPr>
          <w:p w:rsidR="00D9231F" w:rsidRPr="001D7F2C" w:rsidRDefault="00D9231F" w:rsidP="00B10D3A">
            <w:pPr>
              <w:tabs>
                <w:tab w:val="decimal" w:pos="192"/>
              </w:tabs>
            </w:pPr>
          </w:p>
        </w:tc>
        <w:tc>
          <w:tcPr>
            <w:tcW w:w="0" w:type="auto"/>
            <w:vAlign w:val="center"/>
          </w:tcPr>
          <w:p w:rsidR="00D9231F" w:rsidRPr="001D7F2C" w:rsidRDefault="00D9231F" w:rsidP="00B10D3A">
            <w:pPr>
              <w:tabs>
                <w:tab w:val="decimal" w:pos="278"/>
              </w:tabs>
            </w:pPr>
          </w:p>
        </w:tc>
        <w:tc>
          <w:tcPr>
            <w:tcW w:w="0" w:type="auto"/>
            <w:vAlign w:val="center"/>
          </w:tcPr>
          <w:p w:rsidR="00D9231F" w:rsidRPr="001D7F2C" w:rsidRDefault="00D9231F" w:rsidP="00B10D3A">
            <w:pPr>
              <w:tabs>
                <w:tab w:val="decimal" w:pos="156"/>
              </w:tabs>
            </w:pPr>
          </w:p>
        </w:tc>
        <w:tc>
          <w:tcPr>
            <w:tcW w:w="0" w:type="auto"/>
          </w:tcPr>
          <w:p w:rsidR="00D9231F" w:rsidRPr="001D7F2C" w:rsidRDefault="00D9231F" w:rsidP="00B10D3A">
            <w:pPr>
              <w:tabs>
                <w:tab w:val="decimal" w:pos="250"/>
              </w:tabs>
            </w:pPr>
          </w:p>
        </w:tc>
        <w:tc>
          <w:tcPr>
            <w:tcW w:w="0" w:type="auto"/>
            <w:vAlign w:val="center"/>
          </w:tcPr>
          <w:p w:rsidR="00D9231F" w:rsidRPr="001D7F2C" w:rsidRDefault="00D9231F" w:rsidP="00B10D3A">
            <w:pPr>
              <w:tabs>
                <w:tab w:val="decimal" w:pos="250"/>
              </w:tabs>
            </w:pPr>
          </w:p>
        </w:tc>
        <w:tc>
          <w:tcPr>
            <w:tcW w:w="0" w:type="auto"/>
            <w:vAlign w:val="center"/>
          </w:tcPr>
          <w:p w:rsidR="00D9231F" w:rsidRPr="001D7F2C" w:rsidRDefault="00D9231F" w:rsidP="00B10D3A">
            <w:pPr>
              <w:tabs>
                <w:tab w:val="decimal" w:pos="264"/>
              </w:tabs>
            </w:pPr>
          </w:p>
        </w:tc>
        <w:tc>
          <w:tcPr>
            <w:tcW w:w="0" w:type="auto"/>
            <w:vAlign w:val="center"/>
          </w:tcPr>
          <w:p w:rsidR="00D9231F" w:rsidRPr="001D7F2C" w:rsidRDefault="00D9231F" w:rsidP="00B10D3A">
            <w:pPr>
              <w:tabs>
                <w:tab w:val="decimal" w:pos="236"/>
              </w:tabs>
            </w:pPr>
          </w:p>
        </w:tc>
        <w:tc>
          <w:tcPr>
            <w:tcW w:w="0" w:type="auto"/>
          </w:tcPr>
          <w:p w:rsidR="00D9231F" w:rsidRPr="001D7F2C" w:rsidRDefault="00D9231F" w:rsidP="00B10D3A">
            <w:pPr>
              <w:tabs>
                <w:tab w:val="decimal" w:pos="208"/>
              </w:tabs>
            </w:pPr>
          </w:p>
        </w:tc>
        <w:tc>
          <w:tcPr>
            <w:tcW w:w="0" w:type="auto"/>
            <w:vAlign w:val="center"/>
          </w:tcPr>
          <w:p w:rsidR="00D9231F" w:rsidRPr="001D7F2C" w:rsidRDefault="00D9231F" w:rsidP="00B10D3A">
            <w:pPr>
              <w:tabs>
                <w:tab w:val="decimal" w:pos="208"/>
              </w:tabs>
            </w:pPr>
          </w:p>
        </w:tc>
        <w:tc>
          <w:tcPr>
            <w:tcW w:w="0" w:type="auto"/>
            <w:vAlign w:val="center"/>
          </w:tcPr>
          <w:p w:rsidR="00D9231F" w:rsidRPr="001D7F2C" w:rsidRDefault="00D9231F" w:rsidP="00B10D3A">
            <w:pPr>
              <w:tabs>
                <w:tab w:val="decimal" w:pos="249"/>
              </w:tabs>
            </w:pPr>
          </w:p>
        </w:tc>
        <w:tc>
          <w:tcPr>
            <w:tcW w:w="0" w:type="auto"/>
            <w:vAlign w:val="center"/>
          </w:tcPr>
          <w:p w:rsidR="00D9231F" w:rsidRPr="001D7F2C" w:rsidRDefault="00D9231F" w:rsidP="00B10D3A">
            <w:pPr>
              <w:tabs>
                <w:tab w:val="decimal" w:pos="165"/>
              </w:tabs>
            </w:pPr>
          </w:p>
        </w:tc>
      </w:tr>
      <w:tr w:rsidR="00D9231F" w:rsidRPr="001D7F2C" w:rsidTr="00B10D3A">
        <w:tc>
          <w:tcPr>
            <w:tcW w:w="0" w:type="auto"/>
          </w:tcPr>
          <w:p w:rsidR="00D9231F" w:rsidRPr="001D7F2C" w:rsidRDefault="00D9231F" w:rsidP="00B10D3A">
            <w:r w:rsidRPr="001D7F2C">
              <w:t>Child &amp; family characteristics</w:t>
            </w:r>
          </w:p>
        </w:tc>
        <w:tc>
          <w:tcPr>
            <w:tcW w:w="0" w:type="auto"/>
            <w:gridSpan w:val="3"/>
            <w:vAlign w:val="center"/>
          </w:tcPr>
          <w:p w:rsidR="00D9231F" w:rsidRPr="001D7F2C" w:rsidRDefault="00D9231F" w:rsidP="00B10D3A">
            <w:pPr>
              <w:tabs>
                <w:tab w:val="decimal" w:pos="156"/>
                <w:tab w:val="decimal" w:pos="192"/>
                <w:tab w:val="decimal" w:pos="278"/>
              </w:tabs>
            </w:pPr>
          </w:p>
        </w:tc>
        <w:tc>
          <w:tcPr>
            <w:tcW w:w="0" w:type="auto"/>
          </w:tcPr>
          <w:p w:rsidR="00D9231F" w:rsidRPr="001D7F2C" w:rsidRDefault="00D9231F" w:rsidP="00B10D3A">
            <w:pPr>
              <w:tabs>
                <w:tab w:val="decimal" w:pos="250"/>
              </w:tabs>
            </w:pPr>
          </w:p>
        </w:tc>
        <w:tc>
          <w:tcPr>
            <w:tcW w:w="0" w:type="auto"/>
            <w:vAlign w:val="center"/>
          </w:tcPr>
          <w:p w:rsidR="00D9231F" w:rsidRPr="001D7F2C" w:rsidRDefault="00D9231F" w:rsidP="00B10D3A">
            <w:pPr>
              <w:tabs>
                <w:tab w:val="decimal" w:pos="250"/>
              </w:tabs>
            </w:pPr>
          </w:p>
        </w:tc>
        <w:tc>
          <w:tcPr>
            <w:tcW w:w="0" w:type="auto"/>
            <w:vAlign w:val="center"/>
          </w:tcPr>
          <w:p w:rsidR="00D9231F" w:rsidRPr="001D7F2C" w:rsidRDefault="00D9231F" w:rsidP="00B10D3A">
            <w:pPr>
              <w:tabs>
                <w:tab w:val="decimal" w:pos="250"/>
              </w:tabs>
            </w:pPr>
          </w:p>
        </w:tc>
        <w:tc>
          <w:tcPr>
            <w:tcW w:w="0" w:type="auto"/>
            <w:vAlign w:val="center"/>
          </w:tcPr>
          <w:p w:rsidR="00D9231F" w:rsidRPr="001D7F2C" w:rsidRDefault="00D9231F" w:rsidP="00B10D3A">
            <w:pPr>
              <w:tabs>
                <w:tab w:val="decimal" w:pos="250"/>
              </w:tabs>
            </w:pPr>
          </w:p>
        </w:tc>
        <w:tc>
          <w:tcPr>
            <w:tcW w:w="0" w:type="auto"/>
          </w:tcPr>
          <w:p w:rsidR="00D9231F" w:rsidRPr="001D7F2C" w:rsidRDefault="00D9231F" w:rsidP="00B10D3A">
            <w:pPr>
              <w:tabs>
                <w:tab w:val="decimal" w:pos="165"/>
                <w:tab w:val="decimal" w:pos="208"/>
                <w:tab w:val="decimal" w:pos="249"/>
              </w:tabs>
            </w:pPr>
          </w:p>
        </w:tc>
        <w:tc>
          <w:tcPr>
            <w:tcW w:w="0" w:type="auto"/>
            <w:vAlign w:val="center"/>
          </w:tcPr>
          <w:p w:rsidR="00D9231F" w:rsidRPr="001D7F2C" w:rsidRDefault="00D9231F" w:rsidP="00B10D3A">
            <w:pPr>
              <w:tabs>
                <w:tab w:val="decimal" w:pos="165"/>
                <w:tab w:val="decimal" w:pos="208"/>
                <w:tab w:val="decimal" w:pos="249"/>
              </w:tabs>
            </w:pPr>
          </w:p>
        </w:tc>
        <w:tc>
          <w:tcPr>
            <w:tcW w:w="0" w:type="auto"/>
            <w:vAlign w:val="center"/>
          </w:tcPr>
          <w:p w:rsidR="00D9231F" w:rsidRPr="001D7F2C" w:rsidRDefault="00D9231F" w:rsidP="00B10D3A">
            <w:pPr>
              <w:tabs>
                <w:tab w:val="decimal" w:pos="165"/>
                <w:tab w:val="decimal" w:pos="208"/>
                <w:tab w:val="decimal" w:pos="249"/>
              </w:tabs>
            </w:pPr>
          </w:p>
        </w:tc>
        <w:tc>
          <w:tcPr>
            <w:tcW w:w="0" w:type="auto"/>
            <w:vAlign w:val="center"/>
          </w:tcPr>
          <w:p w:rsidR="00D9231F" w:rsidRPr="001D7F2C" w:rsidRDefault="00D9231F" w:rsidP="00B10D3A">
            <w:pPr>
              <w:tabs>
                <w:tab w:val="decimal" w:pos="165"/>
                <w:tab w:val="decimal" w:pos="208"/>
                <w:tab w:val="decimal" w:pos="249"/>
              </w:tabs>
            </w:pPr>
          </w:p>
        </w:tc>
      </w:tr>
      <w:tr w:rsidR="00D9231F" w:rsidRPr="001D7F2C" w:rsidTr="00B10D3A">
        <w:tc>
          <w:tcPr>
            <w:tcW w:w="0" w:type="auto"/>
          </w:tcPr>
          <w:p w:rsidR="00D9231F" w:rsidRPr="001D7F2C" w:rsidRDefault="00D9231F" w:rsidP="00B10D3A">
            <w:pPr>
              <w:ind w:left="180"/>
            </w:pPr>
            <w:r w:rsidRPr="001D7F2C">
              <w:t>Female (ref = male)</w:t>
            </w:r>
          </w:p>
        </w:tc>
        <w:tc>
          <w:tcPr>
            <w:tcW w:w="0" w:type="auto"/>
            <w:vAlign w:val="center"/>
          </w:tcPr>
          <w:p w:rsidR="00D9231F" w:rsidRPr="001D7F2C" w:rsidRDefault="00D9231F" w:rsidP="00B10D3A">
            <w:pPr>
              <w:tabs>
                <w:tab w:val="decimal" w:pos="192"/>
              </w:tabs>
            </w:pPr>
            <w:r>
              <w:t>.34</w:t>
            </w:r>
            <w:r w:rsidRPr="001D7F2C">
              <w:t>**</w:t>
            </w:r>
          </w:p>
        </w:tc>
        <w:tc>
          <w:tcPr>
            <w:tcW w:w="0" w:type="auto"/>
            <w:vAlign w:val="center"/>
          </w:tcPr>
          <w:p w:rsidR="00D9231F" w:rsidRPr="001D7F2C" w:rsidRDefault="00D9231F" w:rsidP="00B10D3A">
            <w:pPr>
              <w:tabs>
                <w:tab w:val="decimal" w:pos="278"/>
              </w:tabs>
            </w:pPr>
            <w:r w:rsidRPr="001D7F2C">
              <w:t>.</w:t>
            </w:r>
            <w:r>
              <w:t>12</w:t>
            </w:r>
          </w:p>
        </w:tc>
        <w:tc>
          <w:tcPr>
            <w:tcW w:w="0" w:type="auto"/>
            <w:vAlign w:val="center"/>
          </w:tcPr>
          <w:p w:rsidR="00D9231F" w:rsidRPr="001D7F2C" w:rsidRDefault="00D9231F" w:rsidP="00B10D3A">
            <w:pPr>
              <w:tabs>
                <w:tab w:val="decimal" w:pos="156"/>
              </w:tabs>
            </w:pPr>
            <w:r>
              <w:t>1</w:t>
            </w:r>
            <w:r w:rsidRPr="001D7F2C">
              <w:t>.</w:t>
            </w:r>
            <w:r>
              <w:t>41</w:t>
            </w:r>
          </w:p>
        </w:tc>
        <w:tc>
          <w:tcPr>
            <w:tcW w:w="0" w:type="auto"/>
          </w:tcPr>
          <w:p w:rsidR="00D9231F" w:rsidRDefault="00D9231F" w:rsidP="00B10D3A">
            <w:pPr>
              <w:tabs>
                <w:tab w:val="decimal" w:pos="250"/>
              </w:tabs>
            </w:pPr>
          </w:p>
        </w:tc>
        <w:tc>
          <w:tcPr>
            <w:tcW w:w="0" w:type="auto"/>
            <w:vAlign w:val="center"/>
          </w:tcPr>
          <w:p w:rsidR="00D9231F" w:rsidRPr="001D7F2C" w:rsidRDefault="00D9231F" w:rsidP="00B10D3A">
            <w:pPr>
              <w:tabs>
                <w:tab w:val="decimal" w:pos="250"/>
              </w:tabs>
            </w:pPr>
            <w:r>
              <w:t>.34</w:t>
            </w:r>
            <w:r w:rsidRPr="001D7F2C">
              <w:t>**</w:t>
            </w:r>
          </w:p>
        </w:tc>
        <w:tc>
          <w:tcPr>
            <w:tcW w:w="0" w:type="auto"/>
            <w:vAlign w:val="center"/>
          </w:tcPr>
          <w:p w:rsidR="00D9231F" w:rsidRPr="001D7F2C" w:rsidRDefault="00D9231F" w:rsidP="00B10D3A">
            <w:pPr>
              <w:tabs>
                <w:tab w:val="decimal" w:pos="264"/>
              </w:tabs>
            </w:pPr>
            <w:r w:rsidRPr="001D7F2C">
              <w:t>.</w:t>
            </w:r>
            <w:r>
              <w:t>12</w:t>
            </w:r>
          </w:p>
        </w:tc>
        <w:tc>
          <w:tcPr>
            <w:tcW w:w="0" w:type="auto"/>
            <w:vAlign w:val="center"/>
          </w:tcPr>
          <w:p w:rsidR="00D9231F" w:rsidRPr="001D7F2C" w:rsidRDefault="00D9231F" w:rsidP="00B10D3A">
            <w:pPr>
              <w:tabs>
                <w:tab w:val="decimal" w:pos="236"/>
              </w:tabs>
            </w:pPr>
            <w:r>
              <w:t>1</w:t>
            </w:r>
            <w:r w:rsidRPr="001D7F2C">
              <w:t>.</w:t>
            </w:r>
            <w:r>
              <w:t>41</w:t>
            </w:r>
          </w:p>
        </w:tc>
        <w:tc>
          <w:tcPr>
            <w:tcW w:w="0" w:type="auto"/>
          </w:tcPr>
          <w:p w:rsidR="00D9231F" w:rsidRDefault="00D9231F" w:rsidP="00B10D3A">
            <w:pPr>
              <w:tabs>
                <w:tab w:val="decimal" w:pos="208"/>
              </w:tabs>
            </w:pPr>
          </w:p>
        </w:tc>
        <w:tc>
          <w:tcPr>
            <w:tcW w:w="0" w:type="auto"/>
            <w:vAlign w:val="center"/>
          </w:tcPr>
          <w:p w:rsidR="00D9231F" w:rsidRPr="001D7F2C" w:rsidRDefault="00D9231F" w:rsidP="00B10D3A">
            <w:pPr>
              <w:tabs>
                <w:tab w:val="decimal" w:pos="208"/>
              </w:tabs>
            </w:pPr>
            <w:r>
              <w:t>.34</w:t>
            </w:r>
            <w:r w:rsidR="007E2CC8">
              <w:t>**</w:t>
            </w:r>
          </w:p>
        </w:tc>
        <w:tc>
          <w:tcPr>
            <w:tcW w:w="0" w:type="auto"/>
            <w:vAlign w:val="center"/>
          </w:tcPr>
          <w:p w:rsidR="00D9231F" w:rsidRPr="001D7F2C" w:rsidRDefault="00D9231F" w:rsidP="00B10D3A">
            <w:pPr>
              <w:tabs>
                <w:tab w:val="decimal" w:pos="249"/>
              </w:tabs>
            </w:pPr>
            <w:r>
              <w:t>.12</w:t>
            </w:r>
          </w:p>
        </w:tc>
        <w:tc>
          <w:tcPr>
            <w:tcW w:w="0" w:type="auto"/>
            <w:vAlign w:val="center"/>
          </w:tcPr>
          <w:p w:rsidR="00D9231F" w:rsidRPr="001D7F2C" w:rsidRDefault="00D9231F" w:rsidP="00B10D3A">
            <w:pPr>
              <w:tabs>
                <w:tab w:val="decimal" w:pos="165"/>
              </w:tabs>
            </w:pPr>
            <w:r>
              <w:t>1</w:t>
            </w:r>
            <w:r w:rsidRPr="001D7F2C">
              <w:t>.</w:t>
            </w:r>
            <w:r>
              <w:t>41</w:t>
            </w:r>
          </w:p>
        </w:tc>
      </w:tr>
      <w:tr w:rsidR="00D9231F" w:rsidRPr="001D7F2C" w:rsidTr="00B10D3A">
        <w:tc>
          <w:tcPr>
            <w:tcW w:w="0" w:type="auto"/>
          </w:tcPr>
          <w:p w:rsidR="00D9231F" w:rsidRPr="001D7F2C" w:rsidRDefault="00D9231F" w:rsidP="00B10D3A">
            <w:pPr>
              <w:ind w:left="180"/>
            </w:pPr>
            <w:r w:rsidRPr="001D7F2C">
              <w:t>Age at beginning</w:t>
            </w:r>
          </w:p>
        </w:tc>
        <w:tc>
          <w:tcPr>
            <w:tcW w:w="0" w:type="auto"/>
            <w:vAlign w:val="center"/>
          </w:tcPr>
          <w:p w:rsidR="00D9231F" w:rsidRPr="001D7F2C" w:rsidRDefault="00D9231F" w:rsidP="00B10D3A">
            <w:pPr>
              <w:tabs>
                <w:tab w:val="decimal" w:pos="192"/>
              </w:tabs>
            </w:pPr>
            <w:r>
              <w:t>.23</w:t>
            </w:r>
            <w:r w:rsidRPr="001D7F2C">
              <w:t>***</w:t>
            </w:r>
          </w:p>
        </w:tc>
        <w:tc>
          <w:tcPr>
            <w:tcW w:w="0" w:type="auto"/>
            <w:vAlign w:val="center"/>
          </w:tcPr>
          <w:p w:rsidR="00D9231F" w:rsidRPr="001D7F2C" w:rsidRDefault="00D9231F" w:rsidP="00B10D3A">
            <w:pPr>
              <w:tabs>
                <w:tab w:val="decimal" w:pos="278"/>
              </w:tabs>
            </w:pPr>
            <w:r w:rsidRPr="001D7F2C">
              <w:t>.</w:t>
            </w:r>
            <w:r>
              <w:t>06</w:t>
            </w:r>
          </w:p>
        </w:tc>
        <w:tc>
          <w:tcPr>
            <w:tcW w:w="0" w:type="auto"/>
            <w:vAlign w:val="center"/>
          </w:tcPr>
          <w:p w:rsidR="00D9231F" w:rsidRPr="001D7F2C" w:rsidRDefault="00D9231F" w:rsidP="00B10D3A">
            <w:pPr>
              <w:tabs>
                <w:tab w:val="decimal" w:pos="156"/>
              </w:tabs>
            </w:pPr>
            <w:r>
              <w:t>1</w:t>
            </w:r>
            <w:r w:rsidRPr="001D7F2C">
              <w:t>.</w:t>
            </w:r>
            <w:r>
              <w:t>26</w:t>
            </w:r>
          </w:p>
        </w:tc>
        <w:tc>
          <w:tcPr>
            <w:tcW w:w="0" w:type="auto"/>
          </w:tcPr>
          <w:p w:rsidR="00D9231F" w:rsidRDefault="00D9231F" w:rsidP="00B10D3A">
            <w:pPr>
              <w:tabs>
                <w:tab w:val="decimal" w:pos="250"/>
              </w:tabs>
            </w:pPr>
          </w:p>
        </w:tc>
        <w:tc>
          <w:tcPr>
            <w:tcW w:w="0" w:type="auto"/>
            <w:vAlign w:val="center"/>
          </w:tcPr>
          <w:p w:rsidR="00D9231F" w:rsidRPr="001D7F2C" w:rsidRDefault="00D9231F" w:rsidP="00B10D3A">
            <w:pPr>
              <w:tabs>
                <w:tab w:val="decimal" w:pos="250"/>
              </w:tabs>
            </w:pPr>
            <w:r>
              <w:t>.22</w:t>
            </w:r>
            <w:r w:rsidRPr="001D7F2C">
              <w:t>***</w:t>
            </w:r>
          </w:p>
        </w:tc>
        <w:tc>
          <w:tcPr>
            <w:tcW w:w="0" w:type="auto"/>
            <w:vAlign w:val="center"/>
          </w:tcPr>
          <w:p w:rsidR="00D9231F" w:rsidRPr="001D7F2C" w:rsidRDefault="00D9231F" w:rsidP="00B10D3A">
            <w:pPr>
              <w:tabs>
                <w:tab w:val="decimal" w:pos="264"/>
              </w:tabs>
            </w:pPr>
            <w:r w:rsidRPr="001D7F2C">
              <w:t>.</w:t>
            </w:r>
            <w:r>
              <w:t>06</w:t>
            </w:r>
          </w:p>
        </w:tc>
        <w:tc>
          <w:tcPr>
            <w:tcW w:w="0" w:type="auto"/>
            <w:vAlign w:val="center"/>
          </w:tcPr>
          <w:p w:rsidR="00D9231F" w:rsidRPr="001D7F2C" w:rsidRDefault="00D9231F" w:rsidP="00B10D3A">
            <w:pPr>
              <w:tabs>
                <w:tab w:val="decimal" w:pos="236"/>
              </w:tabs>
            </w:pPr>
            <w:r>
              <w:t>1</w:t>
            </w:r>
            <w:r w:rsidRPr="001D7F2C">
              <w:t>.</w:t>
            </w:r>
            <w:r>
              <w:t>25</w:t>
            </w:r>
          </w:p>
        </w:tc>
        <w:tc>
          <w:tcPr>
            <w:tcW w:w="0" w:type="auto"/>
          </w:tcPr>
          <w:p w:rsidR="00D9231F" w:rsidRDefault="00D9231F" w:rsidP="00B10D3A">
            <w:pPr>
              <w:tabs>
                <w:tab w:val="decimal" w:pos="208"/>
              </w:tabs>
            </w:pPr>
          </w:p>
        </w:tc>
        <w:tc>
          <w:tcPr>
            <w:tcW w:w="0" w:type="auto"/>
            <w:vAlign w:val="center"/>
          </w:tcPr>
          <w:p w:rsidR="00D9231F" w:rsidRPr="001D7F2C" w:rsidRDefault="00D9231F" w:rsidP="00B10D3A">
            <w:pPr>
              <w:tabs>
                <w:tab w:val="decimal" w:pos="208"/>
              </w:tabs>
            </w:pPr>
            <w:r>
              <w:t>.22</w:t>
            </w:r>
            <w:r w:rsidR="007E2CC8">
              <w:t>***</w:t>
            </w:r>
          </w:p>
        </w:tc>
        <w:tc>
          <w:tcPr>
            <w:tcW w:w="0" w:type="auto"/>
            <w:vAlign w:val="center"/>
          </w:tcPr>
          <w:p w:rsidR="00D9231F" w:rsidRPr="001D7F2C" w:rsidRDefault="00D9231F" w:rsidP="007E2CC8">
            <w:pPr>
              <w:tabs>
                <w:tab w:val="decimal" w:pos="249"/>
              </w:tabs>
            </w:pPr>
            <w:r>
              <w:t>.06</w:t>
            </w:r>
          </w:p>
        </w:tc>
        <w:tc>
          <w:tcPr>
            <w:tcW w:w="0" w:type="auto"/>
            <w:vAlign w:val="center"/>
          </w:tcPr>
          <w:p w:rsidR="00D9231F" w:rsidRPr="001D7F2C" w:rsidRDefault="00D9231F" w:rsidP="00B10D3A">
            <w:pPr>
              <w:tabs>
                <w:tab w:val="decimal" w:pos="165"/>
              </w:tabs>
            </w:pPr>
            <w:r>
              <w:t>1</w:t>
            </w:r>
            <w:r w:rsidRPr="001D7F2C">
              <w:t>.</w:t>
            </w:r>
            <w:r>
              <w:t>25</w:t>
            </w:r>
          </w:p>
        </w:tc>
      </w:tr>
      <w:tr w:rsidR="00D9231F" w:rsidRPr="001D7F2C" w:rsidTr="00B10D3A">
        <w:tc>
          <w:tcPr>
            <w:tcW w:w="0" w:type="auto"/>
          </w:tcPr>
          <w:p w:rsidR="00D9231F" w:rsidRPr="001D7F2C" w:rsidRDefault="00D9231F" w:rsidP="00B10D3A">
            <w:pPr>
              <w:ind w:left="180"/>
            </w:pPr>
            <w:r w:rsidRPr="001D7F2C">
              <w:t>Non-Dutch ethnicity</w:t>
            </w:r>
          </w:p>
        </w:tc>
        <w:tc>
          <w:tcPr>
            <w:tcW w:w="0" w:type="auto"/>
            <w:vAlign w:val="center"/>
          </w:tcPr>
          <w:p w:rsidR="00D9231F" w:rsidRPr="001D7F2C" w:rsidRDefault="00D9231F" w:rsidP="00B10D3A">
            <w:pPr>
              <w:tabs>
                <w:tab w:val="decimal" w:pos="192"/>
              </w:tabs>
            </w:pPr>
            <w:r w:rsidRPr="001D7F2C">
              <w:t>.</w:t>
            </w:r>
            <w:r>
              <w:t>01</w:t>
            </w:r>
          </w:p>
        </w:tc>
        <w:tc>
          <w:tcPr>
            <w:tcW w:w="0" w:type="auto"/>
            <w:vAlign w:val="center"/>
          </w:tcPr>
          <w:p w:rsidR="00D9231F" w:rsidRPr="001D7F2C" w:rsidRDefault="00D9231F" w:rsidP="00B10D3A">
            <w:pPr>
              <w:tabs>
                <w:tab w:val="decimal" w:pos="278"/>
              </w:tabs>
            </w:pPr>
            <w:r w:rsidRPr="001D7F2C">
              <w:t>.</w:t>
            </w:r>
            <w:r>
              <w:t>22</w:t>
            </w:r>
          </w:p>
        </w:tc>
        <w:tc>
          <w:tcPr>
            <w:tcW w:w="0" w:type="auto"/>
            <w:vAlign w:val="center"/>
          </w:tcPr>
          <w:p w:rsidR="00D9231F" w:rsidRPr="001D7F2C" w:rsidRDefault="00D9231F" w:rsidP="00B10D3A">
            <w:pPr>
              <w:tabs>
                <w:tab w:val="decimal" w:pos="156"/>
              </w:tabs>
            </w:pPr>
            <w:r>
              <w:t>1</w:t>
            </w:r>
            <w:r w:rsidRPr="001D7F2C">
              <w:t>.</w:t>
            </w:r>
            <w:r>
              <w:t>01</w:t>
            </w:r>
          </w:p>
        </w:tc>
        <w:tc>
          <w:tcPr>
            <w:tcW w:w="0" w:type="auto"/>
          </w:tcPr>
          <w:p w:rsidR="00D9231F" w:rsidRPr="001D7F2C" w:rsidRDefault="00D9231F" w:rsidP="00B10D3A">
            <w:pPr>
              <w:tabs>
                <w:tab w:val="decimal" w:pos="250"/>
              </w:tabs>
            </w:pPr>
          </w:p>
        </w:tc>
        <w:tc>
          <w:tcPr>
            <w:tcW w:w="0" w:type="auto"/>
            <w:vAlign w:val="center"/>
          </w:tcPr>
          <w:p w:rsidR="00D9231F" w:rsidRPr="001D7F2C" w:rsidRDefault="00D9231F" w:rsidP="00B10D3A">
            <w:pPr>
              <w:tabs>
                <w:tab w:val="decimal" w:pos="250"/>
              </w:tabs>
            </w:pPr>
            <w:r w:rsidRPr="001D7F2C">
              <w:t>.</w:t>
            </w:r>
            <w:r>
              <w:t>04</w:t>
            </w:r>
          </w:p>
        </w:tc>
        <w:tc>
          <w:tcPr>
            <w:tcW w:w="0" w:type="auto"/>
            <w:vAlign w:val="center"/>
          </w:tcPr>
          <w:p w:rsidR="00D9231F" w:rsidRPr="001D7F2C" w:rsidRDefault="00D9231F" w:rsidP="00B10D3A">
            <w:pPr>
              <w:tabs>
                <w:tab w:val="decimal" w:pos="264"/>
              </w:tabs>
            </w:pPr>
            <w:r w:rsidRPr="001D7F2C">
              <w:t>.</w:t>
            </w:r>
            <w:r>
              <w:t>22</w:t>
            </w:r>
          </w:p>
        </w:tc>
        <w:tc>
          <w:tcPr>
            <w:tcW w:w="0" w:type="auto"/>
            <w:vAlign w:val="center"/>
          </w:tcPr>
          <w:p w:rsidR="00D9231F" w:rsidRPr="001D7F2C" w:rsidRDefault="00D9231F" w:rsidP="00B10D3A">
            <w:pPr>
              <w:tabs>
                <w:tab w:val="decimal" w:pos="236"/>
              </w:tabs>
            </w:pPr>
            <w:r>
              <w:t>1</w:t>
            </w:r>
            <w:r w:rsidRPr="001D7F2C">
              <w:t>.</w:t>
            </w:r>
            <w:r>
              <w:t>04</w:t>
            </w:r>
          </w:p>
        </w:tc>
        <w:tc>
          <w:tcPr>
            <w:tcW w:w="0" w:type="auto"/>
          </w:tcPr>
          <w:p w:rsidR="00D9231F" w:rsidRDefault="00D9231F" w:rsidP="00B10D3A">
            <w:pPr>
              <w:tabs>
                <w:tab w:val="decimal" w:pos="208"/>
              </w:tabs>
            </w:pPr>
          </w:p>
        </w:tc>
        <w:tc>
          <w:tcPr>
            <w:tcW w:w="0" w:type="auto"/>
            <w:vAlign w:val="center"/>
          </w:tcPr>
          <w:p w:rsidR="00D9231F" w:rsidRPr="001D7F2C" w:rsidRDefault="00D9231F" w:rsidP="00B10D3A">
            <w:pPr>
              <w:tabs>
                <w:tab w:val="decimal" w:pos="208"/>
              </w:tabs>
            </w:pPr>
            <w:r>
              <w:t>.01</w:t>
            </w:r>
          </w:p>
        </w:tc>
        <w:tc>
          <w:tcPr>
            <w:tcW w:w="0" w:type="auto"/>
            <w:vAlign w:val="center"/>
          </w:tcPr>
          <w:p w:rsidR="00D9231F" w:rsidRPr="001D7F2C" w:rsidRDefault="00D9231F" w:rsidP="00B10D3A">
            <w:pPr>
              <w:tabs>
                <w:tab w:val="decimal" w:pos="249"/>
              </w:tabs>
            </w:pPr>
            <w:r>
              <w:t>.22</w:t>
            </w:r>
          </w:p>
        </w:tc>
        <w:tc>
          <w:tcPr>
            <w:tcW w:w="0" w:type="auto"/>
            <w:vAlign w:val="center"/>
          </w:tcPr>
          <w:p w:rsidR="00D9231F" w:rsidRPr="001D7F2C" w:rsidRDefault="00D9231F" w:rsidP="00B10D3A">
            <w:pPr>
              <w:tabs>
                <w:tab w:val="decimal" w:pos="165"/>
              </w:tabs>
            </w:pPr>
            <w:r>
              <w:t>1</w:t>
            </w:r>
            <w:r w:rsidRPr="001D7F2C">
              <w:t>.</w:t>
            </w:r>
            <w:r>
              <w:t>01</w:t>
            </w:r>
          </w:p>
        </w:tc>
      </w:tr>
      <w:tr w:rsidR="00D9231F" w:rsidRPr="001D7F2C" w:rsidTr="00B10D3A">
        <w:tc>
          <w:tcPr>
            <w:tcW w:w="0" w:type="auto"/>
          </w:tcPr>
          <w:p w:rsidR="00D9231F" w:rsidRPr="001D7F2C" w:rsidRDefault="00D9231F" w:rsidP="00B94877">
            <w:pPr>
              <w:ind w:left="180"/>
            </w:pPr>
            <w:r>
              <w:t>Father middle &amp;</w:t>
            </w:r>
            <w:r w:rsidRPr="001D7F2C">
              <w:t xml:space="preserve"> high ed (</w:t>
            </w:r>
            <w:r w:rsidR="00B94877">
              <w:t xml:space="preserve">vs. </w:t>
            </w:r>
            <w:r w:rsidRPr="001D7F2C">
              <w:t>low)</w:t>
            </w:r>
          </w:p>
        </w:tc>
        <w:tc>
          <w:tcPr>
            <w:tcW w:w="0" w:type="auto"/>
            <w:vAlign w:val="center"/>
          </w:tcPr>
          <w:p w:rsidR="00D9231F" w:rsidRPr="001D7F2C" w:rsidRDefault="00D9231F" w:rsidP="00B10D3A">
            <w:pPr>
              <w:tabs>
                <w:tab w:val="decimal" w:pos="192"/>
              </w:tabs>
            </w:pPr>
            <w:r>
              <w:t>-.29</w:t>
            </w:r>
            <w:r w:rsidRPr="00F23A78">
              <w:rPr>
                <w:sz w:val="22"/>
                <w:szCs w:val="22"/>
                <w:vertAlign w:val="superscript"/>
              </w:rPr>
              <w:t>†</w:t>
            </w:r>
          </w:p>
        </w:tc>
        <w:tc>
          <w:tcPr>
            <w:tcW w:w="0" w:type="auto"/>
            <w:vAlign w:val="center"/>
          </w:tcPr>
          <w:p w:rsidR="00D9231F" w:rsidRPr="001D7F2C" w:rsidRDefault="00D9231F" w:rsidP="00B10D3A">
            <w:pPr>
              <w:tabs>
                <w:tab w:val="decimal" w:pos="278"/>
              </w:tabs>
            </w:pPr>
            <w:r w:rsidRPr="001D7F2C">
              <w:t>.</w:t>
            </w:r>
            <w:r>
              <w:t>16</w:t>
            </w:r>
          </w:p>
        </w:tc>
        <w:tc>
          <w:tcPr>
            <w:tcW w:w="0" w:type="auto"/>
            <w:vAlign w:val="center"/>
          </w:tcPr>
          <w:p w:rsidR="00D9231F" w:rsidRPr="001D7F2C" w:rsidRDefault="00D9231F" w:rsidP="00B10D3A">
            <w:pPr>
              <w:tabs>
                <w:tab w:val="decimal" w:pos="156"/>
              </w:tabs>
            </w:pPr>
            <w:r w:rsidRPr="001D7F2C">
              <w:t>.</w:t>
            </w:r>
            <w:r>
              <w:t>75</w:t>
            </w:r>
          </w:p>
        </w:tc>
        <w:tc>
          <w:tcPr>
            <w:tcW w:w="0" w:type="auto"/>
          </w:tcPr>
          <w:p w:rsidR="00D9231F" w:rsidRPr="001D7F2C" w:rsidRDefault="00D9231F" w:rsidP="00B10D3A">
            <w:pPr>
              <w:tabs>
                <w:tab w:val="decimal" w:pos="250"/>
              </w:tabs>
            </w:pPr>
          </w:p>
        </w:tc>
        <w:tc>
          <w:tcPr>
            <w:tcW w:w="0" w:type="auto"/>
            <w:vAlign w:val="center"/>
          </w:tcPr>
          <w:p w:rsidR="00D9231F" w:rsidRPr="001D7F2C" w:rsidRDefault="00D9231F" w:rsidP="00B10D3A">
            <w:pPr>
              <w:tabs>
                <w:tab w:val="decimal" w:pos="250"/>
              </w:tabs>
            </w:pPr>
            <w:r w:rsidRPr="001D7F2C">
              <w:t>-</w:t>
            </w:r>
            <w:r>
              <w:t>.25</w:t>
            </w:r>
          </w:p>
        </w:tc>
        <w:tc>
          <w:tcPr>
            <w:tcW w:w="0" w:type="auto"/>
            <w:vAlign w:val="center"/>
          </w:tcPr>
          <w:p w:rsidR="00D9231F" w:rsidRPr="001D7F2C" w:rsidRDefault="00D9231F" w:rsidP="00B10D3A">
            <w:pPr>
              <w:tabs>
                <w:tab w:val="decimal" w:pos="264"/>
              </w:tabs>
            </w:pPr>
            <w:r w:rsidRPr="001D7F2C">
              <w:t>.</w:t>
            </w:r>
            <w:r>
              <w:t>16</w:t>
            </w:r>
          </w:p>
        </w:tc>
        <w:tc>
          <w:tcPr>
            <w:tcW w:w="0" w:type="auto"/>
            <w:vAlign w:val="center"/>
          </w:tcPr>
          <w:p w:rsidR="00D9231F" w:rsidRPr="001D7F2C" w:rsidRDefault="00D9231F" w:rsidP="00B10D3A">
            <w:pPr>
              <w:tabs>
                <w:tab w:val="decimal" w:pos="236"/>
              </w:tabs>
            </w:pPr>
            <w:r w:rsidRPr="001D7F2C">
              <w:t>.</w:t>
            </w:r>
            <w:r>
              <w:t>78</w:t>
            </w:r>
          </w:p>
        </w:tc>
        <w:tc>
          <w:tcPr>
            <w:tcW w:w="0" w:type="auto"/>
          </w:tcPr>
          <w:p w:rsidR="00D9231F" w:rsidRDefault="00D9231F" w:rsidP="00B10D3A">
            <w:pPr>
              <w:tabs>
                <w:tab w:val="decimal" w:pos="208"/>
              </w:tabs>
            </w:pPr>
          </w:p>
        </w:tc>
        <w:tc>
          <w:tcPr>
            <w:tcW w:w="0" w:type="auto"/>
            <w:vAlign w:val="center"/>
          </w:tcPr>
          <w:p w:rsidR="00D9231F" w:rsidRPr="001D7F2C" w:rsidRDefault="00D9231F" w:rsidP="00B10D3A">
            <w:pPr>
              <w:tabs>
                <w:tab w:val="decimal" w:pos="208"/>
              </w:tabs>
            </w:pPr>
            <w:r>
              <w:t>-.27</w:t>
            </w:r>
          </w:p>
        </w:tc>
        <w:tc>
          <w:tcPr>
            <w:tcW w:w="0" w:type="auto"/>
            <w:vAlign w:val="center"/>
          </w:tcPr>
          <w:p w:rsidR="00D9231F" w:rsidRPr="001D7F2C" w:rsidRDefault="00D9231F" w:rsidP="00B10D3A">
            <w:pPr>
              <w:tabs>
                <w:tab w:val="decimal" w:pos="249"/>
              </w:tabs>
            </w:pPr>
            <w:r>
              <w:t>.16</w:t>
            </w:r>
          </w:p>
        </w:tc>
        <w:tc>
          <w:tcPr>
            <w:tcW w:w="0" w:type="auto"/>
            <w:vAlign w:val="center"/>
          </w:tcPr>
          <w:p w:rsidR="00D9231F" w:rsidRPr="001D7F2C" w:rsidRDefault="00D9231F" w:rsidP="00B10D3A">
            <w:pPr>
              <w:tabs>
                <w:tab w:val="decimal" w:pos="165"/>
              </w:tabs>
            </w:pPr>
            <w:r w:rsidRPr="001D7F2C">
              <w:t>.</w:t>
            </w:r>
            <w:r>
              <w:t>76</w:t>
            </w:r>
          </w:p>
        </w:tc>
      </w:tr>
      <w:tr w:rsidR="00D9231F" w:rsidRPr="001D7F2C" w:rsidTr="00B10D3A">
        <w:tc>
          <w:tcPr>
            <w:tcW w:w="0" w:type="auto"/>
          </w:tcPr>
          <w:p w:rsidR="00D9231F" w:rsidRPr="001D7F2C" w:rsidRDefault="00D9231F" w:rsidP="00B94877">
            <w:pPr>
              <w:ind w:left="180"/>
            </w:pPr>
            <w:r w:rsidRPr="001D7F2C">
              <w:t>Father high ed (</w:t>
            </w:r>
            <w:r w:rsidR="00B94877">
              <w:t xml:space="preserve">vs. </w:t>
            </w:r>
            <w:r w:rsidRPr="001D7F2C">
              <w:t>low &amp; middle)</w:t>
            </w:r>
          </w:p>
        </w:tc>
        <w:tc>
          <w:tcPr>
            <w:tcW w:w="0" w:type="auto"/>
            <w:vAlign w:val="center"/>
          </w:tcPr>
          <w:p w:rsidR="00D9231F" w:rsidRPr="001D7F2C" w:rsidRDefault="00D9231F" w:rsidP="00B10D3A">
            <w:pPr>
              <w:tabs>
                <w:tab w:val="decimal" w:pos="192"/>
              </w:tabs>
            </w:pPr>
            <w:r>
              <w:t>-.38</w:t>
            </w:r>
            <w:r w:rsidRPr="001D7F2C">
              <w:t>**</w:t>
            </w:r>
          </w:p>
        </w:tc>
        <w:tc>
          <w:tcPr>
            <w:tcW w:w="0" w:type="auto"/>
            <w:vAlign w:val="center"/>
          </w:tcPr>
          <w:p w:rsidR="00D9231F" w:rsidRPr="001D7F2C" w:rsidRDefault="00D9231F" w:rsidP="00B10D3A">
            <w:pPr>
              <w:tabs>
                <w:tab w:val="decimal" w:pos="278"/>
              </w:tabs>
            </w:pPr>
            <w:r w:rsidRPr="001D7F2C">
              <w:t>.</w:t>
            </w:r>
            <w:r>
              <w:t>14</w:t>
            </w:r>
          </w:p>
        </w:tc>
        <w:tc>
          <w:tcPr>
            <w:tcW w:w="0" w:type="auto"/>
            <w:vAlign w:val="center"/>
          </w:tcPr>
          <w:p w:rsidR="00D9231F" w:rsidRPr="001D7F2C" w:rsidRDefault="00D9231F" w:rsidP="00B10D3A">
            <w:pPr>
              <w:tabs>
                <w:tab w:val="decimal" w:pos="156"/>
              </w:tabs>
            </w:pPr>
            <w:r w:rsidRPr="001D7F2C">
              <w:t>.</w:t>
            </w:r>
            <w:r>
              <w:t>69</w:t>
            </w:r>
          </w:p>
        </w:tc>
        <w:tc>
          <w:tcPr>
            <w:tcW w:w="0" w:type="auto"/>
          </w:tcPr>
          <w:p w:rsidR="00D9231F" w:rsidRPr="001D7F2C" w:rsidRDefault="00D9231F" w:rsidP="00B10D3A">
            <w:pPr>
              <w:tabs>
                <w:tab w:val="decimal" w:pos="250"/>
              </w:tabs>
            </w:pPr>
          </w:p>
        </w:tc>
        <w:tc>
          <w:tcPr>
            <w:tcW w:w="0" w:type="auto"/>
            <w:vAlign w:val="center"/>
          </w:tcPr>
          <w:p w:rsidR="00D9231F" w:rsidRPr="001D7F2C" w:rsidRDefault="00D9231F" w:rsidP="00B10D3A">
            <w:pPr>
              <w:tabs>
                <w:tab w:val="decimal" w:pos="250"/>
              </w:tabs>
            </w:pPr>
            <w:r w:rsidRPr="001D7F2C">
              <w:t>-</w:t>
            </w:r>
            <w:r>
              <w:t>.39</w:t>
            </w:r>
            <w:r w:rsidRPr="001D7F2C">
              <w:t>**</w:t>
            </w:r>
          </w:p>
        </w:tc>
        <w:tc>
          <w:tcPr>
            <w:tcW w:w="0" w:type="auto"/>
            <w:vAlign w:val="center"/>
          </w:tcPr>
          <w:p w:rsidR="00D9231F" w:rsidRPr="001D7F2C" w:rsidRDefault="00D9231F" w:rsidP="00B10D3A">
            <w:pPr>
              <w:tabs>
                <w:tab w:val="decimal" w:pos="264"/>
              </w:tabs>
            </w:pPr>
            <w:r w:rsidRPr="001D7F2C">
              <w:t>.</w:t>
            </w:r>
            <w:r>
              <w:t>14</w:t>
            </w:r>
          </w:p>
        </w:tc>
        <w:tc>
          <w:tcPr>
            <w:tcW w:w="0" w:type="auto"/>
            <w:vAlign w:val="center"/>
          </w:tcPr>
          <w:p w:rsidR="00D9231F" w:rsidRPr="001D7F2C" w:rsidRDefault="00D9231F" w:rsidP="00B10D3A">
            <w:pPr>
              <w:tabs>
                <w:tab w:val="decimal" w:pos="236"/>
              </w:tabs>
            </w:pPr>
            <w:r w:rsidRPr="001D7F2C">
              <w:t>.</w:t>
            </w:r>
            <w:r>
              <w:t>68</w:t>
            </w:r>
          </w:p>
        </w:tc>
        <w:tc>
          <w:tcPr>
            <w:tcW w:w="0" w:type="auto"/>
          </w:tcPr>
          <w:p w:rsidR="00D9231F" w:rsidRDefault="00D9231F" w:rsidP="00B10D3A">
            <w:pPr>
              <w:tabs>
                <w:tab w:val="decimal" w:pos="208"/>
              </w:tabs>
            </w:pPr>
          </w:p>
        </w:tc>
        <w:tc>
          <w:tcPr>
            <w:tcW w:w="0" w:type="auto"/>
            <w:vAlign w:val="center"/>
          </w:tcPr>
          <w:p w:rsidR="00D9231F" w:rsidRPr="001D7F2C" w:rsidRDefault="00D9231F" w:rsidP="00B10D3A">
            <w:pPr>
              <w:tabs>
                <w:tab w:val="decimal" w:pos="208"/>
              </w:tabs>
            </w:pPr>
            <w:r>
              <w:t>-.36</w:t>
            </w:r>
            <w:r w:rsidR="007E2CC8">
              <w:t>*</w:t>
            </w:r>
          </w:p>
        </w:tc>
        <w:tc>
          <w:tcPr>
            <w:tcW w:w="0" w:type="auto"/>
            <w:vAlign w:val="center"/>
          </w:tcPr>
          <w:p w:rsidR="00D9231F" w:rsidRPr="001D7F2C" w:rsidRDefault="00D9231F" w:rsidP="007E2CC8">
            <w:pPr>
              <w:tabs>
                <w:tab w:val="decimal" w:pos="249"/>
              </w:tabs>
            </w:pPr>
            <w:r>
              <w:t>.14</w:t>
            </w:r>
          </w:p>
        </w:tc>
        <w:tc>
          <w:tcPr>
            <w:tcW w:w="0" w:type="auto"/>
            <w:vAlign w:val="center"/>
          </w:tcPr>
          <w:p w:rsidR="00D9231F" w:rsidRPr="001D7F2C" w:rsidRDefault="00D9231F" w:rsidP="00B10D3A">
            <w:pPr>
              <w:tabs>
                <w:tab w:val="decimal" w:pos="165"/>
              </w:tabs>
            </w:pPr>
            <w:r w:rsidRPr="001D7F2C">
              <w:t>.</w:t>
            </w:r>
            <w:r>
              <w:t>70</w:t>
            </w:r>
          </w:p>
        </w:tc>
      </w:tr>
      <w:tr w:rsidR="00D9231F" w:rsidRPr="001D7F2C" w:rsidTr="00B10D3A">
        <w:tc>
          <w:tcPr>
            <w:tcW w:w="0" w:type="auto"/>
          </w:tcPr>
          <w:p w:rsidR="00D9231F" w:rsidRPr="001D7F2C" w:rsidRDefault="00D9231F" w:rsidP="00B10D3A">
            <w:pPr>
              <w:ind w:left="180"/>
            </w:pPr>
            <w:r w:rsidRPr="001D7F2C">
              <w:t>Family assessment device</w:t>
            </w:r>
          </w:p>
        </w:tc>
        <w:tc>
          <w:tcPr>
            <w:tcW w:w="0" w:type="auto"/>
            <w:vAlign w:val="center"/>
          </w:tcPr>
          <w:p w:rsidR="00D9231F" w:rsidRPr="001D7F2C" w:rsidRDefault="00D9231F" w:rsidP="00B10D3A">
            <w:pPr>
              <w:tabs>
                <w:tab w:val="decimal" w:pos="192"/>
              </w:tabs>
            </w:pPr>
            <w:r w:rsidRPr="001D7F2C">
              <w:t>.</w:t>
            </w:r>
            <w:r>
              <w:t>05</w:t>
            </w:r>
          </w:p>
        </w:tc>
        <w:tc>
          <w:tcPr>
            <w:tcW w:w="0" w:type="auto"/>
            <w:vAlign w:val="center"/>
          </w:tcPr>
          <w:p w:rsidR="00D9231F" w:rsidRPr="001D7F2C" w:rsidRDefault="00D9231F" w:rsidP="00B10D3A">
            <w:pPr>
              <w:tabs>
                <w:tab w:val="decimal" w:pos="278"/>
              </w:tabs>
            </w:pPr>
            <w:r w:rsidRPr="001D7F2C">
              <w:t>.</w:t>
            </w:r>
            <w:r>
              <w:t>06</w:t>
            </w:r>
          </w:p>
        </w:tc>
        <w:tc>
          <w:tcPr>
            <w:tcW w:w="0" w:type="auto"/>
            <w:vAlign w:val="center"/>
          </w:tcPr>
          <w:p w:rsidR="00D9231F" w:rsidRPr="001D7F2C" w:rsidRDefault="00D9231F" w:rsidP="00B10D3A">
            <w:pPr>
              <w:tabs>
                <w:tab w:val="decimal" w:pos="156"/>
              </w:tabs>
            </w:pPr>
            <w:r>
              <w:t>1</w:t>
            </w:r>
            <w:r w:rsidRPr="001D7F2C">
              <w:t>.</w:t>
            </w:r>
            <w:r>
              <w:t>06</w:t>
            </w:r>
          </w:p>
        </w:tc>
        <w:tc>
          <w:tcPr>
            <w:tcW w:w="0" w:type="auto"/>
          </w:tcPr>
          <w:p w:rsidR="00D9231F" w:rsidRPr="001D7F2C" w:rsidRDefault="00D9231F" w:rsidP="00B10D3A">
            <w:pPr>
              <w:tabs>
                <w:tab w:val="decimal" w:pos="250"/>
              </w:tabs>
            </w:pPr>
          </w:p>
        </w:tc>
        <w:tc>
          <w:tcPr>
            <w:tcW w:w="0" w:type="auto"/>
            <w:vAlign w:val="center"/>
          </w:tcPr>
          <w:p w:rsidR="00D9231F" w:rsidRPr="001D7F2C" w:rsidRDefault="00D9231F" w:rsidP="00B10D3A">
            <w:pPr>
              <w:tabs>
                <w:tab w:val="decimal" w:pos="250"/>
              </w:tabs>
            </w:pPr>
            <w:r w:rsidRPr="001D7F2C">
              <w:t>.</w:t>
            </w:r>
            <w:r>
              <w:t>03</w:t>
            </w:r>
          </w:p>
        </w:tc>
        <w:tc>
          <w:tcPr>
            <w:tcW w:w="0" w:type="auto"/>
            <w:vAlign w:val="center"/>
          </w:tcPr>
          <w:p w:rsidR="00D9231F" w:rsidRPr="001D7F2C" w:rsidRDefault="00D9231F" w:rsidP="00B10D3A">
            <w:pPr>
              <w:tabs>
                <w:tab w:val="decimal" w:pos="264"/>
              </w:tabs>
            </w:pPr>
            <w:r w:rsidRPr="001D7F2C">
              <w:t>.</w:t>
            </w:r>
            <w:r>
              <w:t>06</w:t>
            </w:r>
          </w:p>
        </w:tc>
        <w:tc>
          <w:tcPr>
            <w:tcW w:w="0" w:type="auto"/>
            <w:vAlign w:val="center"/>
          </w:tcPr>
          <w:p w:rsidR="00D9231F" w:rsidRPr="001D7F2C" w:rsidRDefault="00D9231F" w:rsidP="00B10D3A">
            <w:pPr>
              <w:tabs>
                <w:tab w:val="decimal" w:pos="236"/>
              </w:tabs>
            </w:pPr>
            <w:r>
              <w:t>1</w:t>
            </w:r>
            <w:r w:rsidRPr="001D7F2C">
              <w:t>.</w:t>
            </w:r>
            <w:r>
              <w:t>03</w:t>
            </w:r>
          </w:p>
        </w:tc>
        <w:tc>
          <w:tcPr>
            <w:tcW w:w="0" w:type="auto"/>
          </w:tcPr>
          <w:p w:rsidR="00D9231F" w:rsidRDefault="00D9231F" w:rsidP="00B10D3A">
            <w:pPr>
              <w:tabs>
                <w:tab w:val="decimal" w:pos="208"/>
              </w:tabs>
            </w:pPr>
          </w:p>
        </w:tc>
        <w:tc>
          <w:tcPr>
            <w:tcW w:w="0" w:type="auto"/>
            <w:vAlign w:val="center"/>
          </w:tcPr>
          <w:p w:rsidR="00D9231F" w:rsidRPr="001D7F2C" w:rsidRDefault="00D9231F" w:rsidP="00B10D3A">
            <w:pPr>
              <w:tabs>
                <w:tab w:val="decimal" w:pos="208"/>
              </w:tabs>
            </w:pPr>
            <w:r>
              <w:t>.03</w:t>
            </w:r>
          </w:p>
        </w:tc>
        <w:tc>
          <w:tcPr>
            <w:tcW w:w="0" w:type="auto"/>
            <w:vAlign w:val="center"/>
          </w:tcPr>
          <w:p w:rsidR="00D9231F" w:rsidRPr="001D7F2C" w:rsidRDefault="00D9231F" w:rsidP="00B10D3A">
            <w:pPr>
              <w:tabs>
                <w:tab w:val="decimal" w:pos="249"/>
              </w:tabs>
            </w:pPr>
            <w:r>
              <w:t>.06</w:t>
            </w:r>
          </w:p>
        </w:tc>
        <w:tc>
          <w:tcPr>
            <w:tcW w:w="0" w:type="auto"/>
            <w:vAlign w:val="center"/>
          </w:tcPr>
          <w:p w:rsidR="00D9231F" w:rsidRPr="001D7F2C" w:rsidRDefault="00D9231F" w:rsidP="00B10D3A">
            <w:pPr>
              <w:tabs>
                <w:tab w:val="decimal" w:pos="165"/>
              </w:tabs>
            </w:pPr>
            <w:r>
              <w:t>1</w:t>
            </w:r>
            <w:r w:rsidRPr="001D7F2C">
              <w:t>.</w:t>
            </w:r>
            <w:r>
              <w:t>03</w:t>
            </w:r>
          </w:p>
        </w:tc>
      </w:tr>
      <w:tr w:rsidR="00D9231F" w:rsidRPr="001D7F2C" w:rsidTr="00B10D3A">
        <w:tc>
          <w:tcPr>
            <w:tcW w:w="0" w:type="auto"/>
          </w:tcPr>
          <w:p w:rsidR="00D9231F" w:rsidRPr="001D7F2C" w:rsidRDefault="00D9231F" w:rsidP="00B10D3A">
            <w:r w:rsidRPr="001D7F2C">
              <w:t>Constant</w:t>
            </w:r>
          </w:p>
        </w:tc>
        <w:tc>
          <w:tcPr>
            <w:tcW w:w="0" w:type="auto"/>
            <w:vAlign w:val="center"/>
          </w:tcPr>
          <w:p w:rsidR="00D9231F" w:rsidRPr="001D7F2C" w:rsidRDefault="00D9231F" w:rsidP="00B10D3A">
            <w:pPr>
              <w:tabs>
                <w:tab w:val="decimal" w:pos="192"/>
              </w:tabs>
            </w:pPr>
            <w:r>
              <w:t>.56***</w:t>
            </w:r>
          </w:p>
        </w:tc>
        <w:tc>
          <w:tcPr>
            <w:tcW w:w="0" w:type="auto"/>
            <w:vAlign w:val="center"/>
          </w:tcPr>
          <w:p w:rsidR="00D9231F" w:rsidRPr="001D7F2C" w:rsidRDefault="00D9231F" w:rsidP="00B10D3A">
            <w:pPr>
              <w:tabs>
                <w:tab w:val="decimal" w:pos="278"/>
              </w:tabs>
            </w:pPr>
            <w:r>
              <w:t>.14</w:t>
            </w:r>
          </w:p>
        </w:tc>
        <w:tc>
          <w:tcPr>
            <w:tcW w:w="0" w:type="auto"/>
            <w:vAlign w:val="center"/>
          </w:tcPr>
          <w:p w:rsidR="00D9231F" w:rsidRPr="001D7F2C" w:rsidRDefault="00D9231F" w:rsidP="00B10D3A">
            <w:pPr>
              <w:tabs>
                <w:tab w:val="decimal" w:pos="156"/>
              </w:tabs>
            </w:pPr>
          </w:p>
        </w:tc>
        <w:tc>
          <w:tcPr>
            <w:tcW w:w="0" w:type="auto"/>
          </w:tcPr>
          <w:p w:rsidR="00D9231F" w:rsidRDefault="00D9231F" w:rsidP="00B10D3A">
            <w:pPr>
              <w:tabs>
                <w:tab w:val="decimal" w:pos="250"/>
              </w:tabs>
            </w:pPr>
          </w:p>
        </w:tc>
        <w:tc>
          <w:tcPr>
            <w:tcW w:w="0" w:type="auto"/>
            <w:vAlign w:val="center"/>
          </w:tcPr>
          <w:p w:rsidR="00D9231F" w:rsidRPr="001D7F2C" w:rsidRDefault="00D9231F" w:rsidP="00B10D3A">
            <w:pPr>
              <w:tabs>
                <w:tab w:val="decimal" w:pos="250"/>
              </w:tabs>
            </w:pPr>
            <w:r>
              <w:t>.47***</w:t>
            </w:r>
          </w:p>
        </w:tc>
        <w:tc>
          <w:tcPr>
            <w:tcW w:w="0" w:type="auto"/>
            <w:vAlign w:val="center"/>
          </w:tcPr>
          <w:p w:rsidR="00D9231F" w:rsidRPr="001D7F2C" w:rsidRDefault="00D9231F" w:rsidP="00B10D3A">
            <w:pPr>
              <w:tabs>
                <w:tab w:val="decimal" w:pos="264"/>
              </w:tabs>
            </w:pPr>
            <w:r>
              <w:t>.14</w:t>
            </w:r>
          </w:p>
        </w:tc>
        <w:tc>
          <w:tcPr>
            <w:tcW w:w="0" w:type="auto"/>
            <w:vAlign w:val="center"/>
          </w:tcPr>
          <w:p w:rsidR="00D9231F" w:rsidRPr="001D7F2C" w:rsidRDefault="00D9231F" w:rsidP="00B10D3A"/>
        </w:tc>
        <w:tc>
          <w:tcPr>
            <w:tcW w:w="0" w:type="auto"/>
          </w:tcPr>
          <w:p w:rsidR="00D9231F" w:rsidRDefault="00D9231F" w:rsidP="00B10D3A">
            <w:pPr>
              <w:tabs>
                <w:tab w:val="decimal" w:pos="208"/>
              </w:tabs>
            </w:pPr>
          </w:p>
        </w:tc>
        <w:tc>
          <w:tcPr>
            <w:tcW w:w="0" w:type="auto"/>
            <w:vAlign w:val="center"/>
          </w:tcPr>
          <w:p w:rsidR="00D9231F" w:rsidRPr="001D7F2C" w:rsidRDefault="00D9231F" w:rsidP="00B10D3A">
            <w:pPr>
              <w:tabs>
                <w:tab w:val="decimal" w:pos="208"/>
              </w:tabs>
            </w:pPr>
            <w:r>
              <w:t>.46***</w:t>
            </w:r>
          </w:p>
        </w:tc>
        <w:tc>
          <w:tcPr>
            <w:tcW w:w="0" w:type="auto"/>
            <w:vAlign w:val="center"/>
          </w:tcPr>
          <w:p w:rsidR="00D9231F" w:rsidRPr="001D7F2C" w:rsidRDefault="00D9231F" w:rsidP="00B10D3A">
            <w:pPr>
              <w:tabs>
                <w:tab w:val="decimal" w:pos="249"/>
              </w:tabs>
            </w:pPr>
            <w:r>
              <w:t>.14</w:t>
            </w:r>
          </w:p>
        </w:tc>
        <w:tc>
          <w:tcPr>
            <w:tcW w:w="0" w:type="auto"/>
            <w:vAlign w:val="center"/>
          </w:tcPr>
          <w:p w:rsidR="00D9231F" w:rsidRPr="001D7F2C" w:rsidRDefault="00D9231F" w:rsidP="00B10D3A">
            <w:pPr>
              <w:tabs>
                <w:tab w:val="decimal" w:pos="165"/>
              </w:tabs>
            </w:pPr>
          </w:p>
        </w:tc>
      </w:tr>
      <w:tr w:rsidR="00D9231F" w:rsidRPr="001D7F2C" w:rsidTr="00B10D3A">
        <w:tc>
          <w:tcPr>
            <w:tcW w:w="0" w:type="auto"/>
          </w:tcPr>
          <w:p w:rsidR="00D9231F" w:rsidRPr="00F508C6" w:rsidRDefault="00D9231F" w:rsidP="00B10D3A">
            <w:pPr>
              <w:rPr>
                <w:i/>
              </w:rPr>
            </w:pPr>
            <w:r w:rsidRPr="00F508C6">
              <w:rPr>
                <w:i/>
              </w:rPr>
              <w:t>χ</w:t>
            </w:r>
            <w:r w:rsidRPr="00F508C6">
              <w:rPr>
                <w:i/>
                <w:vertAlign w:val="superscript"/>
              </w:rPr>
              <w:t>2</w:t>
            </w:r>
          </w:p>
        </w:tc>
        <w:tc>
          <w:tcPr>
            <w:tcW w:w="0" w:type="auto"/>
            <w:vAlign w:val="center"/>
          </w:tcPr>
          <w:p w:rsidR="00D9231F" w:rsidRDefault="00D9231F" w:rsidP="00B10D3A">
            <w:pPr>
              <w:tabs>
                <w:tab w:val="decimal" w:pos="192"/>
              </w:tabs>
            </w:pPr>
            <w:r>
              <w:t>45.09</w:t>
            </w:r>
          </w:p>
        </w:tc>
        <w:tc>
          <w:tcPr>
            <w:tcW w:w="0" w:type="auto"/>
            <w:vAlign w:val="center"/>
          </w:tcPr>
          <w:p w:rsidR="00D9231F" w:rsidRDefault="00D9231F" w:rsidP="00B10D3A">
            <w:pPr>
              <w:tabs>
                <w:tab w:val="decimal" w:pos="278"/>
              </w:tabs>
            </w:pPr>
          </w:p>
        </w:tc>
        <w:tc>
          <w:tcPr>
            <w:tcW w:w="0" w:type="auto"/>
            <w:vAlign w:val="center"/>
          </w:tcPr>
          <w:p w:rsidR="00D9231F" w:rsidRPr="001D7F2C" w:rsidRDefault="00D9231F" w:rsidP="00B10D3A">
            <w:pPr>
              <w:tabs>
                <w:tab w:val="decimal" w:pos="156"/>
              </w:tabs>
            </w:pPr>
          </w:p>
        </w:tc>
        <w:tc>
          <w:tcPr>
            <w:tcW w:w="0" w:type="auto"/>
          </w:tcPr>
          <w:p w:rsidR="00D9231F" w:rsidRDefault="00D9231F" w:rsidP="00B10D3A">
            <w:pPr>
              <w:tabs>
                <w:tab w:val="decimal" w:pos="250"/>
              </w:tabs>
            </w:pPr>
          </w:p>
        </w:tc>
        <w:tc>
          <w:tcPr>
            <w:tcW w:w="0" w:type="auto"/>
            <w:vAlign w:val="center"/>
          </w:tcPr>
          <w:p w:rsidR="00D9231F" w:rsidRDefault="00D9231F" w:rsidP="00B10D3A">
            <w:pPr>
              <w:tabs>
                <w:tab w:val="decimal" w:pos="250"/>
              </w:tabs>
            </w:pPr>
            <w:r>
              <w:t>61.86</w:t>
            </w:r>
          </w:p>
        </w:tc>
        <w:tc>
          <w:tcPr>
            <w:tcW w:w="0" w:type="auto"/>
            <w:vAlign w:val="center"/>
          </w:tcPr>
          <w:p w:rsidR="00D9231F" w:rsidRDefault="00D9231F" w:rsidP="00B10D3A">
            <w:pPr>
              <w:tabs>
                <w:tab w:val="decimal" w:pos="264"/>
              </w:tabs>
            </w:pPr>
          </w:p>
        </w:tc>
        <w:tc>
          <w:tcPr>
            <w:tcW w:w="0" w:type="auto"/>
            <w:vAlign w:val="center"/>
          </w:tcPr>
          <w:p w:rsidR="00D9231F" w:rsidRPr="001D7F2C" w:rsidRDefault="00D9231F" w:rsidP="00B10D3A"/>
        </w:tc>
        <w:tc>
          <w:tcPr>
            <w:tcW w:w="0" w:type="auto"/>
          </w:tcPr>
          <w:p w:rsidR="00D9231F" w:rsidRDefault="00D9231F" w:rsidP="00B10D3A">
            <w:pPr>
              <w:tabs>
                <w:tab w:val="decimal" w:pos="208"/>
              </w:tabs>
            </w:pPr>
          </w:p>
        </w:tc>
        <w:tc>
          <w:tcPr>
            <w:tcW w:w="0" w:type="auto"/>
            <w:vAlign w:val="center"/>
          </w:tcPr>
          <w:p w:rsidR="00D9231F" w:rsidRDefault="00D9231F" w:rsidP="00B10D3A">
            <w:pPr>
              <w:tabs>
                <w:tab w:val="decimal" w:pos="208"/>
              </w:tabs>
            </w:pPr>
            <w:r>
              <w:t>62.29</w:t>
            </w:r>
          </w:p>
        </w:tc>
        <w:tc>
          <w:tcPr>
            <w:tcW w:w="0" w:type="auto"/>
            <w:vAlign w:val="center"/>
          </w:tcPr>
          <w:p w:rsidR="00D9231F" w:rsidRDefault="00D9231F" w:rsidP="00B10D3A">
            <w:pPr>
              <w:tabs>
                <w:tab w:val="decimal" w:pos="249"/>
              </w:tabs>
            </w:pPr>
          </w:p>
        </w:tc>
        <w:tc>
          <w:tcPr>
            <w:tcW w:w="0" w:type="auto"/>
            <w:vAlign w:val="center"/>
          </w:tcPr>
          <w:p w:rsidR="00D9231F" w:rsidRPr="001D7F2C" w:rsidRDefault="00D9231F" w:rsidP="00B10D3A">
            <w:pPr>
              <w:tabs>
                <w:tab w:val="decimal" w:pos="165"/>
              </w:tabs>
            </w:pPr>
          </w:p>
        </w:tc>
      </w:tr>
      <w:tr w:rsidR="00D9231F" w:rsidRPr="001D7F2C" w:rsidTr="00B10D3A">
        <w:tc>
          <w:tcPr>
            <w:tcW w:w="0" w:type="auto"/>
          </w:tcPr>
          <w:p w:rsidR="00D9231F" w:rsidRPr="00F508C6" w:rsidRDefault="00D9231F" w:rsidP="00B10D3A">
            <w:pPr>
              <w:rPr>
                <w:i/>
              </w:rPr>
            </w:pPr>
            <w:r w:rsidRPr="00F508C6">
              <w:rPr>
                <w:i/>
              </w:rPr>
              <w:t>df</w:t>
            </w:r>
          </w:p>
        </w:tc>
        <w:tc>
          <w:tcPr>
            <w:tcW w:w="0" w:type="auto"/>
            <w:vAlign w:val="center"/>
          </w:tcPr>
          <w:p w:rsidR="00D9231F" w:rsidRDefault="00D9231F" w:rsidP="00B10D3A">
            <w:pPr>
              <w:tabs>
                <w:tab w:val="decimal" w:pos="192"/>
              </w:tabs>
            </w:pPr>
            <w:r>
              <w:t>8</w:t>
            </w:r>
          </w:p>
        </w:tc>
        <w:tc>
          <w:tcPr>
            <w:tcW w:w="0" w:type="auto"/>
            <w:vAlign w:val="center"/>
          </w:tcPr>
          <w:p w:rsidR="00D9231F" w:rsidRDefault="00D9231F" w:rsidP="00B10D3A">
            <w:pPr>
              <w:tabs>
                <w:tab w:val="decimal" w:pos="278"/>
              </w:tabs>
            </w:pPr>
          </w:p>
        </w:tc>
        <w:tc>
          <w:tcPr>
            <w:tcW w:w="0" w:type="auto"/>
            <w:vAlign w:val="center"/>
          </w:tcPr>
          <w:p w:rsidR="00D9231F" w:rsidRPr="001D7F2C" w:rsidRDefault="00D9231F" w:rsidP="00B10D3A">
            <w:pPr>
              <w:tabs>
                <w:tab w:val="decimal" w:pos="156"/>
              </w:tabs>
            </w:pPr>
          </w:p>
        </w:tc>
        <w:tc>
          <w:tcPr>
            <w:tcW w:w="0" w:type="auto"/>
          </w:tcPr>
          <w:p w:rsidR="00D9231F" w:rsidRDefault="00D9231F" w:rsidP="00B10D3A">
            <w:pPr>
              <w:tabs>
                <w:tab w:val="decimal" w:pos="250"/>
              </w:tabs>
            </w:pPr>
          </w:p>
        </w:tc>
        <w:tc>
          <w:tcPr>
            <w:tcW w:w="0" w:type="auto"/>
            <w:vAlign w:val="center"/>
          </w:tcPr>
          <w:p w:rsidR="00D9231F" w:rsidRDefault="00D9231F" w:rsidP="00B10D3A">
            <w:pPr>
              <w:tabs>
                <w:tab w:val="decimal" w:pos="250"/>
              </w:tabs>
            </w:pPr>
            <w:r>
              <w:t>8</w:t>
            </w:r>
          </w:p>
        </w:tc>
        <w:tc>
          <w:tcPr>
            <w:tcW w:w="0" w:type="auto"/>
            <w:vAlign w:val="center"/>
          </w:tcPr>
          <w:p w:rsidR="00D9231F" w:rsidRDefault="00D9231F" w:rsidP="00B10D3A">
            <w:pPr>
              <w:tabs>
                <w:tab w:val="decimal" w:pos="264"/>
              </w:tabs>
            </w:pPr>
          </w:p>
        </w:tc>
        <w:tc>
          <w:tcPr>
            <w:tcW w:w="0" w:type="auto"/>
            <w:vAlign w:val="center"/>
          </w:tcPr>
          <w:p w:rsidR="00D9231F" w:rsidRPr="001D7F2C" w:rsidRDefault="00D9231F" w:rsidP="00B10D3A"/>
        </w:tc>
        <w:tc>
          <w:tcPr>
            <w:tcW w:w="0" w:type="auto"/>
          </w:tcPr>
          <w:p w:rsidR="00D9231F" w:rsidRDefault="00D9231F" w:rsidP="00B10D3A">
            <w:pPr>
              <w:tabs>
                <w:tab w:val="decimal" w:pos="208"/>
              </w:tabs>
            </w:pPr>
          </w:p>
        </w:tc>
        <w:tc>
          <w:tcPr>
            <w:tcW w:w="0" w:type="auto"/>
            <w:vAlign w:val="center"/>
          </w:tcPr>
          <w:p w:rsidR="00D9231F" w:rsidRDefault="00D9231F" w:rsidP="00B10D3A">
            <w:pPr>
              <w:tabs>
                <w:tab w:val="decimal" w:pos="208"/>
              </w:tabs>
            </w:pPr>
            <w:r>
              <w:t>10</w:t>
            </w:r>
          </w:p>
        </w:tc>
        <w:tc>
          <w:tcPr>
            <w:tcW w:w="0" w:type="auto"/>
            <w:vAlign w:val="center"/>
          </w:tcPr>
          <w:p w:rsidR="00D9231F" w:rsidRDefault="00D9231F" w:rsidP="00B10D3A">
            <w:pPr>
              <w:tabs>
                <w:tab w:val="decimal" w:pos="249"/>
              </w:tabs>
            </w:pPr>
          </w:p>
        </w:tc>
        <w:tc>
          <w:tcPr>
            <w:tcW w:w="0" w:type="auto"/>
            <w:vAlign w:val="center"/>
          </w:tcPr>
          <w:p w:rsidR="00D9231F" w:rsidRPr="001D7F2C" w:rsidRDefault="00D9231F" w:rsidP="00B10D3A">
            <w:pPr>
              <w:tabs>
                <w:tab w:val="decimal" w:pos="165"/>
              </w:tabs>
            </w:pPr>
          </w:p>
        </w:tc>
      </w:tr>
    </w:tbl>
    <w:p w:rsidR="00D9231F" w:rsidRPr="0010002F" w:rsidRDefault="00D9231F" w:rsidP="00D9231F">
      <w:pPr>
        <w:pStyle w:val="Default"/>
      </w:pPr>
      <w:r w:rsidRPr="0010002F">
        <w:rPr>
          <w:i/>
        </w:rPr>
        <w:t>Note</w:t>
      </w:r>
      <w:r w:rsidRPr="0010002F">
        <w:t>: OR = Odds Ratio.</w:t>
      </w:r>
    </w:p>
    <w:p w:rsidR="00D9231F" w:rsidRPr="0010002F" w:rsidRDefault="00D9231F" w:rsidP="00D9231F">
      <w:pPr>
        <w:pStyle w:val="Default"/>
        <w:rPr>
          <w:color w:val="auto"/>
        </w:rPr>
      </w:pPr>
      <w:r w:rsidRPr="0010002F">
        <w:rPr>
          <w:vertAlign w:val="superscript"/>
        </w:rPr>
        <w:t>†</w:t>
      </w:r>
      <w:r w:rsidRPr="0010002F">
        <w:rPr>
          <w:i/>
          <w:color w:val="auto"/>
        </w:rPr>
        <w:t>p</w:t>
      </w:r>
      <w:r w:rsidRPr="0010002F">
        <w:rPr>
          <w:color w:val="auto"/>
        </w:rPr>
        <w:t xml:space="preserve"> &lt; .10. *</w:t>
      </w:r>
      <w:r w:rsidRPr="0010002F">
        <w:rPr>
          <w:i/>
          <w:iCs/>
          <w:color w:val="auto"/>
        </w:rPr>
        <w:t>p</w:t>
      </w:r>
      <w:r w:rsidRPr="0010002F">
        <w:rPr>
          <w:color w:val="auto"/>
        </w:rPr>
        <w:t xml:space="preserve"> &lt; 0.05. ** </w:t>
      </w:r>
      <w:r w:rsidRPr="0010002F">
        <w:rPr>
          <w:i/>
          <w:iCs/>
          <w:color w:val="auto"/>
        </w:rPr>
        <w:t>p</w:t>
      </w:r>
      <w:r w:rsidRPr="0010002F">
        <w:rPr>
          <w:color w:val="auto"/>
        </w:rPr>
        <w:t xml:space="preserve"> &lt; 0.01. *** </w:t>
      </w:r>
      <w:r w:rsidRPr="0010002F">
        <w:rPr>
          <w:i/>
          <w:iCs/>
          <w:color w:val="auto"/>
        </w:rPr>
        <w:t>p</w:t>
      </w:r>
      <w:r w:rsidRPr="0010002F">
        <w:rPr>
          <w:color w:val="auto"/>
        </w:rPr>
        <w:t xml:space="preserve"> &lt; 0.001.</w:t>
      </w:r>
    </w:p>
    <w:p w:rsidR="00D9231F" w:rsidRDefault="00D9231F" w:rsidP="00D9231F">
      <w:pPr>
        <w:spacing w:line="480" w:lineRule="auto"/>
      </w:pPr>
      <w:r>
        <w:rPr>
          <w:color w:val="auto"/>
        </w:rPr>
        <w:br w:type="page"/>
      </w:r>
      <w:r>
        <w:lastRenderedPageBreak/>
        <w:t>Table 2b</w:t>
      </w:r>
    </w:p>
    <w:p w:rsidR="00D9231F" w:rsidRDefault="00D9231F" w:rsidP="00D9231F">
      <w:pPr>
        <w:spacing w:line="480" w:lineRule="auto"/>
        <w:rPr>
          <w:i/>
        </w:rPr>
      </w:pPr>
      <w:r>
        <w:rPr>
          <w:i/>
        </w:rPr>
        <w:t xml:space="preserve">Summary of </w:t>
      </w:r>
      <w:r w:rsidR="00BD3392">
        <w:rPr>
          <w:i/>
        </w:rPr>
        <w:t xml:space="preserve">Count Data Hurdle Model </w:t>
      </w:r>
      <w:r>
        <w:rPr>
          <w:i/>
        </w:rPr>
        <w:t xml:space="preserve">Predicting the Number of Adolescent Romantic Relationships </w:t>
      </w:r>
      <w:r w:rsidR="00BD3392">
        <w:rPr>
          <w:i/>
        </w:rPr>
        <w:t xml:space="preserve">for Dating Adolescents </w:t>
      </w:r>
      <w:r>
        <w:rPr>
          <w:i/>
        </w:rPr>
        <w:t xml:space="preserve">(Count Portion; </w:t>
      </w:r>
      <w:r w:rsidRPr="00C66C24">
        <w:rPr>
          <w:i/>
        </w:rPr>
        <w:t>N = 1,243</w:t>
      </w:r>
      <w:r>
        <w:rPr>
          <w:i/>
        </w:rPr>
        <w:t>)</w:t>
      </w:r>
    </w:p>
    <w:tbl>
      <w:tblPr>
        <w:tblW w:w="0" w:type="auto"/>
        <w:tblBorders>
          <w:top w:val="single" w:sz="4" w:space="0" w:color="000000"/>
          <w:bottom w:val="single" w:sz="4" w:space="0" w:color="000000"/>
        </w:tblBorders>
        <w:tblLayout w:type="fixed"/>
        <w:tblLook w:val="04A0" w:firstRow="1" w:lastRow="0" w:firstColumn="1" w:lastColumn="0" w:noHBand="0" w:noVBand="1"/>
      </w:tblPr>
      <w:tblGrid>
        <w:gridCol w:w="3858"/>
        <w:gridCol w:w="1320"/>
        <w:gridCol w:w="1320"/>
        <w:gridCol w:w="270"/>
        <w:gridCol w:w="1395"/>
        <w:gridCol w:w="1395"/>
        <w:gridCol w:w="270"/>
        <w:gridCol w:w="1440"/>
        <w:gridCol w:w="1440"/>
      </w:tblGrid>
      <w:tr w:rsidR="00D9231F" w:rsidRPr="001D7F2C" w:rsidTr="00B10D3A">
        <w:tc>
          <w:tcPr>
            <w:tcW w:w="3858" w:type="dxa"/>
            <w:tcBorders>
              <w:bottom w:val="nil"/>
            </w:tcBorders>
          </w:tcPr>
          <w:p w:rsidR="00D9231F" w:rsidRPr="001D7F2C" w:rsidRDefault="00D9231F" w:rsidP="00B10D3A"/>
        </w:tc>
        <w:tc>
          <w:tcPr>
            <w:tcW w:w="2640" w:type="dxa"/>
            <w:gridSpan w:val="2"/>
            <w:tcBorders>
              <w:top w:val="single" w:sz="4" w:space="0" w:color="000000"/>
              <w:bottom w:val="single" w:sz="4" w:space="0" w:color="000000"/>
            </w:tcBorders>
            <w:vAlign w:val="center"/>
          </w:tcPr>
          <w:p w:rsidR="00D9231F" w:rsidRPr="001D7F2C" w:rsidRDefault="00D9231F" w:rsidP="00B10D3A">
            <w:pPr>
              <w:tabs>
                <w:tab w:val="decimal" w:pos="278"/>
              </w:tabs>
              <w:jc w:val="center"/>
            </w:pPr>
            <w:r>
              <w:t>Model 1</w:t>
            </w:r>
          </w:p>
        </w:tc>
        <w:tc>
          <w:tcPr>
            <w:tcW w:w="270" w:type="dxa"/>
            <w:tcBorders>
              <w:top w:val="single" w:sz="4" w:space="0" w:color="000000"/>
              <w:bottom w:val="single" w:sz="4" w:space="0" w:color="000000"/>
            </w:tcBorders>
          </w:tcPr>
          <w:p w:rsidR="00D9231F" w:rsidRPr="001D7F2C" w:rsidRDefault="00D9231F" w:rsidP="00B10D3A">
            <w:pPr>
              <w:tabs>
                <w:tab w:val="decimal" w:pos="250"/>
              </w:tabs>
              <w:jc w:val="center"/>
              <w:rPr>
                <w:i/>
              </w:rPr>
            </w:pPr>
          </w:p>
        </w:tc>
        <w:tc>
          <w:tcPr>
            <w:tcW w:w="2790" w:type="dxa"/>
            <w:gridSpan w:val="2"/>
            <w:tcBorders>
              <w:top w:val="single" w:sz="4" w:space="0" w:color="000000"/>
              <w:bottom w:val="single" w:sz="4" w:space="0" w:color="000000"/>
            </w:tcBorders>
            <w:vAlign w:val="center"/>
          </w:tcPr>
          <w:p w:rsidR="00D9231F" w:rsidRPr="001D7F2C" w:rsidRDefault="00D9231F" w:rsidP="00B10D3A">
            <w:pPr>
              <w:tabs>
                <w:tab w:val="decimal" w:pos="208"/>
              </w:tabs>
              <w:jc w:val="center"/>
              <w:rPr>
                <w:i/>
              </w:rPr>
            </w:pPr>
            <w:r>
              <w:t>Model 2</w:t>
            </w:r>
          </w:p>
        </w:tc>
        <w:tc>
          <w:tcPr>
            <w:tcW w:w="270" w:type="dxa"/>
            <w:tcBorders>
              <w:top w:val="single" w:sz="4" w:space="0" w:color="000000"/>
              <w:bottom w:val="single" w:sz="4" w:space="0" w:color="000000"/>
            </w:tcBorders>
          </w:tcPr>
          <w:p w:rsidR="00D9231F" w:rsidRDefault="00D9231F" w:rsidP="00B10D3A">
            <w:pPr>
              <w:jc w:val="center"/>
            </w:pPr>
          </w:p>
        </w:tc>
        <w:tc>
          <w:tcPr>
            <w:tcW w:w="2880" w:type="dxa"/>
            <w:gridSpan w:val="2"/>
            <w:tcBorders>
              <w:top w:val="single" w:sz="4" w:space="0" w:color="000000"/>
              <w:bottom w:val="single" w:sz="4" w:space="0" w:color="000000"/>
            </w:tcBorders>
            <w:vAlign w:val="center"/>
          </w:tcPr>
          <w:p w:rsidR="00D9231F" w:rsidRPr="001D7F2C" w:rsidRDefault="00D9231F" w:rsidP="00B10D3A">
            <w:pPr>
              <w:jc w:val="center"/>
            </w:pPr>
            <w:r>
              <w:t>Model 3</w:t>
            </w:r>
          </w:p>
        </w:tc>
      </w:tr>
      <w:tr w:rsidR="00D9231F" w:rsidRPr="001D7F2C" w:rsidTr="00B10D3A">
        <w:tc>
          <w:tcPr>
            <w:tcW w:w="3858" w:type="dxa"/>
            <w:tcBorders>
              <w:top w:val="nil"/>
              <w:bottom w:val="single" w:sz="4" w:space="0" w:color="000000"/>
            </w:tcBorders>
          </w:tcPr>
          <w:p w:rsidR="00D9231F" w:rsidRPr="001D7F2C" w:rsidRDefault="00D9231F" w:rsidP="00B10D3A"/>
        </w:tc>
        <w:tc>
          <w:tcPr>
            <w:tcW w:w="1320" w:type="dxa"/>
            <w:tcBorders>
              <w:top w:val="single" w:sz="4" w:space="0" w:color="000000"/>
              <w:bottom w:val="single" w:sz="4" w:space="0" w:color="000000"/>
            </w:tcBorders>
            <w:vAlign w:val="center"/>
          </w:tcPr>
          <w:p w:rsidR="00D9231F" w:rsidRPr="001D7F2C" w:rsidRDefault="00D9231F" w:rsidP="00B10D3A">
            <w:pPr>
              <w:tabs>
                <w:tab w:val="decimal" w:pos="192"/>
              </w:tabs>
              <w:jc w:val="center"/>
              <w:rPr>
                <w:i/>
              </w:rPr>
            </w:pPr>
            <w:r w:rsidRPr="001D7F2C">
              <w:rPr>
                <w:i/>
              </w:rPr>
              <w:t>B</w:t>
            </w:r>
          </w:p>
        </w:tc>
        <w:tc>
          <w:tcPr>
            <w:tcW w:w="1320" w:type="dxa"/>
            <w:tcBorders>
              <w:top w:val="single" w:sz="4" w:space="0" w:color="000000"/>
              <w:bottom w:val="single" w:sz="4" w:space="0" w:color="000000"/>
            </w:tcBorders>
            <w:vAlign w:val="center"/>
          </w:tcPr>
          <w:p w:rsidR="00D9231F" w:rsidRPr="001D7F2C" w:rsidRDefault="00D9231F" w:rsidP="00B10D3A">
            <w:pPr>
              <w:tabs>
                <w:tab w:val="decimal" w:pos="278"/>
              </w:tabs>
              <w:jc w:val="center"/>
            </w:pPr>
            <w:r w:rsidRPr="001D7F2C">
              <w:t xml:space="preserve">robust </w:t>
            </w:r>
            <w:r w:rsidRPr="001D7F2C">
              <w:rPr>
                <w:i/>
              </w:rPr>
              <w:t>SE</w:t>
            </w:r>
          </w:p>
        </w:tc>
        <w:tc>
          <w:tcPr>
            <w:tcW w:w="270" w:type="dxa"/>
            <w:tcBorders>
              <w:top w:val="single" w:sz="4" w:space="0" w:color="000000"/>
              <w:bottom w:val="single" w:sz="4" w:space="0" w:color="000000"/>
            </w:tcBorders>
          </w:tcPr>
          <w:p w:rsidR="00D9231F" w:rsidRPr="001D7F2C" w:rsidRDefault="00D9231F" w:rsidP="00B10D3A">
            <w:pPr>
              <w:tabs>
                <w:tab w:val="decimal" w:pos="250"/>
              </w:tabs>
              <w:jc w:val="center"/>
              <w:rPr>
                <w:i/>
              </w:rPr>
            </w:pPr>
          </w:p>
        </w:tc>
        <w:tc>
          <w:tcPr>
            <w:tcW w:w="1395" w:type="dxa"/>
            <w:tcBorders>
              <w:top w:val="single" w:sz="4" w:space="0" w:color="000000"/>
              <w:bottom w:val="single" w:sz="4" w:space="0" w:color="000000"/>
            </w:tcBorders>
            <w:vAlign w:val="center"/>
          </w:tcPr>
          <w:p w:rsidR="00D9231F" w:rsidRPr="001D7F2C" w:rsidRDefault="00D9231F" w:rsidP="00B10D3A">
            <w:pPr>
              <w:tabs>
                <w:tab w:val="decimal" w:pos="250"/>
              </w:tabs>
              <w:jc w:val="center"/>
              <w:rPr>
                <w:i/>
              </w:rPr>
            </w:pPr>
            <w:r w:rsidRPr="001D7F2C">
              <w:rPr>
                <w:i/>
              </w:rPr>
              <w:t>B</w:t>
            </w:r>
          </w:p>
        </w:tc>
        <w:tc>
          <w:tcPr>
            <w:tcW w:w="1395" w:type="dxa"/>
            <w:tcBorders>
              <w:top w:val="single" w:sz="4" w:space="0" w:color="000000"/>
              <w:bottom w:val="single" w:sz="4" w:space="0" w:color="000000"/>
            </w:tcBorders>
            <w:vAlign w:val="center"/>
          </w:tcPr>
          <w:p w:rsidR="00D9231F" w:rsidRPr="001D7F2C" w:rsidRDefault="00D9231F" w:rsidP="00B10D3A">
            <w:pPr>
              <w:tabs>
                <w:tab w:val="decimal" w:pos="264"/>
              </w:tabs>
              <w:jc w:val="center"/>
            </w:pPr>
            <w:r w:rsidRPr="001D7F2C">
              <w:t xml:space="preserve">robust </w:t>
            </w:r>
            <w:r w:rsidRPr="001D7F2C">
              <w:rPr>
                <w:i/>
              </w:rPr>
              <w:t>SE</w:t>
            </w:r>
          </w:p>
        </w:tc>
        <w:tc>
          <w:tcPr>
            <w:tcW w:w="270" w:type="dxa"/>
            <w:tcBorders>
              <w:top w:val="single" w:sz="4" w:space="0" w:color="000000"/>
              <w:bottom w:val="single" w:sz="4" w:space="0" w:color="000000"/>
            </w:tcBorders>
          </w:tcPr>
          <w:p w:rsidR="00D9231F" w:rsidRPr="001D7F2C" w:rsidRDefault="00D9231F" w:rsidP="00B10D3A">
            <w:pPr>
              <w:tabs>
                <w:tab w:val="decimal" w:pos="208"/>
              </w:tabs>
              <w:jc w:val="center"/>
              <w:rPr>
                <w:i/>
              </w:rPr>
            </w:pPr>
          </w:p>
        </w:tc>
        <w:tc>
          <w:tcPr>
            <w:tcW w:w="1440" w:type="dxa"/>
            <w:tcBorders>
              <w:top w:val="single" w:sz="4" w:space="0" w:color="000000"/>
              <w:bottom w:val="single" w:sz="4" w:space="0" w:color="000000"/>
            </w:tcBorders>
            <w:vAlign w:val="center"/>
          </w:tcPr>
          <w:p w:rsidR="00D9231F" w:rsidRPr="001D7F2C" w:rsidRDefault="00D9231F" w:rsidP="00B10D3A">
            <w:pPr>
              <w:tabs>
                <w:tab w:val="decimal" w:pos="208"/>
              </w:tabs>
              <w:jc w:val="center"/>
              <w:rPr>
                <w:i/>
              </w:rPr>
            </w:pPr>
            <w:r w:rsidRPr="001D7F2C">
              <w:rPr>
                <w:i/>
              </w:rPr>
              <w:t>B</w:t>
            </w:r>
          </w:p>
        </w:tc>
        <w:tc>
          <w:tcPr>
            <w:tcW w:w="1440" w:type="dxa"/>
            <w:tcBorders>
              <w:top w:val="single" w:sz="4" w:space="0" w:color="000000"/>
              <w:bottom w:val="single" w:sz="4" w:space="0" w:color="000000"/>
            </w:tcBorders>
            <w:vAlign w:val="center"/>
          </w:tcPr>
          <w:p w:rsidR="00D9231F" w:rsidRPr="001D7F2C" w:rsidRDefault="00D9231F" w:rsidP="00B10D3A">
            <w:pPr>
              <w:jc w:val="center"/>
            </w:pPr>
            <w:r w:rsidRPr="001D7F2C">
              <w:t xml:space="preserve">robust </w:t>
            </w:r>
            <w:r w:rsidRPr="001D7F2C">
              <w:rPr>
                <w:i/>
              </w:rPr>
              <w:t>SE</w:t>
            </w:r>
          </w:p>
        </w:tc>
      </w:tr>
      <w:tr w:rsidR="00D9231F" w:rsidRPr="001D7F2C" w:rsidTr="00B10D3A">
        <w:tc>
          <w:tcPr>
            <w:tcW w:w="3858" w:type="dxa"/>
            <w:tcBorders>
              <w:top w:val="single" w:sz="4" w:space="0" w:color="000000"/>
            </w:tcBorders>
          </w:tcPr>
          <w:p w:rsidR="00D9231F" w:rsidRPr="001D7F2C" w:rsidRDefault="00D9231F" w:rsidP="00B10D3A">
            <w:r w:rsidRPr="001D7F2C">
              <w:t>Household instability</w:t>
            </w:r>
          </w:p>
        </w:tc>
        <w:tc>
          <w:tcPr>
            <w:tcW w:w="1320" w:type="dxa"/>
            <w:tcBorders>
              <w:top w:val="single" w:sz="4" w:space="0" w:color="000000"/>
            </w:tcBorders>
            <w:vAlign w:val="center"/>
          </w:tcPr>
          <w:p w:rsidR="00D9231F" w:rsidRPr="001D7F2C" w:rsidRDefault="00D9231F" w:rsidP="00B10D3A">
            <w:pPr>
              <w:tabs>
                <w:tab w:val="decimal" w:pos="192"/>
              </w:tabs>
            </w:pPr>
          </w:p>
        </w:tc>
        <w:tc>
          <w:tcPr>
            <w:tcW w:w="1320" w:type="dxa"/>
            <w:tcBorders>
              <w:top w:val="single" w:sz="4" w:space="0" w:color="000000"/>
            </w:tcBorders>
            <w:vAlign w:val="center"/>
          </w:tcPr>
          <w:p w:rsidR="00D9231F" w:rsidRPr="001D7F2C" w:rsidRDefault="00D9231F" w:rsidP="00B10D3A">
            <w:pPr>
              <w:tabs>
                <w:tab w:val="decimal" w:pos="278"/>
              </w:tabs>
            </w:pPr>
          </w:p>
        </w:tc>
        <w:tc>
          <w:tcPr>
            <w:tcW w:w="270" w:type="dxa"/>
            <w:tcBorders>
              <w:top w:val="single" w:sz="4" w:space="0" w:color="000000"/>
            </w:tcBorders>
          </w:tcPr>
          <w:p w:rsidR="00D9231F" w:rsidRPr="001D7F2C" w:rsidRDefault="00D9231F" w:rsidP="00B10D3A">
            <w:pPr>
              <w:tabs>
                <w:tab w:val="decimal" w:pos="250"/>
              </w:tabs>
            </w:pPr>
          </w:p>
        </w:tc>
        <w:tc>
          <w:tcPr>
            <w:tcW w:w="1395" w:type="dxa"/>
            <w:tcBorders>
              <w:top w:val="single" w:sz="4" w:space="0" w:color="000000"/>
            </w:tcBorders>
            <w:vAlign w:val="center"/>
          </w:tcPr>
          <w:p w:rsidR="00D9231F" w:rsidRPr="001D7F2C" w:rsidRDefault="00D9231F" w:rsidP="00B10D3A">
            <w:pPr>
              <w:tabs>
                <w:tab w:val="decimal" w:pos="250"/>
              </w:tabs>
            </w:pPr>
          </w:p>
        </w:tc>
        <w:tc>
          <w:tcPr>
            <w:tcW w:w="1395" w:type="dxa"/>
            <w:tcBorders>
              <w:top w:val="single" w:sz="4" w:space="0" w:color="000000"/>
            </w:tcBorders>
            <w:vAlign w:val="center"/>
          </w:tcPr>
          <w:p w:rsidR="00D9231F" w:rsidRPr="001D7F2C" w:rsidRDefault="00D9231F" w:rsidP="00B10D3A">
            <w:pPr>
              <w:tabs>
                <w:tab w:val="decimal" w:pos="264"/>
              </w:tabs>
            </w:pPr>
          </w:p>
        </w:tc>
        <w:tc>
          <w:tcPr>
            <w:tcW w:w="270" w:type="dxa"/>
            <w:tcBorders>
              <w:top w:val="single" w:sz="4" w:space="0" w:color="000000"/>
            </w:tcBorders>
          </w:tcPr>
          <w:p w:rsidR="00D9231F" w:rsidRPr="001D7F2C" w:rsidRDefault="00D9231F" w:rsidP="00B10D3A">
            <w:pPr>
              <w:tabs>
                <w:tab w:val="decimal" w:pos="208"/>
              </w:tabs>
              <w:jc w:val="center"/>
            </w:pPr>
          </w:p>
        </w:tc>
        <w:tc>
          <w:tcPr>
            <w:tcW w:w="1440" w:type="dxa"/>
            <w:tcBorders>
              <w:top w:val="single" w:sz="4" w:space="0" w:color="000000"/>
            </w:tcBorders>
            <w:vAlign w:val="center"/>
          </w:tcPr>
          <w:p w:rsidR="00D9231F" w:rsidRPr="001D7F2C" w:rsidRDefault="00D9231F" w:rsidP="00B10D3A">
            <w:pPr>
              <w:tabs>
                <w:tab w:val="decimal" w:pos="208"/>
              </w:tabs>
              <w:jc w:val="center"/>
            </w:pPr>
          </w:p>
        </w:tc>
        <w:tc>
          <w:tcPr>
            <w:tcW w:w="1440" w:type="dxa"/>
            <w:tcBorders>
              <w:top w:val="single" w:sz="4" w:space="0" w:color="000000"/>
            </w:tcBorders>
            <w:vAlign w:val="center"/>
          </w:tcPr>
          <w:p w:rsidR="00D9231F" w:rsidRPr="001D7F2C" w:rsidRDefault="00D9231F" w:rsidP="00B10D3A">
            <w:pPr>
              <w:jc w:val="center"/>
            </w:pPr>
          </w:p>
        </w:tc>
      </w:tr>
      <w:tr w:rsidR="00D9231F" w:rsidRPr="001D7F2C" w:rsidTr="00B10D3A">
        <w:tc>
          <w:tcPr>
            <w:tcW w:w="3858" w:type="dxa"/>
          </w:tcPr>
          <w:p w:rsidR="00D9231F" w:rsidRPr="001D7F2C" w:rsidRDefault="00D9231F" w:rsidP="00B10D3A">
            <w:pPr>
              <w:ind w:left="180"/>
            </w:pPr>
            <w:r w:rsidRPr="001D7F2C">
              <w:t>Biological parent moved out</w:t>
            </w:r>
          </w:p>
        </w:tc>
        <w:tc>
          <w:tcPr>
            <w:tcW w:w="1320" w:type="dxa"/>
            <w:vAlign w:val="center"/>
          </w:tcPr>
          <w:p w:rsidR="00D9231F" w:rsidRPr="001D7F2C" w:rsidRDefault="00D9231F" w:rsidP="00B10D3A">
            <w:pPr>
              <w:tabs>
                <w:tab w:val="decimal" w:pos="192"/>
              </w:tabs>
            </w:pPr>
          </w:p>
        </w:tc>
        <w:tc>
          <w:tcPr>
            <w:tcW w:w="1320" w:type="dxa"/>
            <w:vAlign w:val="center"/>
          </w:tcPr>
          <w:p w:rsidR="00D9231F" w:rsidRPr="001D7F2C" w:rsidRDefault="00D9231F" w:rsidP="00B10D3A">
            <w:pPr>
              <w:tabs>
                <w:tab w:val="decimal" w:pos="278"/>
              </w:tabs>
            </w:pPr>
          </w:p>
        </w:tc>
        <w:tc>
          <w:tcPr>
            <w:tcW w:w="270" w:type="dxa"/>
          </w:tcPr>
          <w:p w:rsidR="00D9231F" w:rsidRDefault="00D9231F" w:rsidP="00B10D3A">
            <w:pPr>
              <w:tabs>
                <w:tab w:val="decimal" w:pos="250"/>
              </w:tabs>
            </w:pPr>
          </w:p>
        </w:tc>
        <w:tc>
          <w:tcPr>
            <w:tcW w:w="1395" w:type="dxa"/>
            <w:vAlign w:val="center"/>
          </w:tcPr>
          <w:p w:rsidR="00D9231F" w:rsidRPr="001D7F2C" w:rsidRDefault="00D9231F" w:rsidP="00B10D3A">
            <w:pPr>
              <w:tabs>
                <w:tab w:val="decimal" w:pos="250"/>
              </w:tabs>
            </w:pPr>
            <w:r>
              <w:t>-.07</w:t>
            </w:r>
          </w:p>
        </w:tc>
        <w:tc>
          <w:tcPr>
            <w:tcW w:w="1395" w:type="dxa"/>
            <w:vAlign w:val="center"/>
          </w:tcPr>
          <w:p w:rsidR="00D9231F" w:rsidRPr="001D7F2C" w:rsidRDefault="00D9231F" w:rsidP="00B10D3A">
            <w:pPr>
              <w:tabs>
                <w:tab w:val="decimal" w:pos="264"/>
              </w:tabs>
            </w:pPr>
            <w:r>
              <w:t>.15</w:t>
            </w:r>
          </w:p>
        </w:tc>
        <w:tc>
          <w:tcPr>
            <w:tcW w:w="270" w:type="dxa"/>
          </w:tcPr>
          <w:p w:rsidR="00D9231F" w:rsidRDefault="00D9231F" w:rsidP="00B10D3A">
            <w:pPr>
              <w:tabs>
                <w:tab w:val="decimal" w:pos="208"/>
              </w:tabs>
            </w:pPr>
          </w:p>
        </w:tc>
        <w:tc>
          <w:tcPr>
            <w:tcW w:w="1440" w:type="dxa"/>
            <w:vAlign w:val="center"/>
          </w:tcPr>
          <w:p w:rsidR="00D9231F" w:rsidRPr="001D7F2C" w:rsidRDefault="00D9231F" w:rsidP="00B10D3A">
            <w:pPr>
              <w:tabs>
                <w:tab w:val="decimal" w:pos="208"/>
              </w:tabs>
            </w:pPr>
            <w:r>
              <w:t>-.04</w:t>
            </w:r>
          </w:p>
        </w:tc>
        <w:tc>
          <w:tcPr>
            <w:tcW w:w="1440" w:type="dxa"/>
            <w:vAlign w:val="center"/>
          </w:tcPr>
          <w:p w:rsidR="00D9231F" w:rsidRPr="001D7F2C" w:rsidRDefault="00D9231F" w:rsidP="00B10D3A">
            <w:pPr>
              <w:tabs>
                <w:tab w:val="decimal" w:pos="249"/>
              </w:tabs>
            </w:pPr>
            <w:r>
              <w:t>.15</w:t>
            </w:r>
          </w:p>
        </w:tc>
      </w:tr>
      <w:tr w:rsidR="00D9231F" w:rsidRPr="001D7F2C" w:rsidTr="00B10D3A">
        <w:tc>
          <w:tcPr>
            <w:tcW w:w="3858" w:type="dxa"/>
          </w:tcPr>
          <w:p w:rsidR="00D9231F" w:rsidRPr="001D7F2C" w:rsidRDefault="001C16E3" w:rsidP="001C16E3">
            <w:pPr>
              <w:ind w:left="180"/>
            </w:pPr>
            <w:r>
              <w:t>Stepparent / step</w:t>
            </w:r>
            <w:r w:rsidR="00D9231F" w:rsidRPr="001D7F2C">
              <w:t>sibling in</w:t>
            </w:r>
          </w:p>
        </w:tc>
        <w:tc>
          <w:tcPr>
            <w:tcW w:w="1320" w:type="dxa"/>
            <w:vAlign w:val="center"/>
          </w:tcPr>
          <w:p w:rsidR="00D9231F" w:rsidRPr="001D7F2C" w:rsidRDefault="00D9231F" w:rsidP="00B10D3A">
            <w:pPr>
              <w:tabs>
                <w:tab w:val="decimal" w:pos="192"/>
              </w:tabs>
            </w:pPr>
          </w:p>
        </w:tc>
        <w:tc>
          <w:tcPr>
            <w:tcW w:w="1320" w:type="dxa"/>
            <w:vAlign w:val="center"/>
          </w:tcPr>
          <w:p w:rsidR="00D9231F" w:rsidRPr="001D7F2C" w:rsidRDefault="00D9231F" w:rsidP="00B10D3A">
            <w:pPr>
              <w:tabs>
                <w:tab w:val="decimal" w:pos="278"/>
              </w:tabs>
            </w:pPr>
          </w:p>
        </w:tc>
        <w:tc>
          <w:tcPr>
            <w:tcW w:w="270" w:type="dxa"/>
          </w:tcPr>
          <w:p w:rsidR="00D9231F" w:rsidRDefault="00D9231F" w:rsidP="00B10D3A">
            <w:pPr>
              <w:tabs>
                <w:tab w:val="decimal" w:pos="250"/>
              </w:tabs>
            </w:pPr>
          </w:p>
        </w:tc>
        <w:tc>
          <w:tcPr>
            <w:tcW w:w="1395" w:type="dxa"/>
            <w:vAlign w:val="center"/>
          </w:tcPr>
          <w:p w:rsidR="00D9231F" w:rsidRPr="001D7F2C" w:rsidRDefault="00D9231F" w:rsidP="00B10D3A">
            <w:pPr>
              <w:tabs>
                <w:tab w:val="decimal" w:pos="250"/>
              </w:tabs>
            </w:pPr>
            <w:r>
              <w:t>.11</w:t>
            </w:r>
          </w:p>
        </w:tc>
        <w:tc>
          <w:tcPr>
            <w:tcW w:w="1395" w:type="dxa"/>
            <w:vAlign w:val="center"/>
          </w:tcPr>
          <w:p w:rsidR="00D9231F" w:rsidRPr="001D7F2C" w:rsidRDefault="00D9231F" w:rsidP="00B10D3A">
            <w:pPr>
              <w:tabs>
                <w:tab w:val="decimal" w:pos="264"/>
              </w:tabs>
            </w:pPr>
            <w:r>
              <w:t>.25</w:t>
            </w:r>
          </w:p>
        </w:tc>
        <w:tc>
          <w:tcPr>
            <w:tcW w:w="270" w:type="dxa"/>
          </w:tcPr>
          <w:p w:rsidR="00D9231F" w:rsidRDefault="00D9231F" w:rsidP="00B10D3A">
            <w:pPr>
              <w:tabs>
                <w:tab w:val="decimal" w:pos="208"/>
              </w:tabs>
            </w:pPr>
          </w:p>
        </w:tc>
        <w:tc>
          <w:tcPr>
            <w:tcW w:w="1440" w:type="dxa"/>
            <w:vAlign w:val="center"/>
          </w:tcPr>
          <w:p w:rsidR="00D9231F" w:rsidRPr="001D7F2C" w:rsidRDefault="00D9231F" w:rsidP="00B10D3A">
            <w:pPr>
              <w:tabs>
                <w:tab w:val="decimal" w:pos="208"/>
              </w:tabs>
            </w:pPr>
            <w:r>
              <w:t>.27</w:t>
            </w:r>
          </w:p>
        </w:tc>
        <w:tc>
          <w:tcPr>
            <w:tcW w:w="1440" w:type="dxa"/>
            <w:vAlign w:val="center"/>
          </w:tcPr>
          <w:p w:rsidR="00D9231F" w:rsidRPr="001D7F2C" w:rsidRDefault="00D9231F" w:rsidP="00B10D3A">
            <w:pPr>
              <w:tabs>
                <w:tab w:val="decimal" w:pos="249"/>
              </w:tabs>
            </w:pPr>
            <w:r>
              <w:t>.26</w:t>
            </w:r>
          </w:p>
        </w:tc>
      </w:tr>
      <w:tr w:rsidR="00D9231F" w:rsidRPr="001D7F2C" w:rsidTr="00B10D3A">
        <w:tc>
          <w:tcPr>
            <w:tcW w:w="3858" w:type="dxa"/>
          </w:tcPr>
          <w:p w:rsidR="00D9231F" w:rsidRPr="001D7F2C" w:rsidRDefault="00D9231F" w:rsidP="00B10D3A">
            <w:pPr>
              <w:ind w:left="180"/>
            </w:pPr>
            <w:r w:rsidRPr="001D7F2C">
              <w:t>No family instability (ref)</w:t>
            </w:r>
          </w:p>
        </w:tc>
        <w:tc>
          <w:tcPr>
            <w:tcW w:w="1320" w:type="dxa"/>
            <w:vAlign w:val="center"/>
          </w:tcPr>
          <w:p w:rsidR="00D9231F" w:rsidRPr="001D7F2C" w:rsidRDefault="00D9231F" w:rsidP="00B10D3A">
            <w:pPr>
              <w:tabs>
                <w:tab w:val="decimal" w:pos="192"/>
              </w:tabs>
            </w:pPr>
          </w:p>
        </w:tc>
        <w:tc>
          <w:tcPr>
            <w:tcW w:w="1320" w:type="dxa"/>
            <w:vAlign w:val="center"/>
          </w:tcPr>
          <w:p w:rsidR="00D9231F" w:rsidRPr="001D7F2C" w:rsidRDefault="00D9231F" w:rsidP="00B10D3A">
            <w:pPr>
              <w:tabs>
                <w:tab w:val="decimal" w:pos="278"/>
              </w:tabs>
            </w:pPr>
          </w:p>
        </w:tc>
        <w:tc>
          <w:tcPr>
            <w:tcW w:w="270" w:type="dxa"/>
          </w:tcPr>
          <w:p w:rsidR="00D9231F" w:rsidRPr="001D7F2C" w:rsidRDefault="00D9231F" w:rsidP="00B10D3A">
            <w:pPr>
              <w:tabs>
                <w:tab w:val="decimal" w:pos="250"/>
              </w:tabs>
            </w:pPr>
          </w:p>
        </w:tc>
        <w:tc>
          <w:tcPr>
            <w:tcW w:w="1395" w:type="dxa"/>
            <w:vAlign w:val="center"/>
          </w:tcPr>
          <w:p w:rsidR="00D9231F" w:rsidRPr="001D7F2C" w:rsidRDefault="00D9231F" w:rsidP="00B10D3A">
            <w:pPr>
              <w:tabs>
                <w:tab w:val="decimal" w:pos="250"/>
              </w:tabs>
            </w:pPr>
          </w:p>
        </w:tc>
        <w:tc>
          <w:tcPr>
            <w:tcW w:w="1395" w:type="dxa"/>
            <w:vAlign w:val="center"/>
          </w:tcPr>
          <w:p w:rsidR="00D9231F" w:rsidRPr="001D7F2C" w:rsidRDefault="00D9231F" w:rsidP="00B10D3A">
            <w:pPr>
              <w:tabs>
                <w:tab w:val="decimal" w:pos="264"/>
              </w:tabs>
            </w:pPr>
          </w:p>
        </w:tc>
        <w:tc>
          <w:tcPr>
            <w:tcW w:w="270" w:type="dxa"/>
          </w:tcPr>
          <w:p w:rsidR="00D9231F" w:rsidRPr="001D7F2C" w:rsidRDefault="00D9231F" w:rsidP="00B10D3A">
            <w:pPr>
              <w:tabs>
                <w:tab w:val="decimal" w:pos="208"/>
              </w:tabs>
            </w:pPr>
          </w:p>
        </w:tc>
        <w:tc>
          <w:tcPr>
            <w:tcW w:w="1440" w:type="dxa"/>
            <w:vAlign w:val="center"/>
          </w:tcPr>
          <w:p w:rsidR="00D9231F" w:rsidRPr="001D7F2C" w:rsidRDefault="00D9231F" w:rsidP="00B10D3A">
            <w:pPr>
              <w:tabs>
                <w:tab w:val="decimal" w:pos="208"/>
              </w:tabs>
            </w:pPr>
          </w:p>
        </w:tc>
        <w:tc>
          <w:tcPr>
            <w:tcW w:w="1440" w:type="dxa"/>
            <w:vAlign w:val="center"/>
          </w:tcPr>
          <w:p w:rsidR="00D9231F" w:rsidRPr="001D7F2C" w:rsidRDefault="00D9231F" w:rsidP="00B10D3A">
            <w:pPr>
              <w:tabs>
                <w:tab w:val="decimal" w:pos="249"/>
              </w:tabs>
            </w:pPr>
          </w:p>
        </w:tc>
      </w:tr>
      <w:tr w:rsidR="00D9231F" w:rsidRPr="001D7F2C" w:rsidTr="00B10D3A">
        <w:tc>
          <w:tcPr>
            <w:tcW w:w="3858" w:type="dxa"/>
          </w:tcPr>
          <w:p w:rsidR="00D9231F" w:rsidRPr="001D7F2C" w:rsidRDefault="00D9231F" w:rsidP="00B10D3A">
            <w:r w:rsidRPr="001D7F2C">
              <w:t>Family structure at beginning</w:t>
            </w:r>
          </w:p>
        </w:tc>
        <w:tc>
          <w:tcPr>
            <w:tcW w:w="1320" w:type="dxa"/>
            <w:vAlign w:val="center"/>
          </w:tcPr>
          <w:p w:rsidR="00D9231F" w:rsidRPr="001D7F2C" w:rsidRDefault="00D9231F" w:rsidP="00B10D3A">
            <w:pPr>
              <w:tabs>
                <w:tab w:val="decimal" w:pos="156"/>
                <w:tab w:val="decimal" w:pos="192"/>
                <w:tab w:val="decimal" w:pos="278"/>
              </w:tabs>
            </w:pPr>
          </w:p>
        </w:tc>
        <w:tc>
          <w:tcPr>
            <w:tcW w:w="1320" w:type="dxa"/>
            <w:vAlign w:val="center"/>
          </w:tcPr>
          <w:p w:rsidR="00D9231F" w:rsidRPr="001D7F2C" w:rsidRDefault="00D9231F" w:rsidP="00B10D3A">
            <w:pPr>
              <w:tabs>
                <w:tab w:val="decimal" w:pos="156"/>
                <w:tab w:val="decimal" w:pos="192"/>
                <w:tab w:val="decimal" w:pos="278"/>
              </w:tabs>
            </w:pPr>
          </w:p>
        </w:tc>
        <w:tc>
          <w:tcPr>
            <w:tcW w:w="270" w:type="dxa"/>
          </w:tcPr>
          <w:p w:rsidR="00D9231F" w:rsidRPr="001D7F2C" w:rsidRDefault="00D9231F" w:rsidP="00B10D3A">
            <w:pPr>
              <w:tabs>
                <w:tab w:val="decimal" w:pos="250"/>
              </w:tabs>
            </w:pPr>
          </w:p>
        </w:tc>
        <w:tc>
          <w:tcPr>
            <w:tcW w:w="1395" w:type="dxa"/>
            <w:vAlign w:val="center"/>
          </w:tcPr>
          <w:p w:rsidR="00D9231F" w:rsidRPr="001D7F2C" w:rsidRDefault="00D9231F" w:rsidP="00B10D3A">
            <w:pPr>
              <w:tabs>
                <w:tab w:val="decimal" w:pos="250"/>
              </w:tabs>
            </w:pPr>
          </w:p>
        </w:tc>
        <w:tc>
          <w:tcPr>
            <w:tcW w:w="1395" w:type="dxa"/>
            <w:vAlign w:val="center"/>
          </w:tcPr>
          <w:p w:rsidR="00D9231F" w:rsidRPr="001D7F2C" w:rsidRDefault="00D9231F" w:rsidP="00B10D3A">
            <w:pPr>
              <w:tabs>
                <w:tab w:val="decimal" w:pos="250"/>
              </w:tabs>
            </w:pPr>
          </w:p>
        </w:tc>
        <w:tc>
          <w:tcPr>
            <w:tcW w:w="270" w:type="dxa"/>
          </w:tcPr>
          <w:p w:rsidR="00D9231F" w:rsidRPr="001D7F2C" w:rsidRDefault="00D9231F" w:rsidP="00B10D3A">
            <w:pPr>
              <w:tabs>
                <w:tab w:val="decimal" w:pos="165"/>
                <w:tab w:val="decimal" w:pos="208"/>
                <w:tab w:val="decimal" w:pos="249"/>
              </w:tabs>
            </w:pPr>
          </w:p>
        </w:tc>
        <w:tc>
          <w:tcPr>
            <w:tcW w:w="1440" w:type="dxa"/>
            <w:vAlign w:val="center"/>
          </w:tcPr>
          <w:p w:rsidR="00D9231F" w:rsidRPr="001D7F2C" w:rsidRDefault="00D9231F" w:rsidP="00B10D3A">
            <w:pPr>
              <w:tabs>
                <w:tab w:val="decimal" w:pos="165"/>
                <w:tab w:val="decimal" w:pos="208"/>
                <w:tab w:val="decimal" w:pos="249"/>
              </w:tabs>
            </w:pPr>
          </w:p>
        </w:tc>
        <w:tc>
          <w:tcPr>
            <w:tcW w:w="1440" w:type="dxa"/>
            <w:vAlign w:val="center"/>
          </w:tcPr>
          <w:p w:rsidR="00D9231F" w:rsidRPr="001D7F2C" w:rsidRDefault="00D9231F" w:rsidP="00B10D3A">
            <w:pPr>
              <w:tabs>
                <w:tab w:val="decimal" w:pos="165"/>
                <w:tab w:val="decimal" w:pos="208"/>
                <w:tab w:val="decimal" w:pos="249"/>
              </w:tabs>
            </w:pPr>
          </w:p>
        </w:tc>
      </w:tr>
      <w:tr w:rsidR="00D9231F" w:rsidRPr="001D7F2C" w:rsidTr="00B10D3A">
        <w:tc>
          <w:tcPr>
            <w:tcW w:w="3858" w:type="dxa"/>
          </w:tcPr>
          <w:p w:rsidR="00D9231F" w:rsidRPr="001D7F2C" w:rsidRDefault="001C16E3" w:rsidP="00B10D3A">
            <w:pPr>
              <w:ind w:left="180"/>
            </w:pPr>
            <w:r>
              <w:t>Step</w:t>
            </w:r>
            <w:r w:rsidR="00D9231F" w:rsidRPr="001D7F2C">
              <w:t>parent family</w:t>
            </w:r>
          </w:p>
        </w:tc>
        <w:tc>
          <w:tcPr>
            <w:tcW w:w="1320" w:type="dxa"/>
            <w:vAlign w:val="center"/>
          </w:tcPr>
          <w:p w:rsidR="00D9231F" w:rsidRPr="001D7F2C" w:rsidRDefault="00D9231F" w:rsidP="00B10D3A">
            <w:pPr>
              <w:tabs>
                <w:tab w:val="decimal" w:pos="192"/>
              </w:tabs>
            </w:pPr>
            <w:r>
              <w:t>.05</w:t>
            </w:r>
          </w:p>
        </w:tc>
        <w:tc>
          <w:tcPr>
            <w:tcW w:w="1320" w:type="dxa"/>
            <w:vAlign w:val="center"/>
          </w:tcPr>
          <w:p w:rsidR="00D9231F" w:rsidRPr="001D7F2C" w:rsidRDefault="00D9231F" w:rsidP="00B10D3A">
            <w:pPr>
              <w:tabs>
                <w:tab w:val="decimal" w:pos="278"/>
              </w:tabs>
            </w:pPr>
            <w:r>
              <w:t>.12</w:t>
            </w:r>
          </w:p>
        </w:tc>
        <w:tc>
          <w:tcPr>
            <w:tcW w:w="270" w:type="dxa"/>
          </w:tcPr>
          <w:p w:rsidR="00D9231F" w:rsidRPr="001D7F2C" w:rsidRDefault="00D9231F" w:rsidP="00B10D3A">
            <w:pPr>
              <w:tabs>
                <w:tab w:val="decimal" w:pos="250"/>
              </w:tabs>
            </w:pPr>
          </w:p>
        </w:tc>
        <w:tc>
          <w:tcPr>
            <w:tcW w:w="1395" w:type="dxa"/>
            <w:vAlign w:val="center"/>
          </w:tcPr>
          <w:p w:rsidR="00D9231F" w:rsidRPr="001D7F2C" w:rsidRDefault="00D9231F" w:rsidP="00B10D3A">
            <w:pPr>
              <w:tabs>
                <w:tab w:val="decimal" w:pos="250"/>
              </w:tabs>
            </w:pPr>
          </w:p>
        </w:tc>
        <w:tc>
          <w:tcPr>
            <w:tcW w:w="1395" w:type="dxa"/>
            <w:vAlign w:val="center"/>
          </w:tcPr>
          <w:p w:rsidR="00D9231F" w:rsidRPr="001D7F2C" w:rsidRDefault="00D9231F" w:rsidP="00B10D3A">
            <w:pPr>
              <w:tabs>
                <w:tab w:val="decimal" w:pos="264"/>
              </w:tabs>
            </w:pPr>
          </w:p>
        </w:tc>
        <w:tc>
          <w:tcPr>
            <w:tcW w:w="270" w:type="dxa"/>
          </w:tcPr>
          <w:p w:rsidR="00D9231F" w:rsidRDefault="00D9231F" w:rsidP="00B10D3A">
            <w:pPr>
              <w:tabs>
                <w:tab w:val="decimal" w:pos="208"/>
              </w:tabs>
            </w:pPr>
          </w:p>
        </w:tc>
        <w:tc>
          <w:tcPr>
            <w:tcW w:w="1440" w:type="dxa"/>
            <w:vAlign w:val="center"/>
          </w:tcPr>
          <w:p w:rsidR="00D9231F" w:rsidRPr="001D7F2C" w:rsidRDefault="00D9231F" w:rsidP="00B10D3A">
            <w:pPr>
              <w:tabs>
                <w:tab w:val="decimal" w:pos="208"/>
              </w:tabs>
            </w:pPr>
            <w:r>
              <w:t>.04</w:t>
            </w:r>
          </w:p>
        </w:tc>
        <w:tc>
          <w:tcPr>
            <w:tcW w:w="1440" w:type="dxa"/>
            <w:vAlign w:val="center"/>
          </w:tcPr>
          <w:p w:rsidR="00D9231F" w:rsidRPr="001D7F2C" w:rsidRDefault="00D9231F" w:rsidP="00B10D3A">
            <w:pPr>
              <w:tabs>
                <w:tab w:val="decimal" w:pos="249"/>
              </w:tabs>
            </w:pPr>
            <w:r>
              <w:t>.12</w:t>
            </w:r>
          </w:p>
        </w:tc>
      </w:tr>
      <w:tr w:rsidR="00D9231F" w:rsidRPr="001D7F2C" w:rsidTr="00B10D3A">
        <w:tc>
          <w:tcPr>
            <w:tcW w:w="3858" w:type="dxa"/>
          </w:tcPr>
          <w:p w:rsidR="00D9231F" w:rsidRPr="001D7F2C" w:rsidRDefault="00D9231F" w:rsidP="00B10D3A">
            <w:pPr>
              <w:ind w:left="180"/>
            </w:pPr>
            <w:r w:rsidRPr="001D7F2C">
              <w:t>Single-parent family</w:t>
            </w:r>
          </w:p>
        </w:tc>
        <w:tc>
          <w:tcPr>
            <w:tcW w:w="1320" w:type="dxa"/>
            <w:vAlign w:val="center"/>
          </w:tcPr>
          <w:p w:rsidR="00D9231F" w:rsidRPr="001D7F2C" w:rsidRDefault="00D9231F" w:rsidP="00B10D3A">
            <w:pPr>
              <w:tabs>
                <w:tab w:val="decimal" w:pos="192"/>
              </w:tabs>
            </w:pPr>
            <w:r>
              <w:t>-.38</w:t>
            </w:r>
          </w:p>
        </w:tc>
        <w:tc>
          <w:tcPr>
            <w:tcW w:w="1320" w:type="dxa"/>
            <w:vAlign w:val="center"/>
          </w:tcPr>
          <w:p w:rsidR="00D9231F" w:rsidRPr="001D7F2C" w:rsidRDefault="00D9231F" w:rsidP="00B10D3A">
            <w:pPr>
              <w:tabs>
                <w:tab w:val="decimal" w:pos="278"/>
              </w:tabs>
            </w:pPr>
            <w:r>
              <w:t>.24</w:t>
            </w:r>
          </w:p>
        </w:tc>
        <w:tc>
          <w:tcPr>
            <w:tcW w:w="270" w:type="dxa"/>
          </w:tcPr>
          <w:p w:rsidR="00D9231F" w:rsidRPr="001D7F2C" w:rsidRDefault="00D9231F" w:rsidP="00B10D3A">
            <w:pPr>
              <w:tabs>
                <w:tab w:val="decimal" w:pos="250"/>
              </w:tabs>
            </w:pPr>
          </w:p>
        </w:tc>
        <w:tc>
          <w:tcPr>
            <w:tcW w:w="1395" w:type="dxa"/>
            <w:vAlign w:val="center"/>
          </w:tcPr>
          <w:p w:rsidR="00D9231F" w:rsidRPr="001D7F2C" w:rsidRDefault="00D9231F" w:rsidP="00B10D3A">
            <w:pPr>
              <w:tabs>
                <w:tab w:val="decimal" w:pos="250"/>
              </w:tabs>
            </w:pPr>
          </w:p>
        </w:tc>
        <w:tc>
          <w:tcPr>
            <w:tcW w:w="1395" w:type="dxa"/>
            <w:vAlign w:val="center"/>
          </w:tcPr>
          <w:p w:rsidR="00D9231F" w:rsidRPr="001D7F2C" w:rsidRDefault="00D9231F" w:rsidP="00B10D3A">
            <w:pPr>
              <w:tabs>
                <w:tab w:val="decimal" w:pos="264"/>
              </w:tabs>
            </w:pPr>
          </w:p>
        </w:tc>
        <w:tc>
          <w:tcPr>
            <w:tcW w:w="270" w:type="dxa"/>
          </w:tcPr>
          <w:p w:rsidR="00D9231F" w:rsidRDefault="00D9231F" w:rsidP="00B10D3A">
            <w:pPr>
              <w:tabs>
                <w:tab w:val="decimal" w:pos="208"/>
              </w:tabs>
            </w:pPr>
          </w:p>
        </w:tc>
        <w:tc>
          <w:tcPr>
            <w:tcW w:w="1440" w:type="dxa"/>
            <w:vAlign w:val="center"/>
          </w:tcPr>
          <w:p w:rsidR="00D9231F" w:rsidRPr="001D7F2C" w:rsidRDefault="00D9231F" w:rsidP="00B10D3A">
            <w:pPr>
              <w:tabs>
                <w:tab w:val="decimal" w:pos="208"/>
              </w:tabs>
            </w:pPr>
            <w:r>
              <w:t>-.43</w:t>
            </w:r>
            <w:r w:rsidRPr="0010002F">
              <w:rPr>
                <w:vertAlign w:val="superscript"/>
              </w:rPr>
              <w:t>†</w:t>
            </w:r>
          </w:p>
        </w:tc>
        <w:tc>
          <w:tcPr>
            <w:tcW w:w="1440" w:type="dxa"/>
            <w:vAlign w:val="center"/>
          </w:tcPr>
          <w:p w:rsidR="00D9231F" w:rsidRPr="001D7F2C" w:rsidRDefault="00D9231F" w:rsidP="00B10D3A">
            <w:pPr>
              <w:tabs>
                <w:tab w:val="decimal" w:pos="249"/>
              </w:tabs>
            </w:pPr>
            <w:r>
              <w:t>.24</w:t>
            </w:r>
          </w:p>
        </w:tc>
      </w:tr>
      <w:tr w:rsidR="00D9231F" w:rsidRPr="001D7F2C" w:rsidTr="00B10D3A">
        <w:tc>
          <w:tcPr>
            <w:tcW w:w="3858" w:type="dxa"/>
          </w:tcPr>
          <w:p w:rsidR="00D9231F" w:rsidRPr="001D7F2C" w:rsidRDefault="00D9231F" w:rsidP="00B10D3A">
            <w:pPr>
              <w:ind w:left="180"/>
            </w:pPr>
            <w:r w:rsidRPr="001D7F2C">
              <w:t>Two biological parents (ref)</w:t>
            </w:r>
          </w:p>
        </w:tc>
        <w:tc>
          <w:tcPr>
            <w:tcW w:w="1320" w:type="dxa"/>
            <w:vAlign w:val="center"/>
          </w:tcPr>
          <w:p w:rsidR="00D9231F" w:rsidRPr="001D7F2C" w:rsidRDefault="00D9231F" w:rsidP="00B10D3A">
            <w:pPr>
              <w:tabs>
                <w:tab w:val="decimal" w:pos="192"/>
              </w:tabs>
            </w:pPr>
          </w:p>
        </w:tc>
        <w:tc>
          <w:tcPr>
            <w:tcW w:w="1320" w:type="dxa"/>
            <w:vAlign w:val="center"/>
          </w:tcPr>
          <w:p w:rsidR="00D9231F" w:rsidRPr="001D7F2C" w:rsidRDefault="00D9231F" w:rsidP="00B10D3A">
            <w:pPr>
              <w:tabs>
                <w:tab w:val="decimal" w:pos="278"/>
              </w:tabs>
            </w:pPr>
          </w:p>
        </w:tc>
        <w:tc>
          <w:tcPr>
            <w:tcW w:w="270" w:type="dxa"/>
          </w:tcPr>
          <w:p w:rsidR="00D9231F" w:rsidRPr="001D7F2C" w:rsidRDefault="00D9231F" w:rsidP="00B10D3A">
            <w:pPr>
              <w:tabs>
                <w:tab w:val="decimal" w:pos="250"/>
              </w:tabs>
            </w:pPr>
          </w:p>
        </w:tc>
        <w:tc>
          <w:tcPr>
            <w:tcW w:w="1395" w:type="dxa"/>
            <w:vAlign w:val="center"/>
          </w:tcPr>
          <w:p w:rsidR="00D9231F" w:rsidRPr="001D7F2C" w:rsidRDefault="00D9231F" w:rsidP="00B10D3A">
            <w:pPr>
              <w:tabs>
                <w:tab w:val="decimal" w:pos="250"/>
              </w:tabs>
            </w:pPr>
          </w:p>
        </w:tc>
        <w:tc>
          <w:tcPr>
            <w:tcW w:w="1395" w:type="dxa"/>
            <w:vAlign w:val="center"/>
          </w:tcPr>
          <w:p w:rsidR="00D9231F" w:rsidRPr="001D7F2C" w:rsidRDefault="00D9231F" w:rsidP="00B10D3A">
            <w:pPr>
              <w:tabs>
                <w:tab w:val="decimal" w:pos="264"/>
              </w:tabs>
            </w:pPr>
          </w:p>
        </w:tc>
        <w:tc>
          <w:tcPr>
            <w:tcW w:w="270" w:type="dxa"/>
          </w:tcPr>
          <w:p w:rsidR="00D9231F" w:rsidRPr="001D7F2C" w:rsidRDefault="00D9231F" w:rsidP="00B10D3A">
            <w:pPr>
              <w:tabs>
                <w:tab w:val="decimal" w:pos="208"/>
              </w:tabs>
            </w:pPr>
          </w:p>
        </w:tc>
        <w:tc>
          <w:tcPr>
            <w:tcW w:w="1440" w:type="dxa"/>
            <w:vAlign w:val="center"/>
          </w:tcPr>
          <w:p w:rsidR="00D9231F" w:rsidRPr="001D7F2C" w:rsidRDefault="00D9231F" w:rsidP="00B10D3A">
            <w:pPr>
              <w:tabs>
                <w:tab w:val="decimal" w:pos="208"/>
              </w:tabs>
            </w:pPr>
          </w:p>
        </w:tc>
        <w:tc>
          <w:tcPr>
            <w:tcW w:w="1440" w:type="dxa"/>
            <w:vAlign w:val="center"/>
          </w:tcPr>
          <w:p w:rsidR="00D9231F" w:rsidRPr="001D7F2C" w:rsidRDefault="00D9231F" w:rsidP="00B10D3A">
            <w:pPr>
              <w:tabs>
                <w:tab w:val="decimal" w:pos="249"/>
              </w:tabs>
            </w:pPr>
          </w:p>
        </w:tc>
      </w:tr>
      <w:tr w:rsidR="00D9231F" w:rsidRPr="001D7F2C" w:rsidTr="00B10D3A">
        <w:tc>
          <w:tcPr>
            <w:tcW w:w="3858" w:type="dxa"/>
          </w:tcPr>
          <w:p w:rsidR="00D9231F" w:rsidRPr="001D7F2C" w:rsidRDefault="00D9231F" w:rsidP="00B10D3A">
            <w:r w:rsidRPr="001D7F2C">
              <w:t>Child &amp; family characteristics</w:t>
            </w:r>
          </w:p>
        </w:tc>
        <w:tc>
          <w:tcPr>
            <w:tcW w:w="1320" w:type="dxa"/>
            <w:vAlign w:val="center"/>
          </w:tcPr>
          <w:p w:rsidR="00D9231F" w:rsidRPr="001D7F2C" w:rsidRDefault="00D9231F" w:rsidP="00B10D3A">
            <w:pPr>
              <w:tabs>
                <w:tab w:val="decimal" w:pos="156"/>
                <w:tab w:val="decimal" w:pos="192"/>
                <w:tab w:val="decimal" w:pos="278"/>
              </w:tabs>
            </w:pPr>
          </w:p>
        </w:tc>
        <w:tc>
          <w:tcPr>
            <w:tcW w:w="1320" w:type="dxa"/>
            <w:vAlign w:val="center"/>
          </w:tcPr>
          <w:p w:rsidR="00D9231F" w:rsidRPr="001D7F2C" w:rsidRDefault="00D9231F" w:rsidP="00B10D3A">
            <w:pPr>
              <w:tabs>
                <w:tab w:val="decimal" w:pos="156"/>
                <w:tab w:val="decimal" w:pos="192"/>
                <w:tab w:val="decimal" w:pos="278"/>
              </w:tabs>
            </w:pPr>
          </w:p>
        </w:tc>
        <w:tc>
          <w:tcPr>
            <w:tcW w:w="270" w:type="dxa"/>
          </w:tcPr>
          <w:p w:rsidR="00D9231F" w:rsidRPr="001D7F2C" w:rsidRDefault="00D9231F" w:rsidP="00B10D3A">
            <w:pPr>
              <w:tabs>
                <w:tab w:val="decimal" w:pos="250"/>
              </w:tabs>
            </w:pPr>
          </w:p>
        </w:tc>
        <w:tc>
          <w:tcPr>
            <w:tcW w:w="1395" w:type="dxa"/>
            <w:vAlign w:val="center"/>
          </w:tcPr>
          <w:p w:rsidR="00D9231F" w:rsidRPr="001D7F2C" w:rsidRDefault="00D9231F" w:rsidP="00B10D3A">
            <w:pPr>
              <w:tabs>
                <w:tab w:val="decimal" w:pos="250"/>
              </w:tabs>
            </w:pPr>
          </w:p>
        </w:tc>
        <w:tc>
          <w:tcPr>
            <w:tcW w:w="1395" w:type="dxa"/>
            <w:vAlign w:val="center"/>
          </w:tcPr>
          <w:p w:rsidR="00D9231F" w:rsidRPr="001D7F2C" w:rsidRDefault="00D9231F" w:rsidP="00B10D3A">
            <w:pPr>
              <w:tabs>
                <w:tab w:val="decimal" w:pos="250"/>
              </w:tabs>
            </w:pPr>
          </w:p>
        </w:tc>
        <w:tc>
          <w:tcPr>
            <w:tcW w:w="270" w:type="dxa"/>
          </w:tcPr>
          <w:p w:rsidR="00D9231F" w:rsidRPr="001D7F2C" w:rsidRDefault="00D9231F" w:rsidP="00B10D3A">
            <w:pPr>
              <w:tabs>
                <w:tab w:val="decimal" w:pos="165"/>
                <w:tab w:val="decimal" w:pos="208"/>
                <w:tab w:val="decimal" w:pos="249"/>
              </w:tabs>
            </w:pPr>
          </w:p>
        </w:tc>
        <w:tc>
          <w:tcPr>
            <w:tcW w:w="1440" w:type="dxa"/>
            <w:vAlign w:val="center"/>
          </w:tcPr>
          <w:p w:rsidR="00D9231F" w:rsidRPr="001D7F2C" w:rsidRDefault="00D9231F" w:rsidP="00B10D3A">
            <w:pPr>
              <w:tabs>
                <w:tab w:val="decimal" w:pos="165"/>
                <w:tab w:val="decimal" w:pos="208"/>
                <w:tab w:val="decimal" w:pos="249"/>
              </w:tabs>
            </w:pPr>
          </w:p>
        </w:tc>
        <w:tc>
          <w:tcPr>
            <w:tcW w:w="1440" w:type="dxa"/>
            <w:vAlign w:val="center"/>
          </w:tcPr>
          <w:p w:rsidR="00D9231F" w:rsidRPr="001D7F2C" w:rsidRDefault="00D9231F" w:rsidP="00B10D3A">
            <w:pPr>
              <w:tabs>
                <w:tab w:val="decimal" w:pos="165"/>
                <w:tab w:val="decimal" w:pos="208"/>
                <w:tab w:val="decimal" w:pos="249"/>
              </w:tabs>
            </w:pPr>
          </w:p>
        </w:tc>
      </w:tr>
      <w:tr w:rsidR="00D9231F" w:rsidRPr="001D7F2C" w:rsidTr="00B10D3A">
        <w:tc>
          <w:tcPr>
            <w:tcW w:w="3858" w:type="dxa"/>
          </w:tcPr>
          <w:p w:rsidR="00D9231F" w:rsidRPr="001D7F2C" w:rsidRDefault="00D9231F" w:rsidP="00B10D3A">
            <w:pPr>
              <w:ind w:left="180"/>
            </w:pPr>
            <w:r w:rsidRPr="001D7F2C">
              <w:t>Female (ref = male)</w:t>
            </w:r>
          </w:p>
        </w:tc>
        <w:tc>
          <w:tcPr>
            <w:tcW w:w="1320" w:type="dxa"/>
            <w:vAlign w:val="center"/>
          </w:tcPr>
          <w:p w:rsidR="00D9231F" w:rsidRPr="001D7F2C" w:rsidRDefault="00D9231F" w:rsidP="00B10D3A">
            <w:pPr>
              <w:tabs>
                <w:tab w:val="decimal" w:pos="192"/>
              </w:tabs>
            </w:pPr>
            <w:r>
              <w:t>.24**</w:t>
            </w:r>
          </w:p>
        </w:tc>
        <w:tc>
          <w:tcPr>
            <w:tcW w:w="1320" w:type="dxa"/>
            <w:vAlign w:val="center"/>
          </w:tcPr>
          <w:p w:rsidR="00D9231F" w:rsidRPr="001D7F2C" w:rsidRDefault="00D9231F" w:rsidP="00B10D3A">
            <w:pPr>
              <w:tabs>
                <w:tab w:val="decimal" w:pos="278"/>
              </w:tabs>
            </w:pPr>
            <w:r>
              <w:t>.09</w:t>
            </w:r>
          </w:p>
        </w:tc>
        <w:tc>
          <w:tcPr>
            <w:tcW w:w="270" w:type="dxa"/>
          </w:tcPr>
          <w:p w:rsidR="00D9231F" w:rsidRDefault="00D9231F" w:rsidP="00B10D3A">
            <w:pPr>
              <w:tabs>
                <w:tab w:val="decimal" w:pos="250"/>
              </w:tabs>
            </w:pPr>
          </w:p>
        </w:tc>
        <w:tc>
          <w:tcPr>
            <w:tcW w:w="1395" w:type="dxa"/>
            <w:vAlign w:val="center"/>
          </w:tcPr>
          <w:p w:rsidR="00D9231F" w:rsidRPr="001D7F2C" w:rsidRDefault="00D9231F" w:rsidP="00B10D3A">
            <w:pPr>
              <w:tabs>
                <w:tab w:val="decimal" w:pos="250"/>
              </w:tabs>
            </w:pPr>
            <w:r>
              <w:t>.25**</w:t>
            </w:r>
          </w:p>
        </w:tc>
        <w:tc>
          <w:tcPr>
            <w:tcW w:w="1395" w:type="dxa"/>
            <w:vAlign w:val="center"/>
          </w:tcPr>
          <w:p w:rsidR="00D9231F" w:rsidRPr="001D7F2C" w:rsidRDefault="00D9231F" w:rsidP="00B10D3A">
            <w:pPr>
              <w:tabs>
                <w:tab w:val="decimal" w:pos="264"/>
              </w:tabs>
            </w:pPr>
            <w:r>
              <w:t>.09</w:t>
            </w:r>
          </w:p>
        </w:tc>
        <w:tc>
          <w:tcPr>
            <w:tcW w:w="270" w:type="dxa"/>
          </w:tcPr>
          <w:p w:rsidR="00D9231F" w:rsidRDefault="00D9231F" w:rsidP="00B10D3A">
            <w:pPr>
              <w:tabs>
                <w:tab w:val="decimal" w:pos="208"/>
              </w:tabs>
            </w:pPr>
          </w:p>
        </w:tc>
        <w:tc>
          <w:tcPr>
            <w:tcW w:w="1440" w:type="dxa"/>
            <w:vAlign w:val="center"/>
          </w:tcPr>
          <w:p w:rsidR="00D9231F" w:rsidRPr="001D7F2C" w:rsidRDefault="00D9231F" w:rsidP="00B10D3A">
            <w:pPr>
              <w:tabs>
                <w:tab w:val="decimal" w:pos="208"/>
              </w:tabs>
            </w:pPr>
            <w:r>
              <w:t>.24**</w:t>
            </w:r>
          </w:p>
        </w:tc>
        <w:tc>
          <w:tcPr>
            <w:tcW w:w="1440" w:type="dxa"/>
            <w:vAlign w:val="center"/>
          </w:tcPr>
          <w:p w:rsidR="00D9231F" w:rsidRPr="001D7F2C" w:rsidRDefault="00D9231F" w:rsidP="00B10D3A">
            <w:pPr>
              <w:tabs>
                <w:tab w:val="decimal" w:pos="249"/>
              </w:tabs>
            </w:pPr>
            <w:r>
              <w:t>.09</w:t>
            </w:r>
          </w:p>
        </w:tc>
      </w:tr>
      <w:tr w:rsidR="00D9231F" w:rsidRPr="001D7F2C" w:rsidTr="00B10D3A">
        <w:tc>
          <w:tcPr>
            <w:tcW w:w="3858" w:type="dxa"/>
          </w:tcPr>
          <w:p w:rsidR="00D9231F" w:rsidRPr="001D7F2C" w:rsidRDefault="00D9231F" w:rsidP="00B10D3A">
            <w:pPr>
              <w:ind w:left="180"/>
            </w:pPr>
            <w:r w:rsidRPr="001D7F2C">
              <w:t>Age at beginning</w:t>
            </w:r>
          </w:p>
        </w:tc>
        <w:tc>
          <w:tcPr>
            <w:tcW w:w="1320" w:type="dxa"/>
            <w:vAlign w:val="center"/>
          </w:tcPr>
          <w:p w:rsidR="00D9231F" w:rsidRPr="001D7F2C" w:rsidRDefault="00D9231F" w:rsidP="00B10D3A">
            <w:pPr>
              <w:tabs>
                <w:tab w:val="decimal" w:pos="192"/>
              </w:tabs>
            </w:pPr>
            <w:r>
              <w:t>.10**</w:t>
            </w:r>
          </w:p>
        </w:tc>
        <w:tc>
          <w:tcPr>
            <w:tcW w:w="1320" w:type="dxa"/>
            <w:vAlign w:val="center"/>
          </w:tcPr>
          <w:p w:rsidR="00D9231F" w:rsidRPr="001D7F2C" w:rsidRDefault="00D9231F" w:rsidP="00B10D3A">
            <w:pPr>
              <w:tabs>
                <w:tab w:val="decimal" w:pos="278"/>
              </w:tabs>
            </w:pPr>
            <w:r>
              <w:t>.04</w:t>
            </w:r>
          </w:p>
        </w:tc>
        <w:tc>
          <w:tcPr>
            <w:tcW w:w="270" w:type="dxa"/>
          </w:tcPr>
          <w:p w:rsidR="00D9231F" w:rsidRDefault="00D9231F" w:rsidP="00B10D3A">
            <w:pPr>
              <w:tabs>
                <w:tab w:val="decimal" w:pos="250"/>
              </w:tabs>
            </w:pPr>
          </w:p>
        </w:tc>
        <w:tc>
          <w:tcPr>
            <w:tcW w:w="1395" w:type="dxa"/>
            <w:vAlign w:val="center"/>
          </w:tcPr>
          <w:p w:rsidR="00D9231F" w:rsidRPr="001D7F2C" w:rsidRDefault="00D9231F" w:rsidP="00B10D3A">
            <w:pPr>
              <w:tabs>
                <w:tab w:val="decimal" w:pos="250"/>
              </w:tabs>
            </w:pPr>
            <w:r>
              <w:t>.10**</w:t>
            </w:r>
          </w:p>
        </w:tc>
        <w:tc>
          <w:tcPr>
            <w:tcW w:w="1395" w:type="dxa"/>
            <w:vAlign w:val="center"/>
          </w:tcPr>
          <w:p w:rsidR="00D9231F" w:rsidRPr="001D7F2C" w:rsidRDefault="00D9231F" w:rsidP="00B10D3A">
            <w:pPr>
              <w:tabs>
                <w:tab w:val="decimal" w:pos="264"/>
              </w:tabs>
            </w:pPr>
            <w:r>
              <w:t>.04</w:t>
            </w:r>
          </w:p>
        </w:tc>
        <w:tc>
          <w:tcPr>
            <w:tcW w:w="270" w:type="dxa"/>
          </w:tcPr>
          <w:p w:rsidR="00D9231F" w:rsidRDefault="00D9231F" w:rsidP="00B10D3A">
            <w:pPr>
              <w:tabs>
                <w:tab w:val="decimal" w:pos="208"/>
              </w:tabs>
            </w:pPr>
          </w:p>
        </w:tc>
        <w:tc>
          <w:tcPr>
            <w:tcW w:w="1440" w:type="dxa"/>
            <w:vAlign w:val="center"/>
          </w:tcPr>
          <w:p w:rsidR="00D9231F" w:rsidRPr="001D7F2C" w:rsidRDefault="00D9231F" w:rsidP="00B10D3A">
            <w:pPr>
              <w:tabs>
                <w:tab w:val="decimal" w:pos="208"/>
              </w:tabs>
            </w:pPr>
            <w:r>
              <w:t>.10**</w:t>
            </w:r>
          </w:p>
        </w:tc>
        <w:tc>
          <w:tcPr>
            <w:tcW w:w="1440" w:type="dxa"/>
            <w:vAlign w:val="center"/>
          </w:tcPr>
          <w:p w:rsidR="00D9231F" w:rsidRPr="001D7F2C" w:rsidRDefault="00D9231F" w:rsidP="00B10D3A">
            <w:pPr>
              <w:tabs>
                <w:tab w:val="decimal" w:pos="249"/>
              </w:tabs>
            </w:pPr>
            <w:r>
              <w:t>.04</w:t>
            </w:r>
          </w:p>
        </w:tc>
      </w:tr>
      <w:tr w:rsidR="00D9231F" w:rsidRPr="001D7F2C" w:rsidTr="00B10D3A">
        <w:tc>
          <w:tcPr>
            <w:tcW w:w="3858" w:type="dxa"/>
          </w:tcPr>
          <w:p w:rsidR="00D9231F" w:rsidRPr="001D7F2C" w:rsidRDefault="00D9231F" w:rsidP="00B10D3A">
            <w:pPr>
              <w:ind w:left="180"/>
            </w:pPr>
            <w:r w:rsidRPr="001D7F2C">
              <w:t>Non-Dutch ethnicity</w:t>
            </w:r>
          </w:p>
        </w:tc>
        <w:tc>
          <w:tcPr>
            <w:tcW w:w="1320" w:type="dxa"/>
            <w:vAlign w:val="center"/>
          </w:tcPr>
          <w:p w:rsidR="00D9231F" w:rsidRPr="001D7F2C" w:rsidRDefault="00D9231F" w:rsidP="00B10D3A">
            <w:pPr>
              <w:tabs>
                <w:tab w:val="decimal" w:pos="192"/>
              </w:tabs>
            </w:pPr>
            <w:r>
              <w:t>.18</w:t>
            </w:r>
          </w:p>
        </w:tc>
        <w:tc>
          <w:tcPr>
            <w:tcW w:w="1320" w:type="dxa"/>
            <w:vAlign w:val="center"/>
          </w:tcPr>
          <w:p w:rsidR="00D9231F" w:rsidRPr="001D7F2C" w:rsidRDefault="00D9231F" w:rsidP="00B10D3A">
            <w:pPr>
              <w:tabs>
                <w:tab w:val="decimal" w:pos="278"/>
              </w:tabs>
            </w:pPr>
            <w:r>
              <w:t>.13</w:t>
            </w:r>
          </w:p>
        </w:tc>
        <w:tc>
          <w:tcPr>
            <w:tcW w:w="270" w:type="dxa"/>
          </w:tcPr>
          <w:p w:rsidR="00D9231F" w:rsidRPr="001D7F2C" w:rsidRDefault="00D9231F" w:rsidP="00B10D3A">
            <w:pPr>
              <w:tabs>
                <w:tab w:val="decimal" w:pos="250"/>
              </w:tabs>
            </w:pPr>
          </w:p>
        </w:tc>
        <w:tc>
          <w:tcPr>
            <w:tcW w:w="1395" w:type="dxa"/>
            <w:vAlign w:val="center"/>
          </w:tcPr>
          <w:p w:rsidR="00D9231F" w:rsidRPr="001D7F2C" w:rsidRDefault="00D9231F" w:rsidP="00B10D3A">
            <w:pPr>
              <w:tabs>
                <w:tab w:val="decimal" w:pos="250"/>
              </w:tabs>
            </w:pPr>
            <w:r>
              <w:t>.20</w:t>
            </w:r>
          </w:p>
        </w:tc>
        <w:tc>
          <w:tcPr>
            <w:tcW w:w="1395" w:type="dxa"/>
            <w:vAlign w:val="center"/>
          </w:tcPr>
          <w:p w:rsidR="00D9231F" w:rsidRPr="001D7F2C" w:rsidRDefault="00D9231F" w:rsidP="00B10D3A">
            <w:pPr>
              <w:tabs>
                <w:tab w:val="decimal" w:pos="264"/>
              </w:tabs>
            </w:pPr>
            <w:r>
              <w:t>.13</w:t>
            </w:r>
          </w:p>
        </w:tc>
        <w:tc>
          <w:tcPr>
            <w:tcW w:w="270" w:type="dxa"/>
          </w:tcPr>
          <w:p w:rsidR="00D9231F" w:rsidRDefault="00D9231F" w:rsidP="00B10D3A">
            <w:pPr>
              <w:tabs>
                <w:tab w:val="decimal" w:pos="208"/>
              </w:tabs>
            </w:pPr>
          </w:p>
        </w:tc>
        <w:tc>
          <w:tcPr>
            <w:tcW w:w="1440" w:type="dxa"/>
            <w:vAlign w:val="center"/>
          </w:tcPr>
          <w:p w:rsidR="00D9231F" w:rsidRPr="001D7F2C" w:rsidRDefault="00D9231F" w:rsidP="00B10D3A">
            <w:pPr>
              <w:tabs>
                <w:tab w:val="decimal" w:pos="208"/>
              </w:tabs>
            </w:pPr>
            <w:r>
              <w:t>.19</w:t>
            </w:r>
          </w:p>
        </w:tc>
        <w:tc>
          <w:tcPr>
            <w:tcW w:w="1440" w:type="dxa"/>
            <w:vAlign w:val="center"/>
          </w:tcPr>
          <w:p w:rsidR="00D9231F" w:rsidRPr="001D7F2C" w:rsidRDefault="00D9231F" w:rsidP="00B10D3A">
            <w:pPr>
              <w:tabs>
                <w:tab w:val="decimal" w:pos="249"/>
              </w:tabs>
            </w:pPr>
            <w:r>
              <w:t>.13</w:t>
            </w:r>
          </w:p>
        </w:tc>
      </w:tr>
      <w:tr w:rsidR="00D9231F" w:rsidRPr="001D7F2C" w:rsidTr="00B10D3A">
        <w:tc>
          <w:tcPr>
            <w:tcW w:w="3858" w:type="dxa"/>
          </w:tcPr>
          <w:p w:rsidR="00D9231F" w:rsidRPr="001D7F2C" w:rsidRDefault="00D9231F" w:rsidP="00B94877">
            <w:pPr>
              <w:ind w:left="180"/>
            </w:pPr>
            <w:r>
              <w:t>Father middle &amp;</w:t>
            </w:r>
            <w:r w:rsidRPr="001D7F2C">
              <w:t xml:space="preserve"> high ed (</w:t>
            </w:r>
            <w:r w:rsidR="00B94877">
              <w:t>vs.</w:t>
            </w:r>
            <w:r w:rsidRPr="001D7F2C">
              <w:t xml:space="preserve"> low)</w:t>
            </w:r>
          </w:p>
        </w:tc>
        <w:tc>
          <w:tcPr>
            <w:tcW w:w="1320" w:type="dxa"/>
            <w:vAlign w:val="center"/>
          </w:tcPr>
          <w:p w:rsidR="00D9231F" w:rsidRPr="001D7F2C" w:rsidRDefault="00D9231F" w:rsidP="00B10D3A">
            <w:pPr>
              <w:tabs>
                <w:tab w:val="decimal" w:pos="192"/>
              </w:tabs>
            </w:pPr>
            <w:r>
              <w:t>-.08</w:t>
            </w:r>
          </w:p>
        </w:tc>
        <w:tc>
          <w:tcPr>
            <w:tcW w:w="1320" w:type="dxa"/>
            <w:vAlign w:val="center"/>
          </w:tcPr>
          <w:p w:rsidR="00D9231F" w:rsidRPr="001D7F2C" w:rsidRDefault="00D9231F" w:rsidP="00B10D3A">
            <w:pPr>
              <w:tabs>
                <w:tab w:val="decimal" w:pos="278"/>
              </w:tabs>
            </w:pPr>
            <w:r>
              <w:t>.10</w:t>
            </w:r>
          </w:p>
        </w:tc>
        <w:tc>
          <w:tcPr>
            <w:tcW w:w="270" w:type="dxa"/>
          </w:tcPr>
          <w:p w:rsidR="00D9231F" w:rsidRPr="001D7F2C" w:rsidRDefault="00D9231F" w:rsidP="00B10D3A">
            <w:pPr>
              <w:tabs>
                <w:tab w:val="decimal" w:pos="250"/>
              </w:tabs>
            </w:pPr>
          </w:p>
        </w:tc>
        <w:tc>
          <w:tcPr>
            <w:tcW w:w="1395" w:type="dxa"/>
            <w:vAlign w:val="center"/>
          </w:tcPr>
          <w:p w:rsidR="00D9231F" w:rsidRPr="001D7F2C" w:rsidRDefault="00D9231F" w:rsidP="00B10D3A">
            <w:pPr>
              <w:tabs>
                <w:tab w:val="decimal" w:pos="250"/>
              </w:tabs>
            </w:pPr>
            <w:r>
              <w:t>-.08</w:t>
            </w:r>
          </w:p>
        </w:tc>
        <w:tc>
          <w:tcPr>
            <w:tcW w:w="1395" w:type="dxa"/>
            <w:vAlign w:val="center"/>
          </w:tcPr>
          <w:p w:rsidR="00D9231F" w:rsidRPr="001D7F2C" w:rsidRDefault="00D9231F" w:rsidP="00B10D3A">
            <w:pPr>
              <w:tabs>
                <w:tab w:val="decimal" w:pos="264"/>
              </w:tabs>
            </w:pPr>
            <w:r>
              <w:t>.10</w:t>
            </w:r>
          </w:p>
        </w:tc>
        <w:tc>
          <w:tcPr>
            <w:tcW w:w="270" w:type="dxa"/>
          </w:tcPr>
          <w:p w:rsidR="00D9231F" w:rsidRDefault="00D9231F" w:rsidP="00B10D3A">
            <w:pPr>
              <w:tabs>
                <w:tab w:val="decimal" w:pos="208"/>
              </w:tabs>
            </w:pPr>
          </w:p>
        </w:tc>
        <w:tc>
          <w:tcPr>
            <w:tcW w:w="1440" w:type="dxa"/>
            <w:vAlign w:val="center"/>
          </w:tcPr>
          <w:p w:rsidR="00D9231F" w:rsidRPr="001D7F2C" w:rsidRDefault="00D9231F" w:rsidP="00B10D3A">
            <w:pPr>
              <w:tabs>
                <w:tab w:val="decimal" w:pos="208"/>
              </w:tabs>
            </w:pPr>
            <w:r>
              <w:t>-.08</w:t>
            </w:r>
          </w:p>
        </w:tc>
        <w:tc>
          <w:tcPr>
            <w:tcW w:w="1440" w:type="dxa"/>
            <w:vAlign w:val="center"/>
          </w:tcPr>
          <w:p w:rsidR="00D9231F" w:rsidRPr="001D7F2C" w:rsidRDefault="00D9231F" w:rsidP="00B10D3A">
            <w:pPr>
              <w:tabs>
                <w:tab w:val="decimal" w:pos="249"/>
              </w:tabs>
            </w:pPr>
            <w:r>
              <w:t>.10</w:t>
            </w:r>
          </w:p>
        </w:tc>
      </w:tr>
      <w:tr w:rsidR="00D9231F" w:rsidRPr="001D7F2C" w:rsidTr="00B10D3A">
        <w:tc>
          <w:tcPr>
            <w:tcW w:w="3858" w:type="dxa"/>
          </w:tcPr>
          <w:p w:rsidR="00D9231F" w:rsidRPr="001D7F2C" w:rsidRDefault="00D9231F" w:rsidP="00B94877">
            <w:pPr>
              <w:ind w:left="180"/>
            </w:pPr>
            <w:r w:rsidRPr="001D7F2C">
              <w:t>Father high ed (</w:t>
            </w:r>
            <w:r w:rsidR="00B94877">
              <w:t xml:space="preserve">vs. </w:t>
            </w:r>
            <w:r w:rsidRPr="001D7F2C">
              <w:t>low &amp; middle)</w:t>
            </w:r>
          </w:p>
        </w:tc>
        <w:tc>
          <w:tcPr>
            <w:tcW w:w="1320" w:type="dxa"/>
            <w:vAlign w:val="center"/>
          </w:tcPr>
          <w:p w:rsidR="00D9231F" w:rsidRPr="001D7F2C" w:rsidRDefault="00D9231F" w:rsidP="00B10D3A">
            <w:pPr>
              <w:tabs>
                <w:tab w:val="decimal" w:pos="192"/>
              </w:tabs>
            </w:pPr>
            <w:r>
              <w:t>-.09</w:t>
            </w:r>
          </w:p>
        </w:tc>
        <w:tc>
          <w:tcPr>
            <w:tcW w:w="1320" w:type="dxa"/>
            <w:vAlign w:val="center"/>
          </w:tcPr>
          <w:p w:rsidR="00D9231F" w:rsidRPr="001D7F2C" w:rsidRDefault="00D9231F" w:rsidP="00B10D3A">
            <w:pPr>
              <w:tabs>
                <w:tab w:val="decimal" w:pos="278"/>
              </w:tabs>
            </w:pPr>
            <w:r>
              <w:t>.10</w:t>
            </w:r>
          </w:p>
        </w:tc>
        <w:tc>
          <w:tcPr>
            <w:tcW w:w="270" w:type="dxa"/>
          </w:tcPr>
          <w:p w:rsidR="00D9231F" w:rsidRPr="001D7F2C" w:rsidRDefault="00D9231F" w:rsidP="00B10D3A">
            <w:pPr>
              <w:tabs>
                <w:tab w:val="decimal" w:pos="250"/>
              </w:tabs>
            </w:pPr>
          </w:p>
        </w:tc>
        <w:tc>
          <w:tcPr>
            <w:tcW w:w="1395" w:type="dxa"/>
            <w:vAlign w:val="center"/>
          </w:tcPr>
          <w:p w:rsidR="00D9231F" w:rsidRPr="001D7F2C" w:rsidRDefault="00D9231F" w:rsidP="00B10D3A">
            <w:pPr>
              <w:tabs>
                <w:tab w:val="decimal" w:pos="250"/>
              </w:tabs>
            </w:pPr>
            <w:r>
              <w:t>-.10</w:t>
            </w:r>
          </w:p>
        </w:tc>
        <w:tc>
          <w:tcPr>
            <w:tcW w:w="1395" w:type="dxa"/>
            <w:vAlign w:val="center"/>
          </w:tcPr>
          <w:p w:rsidR="00D9231F" w:rsidRPr="001D7F2C" w:rsidRDefault="00D9231F" w:rsidP="00B10D3A">
            <w:pPr>
              <w:tabs>
                <w:tab w:val="decimal" w:pos="264"/>
              </w:tabs>
            </w:pPr>
            <w:r>
              <w:t>.10</w:t>
            </w:r>
          </w:p>
        </w:tc>
        <w:tc>
          <w:tcPr>
            <w:tcW w:w="270" w:type="dxa"/>
          </w:tcPr>
          <w:p w:rsidR="00D9231F" w:rsidRDefault="00D9231F" w:rsidP="00B10D3A">
            <w:pPr>
              <w:tabs>
                <w:tab w:val="decimal" w:pos="208"/>
              </w:tabs>
            </w:pPr>
          </w:p>
        </w:tc>
        <w:tc>
          <w:tcPr>
            <w:tcW w:w="1440" w:type="dxa"/>
            <w:vAlign w:val="center"/>
          </w:tcPr>
          <w:p w:rsidR="00D9231F" w:rsidRPr="001D7F2C" w:rsidRDefault="00D9231F" w:rsidP="00B10D3A">
            <w:pPr>
              <w:tabs>
                <w:tab w:val="decimal" w:pos="208"/>
              </w:tabs>
            </w:pPr>
            <w:r>
              <w:t>-.10</w:t>
            </w:r>
          </w:p>
        </w:tc>
        <w:tc>
          <w:tcPr>
            <w:tcW w:w="1440" w:type="dxa"/>
            <w:vAlign w:val="center"/>
          </w:tcPr>
          <w:p w:rsidR="00D9231F" w:rsidRPr="001D7F2C" w:rsidRDefault="00D9231F" w:rsidP="00B10D3A">
            <w:pPr>
              <w:tabs>
                <w:tab w:val="decimal" w:pos="249"/>
              </w:tabs>
            </w:pPr>
            <w:r>
              <w:t>.10</w:t>
            </w:r>
          </w:p>
        </w:tc>
      </w:tr>
      <w:tr w:rsidR="00D9231F" w:rsidRPr="001D7F2C" w:rsidTr="00B10D3A">
        <w:tc>
          <w:tcPr>
            <w:tcW w:w="3858" w:type="dxa"/>
          </w:tcPr>
          <w:p w:rsidR="00D9231F" w:rsidRPr="001D7F2C" w:rsidRDefault="00D9231F" w:rsidP="00B10D3A">
            <w:pPr>
              <w:ind w:left="180"/>
            </w:pPr>
            <w:r w:rsidRPr="001D7F2C">
              <w:t>Family assessment device</w:t>
            </w:r>
          </w:p>
        </w:tc>
        <w:tc>
          <w:tcPr>
            <w:tcW w:w="1320" w:type="dxa"/>
            <w:vAlign w:val="center"/>
          </w:tcPr>
          <w:p w:rsidR="00D9231F" w:rsidRPr="001D7F2C" w:rsidRDefault="00D9231F" w:rsidP="00B10D3A">
            <w:pPr>
              <w:tabs>
                <w:tab w:val="decimal" w:pos="192"/>
              </w:tabs>
            </w:pPr>
            <w:r>
              <w:t>-.03</w:t>
            </w:r>
          </w:p>
        </w:tc>
        <w:tc>
          <w:tcPr>
            <w:tcW w:w="1320" w:type="dxa"/>
            <w:vAlign w:val="center"/>
          </w:tcPr>
          <w:p w:rsidR="00D9231F" w:rsidRPr="001D7F2C" w:rsidRDefault="00D9231F" w:rsidP="00B10D3A">
            <w:pPr>
              <w:tabs>
                <w:tab w:val="decimal" w:pos="278"/>
              </w:tabs>
            </w:pPr>
            <w:r>
              <w:t>.04</w:t>
            </w:r>
          </w:p>
        </w:tc>
        <w:tc>
          <w:tcPr>
            <w:tcW w:w="270" w:type="dxa"/>
          </w:tcPr>
          <w:p w:rsidR="00D9231F" w:rsidRPr="001D7F2C" w:rsidRDefault="00D9231F" w:rsidP="00B10D3A">
            <w:pPr>
              <w:tabs>
                <w:tab w:val="decimal" w:pos="250"/>
              </w:tabs>
            </w:pPr>
          </w:p>
        </w:tc>
        <w:tc>
          <w:tcPr>
            <w:tcW w:w="1395" w:type="dxa"/>
            <w:vAlign w:val="center"/>
          </w:tcPr>
          <w:p w:rsidR="00D9231F" w:rsidRPr="001D7F2C" w:rsidRDefault="00D9231F" w:rsidP="00B10D3A">
            <w:pPr>
              <w:tabs>
                <w:tab w:val="decimal" w:pos="250"/>
              </w:tabs>
            </w:pPr>
            <w:r>
              <w:t>-.03</w:t>
            </w:r>
          </w:p>
        </w:tc>
        <w:tc>
          <w:tcPr>
            <w:tcW w:w="1395" w:type="dxa"/>
            <w:vAlign w:val="center"/>
          </w:tcPr>
          <w:p w:rsidR="00D9231F" w:rsidRPr="001D7F2C" w:rsidRDefault="00D9231F" w:rsidP="00B10D3A">
            <w:pPr>
              <w:tabs>
                <w:tab w:val="decimal" w:pos="264"/>
              </w:tabs>
            </w:pPr>
            <w:r>
              <w:t>.04</w:t>
            </w:r>
          </w:p>
        </w:tc>
        <w:tc>
          <w:tcPr>
            <w:tcW w:w="270" w:type="dxa"/>
          </w:tcPr>
          <w:p w:rsidR="00D9231F" w:rsidRDefault="00D9231F" w:rsidP="00B10D3A">
            <w:pPr>
              <w:tabs>
                <w:tab w:val="decimal" w:pos="208"/>
              </w:tabs>
            </w:pPr>
          </w:p>
        </w:tc>
        <w:tc>
          <w:tcPr>
            <w:tcW w:w="1440" w:type="dxa"/>
            <w:vAlign w:val="center"/>
          </w:tcPr>
          <w:p w:rsidR="00D9231F" w:rsidRPr="001D7F2C" w:rsidRDefault="00D9231F" w:rsidP="00B10D3A">
            <w:pPr>
              <w:tabs>
                <w:tab w:val="decimal" w:pos="208"/>
              </w:tabs>
            </w:pPr>
            <w:r>
              <w:t>-.03</w:t>
            </w:r>
          </w:p>
        </w:tc>
        <w:tc>
          <w:tcPr>
            <w:tcW w:w="1440" w:type="dxa"/>
            <w:vAlign w:val="center"/>
          </w:tcPr>
          <w:p w:rsidR="00D9231F" w:rsidRPr="001D7F2C" w:rsidRDefault="00D9231F" w:rsidP="00B10D3A">
            <w:pPr>
              <w:tabs>
                <w:tab w:val="decimal" w:pos="249"/>
              </w:tabs>
            </w:pPr>
            <w:r>
              <w:t>.04</w:t>
            </w:r>
          </w:p>
        </w:tc>
      </w:tr>
      <w:tr w:rsidR="00D9231F" w:rsidRPr="001D7F2C" w:rsidTr="00B10D3A">
        <w:tc>
          <w:tcPr>
            <w:tcW w:w="3858" w:type="dxa"/>
          </w:tcPr>
          <w:p w:rsidR="00D9231F" w:rsidRPr="001D7F2C" w:rsidRDefault="00D9231F" w:rsidP="00B10D3A">
            <w:r w:rsidRPr="001D7F2C">
              <w:t>Constant</w:t>
            </w:r>
          </w:p>
        </w:tc>
        <w:tc>
          <w:tcPr>
            <w:tcW w:w="1320" w:type="dxa"/>
            <w:vAlign w:val="center"/>
          </w:tcPr>
          <w:p w:rsidR="00D9231F" w:rsidRPr="001D7F2C" w:rsidRDefault="00D9231F" w:rsidP="00B10D3A">
            <w:pPr>
              <w:tabs>
                <w:tab w:val="decimal" w:pos="192"/>
              </w:tabs>
            </w:pPr>
            <w:r>
              <w:t>.11</w:t>
            </w:r>
          </w:p>
        </w:tc>
        <w:tc>
          <w:tcPr>
            <w:tcW w:w="1320" w:type="dxa"/>
            <w:vAlign w:val="center"/>
          </w:tcPr>
          <w:p w:rsidR="00D9231F" w:rsidRPr="001D7F2C" w:rsidRDefault="00D9231F" w:rsidP="00B10D3A">
            <w:pPr>
              <w:tabs>
                <w:tab w:val="decimal" w:pos="278"/>
              </w:tabs>
            </w:pPr>
            <w:r>
              <w:t>.10</w:t>
            </w:r>
          </w:p>
        </w:tc>
        <w:tc>
          <w:tcPr>
            <w:tcW w:w="270" w:type="dxa"/>
          </w:tcPr>
          <w:p w:rsidR="00D9231F" w:rsidRDefault="00D9231F" w:rsidP="00B10D3A">
            <w:pPr>
              <w:tabs>
                <w:tab w:val="decimal" w:pos="250"/>
              </w:tabs>
            </w:pPr>
          </w:p>
        </w:tc>
        <w:tc>
          <w:tcPr>
            <w:tcW w:w="1395" w:type="dxa"/>
            <w:vAlign w:val="center"/>
          </w:tcPr>
          <w:p w:rsidR="00D9231F" w:rsidRPr="001D7F2C" w:rsidRDefault="00D9231F" w:rsidP="00B10D3A">
            <w:pPr>
              <w:tabs>
                <w:tab w:val="decimal" w:pos="250"/>
              </w:tabs>
            </w:pPr>
            <w:r>
              <w:t>.10</w:t>
            </w:r>
          </w:p>
        </w:tc>
        <w:tc>
          <w:tcPr>
            <w:tcW w:w="1395" w:type="dxa"/>
            <w:vAlign w:val="center"/>
          </w:tcPr>
          <w:p w:rsidR="00D9231F" w:rsidRPr="001D7F2C" w:rsidRDefault="00D9231F" w:rsidP="00B10D3A">
            <w:pPr>
              <w:tabs>
                <w:tab w:val="decimal" w:pos="264"/>
              </w:tabs>
            </w:pPr>
            <w:r>
              <w:t>.10</w:t>
            </w:r>
          </w:p>
        </w:tc>
        <w:tc>
          <w:tcPr>
            <w:tcW w:w="270" w:type="dxa"/>
          </w:tcPr>
          <w:p w:rsidR="00D9231F" w:rsidRDefault="00D9231F" w:rsidP="00B10D3A">
            <w:pPr>
              <w:tabs>
                <w:tab w:val="decimal" w:pos="208"/>
              </w:tabs>
            </w:pPr>
          </w:p>
        </w:tc>
        <w:tc>
          <w:tcPr>
            <w:tcW w:w="1440" w:type="dxa"/>
            <w:vAlign w:val="center"/>
          </w:tcPr>
          <w:p w:rsidR="00D9231F" w:rsidRPr="001D7F2C" w:rsidRDefault="00D9231F" w:rsidP="00B10D3A">
            <w:pPr>
              <w:tabs>
                <w:tab w:val="decimal" w:pos="208"/>
              </w:tabs>
            </w:pPr>
            <w:r>
              <w:t>.11</w:t>
            </w:r>
          </w:p>
        </w:tc>
        <w:tc>
          <w:tcPr>
            <w:tcW w:w="1440" w:type="dxa"/>
            <w:vAlign w:val="center"/>
          </w:tcPr>
          <w:p w:rsidR="00D9231F" w:rsidRPr="001D7F2C" w:rsidRDefault="00D9231F" w:rsidP="00B10D3A">
            <w:pPr>
              <w:tabs>
                <w:tab w:val="decimal" w:pos="249"/>
              </w:tabs>
            </w:pPr>
            <w:r>
              <w:t>.10</w:t>
            </w:r>
          </w:p>
        </w:tc>
      </w:tr>
      <w:tr w:rsidR="00D9231F" w:rsidRPr="001D7F2C" w:rsidTr="00B10D3A">
        <w:tc>
          <w:tcPr>
            <w:tcW w:w="3858" w:type="dxa"/>
          </w:tcPr>
          <w:p w:rsidR="00D9231F" w:rsidRPr="00F508C6" w:rsidRDefault="00D9231F" w:rsidP="00B10D3A">
            <w:pPr>
              <w:rPr>
                <w:i/>
              </w:rPr>
            </w:pPr>
            <w:r w:rsidRPr="00F508C6">
              <w:rPr>
                <w:i/>
              </w:rPr>
              <w:t>χ</w:t>
            </w:r>
            <w:r w:rsidRPr="00F508C6">
              <w:rPr>
                <w:i/>
                <w:vertAlign w:val="superscript"/>
              </w:rPr>
              <w:t>2</w:t>
            </w:r>
          </w:p>
        </w:tc>
        <w:tc>
          <w:tcPr>
            <w:tcW w:w="1320" w:type="dxa"/>
            <w:vAlign w:val="center"/>
          </w:tcPr>
          <w:p w:rsidR="00D9231F" w:rsidRDefault="00D9231F" w:rsidP="00B10D3A">
            <w:pPr>
              <w:tabs>
                <w:tab w:val="decimal" w:pos="192"/>
              </w:tabs>
            </w:pPr>
            <w:r>
              <w:t>45.09</w:t>
            </w:r>
          </w:p>
        </w:tc>
        <w:tc>
          <w:tcPr>
            <w:tcW w:w="1320" w:type="dxa"/>
            <w:vAlign w:val="center"/>
          </w:tcPr>
          <w:p w:rsidR="00D9231F" w:rsidRDefault="00D9231F" w:rsidP="00B10D3A">
            <w:pPr>
              <w:tabs>
                <w:tab w:val="decimal" w:pos="278"/>
              </w:tabs>
            </w:pPr>
          </w:p>
        </w:tc>
        <w:tc>
          <w:tcPr>
            <w:tcW w:w="270" w:type="dxa"/>
          </w:tcPr>
          <w:p w:rsidR="00D9231F" w:rsidRDefault="00D9231F" w:rsidP="00B10D3A">
            <w:pPr>
              <w:tabs>
                <w:tab w:val="decimal" w:pos="250"/>
              </w:tabs>
            </w:pPr>
          </w:p>
        </w:tc>
        <w:tc>
          <w:tcPr>
            <w:tcW w:w="1395" w:type="dxa"/>
            <w:vAlign w:val="center"/>
          </w:tcPr>
          <w:p w:rsidR="00D9231F" w:rsidRDefault="00D9231F" w:rsidP="00B10D3A">
            <w:pPr>
              <w:tabs>
                <w:tab w:val="decimal" w:pos="250"/>
              </w:tabs>
            </w:pPr>
            <w:r>
              <w:t>61.86</w:t>
            </w:r>
          </w:p>
        </w:tc>
        <w:tc>
          <w:tcPr>
            <w:tcW w:w="1395" w:type="dxa"/>
            <w:vAlign w:val="center"/>
          </w:tcPr>
          <w:p w:rsidR="00D9231F" w:rsidRDefault="00D9231F" w:rsidP="00B10D3A">
            <w:pPr>
              <w:tabs>
                <w:tab w:val="decimal" w:pos="264"/>
              </w:tabs>
            </w:pPr>
          </w:p>
        </w:tc>
        <w:tc>
          <w:tcPr>
            <w:tcW w:w="270" w:type="dxa"/>
          </w:tcPr>
          <w:p w:rsidR="00D9231F" w:rsidRDefault="00D9231F" w:rsidP="00B10D3A">
            <w:pPr>
              <w:tabs>
                <w:tab w:val="decimal" w:pos="208"/>
              </w:tabs>
            </w:pPr>
          </w:p>
        </w:tc>
        <w:tc>
          <w:tcPr>
            <w:tcW w:w="1440" w:type="dxa"/>
            <w:vAlign w:val="center"/>
          </w:tcPr>
          <w:p w:rsidR="00D9231F" w:rsidRDefault="00D9231F" w:rsidP="00B10D3A">
            <w:pPr>
              <w:tabs>
                <w:tab w:val="decimal" w:pos="208"/>
              </w:tabs>
            </w:pPr>
            <w:r>
              <w:t>62.69</w:t>
            </w:r>
          </w:p>
        </w:tc>
        <w:tc>
          <w:tcPr>
            <w:tcW w:w="1440" w:type="dxa"/>
            <w:vAlign w:val="center"/>
          </w:tcPr>
          <w:p w:rsidR="00D9231F" w:rsidRDefault="00D9231F" w:rsidP="00B10D3A">
            <w:pPr>
              <w:tabs>
                <w:tab w:val="decimal" w:pos="249"/>
              </w:tabs>
            </w:pPr>
          </w:p>
        </w:tc>
      </w:tr>
      <w:tr w:rsidR="00D9231F" w:rsidRPr="001D7F2C" w:rsidTr="00B10D3A">
        <w:tc>
          <w:tcPr>
            <w:tcW w:w="3858" w:type="dxa"/>
          </w:tcPr>
          <w:p w:rsidR="00D9231F" w:rsidRPr="00F508C6" w:rsidRDefault="00D9231F" w:rsidP="00B10D3A">
            <w:pPr>
              <w:rPr>
                <w:i/>
              </w:rPr>
            </w:pPr>
            <w:r w:rsidRPr="00F508C6">
              <w:rPr>
                <w:i/>
              </w:rPr>
              <w:t>df</w:t>
            </w:r>
          </w:p>
        </w:tc>
        <w:tc>
          <w:tcPr>
            <w:tcW w:w="1320" w:type="dxa"/>
            <w:vAlign w:val="center"/>
          </w:tcPr>
          <w:p w:rsidR="00D9231F" w:rsidRDefault="00D9231F" w:rsidP="00B10D3A">
            <w:pPr>
              <w:tabs>
                <w:tab w:val="decimal" w:pos="192"/>
              </w:tabs>
            </w:pPr>
            <w:r>
              <w:t>8</w:t>
            </w:r>
          </w:p>
        </w:tc>
        <w:tc>
          <w:tcPr>
            <w:tcW w:w="1320" w:type="dxa"/>
            <w:vAlign w:val="center"/>
          </w:tcPr>
          <w:p w:rsidR="00D9231F" w:rsidRDefault="00D9231F" w:rsidP="00B10D3A">
            <w:pPr>
              <w:tabs>
                <w:tab w:val="decimal" w:pos="278"/>
              </w:tabs>
            </w:pPr>
          </w:p>
        </w:tc>
        <w:tc>
          <w:tcPr>
            <w:tcW w:w="270" w:type="dxa"/>
          </w:tcPr>
          <w:p w:rsidR="00D9231F" w:rsidRDefault="00D9231F" w:rsidP="00B10D3A">
            <w:pPr>
              <w:tabs>
                <w:tab w:val="decimal" w:pos="250"/>
              </w:tabs>
            </w:pPr>
          </w:p>
        </w:tc>
        <w:tc>
          <w:tcPr>
            <w:tcW w:w="1395" w:type="dxa"/>
            <w:vAlign w:val="center"/>
          </w:tcPr>
          <w:p w:rsidR="00D9231F" w:rsidRDefault="00D9231F" w:rsidP="00B10D3A">
            <w:pPr>
              <w:tabs>
                <w:tab w:val="decimal" w:pos="250"/>
              </w:tabs>
            </w:pPr>
            <w:r>
              <w:t>8</w:t>
            </w:r>
          </w:p>
        </w:tc>
        <w:tc>
          <w:tcPr>
            <w:tcW w:w="1395" w:type="dxa"/>
            <w:vAlign w:val="center"/>
          </w:tcPr>
          <w:p w:rsidR="00D9231F" w:rsidRDefault="00D9231F" w:rsidP="00B10D3A">
            <w:pPr>
              <w:tabs>
                <w:tab w:val="decimal" w:pos="264"/>
              </w:tabs>
            </w:pPr>
          </w:p>
        </w:tc>
        <w:tc>
          <w:tcPr>
            <w:tcW w:w="270" w:type="dxa"/>
          </w:tcPr>
          <w:p w:rsidR="00D9231F" w:rsidRDefault="00D9231F" w:rsidP="00B10D3A">
            <w:pPr>
              <w:tabs>
                <w:tab w:val="decimal" w:pos="208"/>
              </w:tabs>
            </w:pPr>
          </w:p>
        </w:tc>
        <w:tc>
          <w:tcPr>
            <w:tcW w:w="1440" w:type="dxa"/>
            <w:vAlign w:val="center"/>
          </w:tcPr>
          <w:p w:rsidR="00D9231F" w:rsidRDefault="00D9231F" w:rsidP="00B10D3A">
            <w:pPr>
              <w:tabs>
                <w:tab w:val="decimal" w:pos="208"/>
              </w:tabs>
            </w:pPr>
            <w:r>
              <w:t>10</w:t>
            </w:r>
          </w:p>
        </w:tc>
        <w:tc>
          <w:tcPr>
            <w:tcW w:w="1440" w:type="dxa"/>
            <w:vAlign w:val="center"/>
          </w:tcPr>
          <w:p w:rsidR="00D9231F" w:rsidRDefault="00D9231F" w:rsidP="00B10D3A">
            <w:pPr>
              <w:tabs>
                <w:tab w:val="decimal" w:pos="249"/>
              </w:tabs>
            </w:pPr>
          </w:p>
        </w:tc>
      </w:tr>
    </w:tbl>
    <w:p w:rsidR="00D9231F" w:rsidRPr="0010002F" w:rsidRDefault="00D9231F" w:rsidP="00D9231F">
      <w:pPr>
        <w:pStyle w:val="Default"/>
        <w:rPr>
          <w:color w:val="auto"/>
        </w:rPr>
      </w:pPr>
      <w:r w:rsidRPr="0010002F">
        <w:rPr>
          <w:i/>
        </w:rPr>
        <w:t>Note</w:t>
      </w:r>
      <w:r w:rsidRPr="0010002F">
        <w:t xml:space="preserve">: </w:t>
      </w:r>
      <w:r w:rsidRPr="0010002F">
        <w:rPr>
          <w:vertAlign w:val="superscript"/>
        </w:rPr>
        <w:t>†</w:t>
      </w:r>
      <w:r w:rsidRPr="0010002F">
        <w:rPr>
          <w:i/>
          <w:color w:val="auto"/>
        </w:rPr>
        <w:t>p</w:t>
      </w:r>
      <w:r w:rsidRPr="0010002F">
        <w:rPr>
          <w:color w:val="auto"/>
        </w:rPr>
        <w:t xml:space="preserve"> &lt; .10. *</w:t>
      </w:r>
      <w:r w:rsidRPr="0010002F">
        <w:rPr>
          <w:i/>
          <w:iCs/>
          <w:color w:val="auto"/>
        </w:rPr>
        <w:t>p</w:t>
      </w:r>
      <w:r w:rsidRPr="0010002F">
        <w:rPr>
          <w:color w:val="auto"/>
        </w:rPr>
        <w:t xml:space="preserve"> &lt; 0.05. ** </w:t>
      </w:r>
      <w:r w:rsidRPr="0010002F">
        <w:rPr>
          <w:i/>
          <w:iCs/>
          <w:color w:val="auto"/>
        </w:rPr>
        <w:t>p</w:t>
      </w:r>
      <w:r w:rsidRPr="0010002F">
        <w:rPr>
          <w:color w:val="auto"/>
        </w:rPr>
        <w:t xml:space="preserve"> &lt; 0.01. *** </w:t>
      </w:r>
      <w:r w:rsidRPr="0010002F">
        <w:rPr>
          <w:i/>
          <w:iCs/>
          <w:color w:val="auto"/>
        </w:rPr>
        <w:t>p</w:t>
      </w:r>
      <w:r w:rsidRPr="0010002F">
        <w:rPr>
          <w:color w:val="auto"/>
        </w:rPr>
        <w:t xml:space="preserve"> &lt; 0.001.</w:t>
      </w:r>
    </w:p>
    <w:p w:rsidR="00D9231F" w:rsidRDefault="00D9231F" w:rsidP="00D9231F">
      <w:pPr>
        <w:spacing w:line="480" w:lineRule="auto"/>
      </w:pPr>
      <w:r>
        <w:br w:type="page"/>
      </w:r>
      <w:r>
        <w:lastRenderedPageBreak/>
        <w:t>Table 3</w:t>
      </w:r>
    </w:p>
    <w:p w:rsidR="00D9231F" w:rsidRPr="005D34D4" w:rsidRDefault="00D9231F" w:rsidP="00D9231F">
      <w:pPr>
        <w:spacing w:line="480" w:lineRule="auto"/>
        <w:rPr>
          <w:i/>
        </w:rPr>
      </w:pPr>
      <w:r w:rsidRPr="005D34D4">
        <w:rPr>
          <w:i/>
        </w:rPr>
        <w:t>Summary of Complementary Log-log Model Predicting the Likelihood of Initiating an Adolescent Romantic Relationship (N = 67,226 episodes)</w:t>
      </w:r>
    </w:p>
    <w:tbl>
      <w:tblPr>
        <w:tblW w:w="0" w:type="auto"/>
        <w:tblBorders>
          <w:top w:val="single" w:sz="4" w:space="0" w:color="000000"/>
          <w:bottom w:val="single" w:sz="4" w:space="0" w:color="000000"/>
        </w:tblBorders>
        <w:tblLayout w:type="fixed"/>
        <w:tblLook w:val="04A0" w:firstRow="1" w:lastRow="0" w:firstColumn="1" w:lastColumn="0" w:noHBand="0" w:noVBand="1"/>
      </w:tblPr>
      <w:tblGrid>
        <w:gridCol w:w="3858"/>
        <w:gridCol w:w="1200"/>
        <w:gridCol w:w="765"/>
        <w:gridCol w:w="765"/>
        <w:gridCol w:w="391"/>
        <w:gridCol w:w="1229"/>
        <w:gridCol w:w="763"/>
        <w:gridCol w:w="767"/>
        <w:gridCol w:w="389"/>
        <w:gridCol w:w="1211"/>
        <w:gridCol w:w="763"/>
        <w:gridCol w:w="697"/>
      </w:tblGrid>
      <w:tr w:rsidR="00D3240A" w:rsidRPr="001D7F2C" w:rsidTr="00E40E6B">
        <w:tc>
          <w:tcPr>
            <w:tcW w:w="3858" w:type="dxa"/>
            <w:tcBorders>
              <w:bottom w:val="nil"/>
            </w:tcBorders>
          </w:tcPr>
          <w:p w:rsidR="00D3240A" w:rsidRPr="001D7F2C" w:rsidRDefault="00D3240A" w:rsidP="002679EF">
            <w:pPr>
              <w:jc w:val="center"/>
            </w:pPr>
          </w:p>
        </w:tc>
        <w:tc>
          <w:tcPr>
            <w:tcW w:w="2730" w:type="dxa"/>
            <w:gridSpan w:val="3"/>
            <w:tcBorders>
              <w:top w:val="single" w:sz="4" w:space="0" w:color="000000"/>
              <w:bottom w:val="single" w:sz="4" w:space="0" w:color="000000"/>
            </w:tcBorders>
          </w:tcPr>
          <w:p w:rsidR="00D3240A" w:rsidRPr="001D7F2C" w:rsidRDefault="00D3240A" w:rsidP="002679EF">
            <w:pPr>
              <w:jc w:val="center"/>
            </w:pPr>
            <w:r w:rsidRPr="001D7F2C">
              <w:t>Model 1</w:t>
            </w:r>
          </w:p>
        </w:tc>
        <w:tc>
          <w:tcPr>
            <w:tcW w:w="391" w:type="dxa"/>
            <w:tcBorders>
              <w:top w:val="single" w:sz="4" w:space="0" w:color="000000"/>
              <w:bottom w:val="single" w:sz="4" w:space="0" w:color="000000"/>
            </w:tcBorders>
          </w:tcPr>
          <w:p w:rsidR="00D3240A" w:rsidRPr="001D7F2C" w:rsidRDefault="00D3240A" w:rsidP="002679EF">
            <w:pPr>
              <w:jc w:val="center"/>
            </w:pPr>
          </w:p>
        </w:tc>
        <w:tc>
          <w:tcPr>
            <w:tcW w:w="2759" w:type="dxa"/>
            <w:gridSpan w:val="3"/>
            <w:tcBorders>
              <w:top w:val="single" w:sz="4" w:space="0" w:color="000000"/>
              <w:bottom w:val="single" w:sz="4" w:space="0" w:color="000000"/>
            </w:tcBorders>
          </w:tcPr>
          <w:p w:rsidR="00D3240A" w:rsidRPr="001D7F2C" w:rsidRDefault="00D3240A" w:rsidP="002679EF">
            <w:pPr>
              <w:jc w:val="center"/>
            </w:pPr>
            <w:r w:rsidRPr="001D7F2C">
              <w:t>Model 2</w:t>
            </w:r>
          </w:p>
        </w:tc>
        <w:tc>
          <w:tcPr>
            <w:tcW w:w="389" w:type="dxa"/>
            <w:tcBorders>
              <w:top w:val="single" w:sz="4" w:space="0" w:color="000000"/>
              <w:bottom w:val="single" w:sz="4" w:space="0" w:color="000000"/>
            </w:tcBorders>
          </w:tcPr>
          <w:p w:rsidR="00D3240A" w:rsidRPr="001D7F2C" w:rsidRDefault="00D3240A" w:rsidP="002679EF">
            <w:pPr>
              <w:jc w:val="center"/>
            </w:pPr>
          </w:p>
        </w:tc>
        <w:tc>
          <w:tcPr>
            <w:tcW w:w="2671" w:type="dxa"/>
            <w:gridSpan w:val="3"/>
            <w:tcBorders>
              <w:top w:val="single" w:sz="4" w:space="0" w:color="000000"/>
              <w:bottom w:val="single" w:sz="4" w:space="0" w:color="000000"/>
            </w:tcBorders>
          </w:tcPr>
          <w:p w:rsidR="00D3240A" w:rsidRPr="001D7F2C" w:rsidRDefault="00D3240A" w:rsidP="002679EF">
            <w:pPr>
              <w:jc w:val="center"/>
            </w:pPr>
            <w:r w:rsidRPr="001D7F2C">
              <w:t>Model 3</w:t>
            </w:r>
          </w:p>
        </w:tc>
      </w:tr>
      <w:tr w:rsidR="00D9231F" w:rsidRPr="001D7F2C" w:rsidTr="00E40E6B">
        <w:tc>
          <w:tcPr>
            <w:tcW w:w="3858" w:type="dxa"/>
            <w:tcBorders>
              <w:top w:val="nil"/>
              <w:bottom w:val="single" w:sz="4" w:space="0" w:color="000000"/>
            </w:tcBorders>
          </w:tcPr>
          <w:p w:rsidR="00D9231F" w:rsidRPr="001D7F2C" w:rsidRDefault="00D9231F" w:rsidP="00B10D3A"/>
        </w:tc>
        <w:tc>
          <w:tcPr>
            <w:tcW w:w="1200" w:type="dxa"/>
            <w:tcBorders>
              <w:top w:val="single" w:sz="4" w:space="0" w:color="000000"/>
              <w:bottom w:val="single" w:sz="4" w:space="0" w:color="000000"/>
            </w:tcBorders>
            <w:vAlign w:val="center"/>
          </w:tcPr>
          <w:p w:rsidR="00D9231F" w:rsidRPr="001D7F2C" w:rsidRDefault="00D9231F" w:rsidP="00B10D3A">
            <w:pPr>
              <w:tabs>
                <w:tab w:val="decimal" w:pos="192"/>
              </w:tabs>
              <w:jc w:val="center"/>
              <w:rPr>
                <w:i/>
              </w:rPr>
            </w:pPr>
            <w:r w:rsidRPr="001D7F2C">
              <w:rPr>
                <w:i/>
              </w:rPr>
              <w:t>B</w:t>
            </w:r>
          </w:p>
        </w:tc>
        <w:tc>
          <w:tcPr>
            <w:tcW w:w="765" w:type="dxa"/>
            <w:tcBorders>
              <w:top w:val="single" w:sz="4" w:space="0" w:color="000000"/>
              <w:bottom w:val="single" w:sz="4" w:space="0" w:color="000000"/>
            </w:tcBorders>
            <w:vAlign w:val="center"/>
          </w:tcPr>
          <w:p w:rsidR="00D9231F" w:rsidRPr="001D7F2C" w:rsidRDefault="00D9231F" w:rsidP="00B10D3A">
            <w:pPr>
              <w:tabs>
                <w:tab w:val="decimal" w:pos="278"/>
              </w:tabs>
              <w:jc w:val="center"/>
            </w:pPr>
            <w:r w:rsidRPr="001D7F2C">
              <w:rPr>
                <w:i/>
              </w:rPr>
              <w:t>SE</w:t>
            </w:r>
            <w:r>
              <w:rPr>
                <w:i/>
              </w:rPr>
              <w:t xml:space="preserve"> B</w:t>
            </w:r>
          </w:p>
        </w:tc>
        <w:tc>
          <w:tcPr>
            <w:tcW w:w="765" w:type="dxa"/>
            <w:tcBorders>
              <w:top w:val="single" w:sz="4" w:space="0" w:color="000000"/>
              <w:bottom w:val="single" w:sz="4" w:space="0" w:color="000000"/>
            </w:tcBorders>
            <w:vAlign w:val="center"/>
          </w:tcPr>
          <w:p w:rsidR="00D9231F" w:rsidRPr="001D7F2C" w:rsidRDefault="00D9231F" w:rsidP="00B10D3A">
            <w:pPr>
              <w:tabs>
                <w:tab w:val="decimal" w:pos="156"/>
              </w:tabs>
              <w:jc w:val="center"/>
              <w:rPr>
                <w:i/>
              </w:rPr>
            </w:pPr>
            <w:r>
              <w:rPr>
                <w:i/>
              </w:rPr>
              <w:t>e</w:t>
            </w:r>
            <w:r w:rsidRPr="00E25A21">
              <w:rPr>
                <w:vertAlign w:val="superscript"/>
              </w:rPr>
              <w:t>B</w:t>
            </w:r>
          </w:p>
        </w:tc>
        <w:tc>
          <w:tcPr>
            <w:tcW w:w="391" w:type="dxa"/>
            <w:tcBorders>
              <w:top w:val="single" w:sz="4" w:space="0" w:color="000000"/>
              <w:bottom w:val="single" w:sz="4" w:space="0" w:color="000000"/>
            </w:tcBorders>
          </w:tcPr>
          <w:p w:rsidR="00D9231F" w:rsidRPr="001D7F2C" w:rsidRDefault="00D9231F" w:rsidP="00B10D3A">
            <w:pPr>
              <w:tabs>
                <w:tab w:val="decimal" w:pos="250"/>
              </w:tabs>
              <w:jc w:val="center"/>
              <w:rPr>
                <w:i/>
              </w:rPr>
            </w:pPr>
          </w:p>
        </w:tc>
        <w:tc>
          <w:tcPr>
            <w:tcW w:w="1229" w:type="dxa"/>
            <w:tcBorders>
              <w:top w:val="single" w:sz="4" w:space="0" w:color="000000"/>
              <w:bottom w:val="single" w:sz="4" w:space="0" w:color="000000"/>
            </w:tcBorders>
            <w:vAlign w:val="center"/>
          </w:tcPr>
          <w:p w:rsidR="00D9231F" w:rsidRPr="001D7F2C" w:rsidRDefault="00D9231F" w:rsidP="00B10D3A">
            <w:pPr>
              <w:tabs>
                <w:tab w:val="decimal" w:pos="250"/>
              </w:tabs>
              <w:jc w:val="center"/>
              <w:rPr>
                <w:i/>
              </w:rPr>
            </w:pPr>
            <w:r w:rsidRPr="001D7F2C">
              <w:rPr>
                <w:i/>
              </w:rPr>
              <w:t>B</w:t>
            </w:r>
          </w:p>
        </w:tc>
        <w:tc>
          <w:tcPr>
            <w:tcW w:w="763" w:type="dxa"/>
            <w:tcBorders>
              <w:top w:val="single" w:sz="4" w:space="0" w:color="000000"/>
              <w:bottom w:val="single" w:sz="4" w:space="0" w:color="000000"/>
            </w:tcBorders>
            <w:vAlign w:val="center"/>
          </w:tcPr>
          <w:p w:rsidR="00D9231F" w:rsidRPr="001D7F2C" w:rsidRDefault="00D9231F" w:rsidP="00B10D3A">
            <w:pPr>
              <w:tabs>
                <w:tab w:val="decimal" w:pos="264"/>
              </w:tabs>
              <w:jc w:val="center"/>
            </w:pPr>
            <w:r w:rsidRPr="001D7F2C">
              <w:rPr>
                <w:i/>
              </w:rPr>
              <w:t>SE</w:t>
            </w:r>
            <w:r>
              <w:rPr>
                <w:i/>
              </w:rPr>
              <w:t xml:space="preserve"> B</w:t>
            </w:r>
          </w:p>
        </w:tc>
        <w:tc>
          <w:tcPr>
            <w:tcW w:w="767" w:type="dxa"/>
            <w:tcBorders>
              <w:top w:val="single" w:sz="4" w:space="0" w:color="000000"/>
              <w:bottom w:val="single" w:sz="4" w:space="0" w:color="000000"/>
            </w:tcBorders>
            <w:vAlign w:val="center"/>
          </w:tcPr>
          <w:p w:rsidR="00D9231F" w:rsidRPr="001D7F2C" w:rsidRDefault="00D9231F" w:rsidP="00B10D3A">
            <w:pPr>
              <w:tabs>
                <w:tab w:val="decimal" w:pos="236"/>
              </w:tabs>
              <w:jc w:val="center"/>
              <w:rPr>
                <w:i/>
              </w:rPr>
            </w:pPr>
            <w:r>
              <w:rPr>
                <w:i/>
              </w:rPr>
              <w:t>e</w:t>
            </w:r>
            <w:r w:rsidRPr="00E25A21">
              <w:rPr>
                <w:vertAlign w:val="superscript"/>
              </w:rPr>
              <w:t>B</w:t>
            </w:r>
          </w:p>
        </w:tc>
        <w:tc>
          <w:tcPr>
            <w:tcW w:w="389" w:type="dxa"/>
            <w:tcBorders>
              <w:top w:val="single" w:sz="4" w:space="0" w:color="000000"/>
              <w:bottom w:val="single" w:sz="4" w:space="0" w:color="000000"/>
            </w:tcBorders>
          </w:tcPr>
          <w:p w:rsidR="00D9231F" w:rsidRPr="001D7F2C" w:rsidRDefault="00D9231F" w:rsidP="00B10D3A">
            <w:pPr>
              <w:tabs>
                <w:tab w:val="decimal" w:pos="208"/>
              </w:tabs>
              <w:jc w:val="center"/>
              <w:rPr>
                <w:i/>
              </w:rPr>
            </w:pPr>
          </w:p>
        </w:tc>
        <w:tc>
          <w:tcPr>
            <w:tcW w:w="1211" w:type="dxa"/>
            <w:tcBorders>
              <w:top w:val="single" w:sz="4" w:space="0" w:color="000000"/>
              <w:bottom w:val="single" w:sz="4" w:space="0" w:color="000000"/>
            </w:tcBorders>
            <w:vAlign w:val="center"/>
          </w:tcPr>
          <w:p w:rsidR="00D9231F" w:rsidRPr="001D7F2C" w:rsidRDefault="00D9231F" w:rsidP="00B10D3A">
            <w:pPr>
              <w:tabs>
                <w:tab w:val="decimal" w:pos="208"/>
              </w:tabs>
              <w:jc w:val="center"/>
              <w:rPr>
                <w:i/>
              </w:rPr>
            </w:pPr>
            <w:r w:rsidRPr="001D7F2C">
              <w:rPr>
                <w:i/>
              </w:rPr>
              <w:t>B</w:t>
            </w:r>
          </w:p>
        </w:tc>
        <w:tc>
          <w:tcPr>
            <w:tcW w:w="763" w:type="dxa"/>
            <w:tcBorders>
              <w:top w:val="single" w:sz="4" w:space="0" w:color="000000"/>
              <w:bottom w:val="single" w:sz="4" w:space="0" w:color="000000"/>
            </w:tcBorders>
            <w:vAlign w:val="center"/>
          </w:tcPr>
          <w:p w:rsidR="00D9231F" w:rsidRPr="001D7F2C" w:rsidRDefault="00D9231F" w:rsidP="00B10D3A">
            <w:pPr>
              <w:jc w:val="center"/>
            </w:pPr>
            <w:r w:rsidRPr="001D7F2C">
              <w:rPr>
                <w:i/>
              </w:rPr>
              <w:t>SE</w:t>
            </w:r>
            <w:r>
              <w:rPr>
                <w:i/>
              </w:rPr>
              <w:t xml:space="preserve"> B</w:t>
            </w:r>
          </w:p>
        </w:tc>
        <w:tc>
          <w:tcPr>
            <w:tcW w:w="697" w:type="dxa"/>
            <w:tcBorders>
              <w:top w:val="single" w:sz="4" w:space="0" w:color="000000"/>
              <w:bottom w:val="single" w:sz="4" w:space="0" w:color="000000"/>
            </w:tcBorders>
            <w:vAlign w:val="center"/>
          </w:tcPr>
          <w:p w:rsidR="00D9231F" w:rsidRPr="001D7F2C" w:rsidRDefault="00D9231F" w:rsidP="00B10D3A">
            <w:pPr>
              <w:jc w:val="center"/>
              <w:rPr>
                <w:i/>
              </w:rPr>
            </w:pPr>
            <w:r>
              <w:rPr>
                <w:i/>
              </w:rPr>
              <w:t>e</w:t>
            </w:r>
            <w:r w:rsidRPr="00E25A21">
              <w:rPr>
                <w:vertAlign w:val="superscript"/>
              </w:rPr>
              <w:t>B</w:t>
            </w:r>
          </w:p>
        </w:tc>
      </w:tr>
      <w:tr w:rsidR="00D9231F" w:rsidRPr="001D7F2C" w:rsidTr="00E40E6B">
        <w:tc>
          <w:tcPr>
            <w:tcW w:w="3858" w:type="dxa"/>
            <w:tcBorders>
              <w:top w:val="single" w:sz="4" w:space="0" w:color="000000"/>
            </w:tcBorders>
          </w:tcPr>
          <w:p w:rsidR="00D9231F" w:rsidRPr="001D7F2C" w:rsidRDefault="00D9231F" w:rsidP="00B10D3A">
            <w:r w:rsidRPr="001D7F2C">
              <w:t>Household instability</w:t>
            </w:r>
          </w:p>
        </w:tc>
        <w:tc>
          <w:tcPr>
            <w:tcW w:w="1200" w:type="dxa"/>
            <w:tcBorders>
              <w:top w:val="single" w:sz="4" w:space="0" w:color="000000"/>
            </w:tcBorders>
            <w:vAlign w:val="center"/>
          </w:tcPr>
          <w:p w:rsidR="00D9231F" w:rsidRPr="001D7F2C" w:rsidRDefault="00D9231F" w:rsidP="00B10D3A">
            <w:pPr>
              <w:tabs>
                <w:tab w:val="decimal" w:pos="192"/>
              </w:tabs>
            </w:pPr>
          </w:p>
        </w:tc>
        <w:tc>
          <w:tcPr>
            <w:tcW w:w="765" w:type="dxa"/>
            <w:tcBorders>
              <w:top w:val="single" w:sz="4" w:space="0" w:color="000000"/>
            </w:tcBorders>
            <w:vAlign w:val="center"/>
          </w:tcPr>
          <w:p w:rsidR="00D9231F" w:rsidRPr="001D7F2C" w:rsidRDefault="00D9231F" w:rsidP="00B10D3A">
            <w:pPr>
              <w:tabs>
                <w:tab w:val="decimal" w:pos="278"/>
              </w:tabs>
            </w:pPr>
          </w:p>
        </w:tc>
        <w:tc>
          <w:tcPr>
            <w:tcW w:w="765" w:type="dxa"/>
            <w:tcBorders>
              <w:top w:val="single" w:sz="4" w:space="0" w:color="000000"/>
            </w:tcBorders>
            <w:vAlign w:val="center"/>
          </w:tcPr>
          <w:p w:rsidR="00D9231F" w:rsidRPr="001D7F2C" w:rsidRDefault="00D9231F" w:rsidP="00B10D3A">
            <w:pPr>
              <w:tabs>
                <w:tab w:val="decimal" w:pos="156"/>
              </w:tabs>
            </w:pPr>
          </w:p>
        </w:tc>
        <w:tc>
          <w:tcPr>
            <w:tcW w:w="391" w:type="dxa"/>
            <w:tcBorders>
              <w:top w:val="single" w:sz="4" w:space="0" w:color="000000"/>
            </w:tcBorders>
          </w:tcPr>
          <w:p w:rsidR="00D9231F" w:rsidRPr="001D7F2C" w:rsidRDefault="00D9231F" w:rsidP="00B10D3A">
            <w:pPr>
              <w:tabs>
                <w:tab w:val="decimal" w:pos="250"/>
              </w:tabs>
            </w:pPr>
          </w:p>
        </w:tc>
        <w:tc>
          <w:tcPr>
            <w:tcW w:w="1229" w:type="dxa"/>
            <w:tcBorders>
              <w:top w:val="single" w:sz="4" w:space="0" w:color="000000"/>
            </w:tcBorders>
            <w:vAlign w:val="center"/>
          </w:tcPr>
          <w:p w:rsidR="00D9231F" w:rsidRPr="001D7F2C" w:rsidRDefault="00D9231F" w:rsidP="00B10D3A">
            <w:pPr>
              <w:tabs>
                <w:tab w:val="decimal" w:pos="250"/>
              </w:tabs>
            </w:pPr>
          </w:p>
        </w:tc>
        <w:tc>
          <w:tcPr>
            <w:tcW w:w="763" w:type="dxa"/>
            <w:tcBorders>
              <w:top w:val="single" w:sz="4" w:space="0" w:color="000000"/>
            </w:tcBorders>
            <w:vAlign w:val="center"/>
          </w:tcPr>
          <w:p w:rsidR="00D9231F" w:rsidRPr="001D7F2C" w:rsidRDefault="00D9231F" w:rsidP="00B10D3A">
            <w:pPr>
              <w:tabs>
                <w:tab w:val="decimal" w:pos="264"/>
              </w:tabs>
            </w:pPr>
          </w:p>
        </w:tc>
        <w:tc>
          <w:tcPr>
            <w:tcW w:w="767" w:type="dxa"/>
            <w:tcBorders>
              <w:top w:val="single" w:sz="4" w:space="0" w:color="000000"/>
            </w:tcBorders>
            <w:vAlign w:val="center"/>
          </w:tcPr>
          <w:p w:rsidR="00D9231F" w:rsidRPr="001D7F2C" w:rsidRDefault="00D9231F" w:rsidP="00B10D3A">
            <w:pPr>
              <w:tabs>
                <w:tab w:val="decimal" w:pos="236"/>
              </w:tabs>
            </w:pPr>
          </w:p>
        </w:tc>
        <w:tc>
          <w:tcPr>
            <w:tcW w:w="389" w:type="dxa"/>
            <w:tcBorders>
              <w:top w:val="single" w:sz="4" w:space="0" w:color="000000"/>
            </w:tcBorders>
          </w:tcPr>
          <w:p w:rsidR="00D9231F" w:rsidRPr="001D7F2C" w:rsidRDefault="00D9231F" w:rsidP="00B10D3A">
            <w:pPr>
              <w:tabs>
                <w:tab w:val="decimal" w:pos="208"/>
              </w:tabs>
              <w:jc w:val="center"/>
            </w:pPr>
          </w:p>
        </w:tc>
        <w:tc>
          <w:tcPr>
            <w:tcW w:w="1211" w:type="dxa"/>
            <w:tcBorders>
              <w:top w:val="single" w:sz="4" w:space="0" w:color="000000"/>
            </w:tcBorders>
            <w:vAlign w:val="center"/>
          </w:tcPr>
          <w:p w:rsidR="00D9231F" w:rsidRPr="001D7F2C" w:rsidRDefault="00D9231F" w:rsidP="00B10D3A">
            <w:pPr>
              <w:tabs>
                <w:tab w:val="decimal" w:pos="208"/>
              </w:tabs>
              <w:jc w:val="center"/>
            </w:pPr>
          </w:p>
        </w:tc>
        <w:tc>
          <w:tcPr>
            <w:tcW w:w="763" w:type="dxa"/>
            <w:tcBorders>
              <w:top w:val="single" w:sz="4" w:space="0" w:color="000000"/>
            </w:tcBorders>
            <w:vAlign w:val="center"/>
          </w:tcPr>
          <w:p w:rsidR="00D9231F" w:rsidRPr="001D7F2C" w:rsidRDefault="00D9231F" w:rsidP="00B10D3A">
            <w:pPr>
              <w:jc w:val="center"/>
            </w:pPr>
          </w:p>
        </w:tc>
        <w:tc>
          <w:tcPr>
            <w:tcW w:w="697" w:type="dxa"/>
            <w:tcBorders>
              <w:top w:val="single" w:sz="4" w:space="0" w:color="000000"/>
            </w:tcBorders>
            <w:vAlign w:val="center"/>
          </w:tcPr>
          <w:p w:rsidR="00D9231F" w:rsidRPr="001D7F2C" w:rsidRDefault="00D9231F" w:rsidP="00B10D3A">
            <w:pPr>
              <w:jc w:val="center"/>
            </w:pPr>
          </w:p>
        </w:tc>
      </w:tr>
      <w:tr w:rsidR="00D9231F" w:rsidRPr="001D7F2C" w:rsidTr="00E40E6B">
        <w:tc>
          <w:tcPr>
            <w:tcW w:w="3858" w:type="dxa"/>
          </w:tcPr>
          <w:p w:rsidR="00D9231F" w:rsidRPr="001D7F2C" w:rsidRDefault="00D9231F" w:rsidP="00B10D3A">
            <w:pPr>
              <w:ind w:left="180"/>
            </w:pPr>
            <w:r w:rsidRPr="001D7F2C">
              <w:t>Biological parent moved out</w:t>
            </w:r>
          </w:p>
        </w:tc>
        <w:tc>
          <w:tcPr>
            <w:tcW w:w="1200" w:type="dxa"/>
            <w:vAlign w:val="center"/>
          </w:tcPr>
          <w:p w:rsidR="00D9231F" w:rsidRPr="001D7F2C" w:rsidRDefault="00D9231F" w:rsidP="00B10D3A">
            <w:pPr>
              <w:tabs>
                <w:tab w:val="decimal" w:pos="192"/>
              </w:tabs>
            </w:pPr>
            <w:r>
              <w:t>.28*</w:t>
            </w:r>
          </w:p>
        </w:tc>
        <w:tc>
          <w:tcPr>
            <w:tcW w:w="765" w:type="dxa"/>
            <w:vAlign w:val="center"/>
          </w:tcPr>
          <w:p w:rsidR="00D9231F" w:rsidRPr="001D7F2C" w:rsidRDefault="00D9231F" w:rsidP="00D3240A">
            <w:pPr>
              <w:tabs>
                <w:tab w:val="decimal" w:pos="72"/>
              </w:tabs>
            </w:pPr>
            <w:r>
              <w:t>.14</w:t>
            </w:r>
          </w:p>
        </w:tc>
        <w:tc>
          <w:tcPr>
            <w:tcW w:w="765" w:type="dxa"/>
            <w:vAlign w:val="center"/>
          </w:tcPr>
          <w:p w:rsidR="00D9231F" w:rsidRPr="001D7F2C" w:rsidRDefault="00D9231F" w:rsidP="00B10D3A">
            <w:pPr>
              <w:tabs>
                <w:tab w:val="decimal" w:pos="156"/>
              </w:tabs>
            </w:pPr>
            <w:r>
              <w:t>1.32</w:t>
            </w:r>
          </w:p>
        </w:tc>
        <w:tc>
          <w:tcPr>
            <w:tcW w:w="391" w:type="dxa"/>
          </w:tcPr>
          <w:p w:rsidR="00D9231F" w:rsidRDefault="00D9231F" w:rsidP="00B10D3A">
            <w:pPr>
              <w:tabs>
                <w:tab w:val="decimal" w:pos="250"/>
              </w:tabs>
            </w:pPr>
          </w:p>
        </w:tc>
        <w:tc>
          <w:tcPr>
            <w:tcW w:w="1229" w:type="dxa"/>
            <w:vAlign w:val="center"/>
          </w:tcPr>
          <w:p w:rsidR="00D9231F" w:rsidRPr="001D7F2C" w:rsidRDefault="00D9231F" w:rsidP="00B10D3A">
            <w:pPr>
              <w:tabs>
                <w:tab w:val="decimal" w:pos="250"/>
              </w:tabs>
            </w:pPr>
          </w:p>
        </w:tc>
        <w:tc>
          <w:tcPr>
            <w:tcW w:w="763" w:type="dxa"/>
            <w:vAlign w:val="center"/>
          </w:tcPr>
          <w:p w:rsidR="00D9231F" w:rsidRPr="001D7F2C" w:rsidRDefault="00D9231F" w:rsidP="00D3240A">
            <w:pPr>
              <w:tabs>
                <w:tab w:val="decimal" w:pos="72"/>
              </w:tabs>
            </w:pPr>
          </w:p>
        </w:tc>
        <w:tc>
          <w:tcPr>
            <w:tcW w:w="767" w:type="dxa"/>
            <w:vAlign w:val="center"/>
          </w:tcPr>
          <w:p w:rsidR="00D9231F" w:rsidRPr="001D7F2C" w:rsidRDefault="00D9231F" w:rsidP="00B10D3A">
            <w:pPr>
              <w:tabs>
                <w:tab w:val="decimal" w:pos="236"/>
              </w:tabs>
            </w:pPr>
          </w:p>
        </w:tc>
        <w:tc>
          <w:tcPr>
            <w:tcW w:w="389" w:type="dxa"/>
          </w:tcPr>
          <w:p w:rsidR="00D9231F" w:rsidRDefault="00D9231F" w:rsidP="00B10D3A">
            <w:pPr>
              <w:tabs>
                <w:tab w:val="decimal" w:pos="208"/>
              </w:tabs>
            </w:pPr>
          </w:p>
        </w:tc>
        <w:tc>
          <w:tcPr>
            <w:tcW w:w="1211" w:type="dxa"/>
            <w:vAlign w:val="center"/>
          </w:tcPr>
          <w:p w:rsidR="00D9231F" w:rsidRPr="001D7F2C" w:rsidRDefault="00D9231F" w:rsidP="00B10D3A">
            <w:pPr>
              <w:tabs>
                <w:tab w:val="decimal" w:pos="208"/>
              </w:tabs>
            </w:pPr>
            <w:r>
              <w:t>-.03</w:t>
            </w:r>
          </w:p>
        </w:tc>
        <w:tc>
          <w:tcPr>
            <w:tcW w:w="763" w:type="dxa"/>
            <w:vAlign w:val="center"/>
          </w:tcPr>
          <w:p w:rsidR="00D9231F" w:rsidRPr="001D7F2C" w:rsidRDefault="00D9231F" w:rsidP="004E2D80">
            <w:pPr>
              <w:tabs>
                <w:tab w:val="decimal" w:pos="72"/>
              </w:tabs>
            </w:pPr>
            <w:r>
              <w:t>.17</w:t>
            </w:r>
          </w:p>
        </w:tc>
        <w:tc>
          <w:tcPr>
            <w:tcW w:w="697" w:type="dxa"/>
            <w:vAlign w:val="center"/>
          </w:tcPr>
          <w:p w:rsidR="00D9231F" w:rsidRPr="001D7F2C" w:rsidRDefault="00D9231F" w:rsidP="00B10D3A">
            <w:pPr>
              <w:tabs>
                <w:tab w:val="decimal" w:pos="165"/>
              </w:tabs>
            </w:pPr>
            <w:r>
              <w:t>.97</w:t>
            </w:r>
          </w:p>
        </w:tc>
      </w:tr>
      <w:tr w:rsidR="00D9231F" w:rsidRPr="001D7F2C" w:rsidTr="00E40E6B">
        <w:tc>
          <w:tcPr>
            <w:tcW w:w="3858" w:type="dxa"/>
          </w:tcPr>
          <w:p w:rsidR="00D9231F" w:rsidRPr="001D7F2C" w:rsidRDefault="00D9231F" w:rsidP="00B10D3A">
            <w:pPr>
              <w:ind w:left="180"/>
            </w:pPr>
            <w:r>
              <w:t>New paternal partner</w:t>
            </w:r>
          </w:p>
        </w:tc>
        <w:tc>
          <w:tcPr>
            <w:tcW w:w="1200" w:type="dxa"/>
            <w:vAlign w:val="center"/>
          </w:tcPr>
          <w:p w:rsidR="00D9231F" w:rsidRPr="001D7F2C" w:rsidRDefault="00D9231F" w:rsidP="00B10D3A">
            <w:pPr>
              <w:tabs>
                <w:tab w:val="decimal" w:pos="192"/>
              </w:tabs>
            </w:pPr>
          </w:p>
        </w:tc>
        <w:tc>
          <w:tcPr>
            <w:tcW w:w="765" w:type="dxa"/>
            <w:vAlign w:val="center"/>
          </w:tcPr>
          <w:p w:rsidR="00D9231F" w:rsidRPr="001D7F2C" w:rsidRDefault="00D9231F" w:rsidP="00D3240A">
            <w:pPr>
              <w:tabs>
                <w:tab w:val="decimal" w:pos="72"/>
              </w:tabs>
            </w:pPr>
          </w:p>
        </w:tc>
        <w:tc>
          <w:tcPr>
            <w:tcW w:w="765" w:type="dxa"/>
            <w:vAlign w:val="center"/>
          </w:tcPr>
          <w:p w:rsidR="00D9231F" w:rsidRPr="001D7F2C" w:rsidRDefault="00D9231F" w:rsidP="00B10D3A">
            <w:pPr>
              <w:tabs>
                <w:tab w:val="decimal" w:pos="156"/>
              </w:tabs>
            </w:pPr>
          </w:p>
        </w:tc>
        <w:tc>
          <w:tcPr>
            <w:tcW w:w="391" w:type="dxa"/>
          </w:tcPr>
          <w:p w:rsidR="00D9231F" w:rsidRDefault="00D9231F" w:rsidP="00B10D3A">
            <w:pPr>
              <w:tabs>
                <w:tab w:val="decimal" w:pos="250"/>
              </w:tabs>
            </w:pPr>
          </w:p>
        </w:tc>
        <w:tc>
          <w:tcPr>
            <w:tcW w:w="1229" w:type="dxa"/>
            <w:vAlign w:val="center"/>
          </w:tcPr>
          <w:p w:rsidR="00D9231F" w:rsidRPr="001D7F2C" w:rsidRDefault="00D9231F" w:rsidP="00B10D3A">
            <w:pPr>
              <w:tabs>
                <w:tab w:val="decimal" w:pos="250"/>
              </w:tabs>
            </w:pPr>
            <w:r>
              <w:t>.25</w:t>
            </w:r>
          </w:p>
        </w:tc>
        <w:tc>
          <w:tcPr>
            <w:tcW w:w="763" w:type="dxa"/>
            <w:vAlign w:val="center"/>
          </w:tcPr>
          <w:p w:rsidR="00D9231F" w:rsidRPr="001D7F2C" w:rsidRDefault="00D9231F" w:rsidP="00D3240A">
            <w:pPr>
              <w:tabs>
                <w:tab w:val="decimal" w:pos="72"/>
              </w:tabs>
            </w:pPr>
            <w:r>
              <w:t>.19</w:t>
            </w:r>
          </w:p>
        </w:tc>
        <w:tc>
          <w:tcPr>
            <w:tcW w:w="767" w:type="dxa"/>
            <w:vAlign w:val="center"/>
          </w:tcPr>
          <w:p w:rsidR="00D9231F" w:rsidRPr="001D7F2C" w:rsidRDefault="00D9231F" w:rsidP="00D3240A">
            <w:pPr>
              <w:tabs>
                <w:tab w:val="decimal" w:pos="209"/>
              </w:tabs>
            </w:pPr>
            <w:r>
              <w:t>1.29</w:t>
            </w:r>
          </w:p>
        </w:tc>
        <w:tc>
          <w:tcPr>
            <w:tcW w:w="389" w:type="dxa"/>
          </w:tcPr>
          <w:p w:rsidR="00D9231F" w:rsidRDefault="00D9231F" w:rsidP="00B10D3A">
            <w:pPr>
              <w:tabs>
                <w:tab w:val="decimal" w:pos="208"/>
              </w:tabs>
            </w:pPr>
          </w:p>
        </w:tc>
        <w:tc>
          <w:tcPr>
            <w:tcW w:w="1211" w:type="dxa"/>
            <w:vAlign w:val="center"/>
          </w:tcPr>
          <w:p w:rsidR="00D9231F" w:rsidRPr="001D7F2C" w:rsidRDefault="00D9231F" w:rsidP="00B10D3A">
            <w:pPr>
              <w:tabs>
                <w:tab w:val="decimal" w:pos="208"/>
              </w:tabs>
            </w:pPr>
            <w:r>
              <w:t>.26</w:t>
            </w:r>
          </w:p>
        </w:tc>
        <w:tc>
          <w:tcPr>
            <w:tcW w:w="763" w:type="dxa"/>
            <w:vAlign w:val="center"/>
          </w:tcPr>
          <w:p w:rsidR="00D9231F" w:rsidRPr="001D7F2C" w:rsidRDefault="00D9231F" w:rsidP="004E2D80">
            <w:pPr>
              <w:tabs>
                <w:tab w:val="decimal" w:pos="72"/>
              </w:tabs>
            </w:pPr>
            <w:r>
              <w:t>.20</w:t>
            </w:r>
          </w:p>
        </w:tc>
        <w:tc>
          <w:tcPr>
            <w:tcW w:w="697" w:type="dxa"/>
            <w:vAlign w:val="center"/>
          </w:tcPr>
          <w:p w:rsidR="00D9231F" w:rsidRPr="001D7F2C" w:rsidRDefault="00D9231F" w:rsidP="00B10D3A">
            <w:pPr>
              <w:tabs>
                <w:tab w:val="decimal" w:pos="165"/>
              </w:tabs>
            </w:pPr>
            <w:r>
              <w:t>1.30</w:t>
            </w:r>
          </w:p>
        </w:tc>
      </w:tr>
      <w:tr w:rsidR="00D9231F" w:rsidRPr="001D7F2C" w:rsidTr="00E40E6B">
        <w:tc>
          <w:tcPr>
            <w:tcW w:w="3858" w:type="dxa"/>
          </w:tcPr>
          <w:p w:rsidR="00D9231F" w:rsidRPr="001D7F2C" w:rsidRDefault="00D9231F" w:rsidP="00B10D3A">
            <w:pPr>
              <w:ind w:left="180"/>
            </w:pPr>
            <w:r>
              <w:t>New maternal partner</w:t>
            </w:r>
          </w:p>
        </w:tc>
        <w:tc>
          <w:tcPr>
            <w:tcW w:w="1200" w:type="dxa"/>
            <w:vAlign w:val="center"/>
          </w:tcPr>
          <w:p w:rsidR="00D9231F" w:rsidRPr="001D7F2C" w:rsidRDefault="00D9231F" w:rsidP="00B10D3A">
            <w:pPr>
              <w:tabs>
                <w:tab w:val="decimal" w:pos="192"/>
              </w:tabs>
            </w:pPr>
          </w:p>
        </w:tc>
        <w:tc>
          <w:tcPr>
            <w:tcW w:w="765" w:type="dxa"/>
            <w:vAlign w:val="center"/>
          </w:tcPr>
          <w:p w:rsidR="00D9231F" w:rsidRPr="001D7F2C" w:rsidRDefault="00D9231F" w:rsidP="00D3240A">
            <w:pPr>
              <w:tabs>
                <w:tab w:val="decimal" w:pos="72"/>
              </w:tabs>
            </w:pPr>
          </w:p>
        </w:tc>
        <w:tc>
          <w:tcPr>
            <w:tcW w:w="765" w:type="dxa"/>
            <w:vAlign w:val="center"/>
          </w:tcPr>
          <w:p w:rsidR="00D9231F" w:rsidRPr="001D7F2C" w:rsidRDefault="00D9231F" w:rsidP="00B10D3A">
            <w:pPr>
              <w:tabs>
                <w:tab w:val="decimal" w:pos="156"/>
              </w:tabs>
            </w:pPr>
          </w:p>
        </w:tc>
        <w:tc>
          <w:tcPr>
            <w:tcW w:w="391" w:type="dxa"/>
          </w:tcPr>
          <w:p w:rsidR="00D9231F" w:rsidRDefault="00D9231F" w:rsidP="00B10D3A">
            <w:pPr>
              <w:tabs>
                <w:tab w:val="decimal" w:pos="250"/>
              </w:tabs>
            </w:pPr>
          </w:p>
        </w:tc>
        <w:tc>
          <w:tcPr>
            <w:tcW w:w="1229" w:type="dxa"/>
            <w:vAlign w:val="center"/>
          </w:tcPr>
          <w:p w:rsidR="00D9231F" w:rsidRPr="001D7F2C" w:rsidRDefault="00D9231F" w:rsidP="00B10D3A">
            <w:pPr>
              <w:tabs>
                <w:tab w:val="decimal" w:pos="250"/>
              </w:tabs>
            </w:pPr>
            <w:r>
              <w:t>.57***</w:t>
            </w:r>
          </w:p>
        </w:tc>
        <w:tc>
          <w:tcPr>
            <w:tcW w:w="763" w:type="dxa"/>
            <w:vAlign w:val="center"/>
          </w:tcPr>
          <w:p w:rsidR="00D9231F" w:rsidRPr="001D7F2C" w:rsidRDefault="00D9231F" w:rsidP="00D3240A">
            <w:pPr>
              <w:tabs>
                <w:tab w:val="decimal" w:pos="72"/>
              </w:tabs>
            </w:pPr>
            <w:r>
              <w:t>.17</w:t>
            </w:r>
          </w:p>
        </w:tc>
        <w:tc>
          <w:tcPr>
            <w:tcW w:w="767" w:type="dxa"/>
            <w:vAlign w:val="center"/>
          </w:tcPr>
          <w:p w:rsidR="00D9231F" w:rsidRPr="001D7F2C" w:rsidRDefault="00D9231F" w:rsidP="00D3240A">
            <w:pPr>
              <w:tabs>
                <w:tab w:val="decimal" w:pos="209"/>
              </w:tabs>
            </w:pPr>
            <w:r>
              <w:t>1.76</w:t>
            </w:r>
          </w:p>
        </w:tc>
        <w:tc>
          <w:tcPr>
            <w:tcW w:w="389" w:type="dxa"/>
          </w:tcPr>
          <w:p w:rsidR="00D9231F" w:rsidRDefault="00D9231F" w:rsidP="00B10D3A">
            <w:pPr>
              <w:tabs>
                <w:tab w:val="decimal" w:pos="208"/>
              </w:tabs>
            </w:pPr>
          </w:p>
        </w:tc>
        <w:tc>
          <w:tcPr>
            <w:tcW w:w="1211" w:type="dxa"/>
            <w:vAlign w:val="center"/>
          </w:tcPr>
          <w:p w:rsidR="00D9231F" w:rsidRPr="001D7F2C" w:rsidRDefault="00D9231F" w:rsidP="00B10D3A">
            <w:pPr>
              <w:tabs>
                <w:tab w:val="decimal" w:pos="208"/>
              </w:tabs>
            </w:pPr>
            <w:r>
              <w:t>.58**</w:t>
            </w:r>
          </w:p>
        </w:tc>
        <w:tc>
          <w:tcPr>
            <w:tcW w:w="763" w:type="dxa"/>
            <w:vAlign w:val="center"/>
          </w:tcPr>
          <w:p w:rsidR="00D9231F" w:rsidRPr="001D7F2C" w:rsidRDefault="00D9231F" w:rsidP="004E2D80">
            <w:pPr>
              <w:tabs>
                <w:tab w:val="decimal" w:pos="72"/>
              </w:tabs>
            </w:pPr>
            <w:r>
              <w:t>.18</w:t>
            </w:r>
          </w:p>
        </w:tc>
        <w:tc>
          <w:tcPr>
            <w:tcW w:w="697" w:type="dxa"/>
            <w:vAlign w:val="center"/>
          </w:tcPr>
          <w:p w:rsidR="00D9231F" w:rsidRPr="001D7F2C" w:rsidRDefault="00D9231F" w:rsidP="00B10D3A">
            <w:pPr>
              <w:tabs>
                <w:tab w:val="decimal" w:pos="165"/>
              </w:tabs>
            </w:pPr>
            <w:r>
              <w:t>1.79</w:t>
            </w:r>
          </w:p>
        </w:tc>
      </w:tr>
      <w:tr w:rsidR="00D9231F" w:rsidRPr="001D7F2C" w:rsidTr="00E40E6B">
        <w:tc>
          <w:tcPr>
            <w:tcW w:w="3858" w:type="dxa"/>
          </w:tcPr>
          <w:p w:rsidR="00D9231F" w:rsidRPr="001D7F2C" w:rsidRDefault="00D9231F" w:rsidP="00B10D3A">
            <w:pPr>
              <w:ind w:left="180"/>
            </w:pPr>
            <w:r w:rsidRPr="001D7F2C">
              <w:t>No family instability (ref)</w:t>
            </w:r>
          </w:p>
        </w:tc>
        <w:tc>
          <w:tcPr>
            <w:tcW w:w="1200" w:type="dxa"/>
            <w:vAlign w:val="center"/>
          </w:tcPr>
          <w:p w:rsidR="00D9231F" w:rsidRPr="001D7F2C" w:rsidRDefault="00D9231F" w:rsidP="00B10D3A">
            <w:pPr>
              <w:tabs>
                <w:tab w:val="decimal" w:pos="192"/>
              </w:tabs>
            </w:pPr>
          </w:p>
        </w:tc>
        <w:tc>
          <w:tcPr>
            <w:tcW w:w="765" w:type="dxa"/>
            <w:vAlign w:val="center"/>
          </w:tcPr>
          <w:p w:rsidR="00D9231F" w:rsidRPr="001D7F2C" w:rsidRDefault="00D9231F" w:rsidP="00D3240A">
            <w:pPr>
              <w:tabs>
                <w:tab w:val="decimal" w:pos="72"/>
              </w:tabs>
            </w:pPr>
          </w:p>
        </w:tc>
        <w:tc>
          <w:tcPr>
            <w:tcW w:w="765" w:type="dxa"/>
            <w:vAlign w:val="center"/>
          </w:tcPr>
          <w:p w:rsidR="00D9231F" w:rsidRPr="001D7F2C" w:rsidRDefault="00D9231F" w:rsidP="00B10D3A">
            <w:pPr>
              <w:tabs>
                <w:tab w:val="decimal" w:pos="156"/>
              </w:tabs>
            </w:pPr>
          </w:p>
        </w:tc>
        <w:tc>
          <w:tcPr>
            <w:tcW w:w="391" w:type="dxa"/>
          </w:tcPr>
          <w:p w:rsidR="00D9231F" w:rsidRPr="001D7F2C" w:rsidRDefault="00D9231F" w:rsidP="00B10D3A">
            <w:pPr>
              <w:tabs>
                <w:tab w:val="decimal" w:pos="250"/>
              </w:tabs>
            </w:pPr>
          </w:p>
        </w:tc>
        <w:tc>
          <w:tcPr>
            <w:tcW w:w="1229" w:type="dxa"/>
            <w:vAlign w:val="center"/>
          </w:tcPr>
          <w:p w:rsidR="00D9231F" w:rsidRPr="001D7F2C" w:rsidRDefault="00D9231F" w:rsidP="00B10D3A">
            <w:pPr>
              <w:tabs>
                <w:tab w:val="decimal" w:pos="250"/>
              </w:tabs>
            </w:pPr>
          </w:p>
        </w:tc>
        <w:tc>
          <w:tcPr>
            <w:tcW w:w="763" w:type="dxa"/>
            <w:vAlign w:val="center"/>
          </w:tcPr>
          <w:p w:rsidR="00D9231F" w:rsidRPr="001D7F2C" w:rsidRDefault="00D9231F" w:rsidP="00D3240A">
            <w:pPr>
              <w:tabs>
                <w:tab w:val="decimal" w:pos="72"/>
              </w:tabs>
            </w:pPr>
          </w:p>
        </w:tc>
        <w:tc>
          <w:tcPr>
            <w:tcW w:w="767" w:type="dxa"/>
            <w:vAlign w:val="center"/>
          </w:tcPr>
          <w:p w:rsidR="00D9231F" w:rsidRPr="001D7F2C" w:rsidRDefault="00D9231F" w:rsidP="00D3240A">
            <w:pPr>
              <w:tabs>
                <w:tab w:val="decimal" w:pos="209"/>
              </w:tabs>
            </w:pPr>
          </w:p>
        </w:tc>
        <w:tc>
          <w:tcPr>
            <w:tcW w:w="389" w:type="dxa"/>
          </w:tcPr>
          <w:p w:rsidR="00D9231F" w:rsidRPr="001D7F2C" w:rsidRDefault="00D9231F" w:rsidP="00B10D3A">
            <w:pPr>
              <w:tabs>
                <w:tab w:val="decimal" w:pos="208"/>
              </w:tabs>
            </w:pPr>
          </w:p>
        </w:tc>
        <w:tc>
          <w:tcPr>
            <w:tcW w:w="1211" w:type="dxa"/>
            <w:vAlign w:val="center"/>
          </w:tcPr>
          <w:p w:rsidR="00D9231F" w:rsidRPr="001D7F2C" w:rsidRDefault="00D9231F" w:rsidP="00B10D3A">
            <w:pPr>
              <w:tabs>
                <w:tab w:val="decimal" w:pos="208"/>
              </w:tabs>
            </w:pPr>
          </w:p>
        </w:tc>
        <w:tc>
          <w:tcPr>
            <w:tcW w:w="763" w:type="dxa"/>
            <w:vAlign w:val="center"/>
          </w:tcPr>
          <w:p w:rsidR="00D9231F" w:rsidRPr="001D7F2C" w:rsidRDefault="00D9231F" w:rsidP="004E2D80">
            <w:pPr>
              <w:tabs>
                <w:tab w:val="decimal" w:pos="72"/>
              </w:tabs>
            </w:pPr>
          </w:p>
        </w:tc>
        <w:tc>
          <w:tcPr>
            <w:tcW w:w="697" w:type="dxa"/>
            <w:vAlign w:val="center"/>
          </w:tcPr>
          <w:p w:rsidR="00D9231F" w:rsidRPr="001D7F2C" w:rsidRDefault="00D9231F" w:rsidP="00B10D3A">
            <w:pPr>
              <w:tabs>
                <w:tab w:val="decimal" w:pos="165"/>
              </w:tabs>
            </w:pPr>
          </w:p>
        </w:tc>
      </w:tr>
      <w:tr w:rsidR="00E40E6B" w:rsidRPr="001D7F2C" w:rsidTr="00E40E6B">
        <w:tc>
          <w:tcPr>
            <w:tcW w:w="3858" w:type="dxa"/>
          </w:tcPr>
          <w:p w:rsidR="00D3240A" w:rsidRPr="001D7F2C" w:rsidRDefault="00D3240A" w:rsidP="00B10D3A">
            <w:r w:rsidRPr="001D7F2C">
              <w:t>Family structure at beginning</w:t>
            </w:r>
          </w:p>
        </w:tc>
        <w:tc>
          <w:tcPr>
            <w:tcW w:w="1200" w:type="dxa"/>
            <w:vAlign w:val="center"/>
          </w:tcPr>
          <w:p w:rsidR="00D3240A" w:rsidRPr="001D7F2C" w:rsidRDefault="00D3240A" w:rsidP="00B10D3A">
            <w:pPr>
              <w:tabs>
                <w:tab w:val="decimal" w:pos="156"/>
                <w:tab w:val="decimal" w:pos="192"/>
                <w:tab w:val="decimal" w:pos="278"/>
              </w:tabs>
            </w:pPr>
          </w:p>
        </w:tc>
        <w:tc>
          <w:tcPr>
            <w:tcW w:w="765" w:type="dxa"/>
            <w:vAlign w:val="center"/>
          </w:tcPr>
          <w:p w:rsidR="00D3240A" w:rsidRPr="001D7F2C" w:rsidRDefault="00D3240A" w:rsidP="00D3240A">
            <w:pPr>
              <w:tabs>
                <w:tab w:val="decimal" w:pos="72"/>
                <w:tab w:val="decimal" w:pos="192"/>
              </w:tabs>
            </w:pPr>
          </w:p>
        </w:tc>
        <w:tc>
          <w:tcPr>
            <w:tcW w:w="765" w:type="dxa"/>
            <w:vAlign w:val="center"/>
          </w:tcPr>
          <w:p w:rsidR="00D3240A" w:rsidRPr="001D7F2C" w:rsidRDefault="00D3240A" w:rsidP="00B10D3A">
            <w:pPr>
              <w:tabs>
                <w:tab w:val="decimal" w:pos="156"/>
                <w:tab w:val="decimal" w:pos="192"/>
                <w:tab w:val="decimal" w:pos="278"/>
              </w:tabs>
            </w:pPr>
          </w:p>
        </w:tc>
        <w:tc>
          <w:tcPr>
            <w:tcW w:w="391" w:type="dxa"/>
          </w:tcPr>
          <w:p w:rsidR="00D3240A" w:rsidRPr="001D7F2C" w:rsidRDefault="00D3240A" w:rsidP="00B10D3A">
            <w:pPr>
              <w:tabs>
                <w:tab w:val="decimal" w:pos="250"/>
              </w:tabs>
            </w:pPr>
          </w:p>
        </w:tc>
        <w:tc>
          <w:tcPr>
            <w:tcW w:w="1229" w:type="dxa"/>
            <w:vAlign w:val="center"/>
          </w:tcPr>
          <w:p w:rsidR="00D3240A" w:rsidRPr="001D7F2C" w:rsidRDefault="00D3240A" w:rsidP="00B10D3A">
            <w:pPr>
              <w:tabs>
                <w:tab w:val="decimal" w:pos="250"/>
              </w:tabs>
            </w:pPr>
          </w:p>
        </w:tc>
        <w:tc>
          <w:tcPr>
            <w:tcW w:w="763" w:type="dxa"/>
            <w:vAlign w:val="center"/>
          </w:tcPr>
          <w:p w:rsidR="00D3240A" w:rsidRPr="001D7F2C" w:rsidRDefault="00D3240A" w:rsidP="00D3240A">
            <w:pPr>
              <w:tabs>
                <w:tab w:val="decimal" w:pos="72"/>
              </w:tabs>
            </w:pPr>
          </w:p>
        </w:tc>
        <w:tc>
          <w:tcPr>
            <w:tcW w:w="767" w:type="dxa"/>
            <w:vAlign w:val="center"/>
          </w:tcPr>
          <w:p w:rsidR="00D3240A" w:rsidRPr="001D7F2C" w:rsidRDefault="00D3240A" w:rsidP="00D3240A">
            <w:pPr>
              <w:tabs>
                <w:tab w:val="decimal" w:pos="209"/>
              </w:tabs>
            </w:pPr>
          </w:p>
        </w:tc>
        <w:tc>
          <w:tcPr>
            <w:tcW w:w="389" w:type="dxa"/>
          </w:tcPr>
          <w:p w:rsidR="00D3240A" w:rsidRPr="001D7F2C" w:rsidRDefault="00D3240A" w:rsidP="00B10D3A">
            <w:pPr>
              <w:tabs>
                <w:tab w:val="decimal" w:pos="165"/>
                <w:tab w:val="decimal" w:pos="208"/>
                <w:tab w:val="decimal" w:pos="249"/>
              </w:tabs>
            </w:pPr>
          </w:p>
        </w:tc>
        <w:tc>
          <w:tcPr>
            <w:tcW w:w="1211" w:type="dxa"/>
            <w:vAlign w:val="center"/>
          </w:tcPr>
          <w:p w:rsidR="00D3240A" w:rsidRPr="001D7F2C" w:rsidRDefault="00D3240A" w:rsidP="00B10D3A">
            <w:pPr>
              <w:tabs>
                <w:tab w:val="decimal" w:pos="165"/>
                <w:tab w:val="decimal" w:pos="208"/>
                <w:tab w:val="decimal" w:pos="249"/>
              </w:tabs>
            </w:pPr>
          </w:p>
        </w:tc>
        <w:tc>
          <w:tcPr>
            <w:tcW w:w="763" w:type="dxa"/>
            <w:vAlign w:val="center"/>
          </w:tcPr>
          <w:p w:rsidR="00D3240A" w:rsidRPr="001D7F2C" w:rsidRDefault="00D3240A" w:rsidP="004E2D80">
            <w:pPr>
              <w:tabs>
                <w:tab w:val="decimal" w:pos="72"/>
                <w:tab w:val="decimal" w:pos="208"/>
              </w:tabs>
            </w:pPr>
          </w:p>
        </w:tc>
        <w:tc>
          <w:tcPr>
            <w:tcW w:w="697" w:type="dxa"/>
            <w:vAlign w:val="center"/>
          </w:tcPr>
          <w:p w:rsidR="00D3240A" w:rsidRPr="001D7F2C" w:rsidRDefault="00D3240A" w:rsidP="00B10D3A">
            <w:pPr>
              <w:tabs>
                <w:tab w:val="decimal" w:pos="165"/>
                <w:tab w:val="decimal" w:pos="208"/>
                <w:tab w:val="decimal" w:pos="249"/>
              </w:tabs>
            </w:pPr>
          </w:p>
        </w:tc>
      </w:tr>
      <w:tr w:rsidR="00D9231F" w:rsidRPr="001D7F2C" w:rsidTr="00E40E6B">
        <w:tc>
          <w:tcPr>
            <w:tcW w:w="3858" w:type="dxa"/>
          </w:tcPr>
          <w:p w:rsidR="00D9231F" w:rsidRPr="001D7F2C" w:rsidRDefault="001C16E3" w:rsidP="00B10D3A">
            <w:pPr>
              <w:ind w:left="180"/>
            </w:pPr>
            <w:r>
              <w:t>Step</w:t>
            </w:r>
            <w:r w:rsidR="00D9231F" w:rsidRPr="001D7F2C">
              <w:t>parent family</w:t>
            </w:r>
          </w:p>
        </w:tc>
        <w:tc>
          <w:tcPr>
            <w:tcW w:w="1200" w:type="dxa"/>
            <w:vAlign w:val="center"/>
          </w:tcPr>
          <w:p w:rsidR="00D9231F" w:rsidRPr="001D7F2C" w:rsidRDefault="00D9231F" w:rsidP="00B10D3A">
            <w:pPr>
              <w:tabs>
                <w:tab w:val="decimal" w:pos="192"/>
              </w:tabs>
            </w:pPr>
            <w:r>
              <w:t>.26*</w:t>
            </w:r>
          </w:p>
        </w:tc>
        <w:tc>
          <w:tcPr>
            <w:tcW w:w="765" w:type="dxa"/>
            <w:vAlign w:val="center"/>
          </w:tcPr>
          <w:p w:rsidR="00D9231F" w:rsidRPr="001D7F2C" w:rsidRDefault="00D9231F" w:rsidP="00D3240A">
            <w:pPr>
              <w:tabs>
                <w:tab w:val="decimal" w:pos="72"/>
              </w:tabs>
            </w:pPr>
            <w:r>
              <w:t>.12</w:t>
            </w:r>
          </w:p>
        </w:tc>
        <w:tc>
          <w:tcPr>
            <w:tcW w:w="765" w:type="dxa"/>
            <w:vAlign w:val="center"/>
          </w:tcPr>
          <w:p w:rsidR="00D9231F" w:rsidRPr="001D7F2C" w:rsidRDefault="00D9231F" w:rsidP="00B10D3A">
            <w:pPr>
              <w:tabs>
                <w:tab w:val="decimal" w:pos="156"/>
              </w:tabs>
            </w:pPr>
            <w:r>
              <w:t>1.30</w:t>
            </w:r>
          </w:p>
        </w:tc>
        <w:tc>
          <w:tcPr>
            <w:tcW w:w="391" w:type="dxa"/>
          </w:tcPr>
          <w:p w:rsidR="00D9231F" w:rsidRPr="001D7F2C" w:rsidRDefault="00D9231F" w:rsidP="00B10D3A">
            <w:pPr>
              <w:tabs>
                <w:tab w:val="decimal" w:pos="250"/>
              </w:tabs>
            </w:pPr>
          </w:p>
        </w:tc>
        <w:tc>
          <w:tcPr>
            <w:tcW w:w="1229" w:type="dxa"/>
            <w:vAlign w:val="center"/>
          </w:tcPr>
          <w:p w:rsidR="00D9231F" w:rsidRPr="001D7F2C" w:rsidRDefault="00D9231F" w:rsidP="00B10D3A">
            <w:pPr>
              <w:tabs>
                <w:tab w:val="decimal" w:pos="250"/>
              </w:tabs>
            </w:pPr>
            <w:r>
              <w:t>.26*</w:t>
            </w:r>
          </w:p>
        </w:tc>
        <w:tc>
          <w:tcPr>
            <w:tcW w:w="763" w:type="dxa"/>
            <w:vAlign w:val="center"/>
          </w:tcPr>
          <w:p w:rsidR="00D9231F" w:rsidRPr="001D7F2C" w:rsidRDefault="00D9231F" w:rsidP="00D3240A">
            <w:pPr>
              <w:tabs>
                <w:tab w:val="decimal" w:pos="72"/>
              </w:tabs>
            </w:pPr>
            <w:r>
              <w:t>.12</w:t>
            </w:r>
          </w:p>
        </w:tc>
        <w:tc>
          <w:tcPr>
            <w:tcW w:w="767" w:type="dxa"/>
            <w:vAlign w:val="center"/>
          </w:tcPr>
          <w:p w:rsidR="00D9231F" w:rsidRPr="001D7F2C" w:rsidRDefault="00D9231F" w:rsidP="00D3240A">
            <w:pPr>
              <w:tabs>
                <w:tab w:val="decimal" w:pos="209"/>
              </w:tabs>
            </w:pPr>
            <w:r>
              <w:t>1.30</w:t>
            </w:r>
          </w:p>
        </w:tc>
        <w:tc>
          <w:tcPr>
            <w:tcW w:w="389" w:type="dxa"/>
          </w:tcPr>
          <w:p w:rsidR="00D9231F" w:rsidRDefault="00D9231F" w:rsidP="00B10D3A">
            <w:pPr>
              <w:tabs>
                <w:tab w:val="decimal" w:pos="208"/>
              </w:tabs>
            </w:pPr>
          </w:p>
        </w:tc>
        <w:tc>
          <w:tcPr>
            <w:tcW w:w="1211" w:type="dxa"/>
            <w:vAlign w:val="center"/>
          </w:tcPr>
          <w:p w:rsidR="00D9231F" w:rsidRPr="001D7F2C" w:rsidRDefault="00D9231F" w:rsidP="00B10D3A">
            <w:pPr>
              <w:tabs>
                <w:tab w:val="decimal" w:pos="208"/>
              </w:tabs>
            </w:pPr>
            <w:r>
              <w:t>.26*</w:t>
            </w:r>
          </w:p>
        </w:tc>
        <w:tc>
          <w:tcPr>
            <w:tcW w:w="763" w:type="dxa"/>
            <w:vAlign w:val="center"/>
          </w:tcPr>
          <w:p w:rsidR="00D9231F" w:rsidRPr="001D7F2C" w:rsidRDefault="00D9231F" w:rsidP="004E2D80">
            <w:pPr>
              <w:tabs>
                <w:tab w:val="decimal" w:pos="72"/>
              </w:tabs>
            </w:pPr>
            <w:r>
              <w:t>.12</w:t>
            </w:r>
          </w:p>
        </w:tc>
        <w:tc>
          <w:tcPr>
            <w:tcW w:w="697" w:type="dxa"/>
            <w:vAlign w:val="center"/>
          </w:tcPr>
          <w:p w:rsidR="00D9231F" w:rsidRPr="001D7F2C" w:rsidRDefault="00D9231F" w:rsidP="00B10D3A">
            <w:pPr>
              <w:tabs>
                <w:tab w:val="decimal" w:pos="165"/>
              </w:tabs>
            </w:pPr>
            <w:r>
              <w:t>1.30</w:t>
            </w:r>
          </w:p>
        </w:tc>
      </w:tr>
      <w:tr w:rsidR="00D9231F" w:rsidRPr="001D7F2C" w:rsidTr="00E40E6B">
        <w:tc>
          <w:tcPr>
            <w:tcW w:w="3858" w:type="dxa"/>
          </w:tcPr>
          <w:p w:rsidR="00D9231F" w:rsidRPr="001D7F2C" w:rsidRDefault="00D9231F" w:rsidP="00B10D3A">
            <w:pPr>
              <w:ind w:left="180"/>
            </w:pPr>
            <w:r w:rsidRPr="001D7F2C">
              <w:t>Single-parent family</w:t>
            </w:r>
          </w:p>
        </w:tc>
        <w:tc>
          <w:tcPr>
            <w:tcW w:w="1200" w:type="dxa"/>
            <w:vAlign w:val="center"/>
          </w:tcPr>
          <w:p w:rsidR="00D9231F" w:rsidRPr="001D7F2C" w:rsidRDefault="00D9231F" w:rsidP="00B10D3A">
            <w:pPr>
              <w:tabs>
                <w:tab w:val="decimal" w:pos="192"/>
              </w:tabs>
            </w:pPr>
            <w:r>
              <w:t>-.27</w:t>
            </w:r>
            <w:r w:rsidRPr="0010002F">
              <w:rPr>
                <w:vertAlign w:val="superscript"/>
              </w:rPr>
              <w:t>†</w:t>
            </w:r>
          </w:p>
        </w:tc>
        <w:tc>
          <w:tcPr>
            <w:tcW w:w="765" w:type="dxa"/>
            <w:vAlign w:val="center"/>
          </w:tcPr>
          <w:p w:rsidR="00D9231F" w:rsidRPr="001D7F2C" w:rsidRDefault="00D9231F" w:rsidP="00D3240A">
            <w:pPr>
              <w:tabs>
                <w:tab w:val="decimal" w:pos="72"/>
              </w:tabs>
            </w:pPr>
            <w:r>
              <w:t>.15</w:t>
            </w:r>
          </w:p>
        </w:tc>
        <w:tc>
          <w:tcPr>
            <w:tcW w:w="765" w:type="dxa"/>
            <w:vAlign w:val="center"/>
          </w:tcPr>
          <w:p w:rsidR="00D9231F" w:rsidRPr="001D7F2C" w:rsidRDefault="00D9231F" w:rsidP="00B10D3A">
            <w:pPr>
              <w:tabs>
                <w:tab w:val="decimal" w:pos="156"/>
              </w:tabs>
            </w:pPr>
            <w:r>
              <w:t>.77</w:t>
            </w:r>
          </w:p>
        </w:tc>
        <w:tc>
          <w:tcPr>
            <w:tcW w:w="391" w:type="dxa"/>
          </w:tcPr>
          <w:p w:rsidR="00D9231F" w:rsidRPr="001D7F2C" w:rsidRDefault="00D9231F" w:rsidP="00B10D3A">
            <w:pPr>
              <w:tabs>
                <w:tab w:val="decimal" w:pos="250"/>
              </w:tabs>
            </w:pPr>
          </w:p>
        </w:tc>
        <w:tc>
          <w:tcPr>
            <w:tcW w:w="1229" w:type="dxa"/>
            <w:vAlign w:val="center"/>
          </w:tcPr>
          <w:p w:rsidR="00D9231F" w:rsidRPr="001D7F2C" w:rsidRDefault="00D9231F" w:rsidP="00B10D3A">
            <w:pPr>
              <w:tabs>
                <w:tab w:val="decimal" w:pos="250"/>
              </w:tabs>
            </w:pPr>
            <w:r>
              <w:t>-.37*</w:t>
            </w:r>
          </w:p>
        </w:tc>
        <w:tc>
          <w:tcPr>
            <w:tcW w:w="763" w:type="dxa"/>
            <w:vAlign w:val="center"/>
          </w:tcPr>
          <w:p w:rsidR="00D9231F" w:rsidRPr="001D7F2C" w:rsidRDefault="00D9231F" w:rsidP="00D3240A">
            <w:pPr>
              <w:tabs>
                <w:tab w:val="decimal" w:pos="72"/>
              </w:tabs>
            </w:pPr>
            <w:r>
              <w:t>.16</w:t>
            </w:r>
          </w:p>
        </w:tc>
        <w:tc>
          <w:tcPr>
            <w:tcW w:w="767" w:type="dxa"/>
            <w:vAlign w:val="center"/>
          </w:tcPr>
          <w:p w:rsidR="00D9231F" w:rsidRPr="001D7F2C" w:rsidRDefault="00D9231F" w:rsidP="00D3240A">
            <w:pPr>
              <w:tabs>
                <w:tab w:val="decimal" w:pos="209"/>
              </w:tabs>
            </w:pPr>
            <w:r>
              <w:t>.69</w:t>
            </w:r>
          </w:p>
        </w:tc>
        <w:tc>
          <w:tcPr>
            <w:tcW w:w="389" w:type="dxa"/>
          </w:tcPr>
          <w:p w:rsidR="00D9231F" w:rsidRDefault="00D9231F" w:rsidP="00B10D3A">
            <w:pPr>
              <w:tabs>
                <w:tab w:val="decimal" w:pos="208"/>
              </w:tabs>
            </w:pPr>
          </w:p>
        </w:tc>
        <w:tc>
          <w:tcPr>
            <w:tcW w:w="1211" w:type="dxa"/>
            <w:vAlign w:val="center"/>
          </w:tcPr>
          <w:p w:rsidR="00D9231F" w:rsidRPr="001D7F2C" w:rsidRDefault="00D9231F" w:rsidP="00B10D3A">
            <w:pPr>
              <w:tabs>
                <w:tab w:val="decimal" w:pos="208"/>
              </w:tabs>
            </w:pPr>
            <w:r>
              <w:t>-.37*</w:t>
            </w:r>
          </w:p>
        </w:tc>
        <w:tc>
          <w:tcPr>
            <w:tcW w:w="763" w:type="dxa"/>
            <w:vAlign w:val="center"/>
          </w:tcPr>
          <w:p w:rsidR="00D9231F" w:rsidRPr="001D7F2C" w:rsidRDefault="00D9231F" w:rsidP="004E2D80">
            <w:pPr>
              <w:tabs>
                <w:tab w:val="decimal" w:pos="72"/>
              </w:tabs>
            </w:pPr>
            <w:r>
              <w:t>.16</w:t>
            </w:r>
          </w:p>
        </w:tc>
        <w:tc>
          <w:tcPr>
            <w:tcW w:w="697" w:type="dxa"/>
            <w:vAlign w:val="center"/>
          </w:tcPr>
          <w:p w:rsidR="00D9231F" w:rsidRPr="001D7F2C" w:rsidRDefault="00D9231F" w:rsidP="00B10D3A">
            <w:pPr>
              <w:tabs>
                <w:tab w:val="decimal" w:pos="165"/>
              </w:tabs>
            </w:pPr>
            <w:r>
              <w:t>.69</w:t>
            </w:r>
          </w:p>
        </w:tc>
      </w:tr>
      <w:tr w:rsidR="00D9231F" w:rsidRPr="001D7F2C" w:rsidTr="00E40E6B">
        <w:tc>
          <w:tcPr>
            <w:tcW w:w="3858" w:type="dxa"/>
          </w:tcPr>
          <w:p w:rsidR="00D9231F" w:rsidRPr="001D7F2C" w:rsidRDefault="00D9231F" w:rsidP="00B10D3A">
            <w:pPr>
              <w:ind w:left="180"/>
            </w:pPr>
            <w:r w:rsidRPr="001D7F2C">
              <w:t>Two biological parents (ref)</w:t>
            </w:r>
          </w:p>
        </w:tc>
        <w:tc>
          <w:tcPr>
            <w:tcW w:w="1200" w:type="dxa"/>
            <w:vAlign w:val="center"/>
          </w:tcPr>
          <w:p w:rsidR="00D9231F" w:rsidRPr="001D7F2C" w:rsidRDefault="00D9231F" w:rsidP="00B10D3A">
            <w:pPr>
              <w:tabs>
                <w:tab w:val="decimal" w:pos="192"/>
              </w:tabs>
            </w:pPr>
          </w:p>
        </w:tc>
        <w:tc>
          <w:tcPr>
            <w:tcW w:w="765" w:type="dxa"/>
            <w:vAlign w:val="center"/>
          </w:tcPr>
          <w:p w:rsidR="00D9231F" w:rsidRPr="001D7F2C" w:rsidRDefault="00D9231F" w:rsidP="00D3240A">
            <w:pPr>
              <w:tabs>
                <w:tab w:val="decimal" w:pos="72"/>
              </w:tabs>
            </w:pPr>
          </w:p>
        </w:tc>
        <w:tc>
          <w:tcPr>
            <w:tcW w:w="765" w:type="dxa"/>
            <w:vAlign w:val="center"/>
          </w:tcPr>
          <w:p w:rsidR="00D9231F" w:rsidRPr="001D7F2C" w:rsidRDefault="00D9231F" w:rsidP="00B10D3A">
            <w:pPr>
              <w:tabs>
                <w:tab w:val="decimal" w:pos="156"/>
              </w:tabs>
            </w:pPr>
          </w:p>
        </w:tc>
        <w:tc>
          <w:tcPr>
            <w:tcW w:w="391" w:type="dxa"/>
          </w:tcPr>
          <w:p w:rsidR="00D9231F" w:rsidRPr="001D7F2C" w:rsidRDefault="00D9231F" w:rsidP="00B10D3A">
            <w:pPr>
              <w:tabs>
                <w:tab w:val="decimal" w:pos="250"/>
              </w:tabs>
            </w:pPr>
          </w:p>
        </w:tc>
        <w:tc>
          <w:tcPr>
            <w:tcW w:w="1229" w:type="dxa"/>
            <w:vAlign w:val="center"/>
          </w:tcPr>
          <w:p w:rsidR="00D9231F" w:rsidRPr="001D7F2C" w:rsidRDefault="00D9231F" w:rsidP="00B10D3A">
            <w:pPr>
              <w:tabs>
                <w:tab w:val="decimal" w:pos="250"/>
              </w:tabs>
            </w:pPr>
          </w:p>
        </w:tc>
        <w:tc>
          <w:tcPr>
            <w:tcW w:w="763" w:type="dxa"/>
            <w:vAlign w:val="center"/>
          </w:tcPr>
          <w:p w:rsidR="00D9231F" w:rsidRPr="001D7F2C" w:rsidRDefault="00D9231F" w:rsidP="00D3240A">
            <w:pPr>
              <w:tabs>
                <w:tab w:val="decimal" w:pos="72"/>
              </w:tabs>
            </w:pPr>
          </w:p>
        </w:tc>
        <w:tc>
          <w:tcPr>
            <w:tcW w:w="767" w:type="dxa"/>
            <w:vAlign w:val="center"/>
          </w:tcPr>
          <w:p w:rsidR="00D9231F" w:rsidRPr="001D7F2C" w:rsidRDefault="00D9231F" w:rsidP="00D3240A">
            <w:pPr>
              <w:tabs>
                <w:tab w:val="decimal" w:pos="209"/>
              </w:tabs>
            </w:pPr>
          </w:p>
        </w:tc>
        <w:tc>
          <w:tcPr>
            <w:tcW w:w="389" w:type="dxa"/>
          </w:tcPr>
          <w:p w:rsidR="00D9231F" w:rsidRPr="001D7F2C" w:rsidRDefault="00D9231F" w:rsidP="00B10D3A">
            <w:pPr>
              <w:tabs>
                <w:tab w:val="decimal" w:pos="208"/>
              </w:tabs>
            </w:pPr>
          </w:p>
        </w:tc>
        <w:tc>
          <w:tcPr>
            <w:tcW w:w="1211" w:type="dxa"/>
            <w:vAlign w:val="center"/>
          </w:tcPr>
          <w:p w:rsidR="00D9231F" w:rsidRPr="001D7F2C" w:rsidRDefault="00D9231F" w:rsidP="00B10D3A">
            <w:pPr>
              <w:tabs>
                <w:tab w:val="decimal" w:pos="208"/>
              </w:tabs>
            </w:pPr>
          </w:p>
        </w:tc>
        <w:tc>
          <w:tcPr>
            <w:tcW w:w="763" w:type="dxa"/>
            <w:vAlign w:val="center"/>
          </w:tcPr>
          <w:p w:rsidR="00D9231F" w:rsidRPr="001D7F2C" w:rsidRDefault="00D9231F" w:rsidP="004E2D80">
            <w:pPr>
              <w:tabs>
                <w:tab w:val="decimal" w:pos="72"/>
              </w:tabs>
            </w:pPr>
          </w:p>
        </w:tc>
        <w:tc>
          <w:tcPr>
            <w:tcW w:w="697" w:type="dxa"/>
            <w:vAlign w:val="center"/>
          </w:tcPr>
          <w:p w:rsidR="00D9231F" w:rsidRPr="001D7F2C" w:rsidRDefault="00D9231F" w:rsidP="00B10D3A">
            <w:pPr>
              <w:tabs>
                <w:tab w:val="decimal" w:pos="165"/>
              </w:tabs>
            </w:pPr>
          </w:p>
        </w:tc>
      </w:tr>
      <w:tr w:rsidR="00D3240A" w:rsidRPr="001D7F2C" w:rsidTr="00E40E6B">
        <w:tc>
          <w:tcPr>
            <w:tcW w:w="3858" w:type="dxa"/>
          </w:tcPr>
          <w:p w:rsidR="00D3240A" w:rsidRPr="001D7F2C" w:rsidRDefault="00D3240A" w:rsidP="00B10D3A">
            <w:r w:rsidRPr="001D7F2C">
              <w:t>Child &amp; family characteristics</w:t>
            </w:r>
          </w:p>
        </w:tc>
        <w:tc>
          <w:tcPr>
            <w:tcW w:w="1200" w:type="dxa"/>
            <w:vAlign w:val="center"/>
          </w:tcPr>
          <w:p w:rsidR="00D3240A" w:rsidRPr="001D7F2C" w:rsidRDefault="00D3240A" w:rsidP="00B10D3A">
            <w:pPr>
              <w:tabs>
                <w:tab w:val="decimal" w:pos="156"/>
                <w:tab w:val="decimal" w:pos="192"/>
                <w:tab w:val="decimal" w:pos="278"/>
              </w:tabs>
            </w:pPr>
          </w:p>
        </w:tc>
        <w:tc>
          <w:tcPr>
            <w:tcW w:w="765" w:type="dxa"/>
            <w:vAlign w:val="center"/>
          </w:tcPr>
          <w:p w:rsidR="00D3240A" w:rsidRPr="001D7F2C" w:rsidRDefault="00D3240A" w:rsidP="00D3240A">
            <w:pPr>
              <w:tabs>
                <w:tab w:val="decimal" w:pos="72"/>
                <w:tab w:val="decimal" w:pos="192"/>
              </w:tabs>
            </w:pPr>
          </w:p>
        </w:tc>
        <w:tc>
          <w:tcPr>
            <w:tcW w:w="765" w:type="dxa"/>
            <w:vAlign w:val="center"/>
          </w:tcPr>
          <w:p w:rsidR="00D3240A" w:rsidRPr="001D7F2C" w:rsidRDefault="00D3240A" w:rsidP="00B10D3A">
            <w:pPr>
              <w:tabs>
                <w:tab w:val="decimal" w:pos="156"/>
                <w:tab w:val="decimal" w:pos="192"/>
                <w:tab w:val="decimal" w:pos="278"/>
              </w:tabs>
            </w:pPr>
          </w:p>
        </w:tc>
        <w:tc>
          <w:tcPr>
            <w:tcW w:w="391" w:type="dxa"/>
          </w:tcPr>
          <w:p w:rsidR="00D3240A" w:rsidRPr="001D7F2C" w:rsidRDefault="00D3240A" w:rsidP="00B10D3A">
            <w:pPr>
              <w:tabs>
                <w:tab w:val="decimal" w:pos="250"/>
              </w:tabs>
            </w:pPr>
          </w:p>
        </w:tc>
        <w:tc>
          <w:tcPr>
            <w:tcW w:w="1229" w:type="dxa"/>
            <w:vAlign w:val="center"/>
          </w:tcPr>
          <w:p w:rsidR="00D3240A" w:rsidRPr="001D7F2C" w:rsidRDefault="00D3240A" w:rsidP="00B10D3A">
            <w:pPr>
              <w:tabs>
                <w:tab w:val="decimal" w:pos="250"/>
              </w:tabs>
            </w:pPr>
          </w:p>
        </w:tc>
        <w:tc>
          <w:tcPr>
            <w:tcW w:w="763" w:type="dxa"/>
            <w:vAlign w:val="center"/>
          </w:tcPr>
          <w:p w:rsidR="00D3240A" w:rsidRPr="001D7F2C" w:rsidRDefault="00D3240A" w:rsidP="00D3240A">
            <w:pPr>
              <w:tabs>
                <w:tab w:val="decimal" w:pos="72"/>
              </w:tabs>
            </w:pPr>
          </w:p>
        </w:tc>
        <w:tc>
          <w:tcPr>
            <w:tcW w:w="767" w:type="dxa"/>
            <w:vAlign w:val="center"/>
          </w:tcPr>
          <w:p w:rsidR="00D3240A" w:rsidRPr="001D7F2C" w:rsidRDefault="00D3240A" w:rsidP="00D3240A">
            <w:pPr>
              <w:tabs>
                <w:tab w:val="decimal" w:pos="209"/>
              </w:tabs>
            </w:pPr>
          </w:p>
        </w:tc>
        <w:tc>
          <w:tcPr>
            <w:tcW w:w="389" w:type="dxa"/>
          </w:tcPr>
          <w:p w:rsidR="00D3240A" w:rsidRPr="001D7F2C" w:rsidRDefault="00D3240A" w:rsidP="00B10D3A">
            <w:pPr>
              <w:tabs>
                <w:tab w:val="decimal" w:pos="165"/>
                <w:tab w:val="decimal" w:pos="208"/>
                <w:tab w:val="decimal" w:pos="249"/>
              </w:tabs>
            </w:pPr>
          </w:p>
        </w:tc>
        <w:tc>
          <w:tcPr>
            <w:tcW w:w="1211" w:type="dxa"/>
            <w:vAlign w:val="center"/>
          </w:tcPr>
          <w:p w:rsidR="00D3240A" w:rsidRPr="001D7F2C" w:rsidRDefault="00D3240A" w:rsidP="00B10D3A">
            <w:pPr>
              <w:tabs>
                <w:tab w:val="decimal" w:pos="165"/>
                <w:tab w:val="decimal" w:pos="208"/>
                <w:tab w:val="decimal" w:pos="249"/>
              </w:tabs>
            </w:pPr>
          </w:p>
        </w:tc>
        <w:tc>
          <w:tcPr>
            <w:tcW w:w="763" w:type="dxa"/>
            <w:vAlign w:val="center"/>
          </w:tcPr>
          <w:p w:rsidR="00D3240A" w:rsidRPr="001D7F2C" w:rsidRDefault="00D3240A" w:rsidP="004E2D80">
            <w:pPr>
              <w:tabs>
                <w:tab w:val="decimal" w:pos="72"/>
                <w:tab w:val="decimal" w:pos="208"/>
              </w:tabs>
            </w:pPr>
          </w:p>
        </w:tc>
        <w:tc>
          <w:tcPr>
            <w:tcW w:w="697" w:type="dxa"/>
            <w:vAlign w:val="center"/>
          </w:tcPr>
          <w:p w:rsidR="00D3240A" w:rsidRPr="001D7F2C" w:rsidRDefault="00D3240A" w:rsidP="00B10D3A">
            <w:pPr>
              <w:tabs>
                <w:tab w:val="decimal" w:pos="165"/>
                <w:tab w:val="decimal" w:pos="208"/>
                <w:tab w:val="decimal" w:pos="249"/>
              </w:tabs>
            </w:pPr>
          </w:p>
        </w:tc>
      </w:tr>
      <w:tr w:rsidR="00D9231F" w:rsidRPr="001D7F2C" w:rsidTr="00E40E6B">
        <w:tc>
          <w:tcPr>
            <w:tcW w:w="3858" w:type="dxa"/>
          </w:tcPr>
          <w:p w:rsidR="00D9231F" w:rsidRPr="001D7F2C" w:rsidRDefault="00D9231F" w:rsidP="00B10D3A">
            <w:pPr>
              <w:ind w:left="180"/>
            </w:pPr>
            <w:r w:rsidRPr="001D7F2C">
              <w:t>Female (ref = male)</w:t>
            </w:r>
          </w:p>
        </w:tc>
        <w:tc>
          <w:tcPr>
            <w:tcW w:w="1200" w:type="dxa"/>
            <w:vAlign w:val="center"/>
          </w:tcPr>
          <w:p w:rsidR="00D9231F" w:rsidRPr="001D7F2C" w:rsidRDefault="00D9231F" w:rsidP="00B10D3A">
            <w:pPr>
              <w:tabs>
                <w:tab w:val="decimal" w:pos="192"/>
              </w:tabs>
            </w:pPr>
            <w:r>
              <w:t>.43***</w:t>
            </w:r>
          </w:p>
        </w:tc>
        <w:tc>
          <w:tcPr>
            <w:tcW w:w="765" w:type="dxa"/>
            <w:vAlign w:val="center"/>
          </w:tcPr>
          <w:p w:rsidR="00D9231F" w:rsidRPr="001D7F2C" w:rsidRDefault="00D9231F" w:rsidP="00D3240A">
            <w:pPr>
              <w:tabs>
                <w:tab w:val="decimal" w:pos="72"/>
              </w:tabs>
            </w:pPr>
            <w:r>
              <w:t>.08</w:t>
            </w:r>
          </w:p>
        </w:tc>
        <w:tc>
          <w:tcPr>
            <w:tcW w:w="765" w:type="dxa"/>
            <w:vAlign w:val="center"/>
          </w:tcPr>
          <w:p w:rsidR="00D9231F" w:rsidRPr="001D7F2C" w:rsidRDefault="00D9231F" w:rsidP="00B10D3A">
            <w:pPr>
              <w:tabs>
                <w:tab w:val="decimal" w:pos="156"/>
              </w:tabs>
            </w:pPr>
            <w:r>
              <w:t>1.54</w:t>
            </w:r>
          </w:p>
        </w:tc>
        <w:tc>
          <w:tcPr>
            <w:tcW w:w="391" w:type="dxa"/>
          </w:tcPr>
          <w:p w:rsidR="00D9231F" w:rsidRDefault="00D9231F" w:rsidP="00B10D3A">
            <w:pPr>
              <w:tabs>
                <w:tab w:val="decimal" w:pos="250"/>
              </w:tabs>
            </w:pPr>
          </w:p>
        </w:tc>
        <w:tc>
          <w:tcPr>
            <w:tcW w:w="1229" w:type="dxa"/>
            <w:vAlign w:val="center"/>
          </w:tcPr>
          <w:p w:rsidR="00D9231F" w:rsidRPr="001D7F2C" w:rsidRDefault="00D9231F" w:rsidP="00B10D3A">
            <w:pPr>
              <w:tabs>
                <w:tab w:val="decimal" w:pos="250"/>
              </w:tabs>
            </w:pPr>
            <w:r>
              <w:t>.43***</w:t>
            </w:r>
          </w:p>
        </w:tc>
        <w:tc>
          <w:tcPr>
            <w:tcW w:w="763" w:type="dxa"/>
            <w:vAlign w:val="center"/>
          </w:tcPr>
          <w:p w:rsidR="00D9231F" w:rsidRPr="001D7F2C" w:rsidRDefault="00D9231F" w:rsidP="00D3240A">
            <w:pPr>
              <w:tabs>
                <w:tab w:val="decimal" w:pos="72"/>
              </w:tabs>
            </w:pPr>
            <w:r>
              <w:t>.08</w:t>
            </w:r>
          </w:p>
        </w:tc>
        <w:tc>
          <w:tcPr>
            <w:tcW w:w="767" w:type="dxa"/>
            <w:vAlign w:val="center"/>
          </w:tcPr>
          <w:p w:rsidR="00D9231F" w:rsidRPr="001D7F2C" w:rsidRDefault="00D9231F" w:rsidP="00D3240A">
            <w:pPr>
              <w:tabs>
                <w:tab w:val="decimal" w:pos="209"/>
              </w:tabs>
            </w:pPr>
            <w:r>
              <w:t>1.54</w:t>
            </w:r>
          </w:p>
        </w:tc>
        <w:tc>
          <w:tcPr>
            <w:tcW w:w="389" w:type="dxa"/>
          </w:tcPr>
          <w:p w:rsidR="00D9231F" w:rsidRDefault="00D9231F" w:rsidP="00B10D3A">
            <w:pPr>
              <w:tabs>
                <w:tab w:val="decimal" w:pos="208"/>
              </w:tabs>
            </w:pPr>
          </w:p>
        </w:tc>
        <w:tc>
          <w:tcPr>
            <w:tcW w:w="1211" w:type="dxa"/>
            <w:vAlign w:val="center"/>
          </w:tcPr>
          <w:p w:rsidR="00D9231F" w:rsidRPr="001D7F2C" w:rsidRDefault="00D9231F" w:rsidP="00B10D3A">
            <w:pPr>
              <w:tabs>
                <w:tab w:val="decimal" w:pos="208"/>
              </w:tabs>
            </w:pPr>
            <w:r>
              <w:t>.43***</w:t>
            </w:r>
          </w:p>
        </w:tc>
        <w:tc>
          <w:tcPr>
            <w:tcW w:w="763" w:type="dxa"/>
            <w:vAlign w:val="center"/>
          </w:tcPr>
          <w:p w:rsidR="00D9231F" w:rsidRPr="001D7F2C" w:rsidRDefault="00D9231F" w:rsidP="004E2D80">
            <w:pPr>
              <w:tabs>
                <w:tab w:val="decimal" w:pos="72"/>
              </w:tabs>
            </w:pPr>
            <w:r>
              <w:t>.08</w:t>
            </w:r>
          </w:p>
        </w:tc>
        <w:tc>
          <w:tcPr>
            <w:tcW w:w="697" w:type="dxa"/>
            <w:vAlign w:val="center"/>
          </w:tcPr>
          <w:p w:rsidR="00D9231F" w:rsidRPr="001D7F2C" w:rsidRDefault="00D9231F" w:rsidP="00B10D3A">
            <w:pPr>
              <w:tabs>
                <w:tab w:val="decimal" w:pos="165"/>
              </w:tabs>
            </w:pPr>
            <w:r>
              <w:t>1.54</w:t>
            </w:r>
          </w:p>
        </w:tc>
      </w:tr>
      <w:tr w:rsidR="00D9231F" w:rsidRPr="001D7F2C" w:rsidTr="00E40E6B">
        <w:tc>
          <w:tcPr>
            <w:tcW w:w="3858" w:type="dxa"/>
          </w:tcPr>
          <w:p w:rsidR="00D9231F" w:rsidRPr="001D7F2C" w:rsidRDefault="00D9231F" w:rsidP="00B10D3A">
            <w:pPr>
              <w:ind w:left="180"/>
            </w:pPr>
            <w:r w:rsidRPr="001D7F2C">
              <w:t xml:space="preserve">Age </w:t>
            </w:r>
            <w:r>
              <w:t>(time-varying)</w:t>
            </w:r>
          </w:p>
        </w:tc>
        <w:tc>
          <w:tcPr>
            <w:tcW w:w="1200" w:type="dxa"/>
            <w:vAlign w:val="center"/>
          </w:tcPr>
          <w:p w:rsidR="00D9231F" w:rsidRPr="001D7F2C" w:rsidRDefault="00D9231F" w:rsidP="00B10D3A">
            <w:pPr>
              <w:tabs>
                <w:tab w:val="decimal" w:pos="192"/>
              </w:tabs>
            </w:pPr>
            <w:r>
              <w:t>.54***</w:t>
            </w:r>
          </w:p>
        </w:tc>
        <w:tc>
          <w:tcPr>
            <w:tcW w:w="765" w:type="dxa"/>
            <w:vAlign w:val="center"/>
          </w:tcPr>
          <w:p w:rsidR="00D9231F" w:rsidRPr="001D7F2C" w:rsidRDefault="00D9231F" w:rsidP="00D3240A">
            <w:pPr>
              <w:tabs>
                <w:tab w:val="decimal" w:pos="72"/>
              </w:tabs>
            </w:pPr>
            <w:r>
              <w:t>.02</w:t>
            </w:r>
          </w:p>
        </w:tc>
        <w:tc>
          <w:tcPr>
            <w:tcW w:w="765" w:type="dxa"/>
            <w:vAlign w:val="center"/>
          </w:tcPr>
          <w:p w:rsidR="00D9231F" w:rsidRPr="001D7F2C" w:rsidRDefault="00D9231F" w:rsidP="00B10D3A">
            <w:pPr>
              <w:tabs>
                <w:tab w:val="decimal" w:pos="156"/>
              </w:tabs>
            </w:pPr>
            <w:r>
              <w:t>1.72</w:t>
            </w:r>
          </w:p>
        </w:tc>
        <w:tc>
          <w:tcPr>
            <w:tcW w:w="391" w:type="dxa"/>
          </w:tcPr>
          <w:p w:rsidR="00D9231F" w:rsidRDefault="00D9231F" w:rsidP="00B10D3A">
            <w:pPr>
              <w:tabs>
                <w:tab w:val="decimal" w:pos="250"/>
              </w:tabs>
            </w:pPr>
          </w:p>
        </w:tc>
        <w:tc>
          <w:tcPr>
            <w:tcW w:w="1229" w:type="dxa"/>
            <w:vAlign w:val="center"/>
          </w:tcPr>
          <w:p w:rsidR="00D9231F" w:rsidRPr="001D7F2C" w:rsidRDefault="00D9231F" w:rsidP="00B10D3A">
            <w:pPr>
              <w:tabs>
                <w:tab w:val="decimal" w:pos="250"/>
              </w:tabs>
            </w:pPr>
            <w:r>
              <w:t>.54***</w:t>
            </w:r>
          </w:p>
        </w:tc>
        <w:tc>
          <w:tcPr>
            <w:tcW w:w="763" w:type="dxa"/>
            <w:vAlign w:val="center"/>
          </w:tcPr>
          <w:p w:rsidR="00D9231F" w:rsidRPr="001D7F2C" w:rsidRDefault="00D9231F" w:rsidP="00D3240A">
            <w:pPr>
              <w:tabs>
                <w:tab w:val="decimal" w:pos="72"/>
              </w:tabs>
            </w:pPr>
            <w:r>
              <w:t>.02</w:t>
            </w:r>
          </w:p>
        </w:tc>
        <w:tc>
          <w:tcPr>
            <w:tcW w:w="767" w:type="dxa"/>
            <w:vAlign w:val="center"/>
          </w:tcPr>
          <w:p w:rsidR="00D9231F" w:rsidRPr="001D7F2C" w:rsidRDefault="00D9231F" w:rsidP="00D3240A">
            <w:pPr>
              <w:tabs>
                <w:tab w:val="decimal" w:pos="209"/>
              </w:tabs>
            </w:pPr>
            <w:r>
              <w:t>1.71</w:t>
            </w:r>
          </w:p>
        </w:tc>
        <w:tc>
          <w:tcPr>
            <w:tcW w:w="389" w:type="dxa"/>
          </w:tcPr>
          <w:p w:rsidR="00D9231F" w:rsidRDefault="00D9231F" w:rsidP="00B10D3A">
            <w:pPr>
              <w:tabs>
                <w:tab w:val="decimal" w:pos="208"/>
              </w:tabs>
            </w:pPr>
          </w:p>
        </w:tc>
        <w:tc>
          <w:tcPr>
            <w:tcW w:w="1211" w:type="dxa"/>
            <w:vAlign w:val="center"/>
          </w:tcPr>
          <w:p w:rsidR="00D9231F" w:rsidRPr="001D7F2C" w:rsidRDefault="00D9231F" w:rsidP="00B10D3A">
            <w:pPr>
              <w:tabs>
                <w:tab w:val="decimal" w:pos="208"/>
              </w:tabs>
            </w:pPr>
            <w:r>
              <w:t>.54***</w:t>
            </w:r>
          </w:p>
        </w:tc>
        <w:tc>
          <w:tcPr>
            <w:tcW w:w="763" w:type="dxa"/>
            <w:vAlign w:val="center"/>
          </w:tcPr>
          <w:p w:rsidR="00D9231F" w:rsidRPr="001D7F2C" w:rsidRDefault="00D9231F" w:rsidP="004E2D80">
            <w:pPr>
              <w:tabs>
                <w:tab w:val="decimal" w:pos="72"/>
              </w:tabs>
            </w:pPr>
            <w:r>
              <w:t>.02</w:t>
            </w:r>
          </w:p>
        </w:tc>
        <w:tc>
          <w:tcPr>
            <w:tcW w:w="697" w:type="dxa"/>
            <w:vAlign w:val="center"/>
          </w:tcPr>
          <w:p w:rsidR="00D9231F" w:rsidRPr="001D7F2C" w:rsidRDefault="00D9231F" w:rsidP="00B10D3A">
            <w:pPr>
              <w:tabs>
                <w:tab w:val="decimal" w:pos="165"/>
              </w:tabs>
            </w:pPr>
            <w:r>
              <w:t>1.71</w:t>
            </w:r>
          </w:p>
        </w:tc>
      </w:tr>
      <w:tr w:rsidR="00D9231F" w:rsidRPr="001D7F2C" w:rsidTr="00E40E6B">
        <w:tc>
          <w:tcPr>
            <w:tcW w:w="3858" w:type="dxa"/>
          </w:tcPr>
          <w:p w:rsidR="00D9231F" w:rsidRPr="001D7F2C" w:rsidRDefault="00D9231F" w:rsidP="00B10D3A">
            <w:pPr>
              <w:ind w:left="180"/>
            </w:pPr>
            <w:r w:rsidRPr="001D7F2C">
              <w:t>Non-Dutch ethnicity</w:t>
            </w:r>
          </w:p>
        </w:tc>
        <w:tc>
          <w:tcPr>
            <w:tcW w:w="1200" w:type="dxa"/>
            <w:vAlign w:val="center"/>
          </w:tcPr>
          <w:p w:rsidR="00D9231F" w:rsidRPr="001D7F2C" w:rsidRDefault="00D9231F" w:rsidP="00B10D3A">
            <w:pPr>
              <w:tabs>
                <w:tab w:val="decimal" w:pos="192"/>
              </w:tabs>
            </w:pPr>
            <w:r>
              <w:t>.09</w:t>
            </w:r>
          </w:p>
        </w:tc>
        <w:tc>
          <w:tcPr>
            <w:tcW w:w="765" w:type="dxa"/>
            <w:vAlign w:val="center"/>
          </w:tcPr>
          <w:p w:rsidR="00D9231F" w:rsidRPr="001D7F2C" w:rsidRDefault="00D9231F" w:rsidP="00D3240A">
            <w:pPr>
              <w:tabs>
                <w:tab w:val="decimal" w:pos="72"/>
              </w:tabs>
            </w:pPr>
            <w:r>
              <w:t>.12</w:t>
            </w:r>
          </w:p>
        </w:tc>
        <w:tc>
          <w:tcPr>
            <w:tcW w:w="765" w:type="dxa"/>
            <w:vAlign w:val="center"/>
          </w:tcPr>
          <w:p w:rsidR="00D9231F" w:rsidRPr="001D7F2C" w:rsidRDefault="00D9231F" w:rsidP="00B10D3A">
            <w:pPr>
              <w:tabs>
                <w:tab w:val="decimal" w:pos="156"/>
              </w:tabs>
            </w:pPr>
            <w:r>
              <w:t>1.09</w:t>
            </w:r>
          </w:p>
        </w:tc>
        <w:tc>
          <w:tcPr>
            <w:tcW w:w="391" w:type="dxa"/>
          </w:tcPr>
          <w:p w:rsidR="00D9231F" w:rsidRPr="001D7F2C" w:rsidRDefault="00D9231F" w:rsidP="00B10D3A">
            <w:pPr>
              <w:tabs>
                <w:tab w:val="decimal" w:pos="250"/>
              </w:tabs>
            </w:pPr>
          </w:p>
        </w:tc>
        <w:tc>
          <w:tcPr>
            <w:tcW w:w="1229" w:type="dxa"/>
            <w:vAlign w:val="center"/>
          </w:tcPr>
          <w:p w:rsidR="00D9231F" w:rsidRPr="001D7F2C" w:rsidRDefault="00D9231F" w:rsidP="00B10D3A">
            <w:pPr>
              <w:tabs>
                <w:tab w:val="decimal" w:pos="250"/>
              </w:tabs>
            </w:pPr>
            <w:r>
              <w:t>.10</w:t>
            </w:r>
          </w:p>
        </w:tc>
        <w:tc>
          <w:tcPr>
            <w:tcW w:w="763" w:type="dxa"/>
            <w:vAlign w:val="center"/>
          </w:tcPr>
          <w:p w:rsidR="00D9231F" w:rsidRPr="001D7F2C" w:rsidRDefault="00D9231F" w:rsidP="00D3240A">
            <w:pPr>
              <w:tabs>
                <w:tab w:val="decimal" w:pos="72"/>
              </w:tabs>
            </w:pPr>
            <w:r>
              <w:t>.12</w:t>
            </w:r>
          </w:p>
        </w:tc>
        <w:tc>
          <w:tcPr>
            <w:tcW w:w="767" w:type="dxa"/>
            <w:vAlign w:val="center"/>
          </w:tcPr>
          <w:p w:rsidR="00D9231F" w:rsidRPr="001D7F2C" w:rsidRDefault="00D9231F" w:rsidP="00D3240A">
            <w:pPr>
              <w:tabs>
                <w:tab w:val="decimal" w:pos="209"/>
              </w:tabs>
            </w:pPr>
            <w:r>
              <w:t>1.10</w:t>
            </w:r>
          </w:p>
        </w:tc>
        <w:tc>
          <w:tcPr>
            <w:tcW w:w="389" w:type="dxa"/>
          </w:tcPr>
          <w:p w:rsidR="00D9231F" w:rsidRDefault="00D9231F" w:rsidP="00B10D3A">
            <w:pPr>
              <w:tabs>
                <w:tab w:val="decimal" w:pos="208"/>
              </w:tabs>
            </w:pPr>
          </w:p>
        </w:tc>
        <w:tc>
          <w:tcPr>
            <w:tcW w:w="1211" w:type="dxa"/>
            <w:vAlign w:val="center"/>
          </w:tcPr>
          <w:p w:rsidR="00D9231F" w:rsidRPr="001D7F2C" w:rsidRDefault="00D9231F" w:rsidP="00B10D3A">
            <w:pPr>
              <w:tabs>
                <w:tab w:val="decimal" w:pos="208"/>
              </w:tabs>
            </w:pPr>
            <w:r>
              <w:t>.10</w:t>
            </w:r>
          </w:p>
        </w:tc>
        <w:tc>
          <w:tcPr>
            <w:tcW w:w="763" w:type="dxa"/>
            <w:vAlign w:val="center"/>
          </w:tcPr>
          <w:p w:rsidR="00D9231F" w:rsidRPr="001D7F2C" w:rsidRDefault="00D9231F" w:rsidP="004E2D80">
            <w:pPr>
              <w:tabs>
                <w:tab w:val="decimal" w:pos="72"/>
              </w:tabs>
            </w:pPr>
            <w:r>
              <w:t>.12</w:t>
            </w:r>
          </w:p>
        </w:tc>
        <w:tc>
          <w:tcPr>
            <w:tcW w:w="697" w:type="dxa"/>
            <w:vAlign w:val="center"/>
          </w:tcPr>
          <w:p w:rsidR="00D9231F" w:rsidRPr="001D7F2C" w:rsidRDefault="00D9231F" w:rsidP="00B10D3A">
            <w:pPr>
              <w:tabs>
                <w:tab w:val="decimal" w:pos="165"/>
              </w:tabs>
            </w:pPr>
            <w:r>
              <w:t>1.10</w:t>
            </w:r>
          </w:p>
        </w:tc>
      </w:tr>
      <w:tr w:rsidR="00D9231F" w:rsidRPr="001D7F2C" w:rsidTr="00E40E6B">
        <w:tc>
          <w:tcPr>
            <w:tcW w:w="3858" w:type="dxa"/>
          </w:tcPr>
          <w:p w:rsidR="00D9231F" w:rsidRPr="001D7F2C" w:rsidRDefault="00D9231F" w:rsidP="00790045">
            <w:pPr>
              <w:ind w:left="180"/>
            </w:pPr>
            <w:r>
              <w:t>Father middle &amp;</w:t>
            </w:r>
            <w:r w:rsidRPr="001D7F2C">
              <w:t xml:space="preserve"> high ed (</w:t>
            </w:r>
            <w:r w:rsidR="00790045">
              <w:t>vs.</w:t>
            </w:r>
            <w:r w:rsidRPr="001D7F2C">
              <w:t xml:space="preserve"> low)</w:t>
            </w:r>
          </w:p>
        </w:tc>
        <w:tc>
          <w:tcPr>
            <w:tcW w:w="1200" w:type="dxa"/>
            <w:vAlign w:val="center"/>
          </w:tcPr>
          <w:p w:rsidR="00D9231F" w:rsidRPr="001D7F2C" w:rsidRDefault="00D9231F" w:rsidP="00B10D3A">
            <w:pPr>
              <w:tabs>
                <w:tab w:val="decimal" w:pos="192"/>
              </w:tabs>
            </w:pPr>
            <w:r>
              <w:t>-.17</w:t>
            </w:r>
            <w:r w:rsidRPr="0010002F">
              <w:rPr>
                <w:vertAlign w:val="superscript"/>
              </w:rPr>
              <w:t>†</w:t>
            </w:r>
          </w:p>
        </w:tc>
        <w:tc>
          <w:tcPr>
            <w:tcW w:w="765" w:type="dxa"/>
            <w:vAlign w:val="center"/>
          </w:tcPr>
          <w:p w:rsidR="00D9231F" w:rsidRPr="001D7F2C" w:rsidRDefault="00D9231F" w:rsidP="00D3240A">
            <w:pPr>
              <w:tabs>
                <w:tab w:val="decimal" w:pos="72"/>
              </w:tabs>
            </w:pPr>
            <w:r>
              <w:t>.09</w:t>
            </w:r>
          </w:p>
        </w:tc>
        <w:tc>
          <w:tcPr>
            <w:tcW w:w="765" w:type="dxa"/>
            <w:vAlign w:val="center"/>
          </w:tcPr>
          <w:p w:rsidR="00D9231F" w:rsidRPr="001D7F2C" w:rsidRDefault="00D9231F" w:rsidP="00B10D3A">
            <w:pPr>
              <w:tabs>
                <w:tab w:val="decimal" w:pos="156"/>
              </w:tabs>
            </w:pPr>
            <w:r>
              <w:t>.85</w:t>
            </w:r>
          </w:p>
        </w:tc>
        <w:tc>
          <w:tcPr>
            <w:tcW w:w="391" w:type="dxa"/>
          </w:tcPr>
          <w:p w:rsidR="00D9231F" w:rsidRPr="001D7F2C" w:rsidRDefault="00D9231F" w:rsidP="00B10D3A">
            <w:pPr>
              <w:tabs>
                <w:tab w:val="decimal" w:pos="250"/>
              </w:tabs>
            </w:pPr>
          </w:p>
        </w:tc>
        <w:tc>
          <w:tcPr>
            <w:tcW w:w="1229" w:type="dxa"/>
            <w:vAlign w:val="center"/>
          </w:tcPr>
          <w:p w:rsidR="00D9231F" w:rsidRPr="001D7F2C" w:rsidRDefault="00D9231F" w:rsidP="00B10D3A">
            <w:pPr>
              <w:tabs>
                <w:tab w:val="decimal" w:pos="250"/>
              </w:tabs>
            </w:pPr>
            <w:r>
              <w:t>-.17</w:t>
            </w:r>
            <w:r w:rsidRPr="0010002F">
              <w:rPr>
                <w:vertAlign w:val="superscript"/>
              </w:rPr>
              <w:t>†</w:t>
            </w:r>
          </w:p>
        </w:tc>
        <w:tc>
          <w:tcPr>
            <w:tcW w:w="763" w:type="dxa"/>
            <w:vAlign w:val="center"/>
          </w:tcPr>
          <w:p w:rsidR="00D9231F" w:rsidRPr="001D7F2C" w:rsidRDefault="00D9231F" w:rsidP="00D3240A">
            <w:pPr>
              <w:tabs>
                <w:tab w:val="decimal" w:pos="72"/>
              </w:tabs>
            </w:pPr>
            <w:r>
              <w:t>.09</w:t>
            </w:r>
          </w:p>
        </w:tc>
        <w:tc>
          <w:tcPr>
            <w:tcW w:w="767" w:type="dxa"/>
            <w:vAlign w:val="center"/>
          </w:tcPr>
          <w:p w:rsidR="00D9231F" w:rsidRPr="001D7F2C" w:rsidRDefault="00D9231F" w:rsidP="00D3240A">
            <w:pPr>
              <w:tabs>
                <w:tab w:val="decimal" w:pos="209"/>
              </w:tabs>
            </w:pPr>
            <w:r>
              <w:t>.84</w:t>
            </w:r>
          </w:p>
        </w:tc>
        <w:tc>
          <w:tcPr>
            <w:tcW w:w="389" w:type="dxa"/>
          </w:tcPr>
          <w:p w:rsidR="00D9231F" w:rsidRDefault="00D9231F" w:rsidP="00B10D3A">
            <w:pPr>
              <w:tabs>
                <w:tab w:val="decimal" w:pos="208"/>
              </w:tabs>
            </w:pPr>
          </w:p>
        </w:tc>
        <w:tc>
          <w:tcPr>
            <w:tcW w:w="1211" w:type="dxa"/>
            <w:vAlign w:val="center"/>
          </w:tcPr>
          <w:p w:rsidR="00D9231F" w:rsidRPr="001D7F2C" w:rsidRDefault="00D9231F" w:rsidP="00B10D3A">
            <w:pPr>
              <w:tabs>
                <w:tab w:val="decimal" w:pos="208"/>
              </w:tabs>
            </w:pPr>
            <w:r>
              <w:t>-.17</w:t>
            </w:r>
            <w:r w:rsidRPr="0010002F">
              <w:rPr>
                <w:vertAlign w:val="superscript"/>
              </w:rPr>
              <w:t>†</w:t>
            </w:r>
          </w:p>
        </w:tc>
        <w:tc>
          <w:tcPr>
            <w:tcW w:w="763" w:type="dxa"/>
            <w:vAlign w:val="center"/>
          </w:tcPr>
          <w:p w:rsidR="00D9231F" w:rsidRPr="001D7F2C" w:rsidRDefault="00D9231F" w:rsidP="004E2D80">
            <w:pPr>
              <w:tabs>
                <w:tab w:val="decimal" w:pos="72"/>
              </w:tabs>
            </w:pPr>
            <w:r>
              <w:t>.09</w:t>
            </w:r>
          </w:p>
        </w:tc>
        <w:tc>
          <w:tcPr>
            <w:tcW w:w="697" w:type="dxa"/>
            <w:vAlign w:val="center"/>
          </w:tcPr>
          <w:p w:rsidR="00D9231F" w:rsidRPr="001D7F2C" w:rsidRDefault="00D9231F" w:rsidP="00B10D3A">
            <w:pPr>
              <w:tabs>
                <w:tab w:val="decimal" w:pos="165"/>
              </w:tabs>
            </w:pPr>
            <w:r>
              <w:t>.84</w:t>
            </w:r>
          </w:p>
        </w:tc>
      </w:tr>
      <w:tr w:rsidR="00D9231F" w:rsidRPr="001D7F2C" w:rsidTr="00E40E6B">
        <w:tc>
          <w:tcPr>
            <w:tcW w:w="3858" w:type="dxa"/>
          </w:tcPr>
          <w:p w:rsidR="00D9231F" w:rsidRPr="001D7F2C" w:rsidRDefault="00D9231F" w:rsidP="00790045">
            <w:pPr>
              <w:ind w:left="180"/>
            </w:pPr>
            <w:r w:rsidRPr="001D7F2C">
              <w:t>Father high ed (</w:t>
            </w:r>
            <w:r w:rsidR="00790045">
              <w:t xml:space="preserve">vs. </w:t>
            </w:r>
            <w:r w:rsidRPr="001D7F2C">
              <w:t>low &amp; middle)</w:t>
            </w:r>
          </w:p>
        </w:tc>
        <w:tc>
          <w:tcPr>
            <w:tcW w:w="1200" w:type="dxa"/>
            <w:vAlign w:val="center"/>
          </w:tcPr>
          <w:p w:rsidR="00D9231F" w:rsidRPr="001D7F2C" w:rsidRDefault="00D9231F" w:rsidP="00B10D3A">
            <w:pPr>
              <w:tabs>
                <w:tab w:val="decimal" w:pos="192"/>
              </w:tabs>
            </w:pPr>
            <w:r>
              <w:t>-.30***</w:t>
            </w:r>
          </w:p>
        </w:tc>
        <w:tc>
          <w:tcPr>
            <w:tcW w:w="765" w:type="dxa"/>
            <w:vAlign w:val="center"/>
          </w:tcPr>
          <w:p w:rsidR="00D9231F" w:rsidRPr="001D7F2C" w:rsidRDefault="00D9231F" w:rsidP="00D3240A">
            <w:pPr>
              <w:tabs>
                <w:tab w:val="decimal" w:pos="72"/>
              </w:tabs>
            </w:pPr>
            <w:r>
              <w:t>.09</w:t>
            </w:r>
          </w:p>
        </w:tc>
        <w:tc>
          <w:tcPr>
            <w:tcW w:w="765" w:type="dxa"/>
            <w:vAlign w:val="center"/>
          </w:tcPr>
          <w:p w:rsidR="00D9231F" w:rsidRPr="001D7F2C" w:rsidRDefault="00D9231F" w:rsidP="00B10D3A">
            <w:pPr>
              <w:tabs>
                <w:tab w:val="decimal" w:pos="156"/>
              </w:tabs>
            </w:pPr>
            <w:r>
              <w:t>.74</w:t>
            </w:r>
          </w:p>
        </w:tc>
        <w:tc>
          <w:tcPr>
            <w:tcW w:w="391" w:type="dxa"/>
          </w:tcPr>
          <w:p w:rsidR="00D9231F" w:rsidRPr="001D7F2C" w:rsidRDefault="00D9231F" w:rsidP="00B10D3A">
            <w:pPr>
              <w:tabs>
                <w:tab w:val="decimal" w:pos="250"/>
              </w:tabs>
            </w:pPr>
          </w:p>
        </w:tc>
        <w:tc>
          <w:tcPr>
            <w:tcW w:w="1229" w:type="dxa"/>
            <w:vAlign w:val="center"/>
          </w:tcPr>
          <w:p w:rsidR="00D9231F" w:rsidRPr="001D7F2C" w:rsidRDefault="00D9231F" w:rsidP="00B10D3A">
            <w:pPr>
              <w:tabs>
                <w:tab w:val="decimal" w:pos="250"/>
              </w:tabs>
            </w:pPr>
            <w:r>
              <w:t>-.29***</w:t>
            </w:r>
          </w:p>
        </w:tc>
        <w:tc>
          <w:tcPr>
            <w:tcW w:w="763" w:type="dxa"/>
            <w:vAlign w:val="center"/>
          </w:tcPr>
          <w:p w:rsidR="00D9231F" w:rsidRPr="001D7F2C" w:rsidRDefault="00D9231F" w:rsidP="00D3240A">
            <w:pPr>
              <w:tabs>
                <w:tab w:val="decimal" w:pos="72"/>
              </w:tabs>
            </w:pPr>
            <w:r>
              <w:t>.09</w:t>
            </w:r>
          </w:p>
        </w:tc>
        <w:tc>
          <w:tcPr>
            <w:tcW w:w="767" w:type="dxa"/>
            <w:vAlign w:val="center"/>
          </w:tcPr>
          <w:p w:rsidR="00D9231F" w:rsidRPr="001D7F2C" w:rsidRDefault="00D9231F" w:rsidP="00D3240A">
            <w:pPr>
              <w:tabs>
                <w:tab w:val="decimal" w:pos="209"/>
              </w:tabs>
            </w:pPr>
            <w:r>
              <w:t>.75</w:t>
            </w:r>
          </w:p>
        </w:tc>
        <w:tc>
          <w:tcPr>
            <w:tcW w:w="389" w:type="dxa"/>
          </w:tcPr>
          <w:p w:rsidR="00D9231F" w:rsidRDefault="00D9231F" w:rsidP="00B10D3A">
            <w:pPr>
              <w:tabs>
                <w:tab w:val="decimal" w:pos="208"/>
              </w:tabs>
            </w:pPr>
          </w:p>
        </w:tc>
        <w:tc>
          <w:tcPr>
            <w:tcW w:w="1211" w:type="dxa"/>
            <w:vAlign w:val="center"/>
          </w:tcPr>
          <w:p w:rsidR="00D9231F" w:rsidRPr="001D7F2C" w:rsidRDefault="00D9231F" w:rsidP="00B10D3A">
            <w:pPr>
              <w:tabs>
                <w:tab w:val="decimal" w:pos="208"/>
              </w:tabs>
            </w:pPr>
            <w:r>
              <w:t>-.29***</w:t>
            </w:r>
          </w:p>
        </w:tc>
        <w:tc>
          <w:tcPr>
            <w:tcW w:w="763" w:type="dxa"/>
            <w:vAlign w:val="center"/>
          </w:tcPr>
          <w:p w:rsidR="00D9231F" w:rsidRPr="001D7F2C" w:rsidRDefault="00D9231F" w:rsidP="004E2D80">
            <w:pPr>
              <w:tabs>
                <w:tab w:val="decimal" w:pos="72"/>
              </w:tabs>
            </w:pPr>
            <w:r>
              <w:t>.09</w:t>
            </w:r>
          </w:p>
        </w:tc>
        <w:tc>
          <w:tcPr>
            <w:tcW w:w="697" w:type="dxa"/>
            <w:vAlign w:val="center"/>
          </w:tcPr>
          <w:p w:rsidR="00D9231F" w:rsidRPr="001D7F2C" w:rsidRDefault="00D9231F" w:rsidP="00B10D3A">
            <w:pPr>
              <w:tabs>
                <w:tab w:val="decimal" w:pos="165"/>
              </w:tabs>
            </w:pPr>
            <w:r>
              <w:t>.75</w:t>
            </w:r>
          </w:p>
        </w:tc>
      </w:tr>
      <w:tr w:rsidR="00D9231F" w:rsidRPr="001D7F2C" w:rsidTr="00E40E6B">
        <w:tc>
          <w:tcPr>
            <w:tcW w:w="3858" w:type="dxa"/>
          </w:tcPr>
          <w:p w:rsidR="00D9231F" w:rsidRPr="001D7F2C" w:rsidRDefault="00D9231F" w:rsidP="00B10D3A">
            <w:pPr>
              <w:ind w:left="180"/>
            </w:pPr>
            <w:r w:rsidRPr="001D7F2C">
              <w:t>Family assessment device</w:t>
            </w:r>
          </w:p>
        </w:tc>
        <w:tc>
          <w:tcPr>
            <w:tcW w:w="1200" w:type="dxa"/>
            <w:vAlign w:val="center"/>
          </w:tcPr>
          <w:p w:rsidR="00D9231F" w:rsidRPr="001D7F2C" w:rsidRDefault="00D9231F" w:rsidP="00B10D3A">
            <w:pPr>
              <w:tabs>
                <w:tab w:val="decimal" w:pos="192"/>
              </w:tabs>
            </w:pPr>
            <w:r>
              <w:t>.00</w:t>
            </w:r>
          </w:p>
        </w:tc>
        <w:tc>
          <w:tcPr>
            <w:tcW w:w="765" w:type="dxa"/>
            <w:vAlign w:val="center"/>
          </w:tcPr>
          <w:p w:rsidR="00D9231F" w:rsidRPr="001D7F2C" w:rsidRDefault="00D9231F" w:rsidP="00D3240A">
            <w:pPr>
              <w:tabs>
                <w:tab w:val="decimal" w:pos="72"/>
              </w:tabs>
            </w:pPr>
            <w:r>
              <w:t>.04</w:t>
            </w:r>
          </w:p>
        </w:tc>
        <w:tc>
          <w:tcPr>
            <w:tcW w:w="765" w:type="dxa"/>
            <w:vAlign w:val="center"/>
          </w:tcPr>
          <w:p w:rsidR="00D9231F" w:rsidRPr="001D7F2C" w:rsidRDefault="00D9231F" w:rsidP="00B10D3A">
            <w:pPr>
              <w:tabs>
                <w:tab w:val="decimal" w:pos="156"/>
              </w:tabs>
            </w:pPr>
            <w:r>
              <w:t>1.00</w:t>
            </w:r>
          </w:p>
        </w:tc>
        <w:tc>
          <w:tcPr>
            <w:tcW w:w="391" w:type="dxa"/>
          </w:tcPr>
          <w:p w:rsidR="00D9231F" w:rsidRPr="001D7F2C" w:rsidRDefault="00D9231F" w:rsidP="00B10D3A">
            <w:pPr>
              <w:tabs>
                <w:tab w:val="decimal" w:pos="250"/>
              </w:tabs>
            </w:pPr>
          </w:p>
        </w:tc>
        <w:tc>
          <w:tcPr>
            <w:tcW w:w="1229" w:type="dxa"/>
            <w:vAlign w:val="center"/>
          </w:tcPr>
          <w:p w:rsidR="00D9231F" w:rsidRPr="001D7F2C" w:rsidRDefault="00D9231F" w:rsidP="00B10D3A">
            <w:pPr>
              <w:tabs>
                <w:tab w:val="decimal" w:pos="250"/>
              </w:tabs>
            </w:pPr>
            <w:r>
              <w:t>.00</w:t>
            </w:r>
          </w:p>
        </w:tc>
        <w:tc>
          <w:tcPr>
            <w:tcW w:w="763" w:type="dxa"/>
            <w:vAlign w:val="center"/>
          </w:tcPr>
          <w:p w:rsidR="00D9231F" w:rsidRPr="001D7F2C" w:rsidRDefault="00D9231F" w:rsidP="00D3240A">
            <w:pPr>
              <w:tabs>
                <w:tab w:val="decimal" w:pos="72"/>
              </w:tabs>
            </w:pPr>
            <w:r>
              <w:t>.04</w:t>
            </w:r>
          </w:p>
        </w:tc>
        <w:tc>
          <w:tcPr>
            <w:tcW w:w="767" w:type="dxa"/>
            <w:vAlign w:val="center"/>
          </w:tcPr>
          <w:p w:rsidR="00D9231F" w:rsidRPr="001D7F2C" w:rsidRDefault="00D9231F" w:rsidP="00D3240A">
            <w:pPr>
              <w:tabs>
                <w:tab w:val="decimal" w:pos="209"/>
              </w:tabs>
            </w:pPr>
            <w:r>
              <w:t>1.00</w:t>
            </w:r>
          </w:p>
        </w:tc>
        <w:tc>
          <w:tcPr>
            <w:tcW w:w="389" w:type="dxa"/>
          </w:tcPr>
          <w:p w:rsidR="00D9231F" w:rsidRDefault="00D9231F" w:rsidP="00B10D3A">
            <w:pPr>
              <w:tabs>
                <w:tab w:val="decimal" w:pos="208"/>
              </w:tabs>
            </w:pPr>
          </w:p>
        </w:tc>
        <w:tc>
          <w:tcPr>
            <w:tcW w:w="1211" w:type="dxa"/>
            <w:vAlign w:val="center"/>
          </w:tcPr>
          <w:p w:rsidR="00D9231F" w:rsidRPr="001D7F2C" w:rsidRDefault="00D9231F" w:rsidP="00B10D3A">
            <w:pPr>
              <w:tabs>
                <w:tab w:val="decimal" w:pos="208"/>
              </w:tabs>
            </w:pPr>
            <w:r>
              <w:t>.00</w:t>
            </w:r>
          </w:p>
        </w:tc>
        <w:tc>
          <w:tcPr>
            <w:tcW w:w="763" w:type="dxa"/>
            <w:vAlign w:val="center"/>
          </w:tcPr>
          <w:p w:rsidR="00D9231F" w:rsidRPr="001D7F2C" w:rsidRDefault="00D9231F" w:rsidP="004E2D80">
            <w:pPr>
              <w:tabs>
                <w:tab w:val="decimal" w:pos="72"/>
              </w:tabs>
            </w:pPr>
            <w:r>
              <w:t>.04</w:t>
            </w:r>
          </w:p>
        </w:tc>
        <w:tc>
          <w:tcPr>
            <w:tcW w:w="697" w:type="dxa"/>
            <w:vAlign w:val="center"/>
          </w:tcPr>
          <w:p w:rsidR="00D9231F" w:rsidRPr="001D7F2C" w:rsidRDefault="00D9231F" w:rsidP="00B10D3A">
            <w:pPr>
              <w:tabs>
                <w:tab w:val="decimal" w:pos="165"/>
              </w:tabs>
            </w:pPr>
            <w:r>
              <w:t>1.00</w:t>
            </w:r>
          </w:p>
        </w:tc>
      </w:tr>
      <w:tr w:rsidR="00D9231F" w:rsidRPr="001D7F2C" w:rsidTr="00E40E6B">
        <w:tc>
          <w:tcPr>
            <w:tcW w:w="3858" w:type="dxa"/>
          </w:tcPr>
          <w:p w:rsidR="00D9231F" w:rsidRPr="001D7F2C" w:rsidRDefault="00D9231F" w:rsidP="00B10D3A">
            <w:r w:rsidRPr="001D7F2C">
              <w:t>Constant</w:t>
            </w:r>
          </w:p>
        </w:tc>
        <w:tc>
          <w:tcPr>
            <w:tcW w:w="1200" w:type="dxa"/>
            <w:vAlign w:val="center"/>
          </w:tcPr>
          <w:p w:rsidR="00D9231F" w:rsidRPr="001D7F2C" w:rsidRDefault="00D9231F" w:rsidP="00B10D3A">
            <w:pPr>
              <w:tabs>
                <w:tab w:val="decimal" w:pos="192"/>
              </w:tabs>
            </w:pPr>
            <w:r>
              <w:t>-11.85***</w:t>
            </w:r>
          </w:p>
        </w:tc>
        <w:tc>
          <w:tcPr>
            <w:tcW w:w="765" w:type="dxa"/>
            <w:vAlign w:val="center"/>
          </w:tcPr>
          <w:p w:rsidR="00D9231F" w:rsidRPr="001D7F2C" w:rsidRDefault="00D9231F" w:rsidP="00D3240A">
            <w:pPr>
              <w:tabs>
                <w:tab w:val="decimal" w:pos="72"/>
              </w:tabs>
            </w:pPr>
            <w:r>
              <w:t>.33</w:t>
            </w:r>
          </w:p>
        </w:tc>
        <w:tc>
          <w:tcPr>
            <w:tcW w:w="765" w:type="dxa"/>
            <w:vAlign w:val="center"/>
          </w:tcPr>
          <w:p w:rsidR="00D9231F" w:rsidRPr="001D7F2C" w:rsidRDefault="00D9231F" w:rsidP="00B10D3A">
            <w:pPr>
              <w:tabs>
                <w:tab w:val="decimal" w:pos="156"/>
              </w:tabs>
            </w:pPr>
          </w:p>
        </w:tc>
        <w:tc>
          <w:tcPr>
            <w:tcW w:w="391" w:type="dxa"/>
          </w:tcPr>
          <w:p w:rsidR="00D9231F" w:rsidRDefault="00D9231F" w:rsidP="00B10D3A">
            <w:pPr>
              <w:tabs>
                <w:tab w:val="decimal" w:pos="250"/>
              </w:tabs>
            </w:pPr>
          </w:p>
        </w:tc>
        <w:tc>
          <w:tcPr>
            <w:tcW w:w="1229" w:type="dxa"/>
            <w:vAlign w:val="center"/>
          </w:tcPr>
          <w:p w:rsidR="00D9231F" w:rsidRPr="001D7F2C" w:rsidRDefault="00D9231F" w:rsidP="00B10D3A">
            <w:pPr>
              <w:tabs>
                <w:tab w:val="decimal" w:pos="250"/>
              </w:tabs>
            </w:pPr>
            <w:r>
              <w:t>-11.79***</w:t>
            </w:r>
          </w:p>
        </w:tc>
        <w:tc>
          <w:tcPr>
            <w:tcW w:w="763" w:type="dxa"/>
            <w:vAlign w:val="center"/>
          </w:tcPr>
          <w:p w:rsidR="00D9231F" w:rsidRPr="001D7F2C" w:rsidRDefault="00D9231F" w:rsidP="00D3240A">
            <w:pPr>
              <w:tabs>
                <w:tab w:val="decimal" w:pos="72"/>
              </w:tabs>
            </w:pPr>
            <w:r>
              <w:t>.33</w:t>
            </w:r>
          </w:p>
        </w:tc>
        <w:tc>
          <w:tcPr>
            <w:tcW w:w="767" w:type="dxa"/>
            <w:vAlign w:val="center"/>
          </w:tcPr>
          <w:p w:rsidR="00D9231F" w:rsidRPr="001D7F2C" w:rsidRDefault="00D9231F" w:rsidP="00D3240A">
            <w:pPr>
              <w:tabs>
                <w:tab w:val="decimal" w:pos="209"/>
              </w:tabs>
            </w:pPr>
          </w:p>
        </w:tc>
        <w:tc>
          <w:tcPr>
            <w:tcW w:w="389" w:type="dxa"/>
          </w:tcPr>
          <w:p w:rsidR="00D9231F" w:rsidRDefault="00D9231F" w:rsidP="00B10D3A">
            <w:pPr>
              <w:tabs>
                <w:tab w:val="decimal" w:pos="208"/>
              </w:tabs>
            </w:pPr>
          </w:p>
        </w:tc>
        <w:tc>
          <w:tcPr>
            <w:tcW w:w="1211" w:type="dxa"/>
            <w:vAlign w:val="center"/>
          </w:tcPr>
          <w:p w:rsidR="00D9231F" w:rsidRPr="001D7F2C" w:rsidRDefault="00D9231F" w:rsidP="00B10D3A">
            <w:pPr>
              <w:tabs>
                <w:tab w:val="decimal" w:pos="208"/>
              </w:tabs>
            </w:pPr>
            <w:r>
              <w:t>-11.79***</w:t>
            </w:r>
          </w:p>
        </w:tc>
        <w:tc>
          <w:tcPr>
            <w:tcW w:w="763" w:type="dxa"/>
            <w:vAlign w:val="center"/>
          </w:tcPr>
          <w:p w:rsidR="00D9231F" w:rsidRPr="001D7F2C" w:rsidRDefault="00D9231F" w:rsidP="004E2D80">
            <w:pPr>
              <w:tabs>
                <w:tab w:val="decimal" w:pos="72"/>
              </w:tabs>
            </w:pPr>
            <w:r>
              <w:t>.33</w:t>
            </w:r>
          </w:p>
        </w:tc>
        <w:tc>
          <w:tcPr>
            <w:tcW w:w="697" w:type="dxa"/>
            <w:vAlign w:val="center"/>
          </w:tcPr>
          <w:p w:rsidR="00D9231F" w:rsidRPr="001D7F2C" w:rsidRDefault="00D9231F" w:rsidP="00B10D3A">
            <w:pPr>
              <w:tabs>
                <w:tab w:val="decimal" w:pos="165"/>
              </w:tabs>
            </w:pPr>
          </w:p>
        </w:tc>
      </w:tr>
      <w:tr w:rsidR="00D9231F" w:rsidRPr="00E25A21" w:rsidTr="00E40E6B">
        <w:tc>
          <w:tcPr>
            <w:tcW w:w="3858" w:type="dxa"/>
          </w:tcPr>
          <w:p w:rsidR="00D9231F" w:rsidRPr="00E25A21" w:rsidRDefault="00D9231F" w:rsidP="00B10D3A">
            <w:r w:rsidRPr="00E25A21">
              <w:t>Log likelihood</w:t>
            </w:r>
          </w:p>
        </w:tc>
        <w:tc>
          <w:tcPr>
            <w:tcW w:w="1200" w:type="dxa"/>
            <w:vAlign w:val="center"/>
          </w:tcPr>
          <w:p w:rsidR="00D9231F" w:rsidRPr="00E25A21" w:rsidRDefault="00D9231F" w:rsidP="00B10D3A">
            <w:pPr>
              <w:tabs>
                <w:tab w:val="decimal" w:pos="192"/>
              </w:tabs>
            </w:pPr>
            <w:r>
              <w:t>-6133.94</w:t>
            </w:r>
          </w:p>
        </w:tc>
        <w:tc>
          <w:tcPr>
            <w:tcW w:w="765" w:type="dxa"/>
            <w:vAlign w:val="center"/>
          </w:tcPr>
          <w:p w:rsidR="00D9231F" w:rsidRPr="00E25A21" w:rsidRDefault="00D9231F" w:rsidP="00D3240A">
            <w:pPr>
              <w:tabs>
                <w:tab w:val="decimal" w:pos="72"/>
              </w:tabs>
            </w:pPr>
          </w:p>
        </w:tc>
        <w:tc>
          <w:tcPr>
            <w:tcW w:w="765" w:type="dxa"/>
            <w:vAlign w:val="center"/>
          </w:tcPr>
          <w:p w:rsidR="00D9231F" w:rsidRPr="00E25A21" w:rsidRDefault="00D9231F" w:rsidP="00B10D3A">
            <w:pPr>
              <w:tabs>
                <w:tab w:val="decimal" w:pos="156"/>
              </w:tabs>
            </w:pPr>
          </w:p>
        </w:tc>
        <w:tc>
          <w:tcPr>
            <w:tcW w:w="391" w:type="dxa"/>
          </w:tcPr>
          <w:p w:rsidR="00D9231F" w:rsidRPr="00E25A21" w:rsidRDefault="00D9231F" w:rsidP="00B10D3A">
            <w:pPr>
              <w:tabs>
                <w:tab w:val="decimal" w:pos="250"/>
              </w:tabs>
            </w:pPr>
          </w:p>
        </w:tc>
        <w:tc>
          <w:tcPr>
            <w:tcW w:w="1229" w:type="dxa"/>
            <w:vAlign w:val="center"/>
          </w:tcPr>
          <w:p w:rsidR="00D9231F" w:rsidRPr="00E25A21" w:rsidRDefault="00D9231F" w:rsidP="00B10D3A">
            <w:pPr>
              <w:tabs>
                <w:tab w:val="decimal" w:pos="250"/>
              </w:tabs>
            </w:pPr>
            <w:r>
              <w:t>-6126.92</w:t>
            </w:r>
          </w:p>
        </w:tc>
        <w:tc>
          <w:tcPr>
            <w:tcW w:w="763" w:type="dxa"/>
            <w:vAlign w:val="center"/>
          </w:tcPr>
          <w:p w:rsidR="00D9231F" w:rsidRPr="00E25A21" w:rsidRDefault="00D9231F" w:rsidP="00D3240A">
            <w:pPr>
              <w:tabs>
                <w:tab w:val="decimal" w:pos="72"/>
              </w:tabs>
            </w:pPr>
          </w:p>
        </w:tc>
        <w:tc>
          <w:tcPr>
            <w:tcW w:w="767" w:type="dxa"/>
            <w:vAlign w:val="center"/>
          </w:tcPr>
          <w:p w:rsidR="00D9231F" w:rsidRPr="00E25A21" w:rsidRDefault="00D9231F" w:rsidP="00B10D3A"/>
        </w:tc>
        <w:tc>
          <w:tcPr>
            <w:tcW w:w="389" w:type="dxa"/>
          </w:tcPr>
          <w:p w:rsidR="00D9231F" w:rsidRPr="00E25A21" w:rsidRDefault="00D9231F" w:rsidP="00B10D3A">
            <w:pPr>
              <w:tabs>
                <w:tab w:val="decimal" w:pos="208"/>
              </w:tabs>
            </w:pPr>
          </w:p>
        </w:tc>
        <w:tc>
          <w:tcPr>
            <w:tcW w:w="1211" w:type="dxa"/>
            <w:vAlign w:val="center"/>
          </w:tcPr>
          <w:p w:rsidR="00D9231F" w:rsidRPr="00E25A21" w:rsidRDefault="00D9231F" w:rsidP="00B10D3A">
            <w:pPr>
              <w:tabs>
                <w:tab w:val="decimal" w:pos="208"/>
              </w:tabs>
            </w:pPr>
            <w:r>
              <w:t>-6126.90</w:t>
            </w:r>
          </w:p>
        </w:tc>
        <w:tc>
          <w:tcPr>
            <w:tcW w:w="763" w:type="dxa"/>
            <w:vAlign w:val="center"/>
          </w:tcPr>
          <w:p w:rsidR="00D9231F" w:rsidRPr="00E25A21" w:rsidRDefault="00D9231F" w:rsidP="004E2D80">
            <w:pPr>
              <w:tabs>
                <w:tab w:val="decimal" w:pos="72"/>
              </w:tabs>
            </w:pPr>
          </w:p>
        </w:tc>
        <w:tc>
          <w:tcPr>
            <w:tcW w:w="697" w:type="dxa"/>
            <w:vAlign w:val="center"/>
          </w:tcPr>
          <w:p w:rsidR="00D9231F" w:rsidRPr="00E25A21" w:rsidRDefault="00D9231F" w:rsidP="00B10D3A">
            <w:pPr>
              <w:tabs>
                <w:tab w:val="decimal" w:pos="165"/>
              </w:tabs>
            </w:pPr>
          </w:p>
        </w:tc>
      </w:tr>
      <w:tr w:rsidR="00D9231F" w:rsidRPr="001D7F2C" w:rsidTr="00E40E6B">
        <w:tc>
          <w:tcPr>
            <w:tcW w:w="3858" w:type="dxa"/>
          </w:tcPr>
          <w:p w:rsidR="00D9231F" w:rsidRPr="007E459A" w:rsidRDefault="00D9231F" w:rsidP="00B10D3A">
            <w:r w:rsidRPr="007E459A">
              <w:t>ln</w:t>
            </w:r>
            <w:r>
              <w:t xml:space="preserve"> σ</w:t>
            </w:r>
            <w:r w:rsidRPr="007E459A">
              <w:rPr>
                <w:vertAlign w:val="superscript"/>
              </w:rPr>
              <w:t>2</w:t>
            </w:r>
            <w:r>
              <w:t xml:space="preserve"> (</w:t>
            </w:r>
            <w:r w:rsidRPr="007E459A">
              <w:rPr>
                <w:i/>
              </w:rPr>
              <w:t>SE</w:t>
            </w:r>
            <w:r>
              <w:t>)</w:t>
            </w:r>
          </w:p>
        </w:tc>
        <w:tc>
          <w:tcPr>
            <w:tcW w:w="1200" w:type="dxa"/>
            <w:vAlign w:val="center"/>
          </w:tcPr>
          <w:p w:rsidR="00D9231F" w:rsidRDefault="00D9231F" w:rsidP="00B10D3A">
            <w:pPr>
              <w:tabs>
                <w:tab w:val="decimal" w:pos="192"/>
              </w:tabs>
            </w:pPr>
            <w:r>
              <w:t>-.47</w:t>
            </w:r>
          </w:p>
        </w:tc>
        <w:tc>
          <w:tcPr>
            <w:tcW w:w="765" w:type="dxa"/>
            <w:vAlign w:val="center"/>
          </w:tcPr>
          <w:p w:rsidR="00D9231F" w:rsidRDefault="00D9231F" w:rsidP="00D3240A">
            <w:pPr>
              <w:tabs>
                <w:tab w:val="decimal" w:pos="72"/>
              </w:tabs>
            </w:pPr>
            <w:r>
              <w:t>.12</w:t>
            </w:r>
          </w:p>
        </w:tc>
        <w:tc>
          <w:tcPr>
            <w:tcW w:w="765" w:type="dxa"/>
            <w:vAlign w:val="center"/>
          </w:tcPr>
          <w:p w:rsidR="00D9231F" w:rsidRPr="001D7F2C" w:rsidRDefault="00D9231F" w:rsidP="00B10D3A">
            <w:pPr>
              <w:tabs>
                <w:tab w:val="decimal" w:pos="156"/>
              </w:tabs>
            </w:pPr>
          </w:p>
        </w:tc>
        <w:tc>
          <w:tcPr>
            <w:tcW w:w="391" w:type="dxa"/>
          </w:tcPr>
          <w:p w:rsidR="00D9231F" w:rsidRDefault="00D9231F" w:rsidP="00B10D3A">
            <w:pPr>
              <w:tabs>
                <w:tab w:val="decimal" w:pos="250"/>
              </w:tabs>
            </w:pPr>
          </w:p>
        </w:tc>
        <w:tc>
          <w:tcPr>
            <w:tcW w:w="1229" w:type="dxa"/>
            <w:vAlign w:val="center"/>
          </w:tcPr>
          <w:p w:rsidR="00D9231F" w:rsidRDefault="00D9231F" w:rsidP="00B10D3A">
            <w:pPr>
              <w:tabs>
                <w:tab w:val="decimal" w:pos="250"/>
              </w:tabs>
            </w:pPr>
            <w:r>
              <w:t>-.48</w:t>
            </w:r>
          </w:p>
        </w:tc>
        <w:tc>
          <w:tcPr>
            <w:tcW w:w="763" w:type="dxa"/>
            <w:vAlign w:val="center"/>
          </w:tcPr>
          <w:p w:rsidR="00D9231F" w:rsidRDefault="00D9231F" w:rsidP="00D3240A">
            <w:pPr>
              <w:tabs>
                <w:tab w:val="decimal" w:pos="72"/>
              </w:tabs>
            </w:pPr>
            <w:r>
              <w:t>.12</w:t>
            </w:r>
          </w:p>
        </w:tc>
        <w:tc>
          <w:tcPr>
            <w:tcW w:w="767" w:type="dxa"/>
            <w:vAlign w:val="center"/>
          </w:tcPr>
          <w:p w:rsidR="00D9231F" w:rsidRPr="001D7F2C" w:rsidRDefault="00D9231F" w:rsidP="00B10D3A"/>
        </w:tc>
        <w:tc>
          <w:tcPr>
            <w:tcW w:w="389" w:type="dxa"/>
          </w:tcPr>
          <w:p w:rsidR="00D9231F" w:rsidRDefault="00D9231F" w:rsidP="00B10D3A">
            <w:pPr>
              <w:tabs>
                <w:tab w:val="decimal" w:pos="208"/>
              </w:tabs>
            </w:pPr>
          </w:p>
        </w:tc>
        <w:tc>
          <w:tcPr>
            <w:tcW w:w="1211" w:type="dxa"/>
            <w:vAlign w:val="center"/>
          </w:tcPr>
          <w:p w:rsidR="00D9231F" w:rsidRDefault="00D9231F" w:rsidP="00B10D3A">
            <w:pPr>
              <w:tabs>
                <w:tab w:val="decimal" w:pos="208"/>
              </w:tabs>
            </w:pPr>
            <w:r>
              <w:t>-.47</w:t>
            </w:r>
          </w:p>
        </w:tc>
        <w:tc>
          <w:tcPr>
            <w:tcW w:w="763" w:type="dxa"/>
            <w:vAlign w:val="center"/>
          </w:tcPr>
          <w:p w:rsidR="00D9231F" w:rsidRDefault="00D9231F" w:rsidP="004E2D80">
            <w:pPr>
              <w:tabs>
                <w:tab w:val="decimal" w:pos="72"/>
              </w:tabs>
            </w:pPr>
            <w:r>
              <w:t>.12</w:t>
            </w:r>
          </w:p>
        </w:tc>
        <w:tc>
          <w:tcPr>
            <w:tcW w:w="697" w:type="dxa"/>
            <w:vAlign w:val="center"/>
          </w:tcPr>
          <w:p w:rsidR="00D9231F" w:rsidRPr="001D7F2C" w:rsidRDefault="00D9231F" w:rsidP="00B10D3A">
            <w:pPr>
              <w:tabs>
                <w:tab w:val="decimal" w:pos="165"/>
              </w:tabs>
            </w:pPr>
          </w:p>
        </w:tc>
      </w:tr>
      <w:tr w:rsidR="00D9231F" w:rsidRPr="001D7F2C" w:rsidTr="00E40E6B">
        <w:tc>
          <w:tcPr>
            <w:tcW w:w="3858" w:type="dxa"/>
          </w:tcPr>
          <w:p w:rsidR="00D9231F" w:rsidRPr="007E459A" w:rsidRDefault="00D9231F" w:rsidP="00B10D3A">
            <w:r>
              <w:t>σ</w:t>
            </w:r>
            <w:r w:rsidRPr="007E459A">
              <w:rPr>
                <w:vertAlign w:val="subscript"/>
              </w:rPr>
              <w:t>u</w:t>
            </w:r>
            <w:r>
              <w:t xml:space="preserve"> (</w:t>
            </w:r>
            <w:r w:rsidRPr="007E459A">
              <w:rPr>
                <w:i/>
              </w:rPr>
              <w:t>SE</w:t>
            </w:r>
            <w:r>
              <w:t>)</w:t>
            </w:r>
          </w:p>
        </w:tc>
        <w:tc>
          <w:tcPr>
            <w:tcW w:w="1200" w:type="dxa"/>
            <w:vAlign w:val="center"/>
          </w:tcPr>
          <w:p w:rsidR="00D9231F" w:rsidRDefault="00D9231F" w:rsidP="00B10D3A">
            <w:pPr>
              <w:tabs>
                <w:tab w:val="decimal" w:pos="192"/>
              </w:tabs>
            </w:pPr>
            <w:r>
              <w:t>.79</w:t>
            </w:r>
          </w:p>
        </w:tc>
        <w:tc>
          <w:tcPr>
            <w:tcW w:w="765" w:type="dxa"/>
            <w:vAlign w:val="center"/>
          </w:tcPr>
          <w:p w:rsidR="00D9231F" w:rsidRDefault="00D9231F" w:rsidP="00D3240A">
            <w:pPr>
              <w:tabs>
                <w:tab w:val="decimal" w:pos="72"/>
              </w:tabs>
            </w:pPr>
            <w:r>
              <w:t>.05</w:t>
            </w:r>
          </w:p>
        </w:tc>
        <w:tc>
          <w:tcPr>
            <w:tcW w:w="765" w:type="dxa"/>
            <w:vAlign w:val="center"/>
          </w:tcPr>
          <w:p w:rsidR="00D9231F" w:rsidRPr="001D7F2C" w:rsidRDefault="00D9231F" w:rsidP="00B10D3A">
            <w:pPr>
              <w:tabs>
                <w:tab w:val="decimal" w:pos="156"/>
              </w:tabs>
            </w:pPr>
          </w:p>
        </w:tc>
        <w:tc>
          <w:tcPr>
            <w:tcW w:w="391" w:type="dxa"/>
          </w:tcPr>
          <w:p w:rsidR="00D9231F" w:rsidRDefault="00D9231F" w:rsidP="00B10D3A">
            <w:pPr>
              <w:tabs>
                <w:tab w:val="decimal" w:pos="250"/>
              </w:tabs>
            </w:pPr>
          </w:p>
        </w:tc>
        <w:tc>
          <w:tcPr>
            <w:tcW w:w="1229" w:type="dxa"/>
            <w:vAlign w:val="center"/>
          </w:tcPr>
          <w:p w:rsidR="00D9231F" w:rsidRDefault="00D9231F" w:rsidP="00B10D3A">
            <w:pPr>
              <w:tabs>
                <w:tab w:val="decimal" w:pos="250"/>
              </w:tabs>
            </w:pPr>
            <w:r>
              <w:t>.79</w:t>
            </w:r>
          </w:p>
        </w:tc>
        <w:tc>
          <w:tcPr>
            <w:tcW w:w="763" w:type="dxa"/>
            <w:vAlign w:val="center"/>
          </w:tcPr>
          <w:p w:rsidR="00D9231F" w:rsidRDefault="00D9231F" w:rsidP="00D3240A">
            <w:pPr>
              <w:tabs>
                <w:tab w:val="decimal" w:pos="72"/>
              </w:tabs>
            </w:pPr>
            <w:r>
              <w:t>.05</w:t>
            </w:r>
          </w:p>
        </w:tc>
        <w:tc>
          <w:tcPr>
            <w:tcW w:w="767" w:type="dxa"/>
            <w:vAlign w:val="center"/>
          </w:tcPr>
          <w:p w:rsidR="00D9231F" w:rsidRPr="001D7F2C" w:rsidRDefault="00D9231F" w:rsidP="00B10D3A"/>
        </w:tc>
        <w:tc>
          <w:tcPr>
            <w:tcW w:w="389" w:type="dxa"/>
          </w:tcPr>
          <w:p w:rsidR="00D9231F" w:rsidRDefault="00D9231F" w:rsidP="00B10D3A">
            <w:pPr>
              <w:tabs>
                <w:tab w:val="decimal" w:pos="208"/>
              </w:tabs>
            </w:pPr>
          </w:p>
        </w:tc>
        <w:tc>
          <w:tcPr>
            <w:tcW w:w="1211" w:type="dxa"/>
            <w:vAlign w:val="center"/>
          </w:tcPr>
          <w:p w:rsidR="00D9231F" w:rsidRDefault="00D9231F" w:rsidP="00B10D3A">
            <w:pPr>
              <w:tabs>
                <w:tab w:val="decimal" w:pos="208"/>
              </w:tabs>
            </w:pPr>
            <w:r>
              <w:t>.79</w:t>
            </w:r>
          </w:p>
        </w:tc>
        <w:tc>
          <w:tcPr>
            <w:tcW w:w="763" w:type="dxa"/>
            <w:vAlign w:val="center"/>
          </w:tcPr>
          <w:p w:rsidR="00D9231F" w:rsidRDefault="00D9231F" w:rsidP="004E2D80">
            <w:pPr>
              <w:tabs>
                <w:tab w:val="decimal" w:pos="72"/>
              </w:tabs>
            </w:pPr>
            <w:r>
              <w:t>.05</w:t>
            </w:r>
          </w:p>
        </w:tc>
        <w:tc>
          <w:tcPr>
            <w:tcW w:w="697" w:type="dxa"/>
            <w:vAlign w:val="center"/>
          </w:tcPr>
          <w:p w:rsidR="00D9231F" w:rsidRPr="001D7F2C" w:rsidRDefault="00D9231F" w:rsidP="00B10D3A">
            <w:pPr>
              <w:tabs>
                <w:tab w:val="decimal" w:pos="165"/>
              </w:tabs>
            </w:pPr>
          </w:p>
        </w:tc>
      </w:tr>
      <w:tr w:rsidR="00D9231F" w:rsidRPr="001D7F2C" w:rsidTr="00E40E6B">
        <w:tc>
          <w:tcPr>
            <w:tcW w:w="3858" w:type="dxa"/>
          </w:tcPr>
          <w:p w:rsidR="00D9231F" w:rsidRDefault="00D9231F" w:rsidP="00B10D3A">
            <w:r>
              <w:t>ρ (</w:t>
            </w:r>
            <w:r w:rsidRPr="007E459A">
              <w:rPr>
                <w:i/>
              </w:rPr>
              <w:t>SE</w:t>
            </w:r>
            <w:r>
              <w:t>)</w:t>
            </w:r>
          </w:p>
        </w:tc>
        <w:tc>
          <w:tcPr>
            <w:tcW w:w="1200" w:type="dxa"/>
            <w:vAlign w:val="center"/>
          </w:tcPr>
          <w:p w:rsidR="00D9231F" w:rsidRDefault="00D9231F" w:rsidP="00B10D3A">
            <w:pPr>
              <w:tabs>
                <w:tab w:val="decimal" w:pos="192"/>
              </w:tabs>
            </w:pPr>
            <w:r>
              <w:t>.28***</w:t>
            </w:r>
          </w:p>
        </w:tc>
        <w:tc>
          <w:tcPr>
            <w:tcW w:w="765" w:type="dxa"/>
            <w:vAlign w:val="center"/>
          </w:tcPr>
          <w:p w:rsidR="00D9231F" w:rsidRDefault="00D9231F" w:rsidP="00D3240A">
            <w:pPr>
              <w:tabs>
                <w:tab w:val="decimal" w:pos="72"/>
              </w:tabs>
            </w:pPr>
            <w:r>
              <w:t>.02</w:t>
            </w:r>
          </w:p>
        </w:tc>
        <w:tc>
          <w:tcPr>
            <w:tcW w:w="765" w:type="dxa"/>
            <w:vAlign w:val="center"/>
          </w:tcPr>
          <w:p w:rsidR="00D9231F" w:rsidRPr="001D7F2C" w:rsidRDefault="00D9231F" w:rsidP="00B10D3A">
            <w:pPr>
              <w:tabs>
                <w:tab w:val="decimal" w:pos="156"/>
              </w:tabs>
            </w:pPr>
          </w:p>
        </w:tc>
        <w:tc>
          <w:tcPr>
            <w:tcW w:w="391" w:type="dxa"/>
          </w:tcPr>
          <w:p w:rsidR="00D9231F" w:rsidRDefault="00D9231F" w:rsidP="00B10D3A">
            <w:pPr>
              <w:tabs>
                <w:tab w:val="decimal" w:pos="250"/>
              </w:tabs>
            </w:pPr>
          </w:p>
        </w:tc>
        <w:tc>
          <w:tcPr>
            <w:tcW w:w="1229" w:type="dxa"/>
            <w:vAlign w:val="center"/>
          </w:tcPr>
          <w:p w:rsidR="00D9231F" w:rsidRDefault="00D9231F" w:rsidP="00B10D3A">
            <w:pPr>
              <w:tabs>
                <w:tab w:val="decimal" w:pos="250"/>
              </w:tabs>
            </w:pPr>
            <w:r>
              <w:t>.27***</w:t>
            </w:r>
          </w:p>
        </w:tc>
        <w:tc>
          <w:tcPr>
            <w:tcW w:w="763" w:type="dxa"/>
            <w:vAlign w:val="center"/>
          </w:tcPr>
          <w:p w:rsidR="00D9231F" w:rsidRDefault="00D9231F" w:rsidP="00D3240A">
            <w:pPr>
              <w:tabs>
                <w:tab w:val="decimal" w:pos="72"/>
              </w:tabs>
            </w:pPr>
            <w:r>
              <w:t>.02</w:t>
            </w:r>
          </w:p>
        </w:tc>
        <w:tc>
          <w:tcPr>
            <w:tcW w:w="767" w:type="dxa"/>
            <w:vAlign w:val="center"/>
          </w:tcPr>
          <w:p w:rsidR="00D9231F" w:rsidRPr="001D7F2C" w:rsidRDefault="00D9231F" w:rsidP="00B10D3A"/>
        </w:tc>
        <w:tc>
          <w:tcPr>
            <w:tcW w:w="389" w:type="dxa"/>
          </w:tcPr>
          <w:p w:rsidR="00D9231F" w:rsidRDefault="00D9231F" w:rsidP="00B10D3A">
            <w:pPr>
              <w:tabs>
                <w:tab w:val="decimal" w:pos="208"/>
              </w:tabs>
            </w:pPr>
          </w:p>
        </w:tc>
        <w:tc>
          <w:tcPr>
            <w:tcW w:w="1211" w:type="dxa"/>
            <w:vAlign w:val="center"/>
          </w:tcPr>
          <w:p w:rsidR="00D9231F" w:rsidRDefault="00D9231F" w:rsidP="00B10D3A">
            <w:pPr>
              <w:tabs>
                <w:tab w:val="decimal" w:pos="208"/>
              </w:tabs>
            </w:pPr>
            <w:r>
              <w:t>.27***</w:t>
            </w:r>
          </w:p>
        </w:tc>
        <w:tc>
          <w:tcPr>
            <w:tcW w:w="763" w:type="dxa"/>
            <w:vAlign w:val="center"/>
          </w:tcPr>
          <w:p w:rsidR="00D9231F" w:rsidRDefault="00D9231F" w:rsidP="004E2D80">
            <w:pPr>
              <w:tabs>
                <w:tab w:val="decimal" w:pos="72"/>
              </w:tabs>
            </w:pPr>
            <w:r>
              <w:t>.02</w:t>
            </w:r>
          </w:p>
        </w:tc>
        <w:tc>
          <w:tcPr>
            <w:tcW w:w="697" w:type="dxa"/>
            <w:vAlign w:val="center"/>
          </w:tcPr>
          <w:p w:rsidR="00D9231F" w:rsidRPr="001D7F2C" w:rsidRDefault="00D9231F" w:rsidP="00B10D3A">
            <w:pPr>
              <w:tabs>
                <w:tab w:val="decimal" w:pos="165"/>
              </w:tabs>
            </w:pPr>
          </w:p>
        </w:tc>
      </w:tr>
    </w:tbl>
    <w:p w:rsidR="00AF6137" w:rsidRPr="008C5427" w:rsidRDefault="00D9231F" w:rsidP="00D9231F">
      <w:pPr>
        <w:pStyle w:val="Default"/>
        <w:rPr>
          <w:color w:val="auto"/>
        </w:rPr>
      </w:pPr>
      <w:r w:rsidRPr="0010002F">
        <w:rPr>
          <w:i/>
        </w:rPr>
        <w:t>Note</w:t>
      </w:r>
      <w:r w:rsidRPr="0010002F">
        <w:t xml:space="preserve">: </w:t>
      </w:r>
      <w:r w:rsidRPr="0010002F">
        <w:rPr>
          <w:vertAlign w:val="superscript"/>
        </w:rPr>
        <w:t>†</w:t>
      </w:r>
      <w:r w:rsidRPr="0010002F">
        <w:rPr>
          <w:i/>
          <w:color w:val="auto"/>
        </w:rPr>
        <w:t>p</w:t>
      </w:r>
      <w:r w:rsidRPr="0010002F">
        <w:rPr>
          <w:color w:val="auto"/>
        </w:rPr>
        <w:t xml:space="preserve"> &lt; .10. *</w:t>
      </w:r>
      <w:r w:rsidRPr="0010002F">
        <w:rPr>
          <w:i/>
          <w:iCs/>
          <w:color w:val="auto"/>
        </w:rPr>
        <w:t>p</w:t>
      </w:r>
      <w:r w:rsidRPr="0010002F">
        <w:rPr>
          <w:color w:val="auto"/>
        </w:rPr>
        <w:t xml:space="preserve"> &lt; 0.05. ** </w:t>
      </w:r>
      <w:r w:rsidRPr="0010002F">
        <w:rPr>
          <w:i/>
          <w:iCs/>
          <w:color w:val="auto"/>
        </w:rPr>
        <w:t>p</w:t>
      </w:r>
      <w:r w:rsidRPr="0010002F">
        <w:rPr>
          <w:color w:val="auto"/>
        </w:rPr>
        <w:t xml:space="preserve"> &lt; 0.01. *** </w:t>
      </w:r>
      <w:r w:rsidRPr="0010002F">
        <w:rPr>
          <w:i/>
          <w:iCs/>
          <w:color w:val="auto"/>
        </w:rPr>
        <w:t>p</w:t>
      </w:r>
      <w:r w:rsidRPr="0010002F">
        <w:rPr>
          <w:color w:val="auto"/>
        </w:rPr>
        <w:t xml:space="preserve"> &lt; 0.001.</w:t>
      </w:r>
    </w:p>
    <w:sectPr w:rsidR="00AF6137" w:rsidRPr="008C5427" w:rsidSect="00B10D3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D6E" w:rsidRDefault="00116D6E">
      <w:r>
        <w:separator/>
      </w:r>
    </w:p>
  </w:endnote>
  <w:endnote w:type="continuationSeparator" w:id="0">
    <w:p w:rsidR="00116D6E" w:rsidRDefault="0011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2060305040502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D6E" w:rsidRDefault="00116D6E">
      <w:r>
        <w:separator/>
      </w:r>
    </w:p>
  </w:footnote>
  <w:footnote w:type="continuationSeparator" w:id="0">
    <w:p w:rsidR="00116D6E" w:rsidRDefault="0011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16D" w:rsidRDefault="0095216D" w:rsidP="005B39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216D" w:rsidRDefault="0095216D" w:rsidP="005E1AD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16D" w:rsidRDefault="0095216D" w:rsidP="00036878">
    <w:pPr>
      <w:pStyle w:val="Header"/>
      <w:framePr w:wrap="around"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4608AF">
      <w:rPr>
        <w:rStyle w:val="PageNumber"/>
        <w:noProof/>
      </w:rPr>
      <w:t>6</w:t>
    </w:r>
    <w:r>
      <w:rPr>
        <w:rStyle w:val="PageNumber"/>
      </w:rPr>
      <w:fldChar w:fldCharType="end"/>
    </w:r>
  </w:p>
  <w:p w:rsidR="0095216D" w:rsidRDefault="0095216D" w:rsidP="00302F0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458A"/>
    <w:multiLevelType w:val="hybridMultilevel"/>
    <w:tmpl w:val="B232D7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A6782"/>
    <w:multiLevelType w:val="hybridMultilevel"/>
    <w:tmpl w:val="662C23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0E5B0A"/>
    <w:multiLevelType w:val="hybridMultilevel"/>
    <w:tmpl w:val="9D7E863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54476BD"/>
    <w:multiLevelType w:val="hybridMultilevel"/>
    <w:tmpl w:val="BB182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057B4"/>
    <w:multiLevelType w:val="hybridMultilevel"/>
    <w:tmpl w:val="CC08E4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C6169FB"/>
    <w:multiLevelType w:val="hybridMultilevel"/>
    <w:tmpl w:val="2C5E8B9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0ED6911"/>
    <w:multiLevelType w:val="hybridMultilevel"/>
    <w:tmpl w:val="38384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DA69E9"/>
    <w:multiLevelType w:val="hybridMultilevel"/>
    <w:tmpl w:val="DF66CC04"/>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ED"/>
    <w:rsid w:val="0000477A"/>
    <w:rsid w:val="00007F4D"/>
    <w:rsid w:val="000150F3"/>
    <w:rsid w:val="00031080"/>
    <w:rsid w:val="00031AAB"/>
    <w:rsid w:val="0003470F"/>
    <w:rsid w:val="00036878"/>
    <w:rsid w:val="00041B41"/>
    <w:rsid w:val="0004418F"/>
    <w:rsid w:val="00047AB0"/>
    <w:rsid w:val="0005042B"/>
    <w:rsid w:val="00053C36"/>
    <w:rsid w:val="00054036"/>
    <w:rsid w:val="0005679F"/>
    <w:rsid w:val="000616E9"/>
    <w:rsid w:val="00061F96"/>
    <w:rsid w:val="00062E17"/>
    <w:rsid w:val="000635BA"/>
    <w:rsid w:val="00072AF3"/>
    <w:rsid w:val="0007337D"/>
    <w:rsid w:val="000738CA"/>
    <w:rsid w:val="000741A3"/>
    <w:rsid w:val="00074E63"/>
    <w:rsid w:val="000918A3"/>
    <w:rsid w:val="0009247A"/>
    <w:rsid w:val="00094120"/>
    <w:rsid w:val="000965A7"/>
    <w:rsid w:val="00096718"/>
    <w:rsid w:val="00096E00"/>
    <w:rsid w:val="000A55EE"/>
    <w:rsid w:val="000B1543"/>
    <w:rsid w:val="000B6BDD"/>
    <w:rsid w:val="000C0CA5"/>
    <w:rsid w:val="000C2462"/>
    <w:rsid w:val="000C2DC5"/>
    <w:rsid w:val="000C53D2"/>
    <w:rsid w:val="000C7E01"/>
    <w:rsid w:val="000D2407"/>
    <w:rsid w:val="000D3EB7"/>
    <w:rsid w:val="000D73DB"/>
    <w:rsid w:val="000E3C59"/>
    <w:rsid w:val="000F03E0"/>
    <w:rsid w:val="000F0A11"/>
    <w:rsid w:val="000F1C54"/>
    <w:rsid w:val="000F3C09"/>
    <w:rsid w:val="000F6CA2"/>
    <w:rsid w:val="000F7C67"/>
    <w:rsid w:val="00100413"/>
    <w:rsid w:val="00100EE6"/>
    <w:rsid w:val="00103E32"/>
    <w:rsid w:val="00116D6E"/>
    <w:rsid w:val="00121548"/>
    <w:rsid w:val="00126260"/>
    <w:rsid w:val="0013029B"/>
    <w:rsid w:val="001312D7"/>
    <w:rsid w:val="001329DF"/>
    <w:rsid w:val="0013664B"/>
    <w:rsid w:val="00136EFA"/>
    <w:rsid w:val="0014487E"/>
    <w:rsid w:val="001461E6"/>
    <w:rsid w:val="00151A92"/>
    <w:rsid w:val="00151AB7"/>
    <w:rsid w:val="00160E52"/>
    <w:rsid w:val="00162379"/>
    <w:rsid w:val="001644DB"/>
    <w:rsid w:val="00167848"/>
    <w:rsid w:val="0017162A"/>
    <w:rsid w:val="00183A93"/>
    <w:rsid w:val="00184538"/>
    <w:rsid w:val="00187A20"/>
    <w:rsid w:val="00187E64"/>
    <w:rsid w:val="00191309"/>
    <w:rsid w:val="001960BB"/>
    <w:rsid w:val="00196DBC"/>
    <w:rsid w:val="00197C24"/>
    <w:rsid w:val="001A27EA"/>
    <w:rsid w:val="001A53EF"/>
    <w:rsid w:val="001B341D"/>
    <w:rsid w:val="001C16E3"/>
    <w:rsid w:val="001C50BE"/>
    <w:rsid w:val="001C7052"/>
    <w:rsid w:val="001D72E5"/>
    <w:rsid w:val="001E33ED"/>
    <w:rsid w:val="001E6557"/>
    <w:rsid w:val="001F1448"/>
    <w:rsid w:val="00202446"/>
    <w:rsid w:val="002027C7"/>
    <w:rsid w:val="00205C72"/>
    <w:rsid w:val="002105C7"/>
    <w:rsid w:val="00214298"/>
    <w:rsid w:val="00214370"/>
    <w:rsid w:val="00220283"/>
    <w:rsid w:val="00224B18"/>
    <w:rsid w:val="002261DE"/>
    <w:rsid w:val="00230ADD"/>
    <w:rsid w:val="002320E2"/>
    <w:rsid w:val="00233830"/>
    <w:rsid w:val="00236655"/>
    <w:rsid w:val="002535DD"/>
    <w:rsid w:val="00254A18"/>
    <w:rsid w:val="00260D91"/>
    <w:rsid w:val="00261698"/>
    <w:rsid w:val="00262B2B"/>
    <w:rsid w:val="00265356"/>
    <w:rsid w:val="002663B2"/>
    <w:rsid w:val="002679EF"/>
    <w:rsid w:val="00283417"/>
    <w:rsid w:val="00284CE9"/>
    <w:rsid w:val="002906C2"/>
    <w:rsid w:val="00294755"/>
    <w:rsid w:val="002A15A5"/>
    <w:rsid w:val="002A6C52"/>
    <w:rsid w:val="002B0947"/>
    <w:rsid w:val="002B194B"/>
    <w:rsid w:val="002B4C92"/>
    <w:rsid w:val="002B557A"/>
    <w:rsid w:val="002C0375"/>
    <w:rsid w:val="002C33DD"/>
    <w:rsid w:val="002C39CF"/>
    <w:rsid w:val="002C4283"/>
    <w:rsid w:val="002C772C"/>
    <w:rsid w:val="002D3FD0"/>
    <w:rsid w:val="002D5F56"/>
    <w:rsid w:val="002D7248"/>
    <w:rsid w:val="002E0F6B"/>
    <w:rsid w:val="002E1EAB"/>
    <w:rsid w:val="002E6B4D"/>
    <w:rsid w:val="002F2B76"/>
    <w:rsid w:val="002F3401"/>
    <w:rsid w:val="002F72FE"/>
    <w:rsid w:val="003009C7"/>
    <w:rsid w:val="00301679"/>
    <w:rsid w:val="00302F02"/>
    <w:rsid w:val="0031034D"/>
    <w:rsid w:val="00311C91"/>
    <w:rsid w:val="00312333"/>
    <w:rsid w:val="00313BFD"/>
    <w:rsid w:val="003164A3"/>
    <w:rsid w:val="00321EBE"/>
    <w:rsid w:val="00322368"/>
    <w:rsid w:val="00327B51"/>
    <w:rsid w:val="00331CF0"/>
    <w:rsid w:val="00333697"/>
    <w:rsid w:val="003346E2"/>
    <w:rsid w:val="00337025"/>
    <w:rsid w:val="0034222B"/>
    <w:rsid w:val="00343104"/>
    <w:rsid w:val="003437D3"/>
    <w:rsid w:val="0034388D"/>
    <w:rsid w:val="00344C78"/>
    <w:rsid w:val="00353110"/>
    <w:rsid w:val="003532F0"/>
    <w:rsid w:val="0035586A"/>
    <w:rsid w:val="00363919"/>
    <w:rsid w:val="0036767E"/>
    <w:rsid w:val="003676B4"/>
    <w:rsid w:val="0037164B"/>
    <w:rsid w:val="00377149"/>
    <w:rsid w:val="00377F01"/>
    <w:rsid w:val="00384CC0"/>
    <w:rsid w:val="00387808"/>
    <w:rsid w:val="003915CB"/>
    <w:rsid w:val="003A0AED"/>
    <w:rsid w:val="003A11CF"/>
    <w:rsid w:val="003A1333"/>
    <w:rsid w:val="003A4277"/>
    <w:rsid w:val="003B039F"/>
    <w:rsid w:val="003B488E"/>
    <w:rsid w:val="003C3249"/>
    <w:rsid w:val="003C34B5"/>
    <w:rsid w:val="003C3B3A"/>
    <w:rsid w:val="003C3EB9"/>
    <w:rsid w:val="003C6D70"/>
    <w:rsid w:val="003C7272"/>
    <w:rsid w:val="003E16B0"/>
    <w:rsid w:val="003E2EDB"/>
    <w:rsid w:val="003E359F"/>
    <w:rsid w:val="003E5F7F"/>
    <w:rsid w:val="003E6B54"/>
    <w:rsid w:val="003F2FD1"/>
    <w:rsid w:val="003F4C23"/>
    <w:rsid w:val="003F5719"/>
    <w:rsid w:val="003F5E33"/>
    <w:rsid w:val="00401E8C"/>
    <w:rsid w:val="00413D2B"/>
    <w:rsid w:val="004145BB"/>
    <w:rsid w:val="004162E9"/>
    <w:rsid w:val="00416B57"/>
    <w:rsid w:val="00422A22"/>
    <w:rsid w:val="00424BAD"/>
    <w:rsid w:val="00425EBC"/>
    <w:rsid w:val="00426526"/>
    <w:rsid w:val="00430E17"/>
    <w:rsid w:val="0043252D"/>
    <w:rsid w:val="0043310B"/>
    <w:rsid w:val="0043613E"/>
    <w:rsid w:val="00440285"/>
    <w:rsid w:val="00442635"/>
    <w:rsid w:val="00444F8C"/>
    <w:rsid w:val="0044570D"/>
    <w:rsid w:val="00445BFC"/>
    <w:rsid w:val="00450957"/>
    <w:rsid w:val="00450CFF"/>
    <w:rsid w:val="00452AA0"/>
    <w:rsid w:val="00454B5C"/>
    <w:rsid w:val="00456F4A"/>
    <w:rsid w:val="004608AF"/>
    <w:rsid w:val="00462606"/>
    <w:rsid w:val="00464DE2"/>
    <w:rsid w:val="0046676D"/>
    <w:rsid w:val="00471301"/>
    <w:rsid w:val="004733BF"/>
    <w:rsid w:val="00473C1E"/>
    <w:rsid w:val="00477D2E"/>
    <w:rsid w:val="00481E4F"/>
    <w:rsid w:val="00486843"/>
    <w:rsid w:val="00492CA2"/>
    <w:rsid w:val="0049313F"/>
    <w:rsid w:val="0049469F"/>
    <w:rsid w:val="00494C0D"/>
    <w:rsid w:val="00495673"/>
    <w:rsid w:val="00496524"/>
    <w:rsid w:val="004967AB"/>
    <w:rsid w:val="004A1B94"/>
    <w:rsid w:val="004A4911"/>
    <w:rsid w:val="004A63A7"/>
    <w:rsid w:val="004B1E5E"/>
    <w:rsid w:val="004B3DAD"/>
    <w:rsid w:val="004B6461"/>
    <w:rsid w:val="004C1D1C"/>
    <w:rsid w:val="004C412B"/>
    <w:rsid w:val="004C4B21"/>
    <w:rsid w:val="004D1AC0"/>
    <w:rsid w:val="004D207F"/>
    <w:rsid w:val="004D4E57"/>
    <w:rsid w:val="004D54C4"/>
    <w:rsid w:val="004D59FC"/>
    <w:rsid w:val="004D630E"/>
    <w:rsid w:val="004D7455"/>
    <w:rsid w:val="004D7FC2"/>
    <w:rsid w:val="004E061A"/>
    <w:rsid w:val="004E2B46"/>
    <w:rsid w:val="004E2D80"/>
    <w:rsid w:val="004E661A"/>
    <w:rsid w:val="004F3485"/>
    <w:rsid w:val="004F60C4"/>
    <w:rsid w:val="004F66D6"/>
    <w:rsid w:val="00501257"/>
    <w:rsid w:val="0050138C"/>
    <w:rsid w:val="00507160"/>
    <w:rsid w:val="00510814"/>
    <w:rsid w:val="0051206F"/>
    <w:rsid w:val="0051475D"/>
    <w:rsid w:val="00514C66"/>
    <w:rsid w:val="00516004"/>
    <w:rsid w:val="0052050B"/>
    <w:rsid w:val="00520766"/>
    <w:rsid w:val="005231E7"/>
    <w:rsid w:val="00525410"/>
    <w:rsid w:val="00533E57"/>
    <w:rsid w:val="0054174A"/>
    <w:rsid w:val="00541E2E"/>
    <w:rsid w:val="00543645"/>
    <w:rsid w:val="005441B9"/>
    <w:rsid w:val="00546785"/>
    <w:rsid w:val="005529B7"/>
    <w:rsid w:val="0055403C"/>
    <w:rsid w:val="005611FE"/>
    <w:rsid w:val="0056259A"/>
    <w:rsid w:val="005630B1"/>
    <w:rsid w:val="00566286"/>
    <w:rsid w:val="005666EC"/>
    <w:rsid w:val="00570879"/>
    <w:rsid w:val="00573BC8"/>
    <w:rsid w:val="00573DC5"/>
    <w:rsid w:val="005815AE"/>
    <w:rsid w:val="00583AA6"/>
    <w:rsid w:val="00585AA9"/>
    <w:rsid w:val="00587478"/>
    <w:rsid w:val="00590A14"/>
    <w:rsid w:val="00592B93"/>
    <w:rsid w:val="0059415F"/>
    <w:rsid w:val="005945F0"/>
    <w:rsid w:val="00594C02"/>
    <w:rsid w:val="00596738"/>
    <w:rsid w:val="005A0615"/>
    <w:rsid w:val="005A3827"/>
    <w:rsid w:val="005A3D1F"/>
    <w:rsid w:val="005A7429"/>
    <w:rsid w:val="005A7665"/>
    <w:rsid w:val="005B1504"/>
    <w:rsid w:val="005B200D"/>
    <w:rsid w:val="005B394F"/>
    <w:rsid w:val="005B412F"/>
    <w:rsid w:val="005B640A"/>
    <w:rsid w:val="005B7559"/>
    <w:rsid w:val="005C25F3"/>
    <w:rsid w:val="005C27C1"/>
    <w:rsid w:val="005D198B"/>
    <w:rsid w:val="005D30FA"/>
    <w:rsid w:val="005D4BB0"/>
    <w:rsid w:val="005D68C4"/>
    <w:rsid w:val="005E1AD5"/>
    <w:rsid w:val="005E674F"/>
    <w:rsid w:val="005E747D"/>
    <w:rsid w:val="005F00B1"/>
    <w:rsid w:val="005F1AD9"/>
    <w:rsid w:val="005F2C5B"/>
    <w:rsid w:val="0060367A"/>
    <w:rsid w:val="00607181"/>
    <w:rsid w:val="006128E8"/>
    <w:rsid w:val="00621109"/>
    <w:rsid w:val="0062129B"/>
    <w:rsid w:val="00623257"/>
    <w:rsid w:val="006242F4"/>
    <w:rsid w:val="0062653A"/>
    <w:rsid w:val="00626874"/>
    <w:rsid w:val="00630311"/>
    <w:rsid w:val="00630E3A"/>
    <w:rsid w:val="0063314B"/>
    <w:rsid w:val="006361C5"/>
    <w:rsid w:val="00641E48"/>
    <w:rsid w:val="00642173"/>
    <w:rsid w:val="0064341A"/>
    <w:rsid w:val="00646953"/>
    <w:rsid w:val="006473E2"/>
    <w:rsid w:val="00650FB3"/>
    <w:rsid w:val="00653645"/>
    <w:rsid w:val="0065441B"/>
    <w:rsid w:val="00655B32"/>
    <w:rsid w:val="00665944"/>
    <w:rsid w:val="0066789B"/>
    <w:rsid w:val="00674463"/>
    <w:rsid w:val="0067625F"/>
    <w:rsid w:val="00676344"/>
    <w:rsid w:val="00677C18"/>
    <w:rsid w:val="006813CE"/>
    <w:rsid w:val="00683009"/>
    <w:rsid w:val="00683DF2"/>
    <w:rsid w:val="00683E78"/>
    <w:rsid w:val="00684DC4"/>
    <w:rsid w:val="006919BA"/>
    <w:rsid w:val="0069252E"/>
    <w:rsid w:val="00695646"/>
    <w:rsid w:val="00697BDA"/>
    <w:rsid w:val="006A0B3B"/>
    <w:rsid w:val="006A135B"/>
    <w:rsid w:val="006A36A7"/>
    <w:rsid w:val="006A52CB"/>
    <w:rsid w:val="006B2A8F"/>
    <w:rsid w:val="006B3B8C"/>
    <w:rsid w:val="006B3C72"/>
    <w:rsid w:val="006B3F9D"/>
    <w:rsid w:val="006B4126"/>
    <w:rsid w:val="006B5B72"/>
    <w:rsid w:val="006B7F31"/>
    <w:rsid w:val="006D033D"/>
    <w:rsid w:val="006D066E"/>
    <w:rsid w:val="006D0C2A"/>
    <w:rsid w:val="006D3998"/>
    <w:rsid w:val="006D4609"/>
    <w:rsid w:val="006E6541"/>
    <w:rsid w:val="006F0311"/>
    <w:rsid w:val="006F0AD4"/>
    <w:rsid w:val="006F20A4"/>
    <w:rsid w:val="006F3A38"/>
    <w:rsid w:val="006F6F0A"/>
    <w:rsid w:val="00704E72"/>
    <w:rsid w:val="0070539C"/>
    <w:rsid w:val="00706F1E"/>
    <w:rsid w:val="0071170C"/>
    <w:rsid w:val="00711A2E"/>
    <w:rsid w:val="007165EF"/>
    <w:rsid w:val="00724A46"/>
    <w:rsid w:val="0072504A"/>
    <w:rsid w:val="00727818"/>
    <w:rsid w:val="007308EC"/>
    <w:rsid w:val="007358E3"/>
    <w:rsid w:val="0073718C"/>
    <w:rsid w:val="0074007B"/>
    <w:rsid w:val="00740E98"/>
    <w:rsid w:val="00745317"/>
    <w:rsid w:val="00745381"/>
    <w:rsid w:val="0075059C"/>
    <w:rsid w:val="0075385A"/>
    <w:rsid w:val="007551C0"/>
    <w:rsid w:val="007579BC"/>
    <w:rsid w:val="00757AAF"/>
    <w:rsid w:val="0076292A"/>
    <w:rsid w:val="0077137E"/>
    <w:rsid w:val="00771ADC"/>
    <w:rsid w:val="0077454B"/>
    <w:rsid w:val="007763F5"/>
    <w:rsid w:val="00777841"/>
    <w:rsid w:val="007819B9"/>
    <w:rsid w:val="007829D2"/>
    <w:rsid w:val="00783253"/>
    <w:rsid w:val="007857D7"/>
    <w:rsid w:val="007864B4"/>
    <w:rsid w:val="00786917"/>
    <w:rsid w:val="00787599"/>
    <w:rsid w:val="00787F7F"/>
    <w:rsid w:val="00790045"/>
    <w:rsid w:val="007A059B"/>
    <w:rsid w:val="007A23BC"/>
    <w:rsid w:val="007A320C"/>
    <w:rsid w:val="007A528B"/>
    <w:rsid w:val="007A62AE"/>
    <w:rsid w:val="007B0148"/>
    <w:rsid w:val="007B3DB5"/>
    <w:rsid w:val="007C0031"/>
    <w:rsid w:val="007C253C"/>
    <w:rsid w:val="007C3D79"/>
    <w:rsid w:val="007C491E"/>
    <w:rsid w:val="007C5C53"/>
    <w:rsid w:val="007D05D9"/>
    <w:rsid w:val="007D2056"/>
    <w:rsid w:val="007D6470"/>
    <w:rsid w:val="007E2CC8"/>
    <w:rsid w:val="007E4E8D"/>
    <w:rsid w:val="007E57A5"/>
    <w:rsid w:val="007E59C1"/>
    <w:rsid w:val="007F1C9F"/>
    <w:rsid w:val="007F21C9"/>
    <w:rsid w:val="007F2382"/>
    <w:rsid w:val="007F25AB"/>
    <w:rsid w:val="007F5534"/>
    <w:rsid w:val="007F6F21"/>
    <w:rsid w:val="008006D2"/>
    <w:rsid w:val="00804B19"/>
    <w:rsid w:val="00804D6C"/>
    <w:rsid w:val="0081136A"/>
    <w:rsid w:val="008138F1"/>
    <w:rsid w:val="00820397"/>
    <w:rsid w:val="008251F8"/>
    <w:rsid w:val="00831BDA"/>
    <w:rsid w:val="0083253A"/>
    <w:rsid w:val="008332EB"/>
    <w:rsid w:val="00836CAD"/>
    <w:rsid w:val="00837A86"/>
    <w:rsid w:val="00837F3C"/>
    <w:rsid w:val="00842117"/>
    <w:rsid w:val="008428EC"/>
    <w:rsid w:val="0084613F"/>
    <w:rsid w:val="00850A2A"/>
    <w:rsid w:val="00850D8B"/>
    <w:rsid w:val="008642A5"/>
    <w:rsid w:val="00864B7F"/>
    <w:rsid w:val="00866653"/>
    <w:rsid w:val="00870C76"/>
    <w:rsid w:val="0087656A"/>
    <w:rsid w:val="0088012B"/>
    <w:rsid w:val="008801A6"/>
    <w:rsid w:val="0088663D"/>
    <w:rsid w:val="00886F7C"/>
    <w:rsid w:val="00887AD0"/>
    <w:rsid w:val="00891411"/>
    <w:rsid w:val="008929FB"/>
    <w:rsid w:val="008942B2"/>
    <w:rsid w:val="00895DC7"/>
    <w:rsid w:val="008A212C"/>
    <w:rsid w:val="008A3004"/>
    <w:rsid w:val="008A3D18"/>
    <w:rsid w:val="008B024F"/>
    <w:rsid w:val="008B04AB"/>
    <w:rsid w:val="008B22DB"/>
    <w:rsid w:val="008C438A"/>
    <w:rsid w:val="008C463E"/>
    <w:rsid w:val="008C5427"/>
    <w:rsid w:val="008C6B9E"/>
    <w:rsid w:val="008D3503"/>
    <w:rsid w:val="008D508C"/>
    <w:rsid w:val="008D65A4"/>
    <w:rsid w:val="008D6A4D"/>
    <w:rsid w:val="008E0EDA"/>
    <w:rsid w:val="008E324A"/>
    <w:rsid w:val="008E4904"/>
    <w:rsid w:val="008E4A4D"/>
    <w:rsid w:val="008E6052"/>
    <w:rsid w:val="008E626E"/>
    <w:rsid w:val="008E7EFF"/>
    <w:rsid w:val="008F2D29"/>
    <w:rsid w:val="0090086D"/>
    <w:rsid w:val="00901FDA"/>
    <w:rsid w:val="00903BD5"/>
    <w:rsid w:val="00904099"/>
    <w:rsid w:val="00905146"/>
    <w:rsid w:val="00906AB9"/>
    <w:rsid w:val="00916577"/>
    <w:rsid w:val="00920206"/>
    <w:rsid w:val="00923909"/>
    <w:rsid w:val="0092618C"/>
    <w:rsid w:val="00926899"/>
    <w:rsid w:val="00931F3A"/>
    <w:rsid w:val="00931F63"/>
    <w:rsid w:val="009342E8"/>
    <w:rsid w:val="00934A38"/>
    <w:rsid w:val="00943049"/>
    <w:rsid w:val="009437B4"/>
    <w:rsid w:val="00946A44"/>
    <w:rsid w:val="009512C5"/>
    <w:rsid w:val="00951C33"/>
    <w:rsid w:val="0095216D"/>
    <w:rsid w:val="00952C84"/>
    <w:rsid w:val="0095449A"/>
    <w:rsid w:val="00960362"/>
    <w:rsid w:val="00960510"/>
    <w:rsid w:val="00961598"/>
    <w:rsid w:val="00962D5A"/>
    <w:rsid w:val="00963DDA"/>
    <w:rsid w:val="0096522C"/>
    <w:rsid w:val="00965AC7"/>
    <w:rsid w:val="00980656"/>
    <w:rsid w:val="0098114A"/>
    <w:rsid w:val="00985055"/>
    <w:rsid w:val="009872F5"/>
    <w:rsid w:val="009877BB"/>
    <w:rsid w:val="009878D3"/>
    <w:rsid w:val="009969FF"/>
    <w:rsid w:val="00997297"/>
    <w:rsid w:val="009A5D9B"/>
    <w:rsid w:val="009B15DA"/>
    <w:rsid w:val="009B46EB"/>
    <w:rsid w:val="009C0BE5"/>
    <w:rsid w:val="009C7CFF"/>
    <w:rsid w:val="009D2B02"/>
    <w:rsid w:val="009D7878"/>
    <w:rsid w:val="009E1DF0"/>
    <w:rsid w:val="009E33AB"/>
    <w:rsid w:val="009E4FD0"/>
    <w:rsid w:val="009E694A"/>
    <w:rsid w:val="009E7B6F"/>
    <w:rsid w:val="009F13E3"/>
    <w:rsid w:val="009F1C97"/>
    <w:rsid w:val="009F2D80"/>
    <w:rsid w:val="009F3681"/>
    <w:rsid w:val="009F578A"/>
    <w:rsid w:val="009F77C4"/>
    <w:rsid w:val="009F7D96"/>
    <w:rsid w:val="00A009FE"/>
    <w:rsid w:val="00A03F94"/>
    <w:rsid w:val="00A053F5"/>
    <w:rsid w:val="00A075C8"/>
    <w:rsid w:val="00A1123F"/>
    <w:rsid w:val="00A16A29"/>
    <w:rsid w:val="00A16CC5"/>
    <w:rsid w:val="00A20662"/>
    <w:rsid w:val="00A21497"/>
    <w:rsid w:val="00A25F72"/>
    <w:rsid w:val="00A324CD"/>
    <w:rsid w:val="00A4026E"/>
    <w:rsid w:val="00A410B0"/>
    <w:rsid w:val="00A4155D"/>
    <w:rsid w:val="00A45FF7"/>
    <w:rsid w:val="00A47ED0"/>
    <w:rsid w:val="00A6044B"/>
    <w:rsid w:val="00A606F1"/>
    <w:rsid w:val="00A60E5D"/>
    <w:rsid w:val="00A62918"/>
    <w:rsid w:val="00A6431D"/>
    <w:rsid w:val="00A66AED"/>
    <w:rsid w:val="00A676C7"/>
    <w:rsid w:val="00A67734"/>
    <w:rsid w:val="00A678E1"/>
    <w:rsid w:val="00A7013D"/>
    <w:rsid w:val="00A70AE7"/>
    <w:rsid w:val="00A717B4"/>
    <w:rsid w:val="00A71CD0"/>
    <w:rsid w:val="00A7271D"/>
    <w:rsid w:val="00A748D5"/>
    <w:rsid w:val="00A769F2"/>
    <w:rsid w:val="00A8208B"/>
    <w:rsid w:val="00A8327F"/>
    <w:rsid w:val="00A84246"/>
    <w:rsid w:val="00A8617A"/>
    <w:rsid w:val="00A901BE"/>
    <w:rsid w:val="00A9168D"/>
    <w:rsid w:val="00A94937"/>
    <w:rsid w:val="00A95049"/>
    <w:rsid w:val="00A955EF"/>
    <w:rsid w:val="00A965B3"/>
    <w:rsid w:val="00AA0217"/>
    <w:rsid w:val="00AA3104"/>
    <w:rsid w:val="00AA5B0F"/>
    <w:rsid w:val="00AA5F3A"/>
    <w:rsid w:val="00AB12FB"/>
    <w:rsid w:val="00AB28B2"/>
    <w:rsid w:val="00AB3391"/>
    <w:rsid w:val="00AB4754"/>
    <w:rsid w:val="00AB483D"/>
    <w:rsid w:val="00AB796A"/>
    <w:rsid w:val="00AC1AF6"/>
    <w:rsid w:val="00AC2020"/>
    <w:rsid w:val="00AC3E27"/>
    <w:rsid w:val="00AC6519"/>
    <w:rsid w:val="00AD064B"/>
    <w:rsid w:val="00AD08DB"/>
    <w:rsid w:val="00AD1FE1"/>
    <w:rsid w:val="00AD2AE0"/>
    <w:rsid w:val="00AD6740"/>
    <w:rsid w:val="00AE6544"/>
    <w:rsid w:val="00AF219D"/>
    <w:rsid w:val="00AF3C60"/>
    <w:rsid w:val="00AF438F"/>
    <w:rsid w:val="00AF5ACA"/>
    <w:rsid w:val="00AF6137"/>
    <w:rsid w:val="00AF79CC"/>
    <w:rsid w:val="00B00467"/>
    <w:rsid w:val="00B1064C"/>
    <w:rsid w:val="00B10D3A"/>
    <w:rsid w:val="00B16D30"/>
    <w:rsid w:val="00B220EA"/>
    <w:rsid w:val="00B32046"/>
    <w:rsid w:val="00B352AB"/>
    <w:rsid w:val="00B36F1A"/>
    <w:rsid w:val="00B3729B"/>
    <w:rsid w:val="00B50574"/>
    <w:rsid w:val="00B50598"/>
    <w:rsid w:val="00B50FEF"/>
    <w:rsid w:val="00B5584D"/>
    <w:rsid w:val="00B572BF"/>
    <w:rsid w:val="00B61518"/>
    <w:rsid w:val="00B61C55"/>
    <w:rsid w:val="00B67CFD"/>
    <w:rsid w:val="00B726FA"/>
    <w:rsid w:val="00B730A9"/>
    <w:rsid w:val="00B73FE7"/>
    <w:rsid w:val="00B74140"/>
    <w:rsid w:val="00B74543"/>
    <w:rsid w:val="00B76472"/>
    <w:rsid w:val="00B76CBD"/>
    <w:rsid w:val="00B777DC"/>
    <w:rsid w:val="00B779E8"/>
    <w:rsid w:val="00B81F52"/>
    <w:rsid w:val="00B820A8"/>
    <w:rsid w:val="00B820ED"/>
    <w:rsid w:val="00B8494A"/>
    <w:rsid w:val="00B8510C"/>
    <w:rsid w:val="00B8775B"/>
    <w:rsid w:val="00B87BEF"/>
    <w:rsid w:val="00B87D81"/>
    <w:rsid w:val="00B94877"/>
    <w:rsid w:val="00B95C8E"/>
    <w:rsid w:val="00B964BC"/>
    <w:rsid w:val="00BA2951"/>
    <w:rsid w:val="00BA4E26"/>
    <w:rsid w:val="00BA6E2D"/>
    <w:rsid w:val="00BA75B3"/>
    <w:rsid w:val="00BA7CC7"/>
    <w:rsid w:val="00BB345D"/>
    <w:rsid w:val="00BB3B12"/>
    <w:rsid w:val="00BB6958"/>
    <w:rsid w:val="00BB6C9B"/>
    <w:rsid w:val="00BB7716"/>
    <w:rsid w:val="00BC0295"/>
    <w:rsid w:val="00BC4119"/>
    <w:rsid w:val="00BC5ABC"/>
    <w:rsid w:val="00BC62FE"/>
    <w:rsid w:val="00BD2619"/>
    <w:rsid w:val="00BD3392"/>
    <w:rsid w:val="00BD4B9A"/>
    <w:rsid w:val="00BD620F"/>
    <w:rsid w:val="00BE1425"/>
    <w:rsid w:val="00BE4490"/>
    <w:rsid w:val="00BE4CEE"/>
    <w:rsid w:val="00BE5ACF"/>
    <w:rsid w:val="00BF2DF6"/>
    <w:rsid w:val="00BF2F0A"/>
    <w:rsid w:val="00BF46A2"/>
    <w:rsid w:val="00BF7DE9"/>
    <w:rsid w:val="00C00C5B"/>
    <w:rsid w:val="00C01208"/>
    <w:rsid w:val="00C02440"/>
    <w:rsid w:val="00C05B34"/>
    <w:rsid w:val="00C06803"/>
    <w:rsid w:val="00C07A86"/>
    <w:rsid w:val="00C10974"/>
    <w:rsid w:val="00C14F62"/>
    <w:rsid w:val="00C16963"/>
    <w:rsid w:val="00C17CD6"/>
    <w:rsid w:val="00C201E3"/>
    <w:rsid w:val="00C24E90"/>
    <w:rsid w:val="00C26295"/>
    <w:rsid w:val="00C35854"/>
    <w:rsid w:val="00C44FDD"/>
    <w:rsid w:val="00C46C13"/>
    <w:rsid w:val="00C47615"/>
    <w:rsid w:val="00C53684"/>
    <w:rsid w:val="00C5466D"/>
    <w:rsid w:val="00C5628A"/>
    <w:rsid w:val="00C63C1B"/>
    <w:rsid w:val="00C64D75"/>
    <w:rsid w:val="00C6550C"/>
    <w:rsid w:val="00C67321"/>
    <w:rsid w:val="00C70945"/>
    <w:rsid w:val="00C73C8E"/>
    <w:rsid w:val="00C75777"/>
    <w:rsid w:val="00C7588C"/>
    <w:rsid w:val="00C76BCA"/>
    <w:rsid w:val="00C76E4A"/>
    <w:rsid w:val="00C77BC9"/>
    <w:rsid w:val="00C80753"/>
    <w:rsid w:val="00C81AD7"/>
    <w:rsid w:val="00C81D66"/>
    <w:rsid w:val="00C834F9"/>
    <w:rsid w:val="00C84951"/>
    <w:rsid w:val="00C9150F"/>
    <w:rsid w:val="00C9308D"/>
    <w:rsid w:val="00C930DA"/>
    <w:rsid w:val="00C9477C"/>
    <w:rsid w:val="00C964C2"/>
    <w:rsid w:val="00C97293"/>
    <w:rsid w:val="00CA00E2"/>
    <w:rsid w:val="00CA20BF"/>
    <w:rsid w:val="00CA55DD"/>
    <w:rsid w:val="00CA6306"/>
    <w:rsid w:val="00CB019E"/>
    <w:rsid w:val="00CB1078"/>
    <w:rsid w:val="00CB1450"/>
    <w:rsid w:val="00CB2044"/>
    <w:rsid w:val="00CB6027"/>
    <w:rsid w:val="00CC62F1"/>
    <w:rsid w:val="00CC6400"/>
    <w:rsid w:val="00CC6ABA"/>
    <w:rsid w:val="00CD3064"/>
    <w:rsid w:val="00CD41CA"/>
    <w:rsid w:val="00CD5294"/>
    <w:rsid w:val="00CD76DE"/>
    <w:rsid w:val="00CE06DB"/>
    <w:rsid w:val="00CE2318"/>
    <w:rsid w:val="00CE56DE"/>
    <w:rsid w:val="00CE6A62"/>
    <w:rsid w:val="00CE7372"/>
    <w:rsid w:val="00CF6FB7"/>
    <w:rsid w:val="00CF7DCA"/>
    <w:rsid w:val="00D00EFD"/>
    <w:rsid w:val="00D107C5"/>
    <w:rsid w:val="00D12A68"/>
    <w:rsid w:val="00D14E97"/>
    <w:rsid w:val="00D152A7"/>
    <w:rsid w:val="00D15401"/>
    <w:rsid w:val="00D16C19"/>
    <w:rsid w:val="00D17B3A"/>
    <w:rsid w:val="00D234AF"/>
    <w:rsid w:val="00D23790"/>
    <w:rsid w:val="00D24809"/>
    <w:rsid w:val="00D26C7A"/>
    <w:rsid w:val="00D274C2"/>
    <w:rsid w:val="00D302E0"/>
    <w:rsid w:val="00D3240A"/>
    <w:rsid w:val="00D332BC"/>
    <w:rsid w:val="00D371E2"/>
    <w:rsid w:val="00D40D18"/>
    <w:rsid w:val="00D43F55"/>
    <w:rsid w:val="00D450AC"/>
    <w:rsid w:val="00D4687C"/>
    <w:rsid w:val="00D518E2"/>
    <w:rsid w:val="00D51D9E"/>
    <w:rsid w:val="00D54550"/>
    <w:rsid w:val="00D5501D"/>
    <w:rsid w:val="00D560D8"/>
    <w:rsid w:val="00D648DC"/>
    <w:rsid w:val="00D65110"/>
    <w:rsid w:val="00D67CE9"/>
    <w:rsid w:val="00D67E83"/>
    <w:rsid w:val="00D709EC"/>
    <w:rsid w:val="00D73E18"/>
    <w:rsid w:val="00D752CE"/>
    <w:rsid w:val="00D762C5"/>
    <w:rsid w:val="00D776FE"/>
    <w:rsid w:val="00D81F3A"/>
    <w:rsid w:val="00D87440"/>
    <w:rsid w:val="00D9231F"/>
    <w:rsid w:val="00D928FF"/>
    <w:rsid w:val="00D92A07"/>
    <w:rsid w:val="00D9786D"/>
    <w:rsid w:val="00DA2ABB"/>
    <w:rsid w:val="00DA7A08"/>
    <w:rsid w:val="00DB3A32"/>
    <w:rsid w:val="00DB7B44"/>
    <w:rsid w:val="00DC118C"/>
    <w:rsid w:val="00DC230F"/>
    <w:rsid w:val="00DC3347"/>
    <w:rsid w:val="00DD3BB8"/>
    <w:rsid w:val="00DD51DA"/>
    <w:rsid w:val="00DD7EAC"/>
    <w:rsid w:val="00DE1C4D"/>
    <w:rsid w:val="00DE382A"/>
    <w:rsid w:val="00DE5948"/>
    <w:rsid w:val="00DE61F6"/>
    <w:rsid w:val="00DF3738"/>
    <w:rsid w:val="00DF6DA5"/>
    <w:rsid w:val="00E00934"/>
    <w:rsid w:val="00E02D78"/>
    <w:rsid w:val="00E02D87"/>
    <w:rsid w:val="00E056A4"/>
    <w:rsid w:val="00E14911"/>
    <w:rsid w:val="00E16652"/>
    <w:rsid w:val="00E23037"/>
    <w:rsid w:val="00E26BD3"/>
    <w:rsid w:val="00E31FEB"/>
    <w:rsid w:val="00E34047"/>
    <w:rsid w:val="00E37696"/>
    <w:rsid w:val="00E40DA0"/>
    <w:rsid w:val="00E40E6B"/>
    <w:rsid w:val="00E42A56"/>
    <w:rsid w:val="00E42F54"/>
    <w:rsid w:val="00E5395D"/>
    <w:rsid w:val="00E57837"/>
    <w:rsid w:val="00E60DCA"/>
    <w:rsid w:val="00E74681"/>
    <w:rsid w:val="00E75F65"/>
    <w:rsid w:val="00E80818"/>
    <w:rsid w:val="00E815A6"/>
    <w:rsid w:val="00E81CE7"/>
    <w:rsid w:val="00E86A14"/>
    <w:rsid w:val="00E87E76"/>
    <w:rsid w:val="00E92CC5"/>
    <w:rsid w:val="00E95EEC"/>
    <w:rsid w:val="00E97593"/>
    <w:rsid w:val="00EA64E1"/>
    <w:rsid w:val="00EB145B"/>
    <w:rsid w:val="00EB471A"/>
    <w:rsid w:val="00EB5D19"/>
    <w:rsid w:val="00EB6770"/>
    <w:rsid w:val="00EC00CB"/>
    <w:rsid w:val="00EC05AE"/>
    <w:rsid w:val="00EC1122"/>
    <w:rsid w:val="00EC6239"/>
    <w:rsid w:val="00EC7FD7"/>
    <w:rsid w:val="00ED1232"/>
    <w:rsid w:val="00ED1F7A"/>
    <w:rsid w:val="00EE04EB"/>
    <w:rsid w:val="00EE27AB"/>
    <w:rsid w:val="00EE2A6E"/>
    <w:rsid w:val="00EE655F"/>
    <w:rsid w:val="00EE719C"/>
    <w:rsid w:val="00EF3330"/>
    <w:rsid w:val="00EF5284"/>
    <w:rsid w:val="00EF74C6"/>
    <w:rsid w:val="00F04D96"/>
    <w:rsid w:val="00F050DD"/>
    <w:rsid w:val="00F0564A"/>
    <w:rsid w:val="00F05FC2"/>
    <w:rsid w:val="00F070CD"/>
    <w:rsid w:val="00F07A7C"/>
    <w:rsid w:val="00F07BC3"/>
    <w:rsid w:val="00F1204E"/>
    <w:rsid w:val="00F151B6"/>
    <w:rsid w:val="00F168AA"/>
    <w:rsid w:val="00F20FA0"/>
    <w:rsid w:val="00F2105D"/>
    <w:rsid w:val="00F25191"/>
    <w:rsid w:val="00F273B7"/>
    <w:rsid w:val="00F312DB"/>
    <w:rsid w:val="00F340F6"/>
    <w:rsid w:val="00F3453B"/>
    <w:rsid w:val="00F3692B"/>
    <w:rsid w:val="00F42BFF"/>
    <w:rsid w:val="00F4752A"/>
    <w:rsid w:val="00F50319"/>
    <w:rsid w:val="00F5246C"/>
    <w:rsid w:val="00F542B0"/>
    <w:rsid w:val="00F56746"/>
    <w:rsid w:val="00F62338"/>
    <w:rsid w:val="00F6349E"/>
    <w:rsid w:val="00F63A57"/>
    <w:rsid w:val="00F649DF"/>
    <w:rsid w:val="00F66068"/>
    <w:rsid w:val="00F6737F"/>
    <w:rsid w:val="00F70D0D"/>
    <w:rsid w:val="00F7125D"/>
    <w:rsid w:val="00F712B3"/>
    <w:rsid w:val="00F87A6A"/>
    <w:rsid w:val="00F91631"/>
    <w:rsid w:val="00F9575D"/>
    <w:rsid w:val="00F95763"/>
    <w:rsid w:val="00F961D1"/>
    <w:rsid w:val="00F977D0"/>
    <w:rsid w:val="00F97FC9"/>
    <w:rsid w:val="00FA1E55"/>
    <w:rsid w:val="00FA3A4C"/>
    <w:rsid w:val="00FA6A95"/>
    <w:rsid w:val="00FB2279"/>
    <w:rsid w:val="00FC065C"/>
    <w:rsid w:val="00FC1540"/>
    <w:rsid w:val="00FC1C36"/>
    <w:rsid w:val="00FC5C89"/>
    <w:rsid w:val="00FC79E1"/>
    <w:rsid w:val="00FD0A23"/>
    <w:rsid w:val="00FD1F0F"/>
    <w:rsid w:val="00FD20A4"/>
    <w:rsid w:val="00FD21C6"/>
    <w:rsid w:val="00FD33E2"/>
    <w:rsid w:val="00FE1972"/>
    <w:rsid w:val="00FE2DB2"/>
    <w:rsid w:val="00FE416B"/>
    <w:rsid w:val="00FE6682"/>
    <w:rsid w:val="00FE6B0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5F125C-1B3A-CC4C-8C16-611AA142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A18"/>
    <w:rPr>
      <w:color w:val="000000"/>
      <w:sz w:val="24"/>
      <w:szCs w:val="24"/>
    </w:rPr>
  </w:style>
  <w:style w:type="paragraph" w:styleId="Heading1">
    <w:name w:val="heading 1"/>
    <w:basedOn w:val="Normal"/>
    <w:link w:val="Heading1Char"/>
    <w:qFormat/>
    <w:rsid w:val="0036767E"/>
    <w:pPr>
      <w:spacing w:before="100" w:beforeAutospacing="1" w:after="100" w:afterAutospacing="1"/>
      <w:outlineLvl w:val="0"/>
    </w:pPr>
    <w:rPr>
      <w:b/>
      <w:bCs/>
      <w:color w:val="auto"/>
      <w:kern w:val="36"/>
      <w:sz w:val="48"/>
      <w:szCs w:val="48"/>
    </w:rPr>
  </w:style>
  <w:style w:type="paragraph" w:styleId="Heading3">
    <w:name w:val="heading 3"/>
    <w:basedOn w:val="Normal"/>
    <w:next w:val="Normal"/>
    <w:qFormat/>
    <w:rsid w:val="00BB3B1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A0AED"/>
    <w:rPr>
      <w:sz w:val="20"/>
      <w:szCs w:val="20"/>
    </w:rPr>
  </w:style>
  <w:style w:type="character" w:styleId="FootnoteReference">
    <w:name w:val="footnote reference"/>
    <w:semiHidden/>
    <w:rsid w:val="003A0AED"/>
    <w:rPr>
      <w:vertAlign w:val="superscript"/>
    </w:rPr>
  </w:style>
  <w:style w:type="paragraph" w:styleId="BodyTextIndent">
    <w:name w:val="Body Text Indent"/>
    <w:basedOn w:val="Normal"/>
    <w:rsid w:val="003A0AED"/>
    <w:pPr>
      <w:spacing w:line="360" w:lineRule="auto"/>
      <w:ind w:firstLine="720"/>
    </w:pPr>
    <w:rPr>
      <w:color w:val="auto"/>
      <w:szCs w:val="20"/>
      <w:lang w:val="en-AU" w:eastAsia="nl-NL"/>
    </w:rPr>
  </w:style>
  <w:style w:type="table" w:styleId="TableGrid">
    <w:name w:val="Table Grid"/>
    <w:basedOn w:val="TableNormal"/>
    <w:rsid w:val="00892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E1AD5"/>
    <w:pPr>
      <w:tabs>
        <w:tab w:val="center" w:pos="4320"/>
        <w:tab w:val="right" w:pos="8640"/>
      </w:tabs>
    </w:pPr>
  </w:style>
  <w:style w:type="character" w:styleId="PageNumber">
    <w:name w:val="page number"/>
    <w:basedOn w:val="DefaultParagraphFont"/>
    <w:rsid w:val="005E1AD5"/>
  </w:style>
  <w:style w:type="paragraph" w:styleId="Footer">
    <w:name w:val="footer"/>
    <w:basedOn w:val="Normal"/>
    <w:rsid w:val="005E1AD5"/>
    <w:pPr>
      <w:tabs>
        <w:tab w:val="center" w:pos="4320"/>
        <w:tab w:val="right" w:pos="8640"/>
      </w:tabs>
    </w:pPr>
  </w:style>
  <w:style w:type="paragraph" w:styleId="BodyText3">
    <w:name w:val="Body Text 3"/>
    <w:basedOn w:val="Normal"/>
    <w:link w:val="BodyText3Char"/>
    <w:rsid w:val="0095449A"/>
    <w:pPr>
      <w:spacing w:after="120"/>
    </w:pPr>
    <w:rPr>
      <w:sz w:val="16"/>
      <w:szCs w:val="16"/>
    </w:rPr>
  </w:style>
  <w:style w:type="character" w:styleId="CommentReference">
    <w:name w:val="annotation reference"/>
    <w:semiHidden/>
    <w:rsid w:val="00444F8C"/>
    <w:rPr>
      <w:sz w:val="16"/>
      <w:szCs w:val="16"/>
    </w:rPr>
  </w:style>
  <w:style w:type="paragraph" w:styleId="CommentText">
    <w:name w:val="annotation text"/>
    <w:basedOn w:val="Normal"/>
    <w:semiHidden/>
    <w:rsid w:val="00444F8C"/>
    <w:rPr>
      <w:sz w:val="20"/>
      <w:szCs w:val="20"/>
    </w:rPr>
  </w:style>
  <w:style w:type="paragraph" w:styleId="CommentSubject">
    <w:name w:val="annotation subject"/>
    <w:basedOn w:val="CommentText"/>
    <w:next w:val="CommentText"/>
    <w:semiHidden/>
    <w:rsid w:val="00444F8C"/>
    <w:rPr>
      <w:b/>
      <w:bCs/>
    </w:rPr>
  </w:style>
  <w:style w:type="paragraph" w:styleId="BalloonText">
    <w:name w:val="Balloon Text"/>
    <w:basedOn w:val="Normal"/>
    <w:semiHidden/>
    <w:rsid w:val="00444F8C"/>
    <w:rPr>
      <w:rFonts w:ascii="Tahoma" w:hAnsi="Tahoma" w:cs="Tahoma"/>
      <w:sz w:val="16"/>
      <w:szCs w:val="16"/>
    </w:rPr>
  </w:style>
  <w:style w:type="character" w:styleId="Hyperlink">
    <w:name w:val="Hyperlink"/>
    <w:rsid w:val="00BB3B12"/>
    <w:rPr>
      <w:color w:val="0000FF"/>
      <w:u w:val="single"/>
    </w:rPr>
  </w:style>
  <w:style w:type="character" w:customStyle="1" w:styleId="nobreak">
    <w:name w:val="nobreak"/>
    <w:basedOn w:val="DefaultParagraphFont"/>
    <w:rsid w:val="00BB3B12"/>
  </w:style>
  <w:style w:type="character" w:styleId="FollowedHyperlink">
    <w:name w:val="FollowedHyperlink"/>
    <w:rsid w:val="00BB3B12"/>
    <w:rPr>
      <w:color w:val="800080"/>
      <w:u w:val="single"/>
    </w:rPr>
  </w:style>
  <w:style w:type="paragraph" w:styleId="NormalWeb">
    <w:name w:val="Normal (Web)"/>
    <w:basedOn w:val="Normal"/>
    <w:rsid w:val="00BB3B12"/>
    <w:pPr>
      <w:spacing w:before="100" w:beforeAutospacing="1" w:after="100" w:afterAutospacing="1"/>
    </w:pPr>
    <w:rPr>
      <w:color w:val="auto"/>
    </w:rPr>
  </w:style>
  <w:style w:type="character" w:customStyle="1" w:styleId="hithilite">
    <w:name w:val="hithilite"/>
    <w:basedOn w:val="DefaultParagraphFont"/>
    <w:rsid w:val="0075385A"/>
  </w:style>
  <w:style w:type="character" w:customStyle="1" w:styleId="smallv65">
    <w:name w:val="smallv65"/>
    <w:basedOn w:val="DefaultParagraphFont"/>
    <w:rsid w:val="00DC118C"/>
  </w:style>
  <w:style w:type="character" w:customStyle="1" w:styleId="frlabel">
    <w:name w:val="fr_label"/>
    <w:basedOn w:val="DefaultParagraphFont"/>
    <w:rsid w:val="00DC118C"/>
  </w:style>
  <w:style w:type="character" w:customStyle="1" w:styleId="frsourcelabel">
    <w:name w:val="fr_source_label"/>
    <w:basedOn w:val="DefaultParagraphFont"/>
    <w:rsid w:val="00DC118C"/>
  </w:style>
  <w:style w:type="character" w:customStyle="1" w:styleId="BodyText3Char">
    <w:name w:val="Body Text 3 Char"/>
    <w:link w:val="BodyText3"/>
    <w:rsid w:val="000C53D2"/>
    <w:rPr>
      <w:color w:val="000000"/>
      <w:sz w:val="16"/>
      <w:szCs w:val="16"/>
    </w:rPr>
  </w:style>
  <w:style w:type="paragraph" w:customStyle="1" w:styleId="Default">
    <w:name w:val="Default"/>
    <w:rsid w:val="00D9231F"/>
    <w:pPr>
      <w:autoSpaceDE w:val="0"/>
      <w:autoSpaceDN w:val="0"/>
      <w:adjustRightInd w:val="0"/>
    </w:pPr>
    <w:rPr>
      <w:rFonts w:eastAsia="Calibri"/>
      <w:color w:val="000000"/>
      <w:sz w:val="24"/>
      <w:szCs w:val="24"/>
    </w:rPr>
  </w:style>
  <w:style w:type="character" w:customStyle="1" w:styleId="Heading1Char">
    <w:name w:val="Heading 1 Char"/>
    <w:link w:val="Heading1"/>
    <w:rsid w:val="001E33ED"/>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105490">
      <w:bodyDiv w:val="1"/>
      <w:marLeft w:val="0"/>
      <w:marRight w:val="0"/>
      <w:marTop w:val="0"/>
      <w:marBottom w:val="0"/>
      <w:divBdr>
        <w:top w:val="none" w:sz="0" w:space="0" w:color="auto"/>
        <w:left w:val="none" w:sz="0" w:space="0" w:color="auto"/>
        <w:bottom w:val="none" w:sz="0" w:space="0" w:color="auto"/>
        <w:right w:val="none" w:sz="0" w:space="0" w:color="auto"/>
      </w:divBdr>
    </w:div>
    <w:div w:id="405224965">
      <w:bodyDiv w:val="1"/>
      <w:marLeft w:val="0"/>
      <w:marRight w:val="0"/>
      <w:marTop w:val="0"/>
      <w:marBottom w:val="0"/>
      <w:divBdr>
        <w:top w:val="none" w:sz="0" w:space="0" w:color="auto"/>
        <w:left w:val="none" w:sz="0" w:space="0" w:color="auto"/>
        <w:bottom w:val="none" w:sz="0" w:space="0" w:color="auto"/>
        <w:right w:val="none" w:sz="0" w:space="0" w:color="auto"/>
      </w:divBdr>
    </w:div>
    <w:div w:id="866216274">
      <w:bodyDiv w:val="1"/>
      <w:marLeft w:val="0"/>
      <w:marRight w:val="0"/>
      <w:marTop w:val="0"/>
      <w:marBottom w:val="0"/>
      <w:divBdr>
        <w:top w:val="none" w:sz="0" w:space="0" w:color="auto"/>
        <w:left w:val="none" w:sz="0" w:space="0" w:color="auto"/>
        <w:bottom w:val="none" w:sz="0" w:space="0" w:color="auto"/>
        <w:right w:val="none" w:sz="0" w:space="0" w:color="auto"/>
      </w:divBdr>
    </w:div>
    <w:div w:id="1052077400">
      <w:bodyDiv w:val="1"/>
      <w:marLeft w:val="0"/>
      <w:marRight w:val="0"/>
      <w:marTop w:val="0"/>
      <w:marBottom w:val="0"/>
      <w:divBdr>
        <w:top w:val="none" w:sz="0" w:space="0" w:color="auto"/>
        <w:left w:val="none" w:sz="0" w:space="0" w:color="auto"/>
        <w:bottom w:val="none" w:sz="0" w:space="0" w:color="auto"/>
        <w:right w:val="none" w:sz="0" w:space="0" w:color="auto"/>
      </w:divBdr>
    </w:div>
    <w:div w:id="1056202181">
      <w:bodyDiv w:val="1"/>
      <w:marLeft w:val="0"/>
      <w:marRight w:val="0"/>
      <w:marTop w:val="0"/>
      <w:marBottom w:val="0"/>
      <w:divBdr>
        <w:top w:val="none" w:sz="0" w:space="0" w:color="auto"/>
        <w:left w:val="none" w:sz="0" w:space="0" w:color="auto"/>
        <w:bottom w:val="none" w:sz="0" w:space="0" w:color="auto"/>
        <w:right w:val="none" w:sz="0" w:space="0" w:color="auto"/>
      </w:divBdr>
    </w:div>
    <w:div w:id="1687976412">
      <w:bodyDiv w:val="1"/>
      <w:marLeft w:val="0"/>
      <w:marRight w:val="0"/>
      <w:marTop w:val="0"/>
      <w:marBottom w:val="0"/>
      <w:divBdr>
        <w:top w:val="none" w:sz="0" w:space="0" w:color="auto"/>
        <w:left w:val="none" w:sz="0" w:space="0" w:color="auto"/>
        <w:bottom w:val="none" w:sz="0" w:space="0" w:color="auto"/>
        <w:right w:val="none" w:sz="0" w:space="0" w:color="auto"/>
      </w:divBdr>
    </w:div>
    <w:div w:id="1885554871">
      <w:bodyDiv w:val="1"/>
      <w:marLeft w:val="0"/>
      <w:marRight w:val="0"/>
      <w:marTop w:val="0"/>
      <w:marBottom w:val="0"/>
      <w:divBdr>
        <w:top w:val="none" w:sz="0" w:space="0" w:color="auto"/>
        <w:left w:val="none" w:sz="0" w:space="0" w:color="auto"/>
        <w:bottom w:val="none" w:sz="0" w:space="0" w:color="auto"/>
        <w:right w:val="none" w:sz="0" w:space="0" w:color="auto"/>
      </w:divBdr>
    </w:div>
    <w:div w:id="1982072356">
      <w:bodyDiv w:val="1"/>
      <w:marLeft w:val="0"/>
      <w:marRight w:val="0"/>
      <w:marTop w:val="0"/>
      <w:marBottom w:val="0"/>
      <w:divBdr>
        <w:top w:val="none" w:sz="0" w:space="0" w:color="auto"/>
        <w:left w:val="none" w:sz="0" w:space="0" w:color="auto"/>
        <w:bottom w:val="none" w:sz="0" w:space="0" w:color="auto"/>
        <w:right w:val="none" w:sz="0" w:space="0" w:color="auto"/>
      </w:divBdr>
      <w:divsChild>
        <w:div w:id="532614938">
          <w:marLeft w:val="0"/>
          <w:marRight w:val="0"/>
          <w:marTop w:val="0"/>
          <w:marBottom w:val="0"/>
          <w:divBdr>
            <w:top w:val="none" w:sz="0" w:space="0" w:color="auto"/>
            <w:left w:val="none" w:sz="0" w:space="0" w:color="auto"/>
            <w:bottom w:val="none" w:sz="0" w:space="0" w:color="auto"/>
            <w:right w:val="none" w:sz="0" w:space="0" w:color="auto"/>
          </w:divBdr>
        </w:div>
      </w:divsChild>
    </w:div>
    <w:div w:id="2071881606">
      <w:bodyDiv w:val="1"/>
      <w:marLeft w:val="0"/>
      <w:marRight w:val="0"/>
      <w:marTop w:val="0"/>
      <w:marBottom w:val="0"/>
      <w:divBdr>
        <w:top w:val="none" w:sz="0" w:space="0" w:color="auto"/>
        <w:left w:val="none" w:sz="0" w:space="0" w:color="auto"/>
        <w:bottom w:val="none" w:sz="0" w:space="0" w:color="auto"/>
        <w:right w:val="none" w:sz="0" w:space="0" w:color="auto"/>
      </w:divBdr>
      <w:divsChild>
        <w:div w:id="1468477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7753</Words>
  <Characters>44195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Running head: PARENTAL TRANSITIONS AND ADOLESCENT DATING</vt:lpstr>
    </vt:vector>
  </TitlesOfParts>
  <Company/>
  <LinksUpToDate>false</LinksUpToDate>
  <CharactersWithSpaces>51845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PARENTAL TRANSITIONS AND ADOLESCENT DATING</dc:title>
  <dc:subject/>
  <dc:creator>laptopmills</dc:creator>
  <cp:keywords/>
  <dc:description/>
  <cp:lastModifiedBy>Microsoft Office User</cp:lastModifiedBy>
  <cp:revision>2</cp:revision>
  <cp:lastPrinted>2011-07-10T11:37:00Z</cp:lastPrinted>
  <dcterms:created xsi:type="dcterms:W3CDTF">2018-03-31T19:51:00Z</dcterms:created>
  <dcterms:modified xsi:type="dcterms:W3CDTF">2018-03-31T19:51:00Z</dcterms:modified>
</cp:coreProperties>
</file>