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6D724" w14:textId="4EED8836" w:rsidR="00B2706E" w:rsidRPr="00D45F3E" w:rsidRDefault="00285BD3" w:rsidP="00D45F3E">
      <w:pPr>
        <w:jc w:val="center"/>
        <w:rPr>
          <w:b/>
          <w:szCs w:val="24"/>
        </w:rPr>
      </w:pPr>
      <w:bookmarkStart w:id="0" w:name="_GoBack"/>
      <w:bookmarkEnd w:id="0"/>
      <w:r>
        <w:rPr>
          <w:b/>
          <w:sz w:val="20"/>
          <w:szCs w:val="20"/>
          <w:u w:val="single"/>
        </w:rPr>
        <w:t>The United Kingdom Responses</w:t>
      </w:r>
      <w:r w:rsidR="00A07994">
        <w:rPr>
          <w:b/>
          <w:szCs w:val="24"/>
        </w:rPr>
        <w:t xml:space="preserve"> </w:t>
      </w:r>
      <w:r w:rsidR="00591B89">
        <w:rPr>
          <w:b/>
          <w:szCs w:val="24"/>
        </w:rPr>
        <w:t xml:space="preserve"> </w:t>
      </w:r>
    </w:p>
    <w:p w14:paraId="6FABCEA5" w14:textId="3872D30D" w:rsidR="004F1635" w:rsidRDefault="00AD4483" w:rsidP="00E072B9">
      <w:pPr>
        <w:spacing w:before="120" w:after="120"/>
        <w:jc w:val="center"/>
        <w:rPr>
          <w:rFonts w:cs="Times New Roman"/>
          <w:sz w:val="20"/>
          <w:szCs w:val="20"/>
        </w:rPr>
      </w:pPr>
      <w:r w:rsidRPr="00D45F3E">
        <w:rPr>
          <w:rFonts w:cs="Times New Roman"/>
          <w:sz w:val="20"/>
          <w:szCs w:val="20"/>
        </w:rPr>
        <w:t>Jane Kaye</w:t>
      </w:r>
      <w:r w:rsidR="004F1635">
        <w:rPr>
          <w:rFonts w:cs="Times New Roman"/>
          <w:sz w:val="20"/>
          <w:szCs w:val="20"/>
        </w:rPr>
        <w:t>, HeLEX Centre for Health, Law and Emerging Technologies University of Oxford, Oxford, United Kingdom</w:t>
      </w:r>
    </w:p>
    <w:p w14:paraId="3C0D8D8B" w14:textId="551CAD92" w:rsidR="004F1635" w:rsidRDefault="00AD4483" w:rsidP="00E072B9">
      <w:pPr>
        <w:spacing w:before="120" w:after="120"/>
        <w:jc w:val="center"/>
        <w:rPr>
          <w:rFonts w:cs="Times New Roman"/>
          <w:sz w:val="20"/>
          <w:szCs w:val="20"/>
        </w:rPr>
      </w:pPr>
      <w:r w:rsidRPr="00D45F3E">
        <w:rPr>
          <w:rFonts w:cs="Times New Roman"/>
          <w:sz w:val="20"/>
          <w:szCs w:val="20"/>
        </w:rPr>
        <w:t xml:space="preserve"> Andelka Phillips</w:t>
      </w:r>
      <w:r w:rsidR="008D2D22" w:rsidRPr="00D45F3E">
        <w:rPr>
          <w:rFonts w:cs="Times New Roman"/>
          <w:sz w:val="20"/>
          <w:szCs w:val="20"/>
        </w:rPr>
        <w:t>,</w:t>
      </w:r>
      <w:r w:rsidRPr="00D45F3E">
        <w:rPr>
          <w:rFonts w:cs="Times New Roman"/>
          <w:sz w:val="20"/>
          <w:szCs w:val="20"/>
        </w:rPr>
        <w:t xml:space="preserve"> </w:t>
      </w:r>
      <w:r w:rsidR="004F1635">
        <w:rPr>
          <w:rFonts w:cs="Times New Roman"/>
          <w:sz w:val="20"/>
          <w:szCs w:val="20"/>
        </w:rPr>
        <w:t>Te Piringa Faculty of Law, University of Waikato, New Zealand</w:t>
      </w:r>
    </w:p>
    <w:p w14:paraId="364E56CE" w14:textId="6589D8D0" w:rsidR="00AD4483" w:rsidRPr="004F1635" w:rsidRDefault="008D2D22" w:rsidP="004F1635">
      <w:pPr>
        <w:spacing w:before="120" w:after="120"/>
        <w:jc w:val="center"/>
        <w:rPr>
          <w:rFonts w:cs="Times New Roman"/>
          <w:sz w:val="20"/>
          <w:szCs w:val="20"/>
          <w:vertAlign w:val="superscript"/>
        </w:rPr>
      </w:pPr>
      <w:r w:rsidRPr="00D45F3E">
        <w:rPr>
          <w:rFonts w:cs="Times New Roman"/>
          <w:sz w:val="20"/>
          <w:szCs w:val="20"/>
        </w:rPr>
        <w:t>Heather Gowans</w:t>
      </w:r>
      <w:r w:rsidR="004F1635">
        <w:rPr>
          <w:rFonts w:cs="Times New Roman"/>
          <w:sz w:val="20"/>
          <w:szCs w:val="20"/>
          <w:vertAlign w:val="superscript"/>
        </w:rPr>
        <w:t xml:space="preserve"> </w:t>
      </w:r>
      <w:r w:rsidR="00AD4483" w:rsidRPr="00D45F3E">
        <w:rPr>
          <w:rFonts w:cs="Times New Roman"/>
          <w:sz w:val="20"/>
          <w:szCs w:val="20"/>
        </w:rPr>
        <w:t xml:space="preserve">and </w:t>
      </w:r>
      <w:r w:rsidRPr="00D45F3E">
        <w:rPr>
          <w:rFonts w:cs="Times New Roman"/>
          <w:sz w:val="20"/>
          <w:szCs w:val="20"/>
        </w:rPr>
        <w:t>Nisha Shah</w:t>
      </w:r>
      <w:r w:rsidR="004F1635">
        <w:rPr>
          <w:rFonts w:cs="Times New Roman"/>
          <w:sz w:val="20"/>
          <w:szCs w:val="20"/>
        </w:rPr>
        <w:t>, HeLEX Centre for Health, Law and Emerging Technologies University of Oxford, Oxford, United Kingdom</w:t>
      </w:r>
    </w:p>
    <w:p w14:paraId="31456A8E" w14:textId="77777777" w:rsidR="0016368D" w:rsidRPr="00D45F3E" w:rsidRDefault="0016368D" w:rsidP="00BC5409">
      <w:pPr>
        <w:jc w:val="both"/>
        <w:rPr>
          <w:rFonts w:cs="Times New Roman"/>
          <w:sz w:val="20"/>
          <w:szCs w:val="20"/>
        </w:rPr>
      </w:pPr>
    </w:p>
    <w:p w14:paraId="1B677C61" w14:textId="04C89C94" w:rsidR="00E303F0" w:rsidRPr="00D45F3E" w:rsidRDefault="00E303F0" w:rsidP="00ED1295">
      <w:pPr>
        <w:rPr>
          <w:rFonts w:cs="Times New Roman"/>
          <w:b/>
          <w:i/>
          <w:sz w:val="20"/>
          <w:szCs w:val="20"/>
        </w:rPr>
      </w:pPr>
      <w:r w:rsidRPr="00D45F3E">
        <w:rPr>
          <w:rFonts w:cs="Times New Roman"/>
          <w:b/>
          <w:i/>
          <w:sz w:val="20"/>
          <w:szCs w:val="20"/>
        </w:rPr>
        <w:t xml:space="preserve">Part I – DTP-Specific </w:t>
      </w:r>
      <w:r w:rsidR="00ED1295" w:rsidRPr="00D45F3E">
        <w:rPr>
          <w:rFonts w:cs="Times New Roman"/>
          <w:b/>
          <w:i/>
          <w:sz w:val="20"/>
          <w:szCs w:val="20"/>
        </w:rPr>
        <w:t>Question</w:t>
      </w:r>
      <w:r w:rsidRPr="00D45F3E">
        <w:rPr>
          <w:rFonts w:cs="Times New Roman"/>
          <w:b/>
          <w:i/>
          <w:sz w:val="20"/>
          <w:szCs w:val="20"/>
        </w:rPr>
        <w:t>s</w:t>
      </w:r>
    </w:p>
    <w:p w14:paraId="2A51DF77" w14:textId="77777777" w:rsidR="0016368D" w:rsidRPr="00D45F3E" w:rsidRDefault="0016368D" w:rsidP="0016368D">
      <w:pPr>
        <w:pStyle w:val="ListParagraph"/>
        <w:ind w:left="0"/>
        <w:contextualSpacing w:val="0"/>
        <w:rPr>
          <w:rFonts w:cs="Times New Roman"/>
          <w:sz w:val="20"/>
          <w:szCs w:val="20"/>
        </w:rPr>
      </w:pPr>
    </w:p>
    <w:p w14:paraId="135AF530" w14:textId="45DACE37" w:rsidR="00154803" w:rsidRPr="00D45F3E" w:rsidRDefault="003161B3" w:rsidP="00BC5409">
      <w:pPr>
        <w:pStyle w:val="ListParagraph"/>
        <w:numPr>
          <w:ilvl w:val="0"/>
          <w:numId w:val="1"/>
        </w:numPr>
        <w:ind w:left="446" w:hanging="446"/>
        <w:contextualSpacing w:val="0"/>
        <w:jc w:val="both"/>
        <w:rPr>
          <w:rFonts w:cs="Times New Roman"/>
          <w:b/>
          <w:bCs/>
          <w:sz w:val="20"/>
          <w:szCs w:val="20"/>
        </w:rPr>
      </w:pPr>
      <w:r w:rsidRPr="00D45F3E">
        <w:rPr>
          <w:rFonts w:cs="Times New Roman"/>
          <w:b/>
          <w:bCs/>
          <w:sz w:val="20"/>
          <w:szCs w:val="20"/>
        </w:rPr>
        <w:t>As far as you know, is</w:t>
      </w:r>
      <w:r w:rsidR="00255087" w:rsidRPr="00D45F3E">
        <w:rPr>
          <w:rFonts w:cs="Times New Roman"/>
          <w:b/>
          <w:bCs/>
          <w:sz w:val="20"/>
          <w:szCs w:val="20"/>
        </w:rPr>
        <w:t xml:space="preserve"> DTP genomic research a topic of interest to researchers or </w:t>
      </w:r>
      <w:r w:rsidR="00F7555B" w:rsidRPr="00D45F3E">
        <w:rPr>
          <w:rFonts w:cs="Times New Roman"/>
          <w:b/>
          <w:bCs/>
          <w:sz w:val="20"/>
          <w:szCs w:val="20"/>
        </w:rPr>
        <w:t>other stakeholders</w:t>
      </w:r>
      <w:r w:rsidR="00255087" w:rsidRPr="00D45F3E">
        <w:rPr>
          <w:rFonts w:cs="Times New Roman"/>
          <w:b/>
          <w:bCs/>
          <w:sz w:val="20"/>
          <w:szCs w:val="20"/>
        </w:rPr>
        <w:t xml:space="preserve"> in your country</w:t>
      </w:r>
      <w:r w:rsidR="004C7732" w:rsidRPr="00D45F3E">
        <w:rPr>
          <w:rFonts w:cs="Times New Roman"/>
          <w:b/>
          <w:bCs/>
          <w:sz w:val="20"/>
          <w:szCs w:val="20"/>
        </w:rPr>
        <w:t xml:space="preserve">? </w:t>
      </w:r>
      <w:r w:rsidR="00154803" w:rsidRPr="00D45F3E">
        <w:rPr>
          <w:rFonts w:cs="Times New Roman"/>
          <w:b/>
          <w:bCs/>
          <w:sz w:val="20"/>
          <w:szCs w:val="20"/>
        </w:rPr>
        <w:t>[Multiple choice]</w:t>
      </w:r>
    </w:p>
    <w:p w14:paraId="7625EEF1" w14:textId="77777777" w:rsidR="00285BD3" w:rsidRPr="00D45F3E" w:rsidRDefault="00285BD3" w:rsidP="00285BD3">
      <w:pPr>
        <w:pStyle w:val="ListParagraph"/>
        <w:ind w:left="446"/>
        <w:contextualSpacing w:val="0"/>
        <w:jc w:val="both"/>
        <w:rPr>
          <w:rFonts w:cs="Times New Roman"/>
          <w:b/>
          <w:bCs/>
          <w:sz w:val="20"/>
          <w:szCs w:val="20"/>
        </w:rPr>
      </w:pPr>
    </w:p>
    <w:p w14:paraId="00ED1DE6" w14:textId="77777777" w:rsidR="00CA4F7E" w:rsidRPr="00D45F3E" w:rsidRDefault="00154803" w:rsidP="00BC5409">
      <w:pPr>
        <w:ind w:left="720"/>
        <w:jc w:val="both"/>
        <w:rPr>
          <w:rFonts w:cs="Times New Roman"/>
          <w:sz w:val="20"/>
          <w:szCs w:val="20"/>
        </w:rPr>
      </w:pPr>
      <w:r w:rsidRPr="00D45F3E">
        <w:rPr>
          <w:rFonts w:cs="Times New Roman"/>
          <w:sz w:val="20"/>
          <w:szCs w:val="20"/>
        </w:rPr>
        <w:t xml:space="preserve">(a) There has been little, if any, </w:t>
      </w:r>
      <w:r w:rsidR="00961C08" w:rsidRPr="00D45F3E">
        <w:rPr>
          <w:rFonts w:cs="Times New Roman"/>
          <w:sz w:val="20"/>
          <w:szCs w:val="20"/>
        </w:rPr>
        <w:t>discussion of the issue as of now</w:t>
      </w:r>
    </w:p>
    <w:p w14:paraId="464201B8" w14:textId="0C2E1309" w:rsidR="00961C08" w:rsidRPr="00D45F3E" w:rsidRDefault="00961C08" w:rsidP="00BC5409">
      <w:pPr>
        <w:ind w:left="720"/>
        <w:jc w:val="both"/>
        <w:rPr>
          <w:rFonts w:cs="Times New Roman"/>
          <w:sz w:val="20"/>
          <w:szCs w:val="20"/>
        </w:rPr>
      </w:pPr>
      <w:r w:rsidRPr="00D45F3E">
        <w:rPr>
          <w:rFonts w:cs="Times New Roman"/>
          <w:sz w:val="20"/>
          <w:szCs w:val="20"/>
        </w:rPr>
        <w:t>(b) There has been discussion among researchers, but little d</w:t>
      </w:r>
      <w:r w:rsidR="005C199D" w:rsidRPr="00D45F3E">
        <w:rPr>
          <w:rFonts w:cs="Times New Roman"/>
          <w:sz w:val="20"/>
          <w:szCs w:val="20"/>
        </w:rPr>
        <w:t xml:space="preserve">iscussion among </w:t>
      </w:r>
      <w:r w:rsidRPr="00D45F3E">
        <w:rPr>
          <w:rFonts w:cs="Times New Roman"/>
          <w:sz w:val="20"/>
          <w:szCs w:val="20"/>
        </w:rPr>
        <w:t>policy makers</w:t>
      </w:r>
    </w:p>
    <w:p w14:paraId="4BEF650F" w14:textId="5784D351" w:rsidR="00961C08" w:rsidRPr="00D45F3E" w:rsidRDefault="00961C08" w:rsidP="00BC5409">
      <w:pPr>
        <w:ind w:left="720"/>
        <w:jc w:val="both"/>
        <w:rPr>
          <w:rFonts w:cs="Times New Roman"/>
          <w:sz w:val="20"/>
          <w:szCs w:val="20"/>
          <w:highlight w:val="yellow"/>
        </w:rPr>
      </w:pPr>
      <w:r w:rsidRPr="00D45F3E">
        <w:rPr>
          <w:rFonts w:cs="Times New Roman"/>
          <w:sz w:val="20"/>
          <w:szCs w:val="20"/>
        </w:rPr>
        <w:t>(c) There has been discussion among both researchers and policy makers</w:t>
      </w:r>
    </w:p>
    <w:p w14:paraId="1DABBFFE" w14:textId="6DA451A6" w:rsidR="00D54CE0" w:rsidRPr="00D45F3E" w:rsidRDefault="00C02861" w:rsidP="00BC5409">
      <w:pPr>
        <w:ind w:left="720"/>
        <w:jc w:val="both"/>
        <w:rPr>
          <w:rFonts w:cs="Times New Roman"/>
          <w:sz w:val="20"/>
          <w:szCs w:val="20"/>
        </w:rPr>
      </w:pPr>
      <w:r w:rsidRPr="00D45F3E">
        <w:rPr>
          <w:rFonts w:cs="Times New Roman"/>
          <w:sz w:val="20"/>
          <w:szCs w:val="20"/>
        </w:rPr>
        <w:t>(d) I am not sure – or other answer</w:t>
      </w:r>
    </w:p>
    <w:p w14:paraId="53DD4DF5" w14:textId="77777777" w:rsidR="00C02861" w:rsidRPr="00D45F3E" w:rsidRDefault="00C02861" w:rsidP="00BC5409">
      <w:pPr>
        <w:ind w:left="720"/>
        <w:jc w:val="both"/>
        <w:rPr>
          <w:rFonts w:cs="Times New Roman"/>
          <w:sz w:val="20"/>
          <w:szCs w:val="20"/>
          <w:highlight w:val="yellow"/>
        </w:rPr>
      </w:pPr>
    </w:p>
    <w:p w14:paraId="2CD66274" w14:textId="75C7F62C" w:rsidR="00CA381A" w:rsidRPr="00D45F3E" w:rsidRDefault="004B3177" w:rsidP="004C31EF">
      <w:pPr>
        <w:jc w:val="both"/>
        <w:rPr>
          <w:rFonts w:cs="Times New Roman"/>
          <w:sz w:val="20"/>
          <w:szCs w:val="20"/>
        </w:rPr>
      </w:pPr>
      <w:r w:rsidRPr="00D45F3E">
        <w:rPr>
          <w:rFonts w:cs="Times New Roman"/>
          <w:sz w:val="20"/>
          <w:szCs w:val="20"/>
        </w:rPr>
        <w:t xml:space="preserve">As far as we are aware, when UK researchers </w:t>
      </w:r>
      <w:r w:rsidR="00CA381A" w:rsidRPr="00D45F3E">
        <w:rPr>
          <w:rFonts w:cs="Times New Roman"/>
          <w:sz w:val="20"/>
          <w:szCs w:val="20"/>
        </w:rPr>
        <w:t xml:space="preserve">based in universities and publicly–funded institutions </w:t>
      </w:r>
      <w:r w:rsidRPr="00D45F3E">
        <w:rPr>
          <w:rFonts w:cs="Times New Roman"/>
          <w:sz w:val="20"/>
          <w:szCs w:val="20"/>
        </w:rPr>
        <w:t>wish to recruit participants in other countries</w:t>
      </w:r>
      <w:r w:rsidR="00CA381A" w:rsidRPr="00D45F3E">
        <w:rPr>
          <w:rFonts w:cs="Times New Roman"/>
          <w:sz w:val="20"/>
          <w:szCs w:val="20"/>
        </w:rPr>
        <w:t xml:space="preserve"> for medical research</w:t>
      </w:r>
      <w:r w:rsidRPr="00D45F3E">
        <w:rPr>
          <w:rFonts w:cs="Times New Roman"/>
          <w:sz w:val="20"/>
          <w:szCs w:val="20"/>
        </w:rPr>
        <w:t xml:space="preserve">, this is usually </w:t>
      </w:r>
      <w:r w:rsidR="00CA381A" w:rsidRPr="00D45F3E">
        <w:rPr>
          <w:rFonts w:cs="Times New Roman"/>
          <w:sz w:val="20"/>
          <w:szCs w:val="20"/>
        </w:rPr>
        <w:t>done as partners to a funding collaboration.  Recruitment is usually carried out</w:t>
      </w:r>
      <w:r w:rsidRPr="00D45F3E">
        <w:rPr>
          <w:rFonts w:cs="Times New Roman"/>
          <w:sz w:val="20"/>
          <w:szCs w:val="20"/>
        </w:rPr>
        <w:t xml:space="preserve"> through clinical leads, biobanks,</w:t>
      </w:r>
      <w:r w:rsidR="00CA381A" w:rsidRPr="00D45F3E">
        <w:rPr>
          <w:rFonts w:cs="Times New Roman"/>
          <w:sz w:val="20"/>
          <w:szCs w:val="20"/>
        </w:rPr>
        <w:t xml:space="preserve"> cohort studies</w:t>
      </w:r>
      <w:r w:rsidR="002944BA" w:rsidRPr="00D45F3E">
        <w:rPr>
          <w:rFonts w:cs="Times New Roman"/>
          <w:sz w:val="20"/>
          <w:szCs w:val="20"/>
        </w:rPr>
        <w:t>,</w:t>
      </w:r>
      <w:r w:rsidR="00CA381A" w:rsidRPr="00D45F3E">
        <w:rPr>
          <w:rFonts w:cs="Times New Roman"/>
          <w:sz w:val="20"/>
          <w:szCs w:val="20"/>
        </w:rPr>
        <w:t xml:space="preserve"> or hospitals to reach patients in other countries</w:t>
      </w:r>
      <w:r w:rsidR="00657305" w:rsidRPr="00D45F3E">
        <w:rPr>
          <w:rFonts w:cs="Times New Roman"/>
          <w:sz w:val="20"/>
          <w:szCs w:val="20"/>
        </w:rPr>
        <w:t xml:space="preserve"> and increase the power and scope of a study</w:t>
      </w:r>
      <w:r w:rsidR="00CA381A" w:rsidRPr="00D45F3E">
        <w:rPr>
          <w:rFonts w:cs="Times New Roman"/>
          <w:sz w:val="20"/>
          <w:szCs w:val="20"/>
        </w:rPr>
        <w:t>.</w:t>
      </w:r>
      <w:r w:rsidRPr="00D45F3E">
        <w:rPr>
          <w:rFonts w:cs="Times New Roman"/>
          <w:sz w:val="20"/>
          <w:szCs w:val="20"/>
        </w:rPr>
        <w:t xml:space="preserve"> </w:t>
      </w:r>
      <w:r w:rsidR="00CA381A" w:rsidRPr="00D45F3E">
        <w:rPr>
          <w:rFonts w:cs="Times New Roman"/>
          <w:sz w:val="20"/>
          <w:szCs w:val="20"/>
        </w:rPr>
        <w:t xml:space="preserve"> </w:t>
      </w:r>
      <w:r w:rsidR="009D5F41" w:rsidRPr="00D45F3E">
        <w:rPr>
          <w:rFonts w:cs="Times New Roman"/>
          <w:sz w:val="20"/>
          <w:szCs w:val="20"/>
        </w:rPr>
        <w:t xml:space="preserve">There are studies </w:t>
      </w:r>
      <w:r w:rsidR="002944BA" w:rsidRPr="00D45F3E">
        <w:rPr>
          <w:rFonts w:cs="Times New Roman"/>
          <w:sz w:val="20"/>
          <w:szCs w:val="20"/>
        </w:rPr>
        <w:t xml:space="preserve">that </w:t>
      </w:r>
      <w:r w:rsidR="009D5F41" w:rsidRPr="00D45F3E">
        <w:rPr>
          <w:rFonts w:cs="Times New Roman"/>
          <w:sz w:val="20"/>
          <w:szCs w:val="20"/>
        </w:rPr>
        <w:t>advertise online in patient forums</w:t>
      </w:r>
      <w:r w:rsidR="005865D2" w:rsidRPr="00D45F3E">
        <w:rPr>
          <w:rFonts w:cs="Times New Roman"/>
          <w:sz w:val="20"/>
          <w:szCs w:val="20"/>
        </w:rPr>
        <w:t>,</w:t>
      </w:r>
      <w:r w:rsidR="009D5F41" w:rsidRPr="00D45F3E">
        <w:rPr>
          <w:rFonts w:cs="Times New Roman"/>
          <w:sz w:val="20"/>
          <w:szCs w:val="20"/>
        </w:rPr>
        <w:t xml:space="preserve"> but it is not clear how many of those studies are able to recruit patients outside of their jurisdiction in this way.  This would be subject to research ethics approval and would depend upon the type and nature of the study. </w:t>
      </w:r>
      <w:r w:rsidR="00CA381A" w:rsidRPr="00D45F3E">
        <w:rPr>
          <w:rFonts w:cs="Times New Roman"/>
          <w:sz w:val="20"/>
          <w:szCs w:val="20"/>
        </w:rPr>
        <w:t>However, there are a number of projects, particularly in rare diseases that are being approached by patients in other countries who have discovered the project</w:t>
      </w:r>
      <w:r w:rsidR="00657305" w:rsidRPr="00D45F3E">
        <w:rPr>
          <w:rFonts w:cs="Times New Roman"/>
          <w:sz w:val="20"/>
          <w:szCs w:val="20"/>
        </w:rPr>
        <w:t xml:space="preserve"> online</w:t>
      </w:r>
      <w:r w:rsidR="00CA381A" w:rsidRPr="00D45F3E">
        <w:rPr>
          <w:rFonts w:cs="Times New Roman"/>
          <w:sz w:val="20"/>
          <w:szCs w:val="20"/>
        </w:rPr>
        <w:t xml:space="preserve">. For example, patients </w:t>
      </w:r>
      <w:r w:rsidR="00657305" w:rsidRPr="00D45F3E">
        <w:rPr>
          <w:rFonts w:cs="Times New Roman"/>
          <w:sz w:val="20"/>
          <w:szCs w:val="20"/>
        </w:rPr>
        <w:t xml:space="preserve">from Japan </w:t>
      </w:r>
      <w:r w:rsidR="00CA381A" w:rsidRPr="00D45F3E">
        <w:rPr>
          <w:rFonts w:cs="Times New Roman"/>
          <w:sz w:val="20"/>
          <w:szCs w:val="20"/>
        </w:rPr>
        <w:t>have enrolled in the online UK-based</w:t>
      </w:r>
      <w:r w:rsidR="00657305" w:rsidRPr="00D45F3E">
        <w:rPr>
          <w:rFonts w:cs="Times New Roman"/>
          <w:sz w:val="20"/>
          <w:szCs w:val="20"/>
        </w:rPr>
        <w:t>, University of Oxford</w:t>
      </w:r>
      <w:r w:rsidR="00CA381A" w:rsidRPr="00D45F3E">
        <w:rPr>
          <w:rFonts w:cs="Times New Roman"/>
          <w:sz w:val="20"/>
          <w:szCs w:val="20"/>
        </w:rPr>
        <w:t xml:space="preserve"> RUDY </w:t>
      </w:r>
      <w:r w:rsidR="00CA381A" w:rsidRPr="00F25B0C">
        <w:rPr>
          <w:rFonts w:cs="Times New Roman"/>
          <w:sz w:val="20"/>
          <w:szCs w:val="20"/>
        </w:rPr>
        <w:t xml:space="preserve">project </w:t>
      </w:r>
      <w:hyperlink r:id="rId8" w:history="1">
        <w:r w:rsidR="00CA381A" w:rsidRPr="00742D19">
          <w:rPr>
            <w:rStyle w:val="Hyperlink"/>
            <w:rFonts w:cs="Times New Roman"/>
            <w:color w:val="auto"/>
            <w:sz w:val="20"/>
            <w:szCs w:val="20"/>
          </w:rPr>
          <w:t>https://research.ndorms.ox.ac.uk/rudy/</w:t>
        </w:r>
      </w:hyperlink>
      <w:r w:rsidR="00CA381A" w:rsidRPr="00D45F3E">
        <w:rPr>
          <w:rFonts w:cs="Times New Roman"/>
          <w:sz w:val="20"/>
          <w:szCs w:val="20"/>
        </w:rPr>
        <w:t xml:space="preserve">. </w:t>
      </w:r>
      <w:r w:rsidR="00657305" w:rsidRPr="00D45F3E">
        <w:rPr>
          <w:rFonts w:cs="Times New Roman"/>
          <w:sz w:val="20"/>
          <w:szCs w:val="20"/>
        </w:rPr>
        <w:t xml:space="preserve">Further research would need to be done to understand the numbers of projects </w:t>
      </w:r>
      <w:r w:rsidR="009D5F41" w:rsidRPr="00D45F3E">
        <w:rPr>
          <w:rFonts w:cs="Times New Roman"/>
          <w:sz w:val="20"/>
          <w:szCs w:val="20"/>
        </w:rPr>
        <w:t xml:space="preserve">in the UK </w:t>
      </w:r>
      <w:r w:rsidR="00657305" w:rsidRPr="00D45F3E">
        <w:rPr>
          <w:rFonts w:cs="Times New Roman"/>
          <w:sz w:val="20"/>
          <w:szCs w:val="20"/>
        </w:rPr>
        <w:t>recruiting online</w:t>
      </w:r>
      <w:r w:rsidR="009D5F41" w:rsidRPr="00D45F3E">
        <w:rPr>
          <w:rFonts w:cs="Times New Roman"/>
          <w:sz w:val="20"/>
          <w:szCs w:val="20"/>
        </w:rPr>
        <w:t xml:space="preserve"> or being approached by </w:t>
      </w:r>
      <w:r w:rsidR="008D2D22" w:rsidRPr="00D45F3E">
        <w:rPr>
          <w:rFonts w:cs="Times New Roman"/>
          <w:sz w:val="20"/>
          <w:szCs w:val="20"/>
        </w:rPr>
        <w:t>patients</w:t>
      </w:r>
      <w:r w:rsidR="00657305" w:rsidRPr="00D45F3E">
        <w:rPr>
          <w:rFonts w:cs="Times New Roman"/>
          <w:sz w:val="20"/>
          <w:szCs w:val="20"/>
        </w:rPr>
        <w:t xml:space="preserve"> and </w:t>
      </w:r>
      <w:r w:rsidR="009D5F41" w:rsidRPr="00D45F3E">
        <w:rPr>
          <w:rFonts w:cs="Times New Roman"/>
          <w:sz w:val="20"/>
          <w:szCs w:val="20"/>
        </w:rPr>
        <w:t xml:space="preserve">to establish the countries </w:t>
      </w:r>
      <w:r w:rsidR="00657305" w:rsidRPr="00D45F3E">
        <w:rPr>
          <w:rFonts w:cs="Times New Roman"/>
          <w:sz w:val="20"/>
          <w:szCs w:val="20"/>
        </w:rPr>
        <w:t xml:space="preserve">where participants are based. </w:t>
      </w:r>
    </w:p>
    <w:p w14:paraId="42EC7995" w14:textId="77777777" w:rsidR="00CA381A" w:rsidRPr="00D45F3E" w:rsidRDefault="00CA381A" w:rsidP="004C31EF">
      <w:pPr>
        <w:jc w:val="both"/>
        <w:rPr>
          <w:rFonts w:cs="Times New Roman"/>
          <w:sz w:val="20"/>
          <w:szCs w:val="20"/>
        </w:rPr>
      </w:pPr>
    </w:p>
    <w:p w14:paraId="5B136F90" w14:textId="133BFE6F" w:rsidR="007F683C" w:rsidRPr="00D45F3E" w:rsidRDefault="00657305" w:rsidP="004C31EF">
      <w:pPr>
        <w:jc w:val="both"/>
        <w:rPr>
          <w:rFonts w:cs="Times New Roman"/>
          <w:sz w:val="20"/>
          <w:szCs w:val="20"/>
        </w:rPr>
      </w:pPr>
      <w:r w:rsidRPr="00D45F3E">
        <w:rPr>
          <w:rFonts w:cs="Times New Roman"/>
          <w:sz w:val="20"/>
          <w:szCs w:val="20"/>
        </w:rPr>
        <w:t>While</w:t>
      </w:r>
      <w:r w:rsidR="00593E36" w:rsidRPr="00D45F3E">
        <w:rPr>
          <w:rFonts w:cs="Times New Roman"/>
          <w:sz w:val="20"/>
          <w:szCs w:val="20"/>
        </w:rPr>
        <w:t xml:space="preserve"> the UK is active in genomics research with a number of projects in this field</w:t>
      </w:r>
      <w:r w:rsidRPr="00D45F3E">
        <w:rPr>
          <w:rFonts w:cs="Times New Roman"/>
          <w:sz w:val="20"/>
          <w:szCs w:val="20"/>
        </w:rPr>
        <w:t>, these project</w:t>
      </w:r>
      <w:r w:rsidR="00DB3BDA" w:rsidRPr="00D45F3E">
        <w:rPr>
          <w:rFonts w:cs="Times New Roman"/>
          <w:sz w:val="20"/>
          <w:szCs w:val="20"/>
        </w:rPr>
        <w:t>s</w:t>
      </w:r>
      <w:r w:rsidRPr="00D45F3E">
        <w:rPr>
          <w:rFonts w:cs="Times New Roman"/>
          <w:sz w:val="20"/>
          <w:szCs w:val="20"/>
        </w:rPr>
        <w:t xml:space="preserve"> do not tend to recruit online and do not recruit people from other countries into their studies. For example, t</w:t>
      </w:r>
      <w:r w:rsidR="00593E36" w:rsidRPr="00D45F3E">
        <w:rPr>
          <w:rFonts w:cs="Times New Roman"/>
          <w:sz w:val="20"/>
          <w:szCs w:val="20"/>
        </w:rPr>
        <w:t>he 100,000 Genomes Project</w:t>
      </w:r>
      <w:r w:rsidR="00FC1BF9" w:rsidRPr="00D45F3E">
        <w:rPr>
          <w:rFonts w:cs="Times New Roman"/>
          <w:sz w:val="20"/>
          <w:szCs w:val="20"/>
          <w:vertAlign w:val="superscript"/>
        </w:rPr>
        <w:t>1</w:t>
      </w:r>
      <w:r w:rsidR="007F683C" w:rsidRPr="00D45F3E">
        <w:rPr>
          <w:rFonts w:cs="Times New Roman"/>
          <w:sz w:val="20"/>
          <w:szCs w:val="20"/>
        </w:rPr>
        <w:t xml:space="preserve"> is a significant project in world terms and recruits patients through the clinic. UK Biobank</w:t>
      </w:r>
      <w:r w:rsidR="00FC1BF9" w:rsidRPr="00D45F3E">
        <w:rPr>
          <w:rFonts w:cs="Times New Roman"/>
          <w:sz w:val="20"/>
          <w:szCs w:val="20"/>
          <w:vertAlign w:val="superscript"/>
        </w:rPr>
        <w:t>2</w:t>
      </w:r>
      <w:r w:rsidR="007F683C" w:rsidRPr="00D45F3E">
        <w:rPr>
          <w:rFonts w:cs="Times New Roman"/>
          <w:sz w:val="20"/>
          <w:szCs w:val="20"/>
        </w:rPr>
        <w:t xml:space="preserve"> recruited patients via the National Health Service clinical services with a s251 exemption and sent invitations by post.  However, these projects increasingly use digital technologies alongside more traditional methods for interactions with participants. </w:t>
      </w:r>
    </w:p>
    <w:p w14:paraId="75083057" w14:textId="77777777" w:rsidR="007F683C" w:rsidRPr="00D45F3E" w:rsidRDefault="007F683C" w:rsidP="00593E36">
      <w:pPr>
        <w:rPr>
          <w:rFonts w:cs="Times New Roman"/>
          <w:sz w:val="20"/>
          <w:szCs w:val="20"/>
        </w:rPr>
      </w:pPr>
    </w:p>
    <w:p w14:paraId="2C224F66" w14:textId="2EBE76AE" w:rsidR="007F683C" w:rsidRPr="00D45F3E" w:rsidRDefault="007F683C" w:rsidP="004C31EF">
      <w:pPr>
        <w:jc w:val="both"/>
        <w:rPr>
          <w:rFonts w:cs="Times New Roman"/>
          <w:sz w:val="20"/>
          <w:szCs w:val="20"/>
        </w:rPr>
      </w:pPr>
      <w:r w:rsidRPr="00D45F3E">
        <w:rPr>
          <w:rFonts w:cs="Times New Roman"/>
          <w:sz w:val="20"/>
          <w:szCs w:val="20"/>
        </w:rPr>
        <w:t xml:space="preserve">The difference is with commercial DTC companies, as they recruit online and are not always based in the country where they are recruiting.  A number of these operate in the UK and research is the “back end” of their business model. Legal requirements may in fact be more restrictive for DTC testing companies that also engage in secondary research, rather than specific research projects that recruit participants, but do not charge for their services. Consent requirements may be more stringent as applied to DTC companies engaging in health research than for other types of research conducted by public research institutions. </w:t>
      </w:r>
    </w:p>
    <w:p w14:paraId="31DA4286" w14:textId="77777777" w:rsidR="007F683C" w:rsidRPr="00D45F3E" w:rsidRDefault="007F683C" w:rsidP="00593E36">
      <w:pPr>
        <w:rPr>
          <w:rFonts w:cs="Times New Roman"/>
          <w:sz w:val="20"/>
          <w:szCs w:val="20"/>
        </w:rPr>
      </w:pPr>
    </w:p>
    <w:p w14:paraId="2BB212CF" w14:textId="5BDBB685" w:rsidR="007F683C" w:rsidRPr="00D45F3E" w:rsidRDefault="007F683C" w:rsidP="00253788">
      <w:pPr>
        <w:jc w:val="both"/>
        <w:rPr>
          <w:rFonts w:cs="Times New Roman"/>
          <w:sz w:val="20"/>
          <w:szCs w:val="20"/>
          <w:vertAlign w:val="superscript"/>
          <w:lang w:val="en-NZ"/>
        </w:rPr>
      </w:pPr>
      <w:r w:rsidRPr="00D45F3E">
        <w:rPr>
          <w:rFonts w:cs="Times New Roman"/>
          <w:sz w:val="20"/>
          <w:szCs w:val="20"/>
        </w:rPr>
        <w:t>There has also been much discussion of issues raised by genomics research. The work of the now disbanded Human Genetics Commission (HGC) has been influential in this area. This was an independent advisory body to the government. It released a number of reports on various matters related to genetics, including: DTC genetic testing; genetic discrimination; genetics in insurance; and genetic databases. In relation to DTC they released two reports and a Framework of Principles, which could be drawn upon in improving industry governance, but as yet have not been.</w:t>
      </w:r>
      <w:r w:rsidR="00FC1BF9" w:rsidRPr="00D45F3E">
        <w:rPr>
          <w:rFonts w:cs="Times New Roman"/>
          <w:sz w:val="20"/>
          <w:szCs w:val="20"/>
          <w:vertAlign w:val="superscript"/>
        </w:rPr>
        <w:t>3</w:t>
      </w:r>
      <w:r w:rsidRPr="00D45F3E">
        <w:rPr>
          <w:rFonts w:cs="Times New Roman"/>
          <w:sz w:val="20"/>
          <w:szCs w:val="20"/>
        </w:rPr>
        <w:t xml:space="preserve"> The HGC was replaced by the </w:t>
      </w:r>
      <w:r w:rsidRPr="00D45F3E">
        <w:rPr>
          <w:rFonts w:cs="Times New Roman"/>
          <w:sz w:val="20"/>
          <w:szCs w:val="20"/>
          <w:lang w:val="en-NZ"/>
        </w:rPr>
        <w:t>Emerging Science and Bioethics Advisory Committee (ESBAC),</w:t>
      </w:r>
      <w:r w:rsidR="00FC1BF9" w:rsidRPr="00D45F3E">
        <w:rPr>
          <w:rFonts w:cs="Times New Roman"/>
          <w:sz w:val="20"/>
          <w:szCs w:val="20"/>
          <w:vertAlign w:val="superscript"/>
          <w:lang w:val="en-NZ"/>
        </w:rPr>
        <w:t>4</w:t>
      </w:r>
      <w:r w:rsidRPr="00D45F3E">
        <w:rPr>
          <w:rFonts w:cs="Times New Roman"/>
          <w:sz w:val="20"/>
          <w:szCs w:val="20"/>
          <w:lang w:val="en-NZ"/>
        </w:rPr>
        <w:t xml:space="preserve"> but this has also been disbanded. The Human Tissue Authority, which enforces the Human Tissue Act 2004 has also released various guidance documents, including a Code of Practice on Consent. There are a number of versions of this document, the most recent was released in 2017.</w:t>
      </w:r>
      <w:r w:rsidR="00FC1BF9" w:rsidRPr="00D45F3E">
        <w:rPr>
          <w:rFonts w:cs="Times New Roman"/>
          <w:sz w:val="20"/>
          <w:szCs w:val="20"/>
          <w:vertAlign w:val="superscript"/>
          <w:lang w:val="en-NZ"/>
        </w:rPr>
        <w:t>5</w:t>
      </w:r>
    </w:p>
    <w:p w14:paraId="6009BD69" w14:textId="77777777" w:rsidR="007F683C" w:rsidRPr="00D45F3E" w:rsidRDefault="007F683C" w:rsidP="00BC5409">
      <w:pPr>
        <w:pStyle w:val="ListParagraph"/>
        <w:ind w:left="0"/>
        <w:contextualSpacing w:val="0"/>
        <w:jc w:val="both"/>
        <w:rPr>
          <w:rFonts w:cs="Times New Roman"/>
          <w:sz w:val="20"/>
          <w:szCs w:val="20"/>
        </w:rPr>
      </w:pPr>
    </w:p>
    <w:p w14:paraId="602929AE" w14:textId="15B55721" w:rsidR="007F683C" w:rsidRPr="00D45F3E" w:rsidRDefault="007F683C" w:rsidP="002C0174">
      <w:pPr>
        <w:pStyle w:val="ListParagraph"/>
        <w:numPr>
          <w:ilvl w:val="0"/>
          <w:numId w:val="1"/>
        </w:numPr>
        <w:ind w:left="446" w:hanging="446"/>
        <w:contextualSpacing w:val="0"/>
        <w:jc w:val="both"/>
        <w:rPr>
          <w:rFonts w:cs="Times New Roman"/>
          <w:b/>
          <w:bCs/>
          <w:sz w:val="20"/>
          <w:szCs w:val="20"/>
        </w:rPr>
      </w:pPr>
      <w:r w:rsidRPr="00D45F3E">
        <w:rPr>
          <w:rFonts w:cs="Times New Roman"/>
          <w:b/>
          <w:bCs/>
          <w:sz w:val="20"/>
          <w:szCs w:val="20"/>
        </w:rPr>
        <w:lastRenderedPageBreak/>
        <w:t>Assume that a researcher in your country wants to conduct DTP genomic research with participants in your country and that such research is subject to IRB/REC review. Please describe the conditions for IRB/REC approval, if it could be approved at all.</w:t>
      </w:r>
    </w:p>
    <w:p w14:paraId="68DC4E79" w14:textId="77777777" w:rsidR="007F683C" w:rsidRPr="00D45F3E" w:rsidRDefault="007F683C" w:rsidP="009B195E">
      <w:pPr>
        <w:jc w:val="both"/>
        <w:rPr>
          <w:rFonts w:cs="Times New Roman"/>
          <w:sz w:val="20"/>
          <w:szCs w:val="20"/>
        </w:rPr>
      </w:pPr>
    </w:p>
    <w:p w14:paraId="2919BBA2" w14:textId="1728A034" w:rsidR="007F683C" w:rsidRPr="00D45F3E" w:rsidRDefault="007F683C" w:rsidP="002C0174">
      <w:pPr>
        <w:jc w:val="both"/>
        <w:rPr>
          <w:rFonts w:cs="Times New Roman"/>
          <w:sz w:val="20"/>
          <w:szCs w:val="20"/>
        </w:rPr>
      </w:pPr>
      <w:r w:rsidRPr="00D45F3E">
        <w:rPr>
          <w:rFonts w:cs="Times New Roman"/>
          <w:sz w:val="20"/>
          <w:szCs w:val="20"/>
        </w:rPr>
        <w:t xml:space="preserve">When considering conditions for granting research approval, RECs seek to balance the advancement of science against the protection of participants’ welfare and rights.  As such, an REC should perform an ethical and scientific review of the research in </w:t>
      </w:r>
      <w:r w:rsidR="00A21748" w:rsidRPr="00D45F3E">
        <w:rPr>
          <w:rFonts w:cs="Times New Roman"/>
          <w:sz w:val="20"/>
          <w:szCs w:val="20"/>
        </w:rPr>
        <w:t>question.</w:t>
      </w:r>
      <w:r w:rsidR="00A21748" w:rsidRPr="00D45F3E">
        <w:rPr>
          <w:rFonts w:cs="Times New Roman"/>
          <w:sz w:val="20"/>
          <w:szCs w:val="20"/>
          <w:vertAlign w:val="superscript"/>
        </w:rPr>
        <w:t>6</w:t>
      </w:r>
      <w:r w:rsidR="00A21748" w:rsidRPr="00D45F3E">
        <w:rPr>
          <w:rFonts w:cs="Times New Roman"/>
          <w:sz w:val="20"/>
          <w:szCs w:val="20"/>
        </w:rPr>
        <w:t xml:space="preserve"> Conditions</w:t>
      </w:r>
      <w:r w:rsidRPr="00D45F3E">
        <w:rPr>
          <w:rFonts w:cs="Times New Roman"/>
          <w:sz w:val="20"/>
          <w:szCs w:val="20"/>
        </w:rPr>
        <w:t xml:space="preserve"> attached to any REC approval granted, might include:</w:t>
      </w:r>
      <w:r w:rsidR="00FC1BF9" w:rsidRPr="00D45F3E">
        <w:rPr>
          <w:rFonts w:cs="Times New Roman"/>
          <w:sz w:val="20"/>
          <w:szCs w:val="20"/>
          <w:vertAlign w:val="superscript"/>
        </w:rPr>
        <w:t>7</w:t>
      </w:r>
    </w:p>
    <w:p w14:paraId="073EDC71" w14:textId="03C8B170" w:rsidR="007F683C" w:rsidRPr="00D45F3E" w:rsidRDefault="007F683C" w:rsidP="009B195E">
      <w:pPr>
        <w:pStyle w:val="ListParagraph"/>
        <w:numPr>
          <w:ilvl w:val="0"/>
          <w:numId w:val="7"/>
        </w:numPr>
        <w:jc w:val="both"/>
        <w:rPr>
          <w:rFonts w:cs="Times New Roman"/>
          <w:sz w:val="20"/>
          <w:szCs w:val="20"/>
        </w:rPr>
      </w:pPr>
      <w:r w:rsidRPr="00D45F3E">
        <w:rPr>
          <w:rFonts w:cs="Times New Roman"/>
          <w:sz w:val="20"/>
          <w:szCs w:val="20"/>
        </w:rPr>
        <w:t>Patient and clinical benefits of the research;</w:t>
      </w:r>
    </w:p>
    <w:p w14:paraId="454BD60D" w14:textId="4B1FDB04" w:rsidR="007F683C" w:rsidRPr="00D45F3E" w:rsidRDefault="007F683C" w:rsidP="009B195E">
      <w:pPr>
        <w:pStyle w:val="ListParagraph"/>
        <w:numPr>
          <w:ilvl w:val="0"/>
          <w:numId w:val="7"/>
        </w:numPr>
        <w:jc w:val="both"/>
        <w:rPr>
          <w:rFonts w:cs="Times New Roman"/>
          <w:sz w:val="20"/>
          <w:szCs w:val="20"/>
        </w:rPr>
      </w:pPr>
      <w:r w:rsidRPr="00D45F3E">
        <w:rPr>
          <w:rFonts w:cs="Times New Roman"/>
          <w:sz w:val="20"/>
          <w:szCs w:val="20"/>
        </w:rPr>
        <w:t>the scientific and transformational objectives of the research;</w:t>
      </w:r>
    </w:p>
    <w:p w14:paraId="64630B9E" w14:textId="4868D15F" w:rsidR="007F683C" w:rsidRPr="00D45F3E" w:rsidRDefault="007F683C" w:rsidP="009B195E">
      <w:pPr>
        <w:pStyle w:val="ListParagraph"/>
        <w:numPr>
          <w:ilvl w:val="0"/>
          <w:numId w:val="7"/>
        </w:numPr>
        <w:jc w:val="both"/>
        <w:rPr>
          <w:rFonts w:cs="Times New Roman"/>
          <w:sz w:val="20"/>
          <w:szCs w:val="20"/>
        </w:rPr>
      </w:pPr>
      <w:r w:rsidRPr="00D45F3E">
        <w:rPr>
          <w:rFonts w:cs="Times New Roman"/>
          <w:sz w:val="20"/>
          <w:szCs w:val="20"/>
        </w:rPr>
        <w:t>the implementation strategy;</w:t>
      </w:r>
    </w:p>
    <w:p w14:paraId="2441F654" w14:textId="27FDFCB0" w:rsidR="007F683C" w:rsidRPr="00D45F3E" w:rsidRDefault="007F683C" w:rsidP="00C4633B">
      <w:pPr>
        <w:pStyle w:val="ListParagraph"/>
        <w:numPr>
          <w:ilvl w:val="0"/>
          <w:numId w:val="7"/>
        </w:numPr>
        <w:jc w:val="both"/>
        <w:rPr>
          <w:rFonts w:cs="Times New Roman"/>
          <w:sz w:val="20"/>
          <w:szCs w:val="20"/>
        </w:rPr>
      </w:pPr>
      <w:r w:rsidRPr="00D45F3E">
        <w:rPr>
          <w:rFonts w:cs="Times New Roman"/>
          <w:sz w:val="20"/>
          <w:szCs w:val="20"/>
        </w:rPr>
        <w:t>the ethical and governance frameworks required (both including the policy for data access, to ensure that all necessary safeguards are in place).</w:t>
      </w:r>
    </w:p>
    <w:p w14:paraId="4A73B41F" w14:textId="77777777" w:rsidR="007F683C" w:rsidRPr="00D45F3E" w:rsidRDefault="007F683C" w:rsidP="00E0331A">
      <w:pPr>
        <w:jc w:val="both"/>
        <w:rPr>
          <w:rFonts w:cs="Times New Roman"/>
          <w:sz w:val="20"/>
          <w:szCs w:val="20"/>
        </w:rPr>
      </w:pPr>
    </w:p>
    <w:p w14:paraId="2D4548C9" w14:textId="235C9F6B" w:rsidR="007F683C" w:rsidRPr="00D45F3E" w:rsidRDefault="007F683C" w:rsidP="00E0331A">
      <w:pPr>
        <w:jc w:val="both"/>
        <w:rPr>
          <w:rFonts w:cs="Times New Roman"/>
          <w:sz w:val="20"/>
          <w:szCs w:val="20"/>
        </w:rPr>
      </w:pPr>
      <w:r w:rsidRPr="00D45F3E">
        <w:rPr>
          <w:rFonts w:cs="Times New Roman"/>
          <w:sz w:val="20"/>
          <w:szCs w:val="20"/>
        </w:rPr>
        <w:t>Conditions considered by an ethics committee are listed in the Medicines for Human Use (Clinical Trials) Regulations (2004); and the remit of RECs is laid out in the “Governance arrangements for research ethics committees” document.  The initial process involves contacting the clinical governance or research development office who advises whether the project is research and whether HRA approval and / or ethical approval is required. For non-research, if patient data is to be used without consent, a recommendation from the Confidentiality Advisory Group (CAG) and advice form the Caldicott Guardian will be required</w:t>
      </w:r>
      <w:r w:rsidR="00FC1BF9" w:rsidRPr="00D45F3E">
        <w:rPr>
          <w:rFonts w:cs="Times New Roman"/>
          <w:sz w:val="20"/>
          <w:szCs w:val="20"/>
          <w:vertAlign w:val="superscript"/>
        </w:rPr>
        <w:t>8</w:t>
      </w:r>
      <w:r w:rsidRPr="00D45F3E">
        <w:rPr>
          <w:rFonts w:cs="Times New Roman"/>
          <w:sz w:val="20"/>
          <w:szCs w:val="20"/>
        </w:rPr>
        <w:t xml:space="preserve"> Where necessary, applications need to go to a flagged REC which is designated for review of particular types of application, and flagging of RECs is based on legal or regulatory authority for review of particular type of application.  </w:t>
      </w:r>
    </w:p>
    <w:p w14:paraId="14BB0395" w14:textId="64620704" w:rsidR="007F683C" w:rsidRPr="00D45F3E" w:rsidRDefault="007F683C" w:rsidP="00B208E4">
      <w:pPr>
        <w:jc w:val="both"/>
        <w:rPr>
          <w:rFonts w:cs="Times New Roman"/>
          <w:sz w:val="20"/>
          <w:szCs w:val="20"/>
        </w:rPr>
      </w:pPr>
    </w:p>
    <w:p w14:paraId="353CCE9C" w14:textId="04D043C4" w:rsidR="007F683C" w:rsidRPr="00D45F3E" w:rsidRDefault="007F683C" w:rsidP="00BC5409">
      <w:pPr>
        <w:pStyle w:val="ListParagraph"/>
        <w:numPr>
          <w:ilvl w:val="0"/>
          <w:numId w:val="1"/>
        </w:numPr>
        <w:ind w:left="446" w:hanging="446"/>
        <w:contextualSpacing w:val="0"/>
        <w:jc w:val="both"/>
        <w:rPr>
          <w:rFonts w:cs="Times New Roman"/>
          <w:b/>
          <w:bCs/>
          <w:sz w:val="20"/>
          <w:szCs w:val="20"/>
        </w:rPr>
      </w:pPr>
      <w:r w:rsidRPr="00D45F3E">
        <w:rPr>
          <w:rFonts w:cs="Times New Roman"/>
          <w:b/>
          <w:bCs/>
          <w:sz w:val="20"/>
          <w:szCs w:val="20"/>
        </w:rPr>
        <w:t>Assume that a researcher in your country wants to conduct DTP genomic research in another country. Please describe the conditions that must be satisfied for IRB/REC approval in your country, if it could be approved at all. Would your IRB/REC also require approval from a research ethics review body in the other country?</w:t>
      </w:r>
    </w:p>
    <w:p w14:paraId="44C46D0D" w14:textId="77777777" w:rsidR="007F683C" w:rsidRPr="00D45F3E" w:rsidRDefault="007F683C" w:rsidP="00215DB6">
      <w:pPr>
        <w:pStyle w:val="ListParagraph"/>
        <w:ind w:left="446"/>
        <w:contextualSpacing w:val="0"/>
        <w:jc w:val="both"/>
        <w:rPr>
          <w:rFonts w:cs="Times New Roman"/>
          <w:sz w:val="20"/>
          <w:szCs w:val="20"/>
        </w:rPr>
      </w:pPr>
    </w:p>
    <w:p w14:paraId="0D2E263C" w14:textId="335C95FA" w:rsidR="007F683C" w:rsidRPr="00D45F3E" w:rsidRDefault="007F683C" w:rsidP="004C31EF">
      <w:pPr>
        <w:pStyle w:val="ListParagraph"/>
        <w:ind w:left="0"/>
        <w:contextualSpacing w:val="0"/>
        <w:jc w:val="both"/>
        <w:rPr>
          <w:rFonts w:cs="Times New Roman"/>
          <w:sz w:val="20"/>
          <w:szCs w:val="20"/>
          <w:vertAlign w:val="superscript"/>
        </w:rPr>
        <w:sectPr w:rsidR="007F683C" w:rsidRPr="00D45F3E" w:rsidSect="00375BE8">
          <w:headerReference w:type="default" r:id="rId9"/>
          <w:footerReference w:type="default" r:id="rId10"/>
          <w:endnotePr>
            <w:numFmt w:val="decimal"/>
          </w:endnotePr>
          <w:type w:val="continuous"/>
          <w:pgSz w:w="12240" w:h="15840" w:code="1"/>
          <w:pgMar w:top="360" w:right="1440" w:bottom="432" w:left="1440" w:header="720" w:footer="720" w:gutter="0"/>
          <w:cols w:space="720"/>
          <w:docGrid w:linePitch="360"/>
        </w:sectPr>
      </w:pPr>
      <w:r w:rsidRPr="00D45F3E">
        <w:rPr>
          <w:rFonts w:cs="Times New Roman"/>
          <w:sz w:val="20"/>
          <w:szCs w:val="20"/>
        </w:rPr>
        <w:t>To conduct genomic research in another country, a UK researcher would have to fulfill the regulatory requirements for ethics approval in that country.  This would be the same if an external researcher conducted research in the jurisdiction of the UK. For example, RECs outside the UK are not recognized for the purposes of the Human Tissue Act 200</w:t>
      </w:r>
      <w:r w:rsidR="00FC1BF9" w:rsidRPr="00D45F3E">
        <w:rPr>
          <w:rFonts w:cs="Times New Roman"/>
          <w:sz w:val="20"/>
          <w:szCs w:val="20"/>
        </w:rPr>
        <w:t>4.</w:t>
      </w:r>
      <w:r w:rsidR="00FC1BF9" w:rsidRPr="00D45F3E">
        <w:rPr>
          <w:rFonts w:cs="Times New Roman"/>
          <w:sz w:val="20"/>
          <w:szCs w:val="20"/>
          <w:vertAlign w:val="superscript"/>
        </w:rPr>
        <w:t>9</w:t>
      </w:r>
    </w:p>
    <w:p w14:paraId="77811F34" w14:textId="287AA957" w:rsidR="007F683C" w:rsidRPr="00D45F3E" w:rsidRDefault="00A21748" w:rsidP="004C31EF">
      <w:pPr>
        <w:pStyle w:val="ListParagraph"/>
        <w:ind w:left="0"/>
        <w:contextualSpacing w:val="0"/>
        <w:jc w:val="both"/>
        <w:rPr>
          <w:rFonts w:cs="Times New Roman"/>
          <w:sz w:val="20"/>
          <w:szCs w:val="20"/>
        </w:rPr>
      </w:pPr>
      <w:r>
        <w:rPr>
          <w:rFonts w:cs="Times New Roman"/>
          <w:sz w:val="20"/>
          <w:szCs w:val="20"/>
        </w:rPr>
        <w:t>There is currently no</w:t>
      </w:r>
      <w:r w:rsidR="007F683C" w:rsidRPr="00D45F3E">
        <w:rPr>
          <w:rFonts w:cs="Times New Roman"/>
          <w:sz w:val="20"/>
          <w:szCs w:val="20"/>
        </w:rPr>
        <w:t xml:space="preserve"> system that recognizes the equivalency of REC decisions across Europe and so researchers have to apply in each jurisdiction for approval. </w:t>
      </w:r>
    </w:p>
    <w:p w14:paraId="7203C03A" w14:textId="77777777" w:rsidR="00391359" w:rsidRDefault="00391359" w:rsidP="004C31EF">
      <w:pPr>
        <w:pStyle w:val="ListParagraph"/>
        <w:ind w:left="0"/>
        <w:contextualSpacing w:val="0"/>
        <w:jc w:val="both"/>
        <w:rPr>
          <w:rFonts w:cs="Times New Roman"/>
          <w:sz w:val="20"/>
          <w:szCs w:val="20"/>
        </w:rPr>
      </w:pPr>
    </w:p>
    <w:p w14:paraId="2D8BE7CC" w14:textId="3AF6483C" w:rsidR="007F683C" w:rsidRPr="00D45F3E" w:rsidRDefault="007F683C" w:rsidP="004C31EF">
      <w:pPr>
        <w:pStyle w:val="ListParagraph"/>
        <w:ind w:left="0"/>
        <w:contextualSpacing w:val="0"/>
        <w:jc w:val="both"/>
        <w:rPr>
          <w:rFonts w:cs="Times New Roman"/>
          <w:sz w:val="20"/>
          <w:szCs w:val="20"/>
        </w:rPr>
      </w:pPr>
      <w:r w:rsidRPr="00D45F3E">
        <w:rPr>
          <w:rFonts w:cs="Times New Roman"/>
          <w:sz w:val="20"/>
          <w:szCs w:val="20"/>
        </w:rPr>
        <w:t xml:space="preserve">Where UK NHS patients or their data will be used, in addition to patient or non-patient studies outside of the UK, HRA approval is </w:t>
      </w:r>
      <w:r w:rsidR="00391359">
        <w:rPr>
          <w:rFonts w:cs="Times New Roman"/>
          <w:sz w:val="20"/>
          <w:szCs w:val="20"/>
        </w:rPr>
        <w:t xml:space="preserve">required for the UK NHS portion. </w:t>
      </w:r>
      <w:r w:rsidRPr="00D45F3E">
        <w:rPr>
          <w:rFonts w:cs="Times New Roman"/>
          <w:sz w:val="20"/>
          <w:szCs w:val="20"/>
        </w:rPr>
        <w:t xml:space="preserve"> </w:t>
      </w:r>
      <w:r w:rsidR="00391359" w:rsidRPr="00D45F3E">
        <w:rPr>
          <w:rFonts w:cs="Times New Roman"/>
          <w:sz w:val="20"/>
          <w:szCs w:val="20"/>
        </w:rPr>
        <w:t>University</w:t>
      </w:r>
      <w:r w:rsidR="00391359">
        <w:rPr>
          <w:rFonts w:cs="Times New Roman"/>
          <w:sz w:val="20"/>
          <w:szCs w:val="20"/>
        </w:rPr>
        <w:t xml:space="preserve"> research ethics approval </w:t>
      </w:r>
      <w:r w:rsidRPr="00D45F3E">
        <w:rPr>
          <w:rFonts w:cs="Times New Roman"/>
          <w:sz w:val="20"/>
          <w:szCs w:val="20"/>
        </w:rPr>
        <w:t>and local ethics approval or organizational approval</w:t>
      </w:r>
      <w:r w:rsidR="00391359">
        <w:rPr>
          <w:rFonts w:cs="Times New Roman"/>
          <w:sz w:val="20"/>
          <w:szCs w:val="20"/>
        </w:rPr>
        <w:t xml:space="preserve"> will be required</w:t>
      </w:r>
      <w:r w:rsidRPr="00D45F3E">
        <w:rPr>
          <w:rFonts w:cs="Times New Roman"/>
          <w:sz w:val="20"/>
          <w:szCs w:val="20"/>
        </w:rPr>
        <w:t xml:space="preserve"> if a REC does not exist in the location where research will be conducted or data collected from. </w:t>
      </w:r>
    </w:p>
    <w:p w14:paraId="4BD07FC8" w14:textId="72495AD3" w:rsidR="007F683C" w:rsidRPr="00D45F3E" w:rsidRDefault="007F683C" w:rsidP="002C0174">
      <w:pPr>
        <w:jc w:val="both"/>
        <w:rPr>
          <w:rFonts w:cs="Times New Roman"/>
          <w:sz w:val="20"/>
          <w:szCs w:val="20"/>
          <w:highlight w:val="green"/>
        </w:rPr>
      </w:pPr>
    </w:p>
    <w:p w14:paraId="1AB5969A" w14:textId="02434E4B" w:rsidR="007F683C" w:rsidRPr="00D45F3E" w:rsidRDefault="007F683C" w:rsidP="00BC5409">
      <w:pPr>
        <w:ind w:left="446" w:hanging="446"/>
        <w:jc w:val="both"/>
        <w:rPr>
          <w:rFonts w:cs="Times New Roman"/>
          <w:b/>
          <w:bCs/>
          <w:sz w:val="20"/>
          <w:szCs w:val="20"/>
        </w:rPr>
      </w:pPr>
      <w:r w:rsidRPr="00D45F3E">
        <w:rPr>
          <w:rFonts w:cs="Times New Roman"/>
          <w:b/>
          <w:bCs/>
          <w:sz w:val="20"/>
          <w:szCs w:val="20"/>
        </w:rPr>
        <w:t xml:space="preserve">4. </w:t>
      </w:r>
      <w:r w:rsidRPr="00D45F3E">
        <w:rPr>
          <w:rFonts w:cs="Times New Roman"/>
          <w:b/>
          <w:bCs/>
          <w:sz w:val="20"/>
          <w:szCs w:val="20"/>
        </w:rPr>
        <w:tab/>
        <w:t xml:space="preserve">Assume that a researcher from outside your country wants to conduct DTP genomic research in your country. </w:t>
      </w:r>
    </w:p>
    <w:p w14:paraId="39250FD6" w14:textId="77777777" w:rsidR="007F683C" w:rsidRPr="00D45F3E" w:rsidRDefault="007F683C" w:rsidP="00BC5409">
      <w:pPr>
        <w:spacing w:before="120" w:after="120"/>
        <w:ind w:left="360" w:hanging="360"/>
        <w:contextualSpacing/>
        <w:jc w:val="both"/>
        <w:rPr>
          <w:rFonts w:cs="Times New Roman"/>
          <w:sz w:val="20"/>
          <w:szCs w:val="20"/>
        </w:rPr>
      </w:pPr>
    </w:p>
    <w:p w14:paraId="3EE98E8D" w14:textId="4EF254B7" w:rsidR="007F683C" w:rsidRPr="00D45F3E" w:rsidRDefault="007F683C" w:rsidP="00BC5409">
      <w:pPr>
        <w:spacing w:before="120" w:after="120"/>
        <w:ind w:left="432"/>
        <w:contextualSpacing/>
        <w:jc w:val="both"/>
        <w:rPr>
          <w:rFonts w:cs="Times New Roman"/>
          <w:sz w:val="20"/>
          <w:szCs w:val="20"/>
        </w:rPr>
      </w:pPr>
      <w:r w:rsidRPr="00D45F3E">
        <w:rPr>
          <w:rFonts w:cs="Times New Roman"/>
          <w:sz w:val="20"/>
          <w:szCs w:val="20"/>
        </w:rPr>
        <w:t>A. Would it be lawful for the researcher to do so without IRB/REC approval in either the researcher’s country or your country? [Yes/No]</w:t>
      </w:r>
    </w:p>
    <w:p w14:paraId="43F4861C" w14:textId="24D0FDF5" w:rsidR="007F683C" w:rsidRPr="00D45F3E" w:rsidRDefault="007F683C" w:rsidP="00BC5409">
      <w:pPr>
        <w:spacing w:before="120" w:after="120"/>
        <w:ind w:left="720" w:hanging="360"/>
        <w:contextualSpacing/>
        <w:jc w:val="both"/>
        <w:rPr>
          <w:rFonts w:cs="Times New Roman"/>
          <w:sz w:val="20"/>
          <w:szCs w:val="20"/>
        </w:rPr>
      </w:pPr>
      <w:r w:rsidRPr="00D45F3E">
        <w:rPr>
          <w:rFonts w:cs="Times New Roman"/>
          <w:sz w:val="20"/>
          <w:szCs w:val="20"/>
        </w:rPr>
        <w:tab/>
        <w:t>__ Yes</w:t>
      </w:r>
    </w:p>
    <w:p w14:paraId="00AB74AD" w14:textId="4EE87B5A" w:rsidR="007F683C" w:rsidRPr="00D45F3E" w:rsidRDefault="007F683C" w:rsidP="00BC5409">
      <w:pPr>
        <w:spacing w:before="120" w:after="120"/>
        <w:ind w:left="720" w:hanging="360"/>
        <w:contextualSpacing/>
        <w:jc w:val="both"/>
        <w:rPr>
          <w:rFonts w:cs="Times New Roman"/>
          <w:sz w:val="20"/>
          <w:szCs w:val="20"/>
        </w:rPr>
      </w:pPr>
      <w:r w:rsidRPr="00D45F3E">
        <w:rPr>
          <w:rFonts w:cs="Times New Roman"/>
          <w:sz w:val="20"/>
          <w:szCs w:val="20"/>
        </w:rPr>
        <w:tab/>
      </w:r>
      <w:r w:rsidR="00742D19" w:rsidRPr="00742D19">
        <w:rPr>
          <w:rFonts w:cs="Times New Roman"/>
          <w:b/>
          <w:sz w:val="20"/>
          <w:szCs w:val="20"/>
        </w:rPr>
        <w:t>X</w:t>
      </w:r>
      <w:r w:rsidRPr="00D45F3E">
        <w:rPr>
          <w:rFonts w:cs="Times New Roman"/>
          <w:sz w:val="20"/>
          <w:szCs w:val="20"/>
        </w:rPr>
        <w:t xml:space="preserve"> </w:t>
      </w:r>
      <w:r w:rsidR="00742D19">
        <w:rPr>
          <w:rFonts w:cs="Times New Roman"/>
          <w:sz w:val="20"/>
          <w:szCs w:val="20"/>
        </w:rPr>
        <w:t xml:space="preserve"> </w:t>
      </w:r>
      <w:r w:rsidRPr="00D45F3E">
        <w:rPr>
          <w:rFonts w:cs="Times New Roman"/>
          <w:b/>
          <w:bCs/>
          <w:sz w:val="20"/>
          <w:szCs w:val="20"/>
        </w:rPr>
        <w:t>No</w:t>
      </w:r>
    </w:p>
    <w:p w14:paraId="442EC1D9" w14:textId="57B38EF8" w:rsidR="007F683C" w:rsidRPr="00D45F3E" w:rsidRDefault="007F683C" w:rsidP="00BC5409">
      <w:pPr>
        <w:spacing w:before="120" w:after="120"/>
        <w:ind w:left="720" w:hanging="360"/>
        <w:contextualSpacing/>
        <w:jc w:val="both"/>
        <w:rPr>
          <w:rFonts w:cs="Times New Roman"/>
          <w:sz w:val="20"/>
          <w:szCs w:val="20"/>
        </w:rPr>
      </w:pPr>
      <w:r w:rsidRPr="00D45F3E">
        <w:rPr>
          <w:rFonts w:cs="Times New Roman"/>
          <w:sz w:val="20"/>
          <w:szCs w:val="20"/>
        </w:rPr>
        <w:tab/>
        <w:t>__ Not sure or other</w:t>
      </w:r>
    </w:p>
    <w:p w14:paraId="1E809BBC" w14:textId="46E33464" w:rsidR="007F683C" w:rsidRPr="00D45F3E" w:rsidRDefault="007F683C" w:rsidP="00BC5409">
      <w:pPr>
        <w:spacing w:before="120" w:after="120"/>
        <w:ind w:left="720" w:hanging="360"/>
        <w:contextualSpacing/>
        <w:jc w:val="both"/>
        <w:rPr>
          <w:rFonts w:cs="Times New Roman"/>
          <w:sz w:val="20"/>
          <w:szCs w:val="20"/>
        </w:rPr>
      </w:pPr>
    </w:p>
    <w:p w14:paraId="18F0BC32" w14:textId="07733DCD" w:rsidR="007F683C" w:rsidRPr="00D45F3E" w:rsidRDefault="007F683C" w:rsidP="00C744BB">
      <w:pPr>
        <w:spacing w:before="120" w:after="120"/>
        <w:ind w:left="284"/>
        <w:contextualSpacing/>
        <w:jc w:val="both"/>
        <w:rPr>
          <w:rFonts w:cs="Times New Roman"/>
          <w:sz w:val="20"/>
          <w:szCs w:val="20"/>
          <w:vertAlign w:val="superscript"/>
        </w:rPr>
        <w:sectPr w:rsidR="007F683C" w:rsidRPr="00D45F3E" w:rsidSect="00B50FA3">
          <w:headerReference w:type="default" r:id="rId11"/>
          <w:footerReference w:type="default" r:id="rId12"/>
          <w:type w:val="continuous"/>
          <w:pgSz w:w="12240" w:h="15840" w:code="1"/>
          <w:pgMar w:top="360" w:right="1440" w:bottom="432" w:left="1440" w:header="720" w:footer="720" w:gutter="0"/>
          <w:cols w:space="720"/>
          <w:docGrid w:linePitch="360"/>
        </w:sectPr>
      </w:pPr>
      <w:r w:rsidRPr="00D45F3E">
        <w:rPr>
          <w:rFonts w:cs="Times New Roman"/>
          <w:sz w:val="20"/>
          <w:szCs w:val="20"/>
        </w:rPr>
        <w:t>While there has been much international collaborative research conducted in the UK, due to the ongoing Brexit negotiations, there is now some level of uncertainty regarding the conditions for when it will be permitted for researchers from outside the UK to conduc</w:t>
      </w:r>
      <w:r w:rsidR="00FC1BF9" w:rsidRPr="00D45F3E">
        <w:rPr>
          <w:rFonts w:cs="Times New Roman"/>
          <w:sz w:val="20"/>
          <w:szCs w:val="20"/>
        </w:rPr>
        <w:t>t genomic research within the UK</w:t>
      </w:r>
      <w:r w:rsidR="00FC1BF9" w:rsidRPr="00D45F3E">
        <w:rPr>
          <w:rFonts w:cs="Times New Roman"/>
          <w:sz w:val="20"/>
          <w:szCs w:val="20"/>
          <w:vertAlign w:val="superscript"/>
        </w:rPr>
        <w:t>10</w:t>
      </w:r>
    </w:p>
    <w:p w14:paraId="155DC9E8" w14:textId="472DACC8" w:rsidR="007F683C" w:rsidRPr="00D45F3E" w:rsidRDefault="007F683C" w:rsidP="00FC1BF9">
      <w:pPr>
        <w:spacing w:before="120" w:after="120"/>
        <w:contextualSpacing/>
        <w:jc w:val="both"/>
        <w:rPr>
          <w:rFonts w:cs="Times New Roman"/>
          <w:sz w:val="20"/>
          <w:szCs w:val="20"/>
        </w:rPr>
      </w:pPr>
    </w:p>
    <w:p w14:paraId="1EF99365" w14:textId="59CA8D4A" w:rsidR="007F683C" w:rsidRDefault="007F683C" w:rsidP="00BC5409">
      <w:pPr>
        <w:spacing w:before="120" w:after="120"/>
        <w:ind w:left="360" w:hanging="360"/>
        <w:contextualSpacing/>
        <w:jc w:val="both"/>
        <w:rPr>
          <w:rFonts w:cs="Times New Roman"/>
          <w:sz w:val="20"/>
          <w:szCs w:val="20"/>
        </w:rPr>
      </w:pPr>
    </w:p>
    <w:p w14:paraId="4A9B348C" w14:textId="77777777" w:rsidR="00320CEC" w:rsidRPr="00D45F3E" w:rsidRDefault="00320CEC" w:rsidP="00BC5409">
      <w:pPr>
        <w:spacing w:before="120" w:after="120"/>
        <w:ind w:left="360" w:hanging="360"/>
        <w:contextualSpacing/>
        <w:jc w:val="both"/>
        <w:rPr>
          <w:rFonts w:cs="Times New Roman"/>
          <w:sz w:val="20"/>
          <w:szCs w:val="20"/>
        </w:rPr>
      </w:pPr>
    </w:p>
    <w:p w14:paraId="5DBE9FDB" w14:textId="2FCFF2D2" w:rsidR="007F683C" w:rsidRPr="00D45F3E" w:rsidRDefault="007F683C" w:rsidP="00BC5409">
      <w:pPr>
        <w:spacing w:before="120" w:after="120"/>
        <w:ind w:left="432"/>
        <w:contextualSpacing/>
        <w:jc w:val="both"/>
        <w:rPr>
          <w:rFonts w:cs="Times New Roman"/>
          <w:sz w:val="20"/>
          <w:szCs w:val="20"/>
        </w:rPr>
      </w:pPr>
      <w:r w:rsidRPr="00D45F3E">
        <w:rPr>
          <w:rFonts w:cs="Times New Roman"/>
          <w:sz w:val="20"/>
          <w:szCs w:val="20"/>
        </w:rPr>
        <w:lastRenderedPageBreak/>
        <w:t>B. Would it be lawful for the researcher to do so if the research were approved by an IRB/REC in the researcher’s own country, but was not submitted for approval in your country? [Yes/No]</w:t>
      </w:r>
    </w:p>
    <w:p w14:paraId="2D04602E" w14:textId="54909BB2" w:rsidR="007F683C" w:rsidRPr="00D45F3E" w:rsidRDefault="007F683C" w:rsidP="00BC5409">
      <w:pPr>
        <w:spacing w:before="120" w:after="120"/>
        <w:ind w:left="720"/>
        <w:contextualSpacing/>
        <w:jc w:val="both"/>
        <w:rPr>
          <w:rFonts w:cs="Times New Roman"/>
          <w:sz w:val="20"/>
          <w:szCs w:val="20"/>
        </w:rPr>
      </w:pPr>
      <w:r w:rsidRPr="00D45F3E">
        <w:rPr>
          <w:rFonts w:cs="Times New Roman"/>
          <w:sz w:val="20"/>
          <w:szCs w:val="20"/>
        </w:rPr>
        <w:t>__Yes</w:t>
      </w:r>
    </w:p>
    <w:p w14:paraId="177B2CEF" w14:textId="495902CE" w:rsidR="007F683C" w:rsidRPr="00D45F3E" w:rsidRDefault="00431A1F" w:rsidP="00BC5409">
      <w:pPr>
        <w:spacing w:before="120" w:after="120"/>
        <w:ind w:left="720"/>
        <w:contextualSpacing/>
        <w:jc w:val="both"/>
        <w:rPr>
          <w:rFonts w:cs="Times New Roman"/>
          <w:sz w:val="20"/>
          <w:szCs w:val="20"/>
        </w:rPr>
      </w:pPr>
      <w:r>
        <w:rPr>
          <w:rFonts w:cs="Times New Roman"/>
          <w:b/>
          <w:sz w:val="20"/>
          <w:szCs w:val="20"/>
        </w:rPr>
        <w:t xml:space="preserve">X </w:t>
      </w:r>
      <w:r w:rsidR="007F683C" w:rsidRPr="00D45F3E">
        <w:rPr>
          <w:rFonts w:cs="Times New Roman"/>
          <w:sz w:val="20"/>
          <w:szCs w:val="20"/>
        </w:rPr>
        <w:t xml:space="preserve"> </w:t>
      </w:r>
      <w:r w:rsidR="007F683C" w:rsidRPr="00D45F3E">
        <w:rPr>
          <w:rFonts w:cs="Times New Roman"/>
          <w:b/>
          <w:bCs/>
          <w:sz w:val="20"/>
          <w:szCs w:val="20"/>
        </w:rPr>
        <w:t>No</w:t>
      </w:r>
    </w:p>
    <w:p w14:paraId="4AB1CF6F" w14:textId="3435C2F7" w:rsidR="007F683C" w:rsidRPr="00D45F3E" w:rsidRDefault="007F683C" w:rsidP="00BC5409">
      <w:pPr>
        <w:spacing w:before="120" w:after="120"/>
        <w:ind w:left="720"/>
        <w:contextualSpacing/>
        <w:jc w:val="both"/>
        <w:rPr>
          <w:rFonts w:cs="Times New Roman"/>
          <w:sz w:val="20"/>
          <w:szCs w:val="20"/>
        </w:rPr>
      </w:pPr>
      <w:r w:rsidRPr="00D45F3E">
        <w:rPr>
          <w:rFonts w:cs="Times New Roman"/>
          <w:sz w:val="20"/>
          <w:szCs w:val="20"/>
        </w:rPr>
        <w:t xml:space="preserve">__ Not sure or other </w:t>
      </w:r>
    </w:p>
    <w:p w14:paraId="1D19A3A7" w14:textId="77777777" w:rsidR="007F683C" w:rsidRPr="00D45F3E" w:rsidRDefault="007F683C" w:rsidP="008F36A2">
      <w:pPr>
        <w:jc w:val="both"/>
        <w:rPr>
          <w:rFonts w:cs="Times New Roman"/>
          <w:sz w:val="20"/>
          <w:szCs w:val="20"/>
        </w:rPr>
      </w:pPr>
    </w:p>
    <w:p w14:paraId="365E59D6" w14:textId="189AF80A" w:rsidR="007F683C" w:rsidRPr="00D45F3E" w:rsidRDefault="00320CEC" w:rsidP="00320CEC">
      <w:pPr>
        <w:jc w:val="both"/>
        <w:rPr>
          <w:rFonts w:cs="Times New Roman"/>
          <w:sz w:val="20"/>
          <w:szCs w:val="20"/>
        </w:rPr>
      </w:pPr>
      <w:r>
        <w:rPr>
          <w:rFonts w:cs="Times New Roman"/>
          <w:sz w:val="20"/>
          <w:szCs w:val="20"/>
        </w:rPr>
        <w:t xml:space="preserve">        </w:t>
      </w:r>
      <w:r w:rsidR="007F683C" w:rsidRPr="00D45F3E">
        <w:rPr>
          <w:rFonts w:cs="Times New Roman"/>
          <w:sz w:val="20"/>
          <w:szCs w:val="20"/>
        </w:rPr>
        <w:t>C. Would the external researcher be required to have a collaborator in your country? [Yes/No]</w:t>
      </w:r>
    </w:p>
    <w:p w14:paraId="60B86CFC" w14:textId="00679132" w:rsidR="007F683C" w:rsidRPr="00D45F3E" w:rsidRDefault="007F683C" w:rsidP="00BC5409">
      <w:pPr>
        <w:spacing w:before="120" w:after="120"/>
        <w:ind w:left="720"/>
        <w:contextualSpacing/>
        <w:jc w:val="both"/>
        <w:rPr>
          <w:rFonts w:cs="Times New Roman"/>
          <w:sz w:val="20"/>
          <w:szCs w:val="20"/>
        </w:rPr>
      </w:pPr>
      <w:r w:rsidRPr="00D45F3E">
        <w:rPr>
          <w:rFonts w:cs="Times New Roman"/>
          <w:sz w:val="20"/>
          <w:szCs w:val="20"/>
        </w:rPr>
        <w:t>__ Yes</w:t>
      </w:r>
    </w:p>
    <w:p w14:paraId="39A82550" w14:textId="32927088" w:rsidR="007F683C" w:rsidRPr="00D45F3E" w:rsidRDefault="007F683C" w:rsidP="00BC5409">
      <w:pPr>
        <w:spacing w:before="120" w:after="120"/>
        <w:ind w:left="720"/>
        <w:contextualSpacing/>
        <w:jc w:val="both"/>
        <w:rPr>
          <w:rFonts w:cs="Times New Roman"/>
          <w:sz w:val="20"/>
          <w:szCs w:val="20"/>
        </w:rPr>
      </w:pPr>
      <w:r w:rsidRPr="00D45F3E">
        <w:rPr>
          <w:rFonts w:cs="Times New Roman"/>
          <w:sz w:val="20"/>
          <w:szCs w:val="20"/>
        </w:rPr>
        <w:t>__  No</w:t>
      </w:r>
    </w:p>
    <w:p w14:paraId="47241821" w14:textId="644F033A" w:rsidR="007F683C" w:rsidRPr="00D45F3E" w:rsidRDefault="00431A1F" w:rsidP="00BC5409">
      <w:pPr>
        <w:spacing w:before="120" w:after="120"/>
        <w:ind w:left="720"/>
        <w:contextualSpacing/>
        <w:jc w:val="both"/>
        <w:rPr>
          <w:rFonts w:cs="Times New Roman"/>
          <w:b/>
          <w:bCs/>
          <w:sz w:val="20"/>
          <w:szCs w:val="20"/>
        </w:rPr>
      </w:pPr>
      <w:r>
        <w:rPr>
          <w:rFonts w:cs="Times New Roman"/>
          <w:b/>
          <w:sz w:val="20"/>
          <w:szCs w:val="20"/>
        </w:rPr>
        <w:t xml:space="preserve">X </w:t>
      </w:r>
      <w:r w:rsidR="007F683C" w:rsidRPr="00D45F3E">
        <w:rPr>
          <w:rFonts w:cs="Times New Roman"/>
          <w:sz w:val="20"/>
          <w:szCs w:val="20"/>
        </w:rPr>
        <w:t xml:space="preserve">  </w:t>
      </w:r>
      <w:r w:rsidR="007F683C" w:rsidRPr="00D45F3E">
        <w:rPr>
          <w:rFonts w:cs="Times New Roman"/>
          <w:b/>
          <w:bCs/>
          <w:sz w:val="20"/>
          <w:szCs w:val="20"/>
        </w:rPr>
        <w:t>Not sure or other</w:t>
      </w:r>
    </w:p>
    <w:p w14:paraId="1110E8EF" w14:textId="782E74F8" w:rsidR="007F683C" w:rsidRPr="00D45F3E" w:rsidRDefault="007F683C" w:rsidP="00BC5409">
      <w:pPr>
        <w:spacing w:before="120" w:after="120"/>
        <w:contextualSpacing/>
        <w:jc w:val="both"/>
        <w:rPr>
          <w:rFonts w:cs="Times New Roman"/>
          <w:sz w:val="20"/>
          <w:szCs w:val="20"/>
        </w:rPr>
      </w:pPr>
    </w:p>
    <w:p w14:paraId="6C0765C5" w14:textId="392CE9AE" w:rsidR="007F683C" w:rsidRPr="00D45F3E" w:rsidRDefault="007F683C" w:rsidP="00BC5409">
      <w:pPr>
        <w:spacing w:before="120" w:after="120"/>
        <w:contextualSpacing/>
        <w:jc w:val="both"/>
        <w:rPr>
          <w:rFonts w:cs="Times New Roman"/>
          <w:sz w:val="20"/>
          <w:szCs w:val="20"/>
        </w:rPr>
      </w:pPr>
      <w:r w:rsidRPr="00D45F3E">
        <w:rPr>
          <w:rFonts w:cs="Times New Roman"/>
          <w:sz w:val="20"/>
          <w:szCs w:val="20"/>
        </w:rPr>
        <w:t xml:space="preserve">There would not necessarily be a requirement for a collaborator, though this would make things much easier logistically. </w:t>
      </w:r>
    </w:p>
    <w:p w14:paraId="0B41A899" w14:textId="77777777" w:rsidR="007F683C" w:rsidRPr="00D45F3E" w:rsidRDefault="007F683C" w:rsidP="00BC5409">
      <w:pPr>
        <w:spacing w:before="120" w:after="120"/>
        <w:contextualSpacing/>
        <w:jc w:val="both"/>
        <w:rPr>
          <w:rFonts w:cs="Times New Roman"/>
          <w:sz w:val="20"/>
          <w:szCs w:val="20"/>
        </w:rPr>
      </w:pPr>
    </w:p>
    <w:p w14:paraId="2AA1C358" w14:textId="621F5577" w:rsidR="007F683C" w:rsidRPr="00D45F3E" w:rsidRDefault="007F683C" w:rsidP="00BC5409">
      <w:pPr>
        <w:spacing w:before="120" w:after="120"/>
        <w:ind w:left="432"/>
        <w:contextualSpacing/>
        <w:jc w:val="both"/>
        <w:rPr>
          <w:rFonts w:cs="Times New Roman"/>
          <w:sz w:val="20"/>
          <w:szCs w:val="20"/>
        </w:rPr>
      </w:pPr>
      <w:r w:rsidRPr="00D45F3E">
        <w:rPr>
          <w:rFonts w:cs="Times New Roman"/>
          <w:sz w:val="20"/>
          <w:szCs w:val="20"/>
        </w:rPr>
        <w:t>D. Would it matter whether the external researcher is based at a commercial, governmental, or academic entity? [Yes/No]</w:t>
      </w:r>
    </w:p>
    <w:p w14:paraId="6C1B4650" w14:textId="3EE2118F" w:rsidR="007F683C" w:rsidRPr="00D45F3E" w:rsidRDefault="007F683C" w:rsidP="00BC5409">
      <w:pPr>
        <w:spacing w:before="120" w:after="120"/>
        <w:ind w:left="720"/>
        <w:contextualSpacing/>
        <w:jc w:val="both"/>
        <w:rPr>
          <w:rFonts w:cs="Times New Roman"/>
          <w:sz w:val="20"/>
          <w:szCs w:val="20"/>
        </w:rPr>
      </w:pPr>
      <w:r w:rsidRPr="00D45F3E">
        <w:rPr>
          <w:rFonts w:cs="Times New Roman"/>
          <w:sz w:val="20"/>
          <w:szCs w:val="20"/>
        </w:rPr>
        <w:t xml:space="preserve">__ Yes </w:t>
      </w:r>
    </w:p>
    <w:p w14:paraId="01C86F8C" w14:textId="5A4D3FE1" w:rsidR="007F683C" w:rsidRPr="00D45F3E" w:rsidRDefault="00431A1F" w:rsidP="00BC5409">
      <w:pPr>
        <w:spacing w:before="120" w:after="120"/>
        <w:ind w:left="720"/>
        <w:contextualSpacing/>
        <w:jc w:val="both"/>
        <w:rPr>
          <w:rFonts w:cs="Times New Roman"/>
          <w:sz w:val="20"/>
          <w:szCs w:val="20"/>
        </w:rPr>
      </w:pPr>
      <w:r>
        <w:rPr>
          <w:rFonts w:cs="Times New Roman"/>
          <w:b/>
          <w:sz w:val="20"/>
          <w:szCs w:val="20"/>
        </w:rPr>
        <w:t xml:space="preserve">X </w:t>
      </w:r>
      <w:r w:rsidR="007F683C" w:rsidRPr="00D45F3E">
        <w:rPr>
          <w:rFonts w:cs="Times New Roman"/>
          <w:sz w:val="20"/>
          <w:szCs w:val="20"/>
        </w:rPr>
        <w:t xml:space="preserve"> </w:t>
      </w:r>
      <w:r w:rsidR="007F683C" w:rsidRPr="00D45F3E">
        <w:rPr>
          <w:rFonts w:cs="Times New Roman"/>
          <w:b/>
          <w:bCs/>
          <w:sz w:val="20"/>
          <w:szCs w:val="20"/>
        </w:rPr>
        <w:t>No</w:t>
      </w:r>
    </w:p>
    <w:p w14:paraId="1ADDD6F7" w14:textId="7D9E43CE" w:rsidR="007F683C" w:rsidRPr="00D45F3E" w:rsidRDefault="007F683C" w:rsidP="00BC5409">
      <w:pPr>
        <w:spacing w:before="120" w:after="120"/>
        <w:ind w:left="720"/>
        <w:contextualSpacing/>
        <w:jc w:val="both"/>
        <w:rPr>
          <w:rFonts w:cs="Times New Roman"/>
          <w:sz w:val="20"/>
          <w:szCs w:val="20"/>
        </w:rPr>
      </w:pPr>
      <w:r w:rsidRPr="00D45F3E">
        <w:rPr>
          <w:rFonts w:cs="Times New Roman"/>
          <w:sz w:val="20"/>
          <w:szCs w:val="20"/>
        </w:rPr>
        <w:t>__ Not sure or other</w:t>
      </w:r>
    </w:p>
    <w:p w14:paraId="3B9C2435" w14:textId="7025CE28" w:rsidR="007F683C" w:rsidRPr="00D45F3E" w:rsidRDefault="007F683C" w:rsidP="00BC5409">
      <w:pPr>
        <w:spacing w:before="120" w:after="120"/>
        <w:ind w:left="720"/>
        <w:contextualSpacing/>
        <w:jc w:val="both"/>
        <w:rPr>
          <w:rFonts w:cs="Times New Roman"/>
          <w:sz w:val="20"/>
          <w:szCs w:val="20"/>
        </w:rPr>
      </w:pPr>
    </w:p>
    <w:p w14:paraId="7562CA9E" w14:textId="55D1AB9D" w:rsidR="007F683C" w:rsidRPr="00D45F3E" w:rsidRDefault="007F683C" w:rsidP="00C744BB">
      <w:pPr>
        <w:spacing w:before="120" w:after="120"/>
        <w:ind w:left="142"/>
        <w:contextualSpacing/>
        <w:jc w:val="both"/>
        <w:rPr>
          <w:rFonts w:cs="Times New Roman"/>
          <w:sz w:val="20"/>
          <w:szCs w:val="20"/>
        </w:rPr>
      </w:pPr>
      <w:r w:rsidRPr="00D45F3E">
        <w:rPr>
          <w:rFonts w:cs="Times New Roman"/>
          <w:sz w:val="20"/>
          <w:szCs w:val="20"/>
        </w:rPr>
        <w:t>The managing organization (which subsequently becomes the sponsor) can be commercial, governmental, or academic, and so can the external researcher. If the project is determined as research, then the relevant approvals apply. If a project is a research tissue ba</w:t>
      </w:r>
      <w:r w:rsidR="00A21748">
        <w:rPr>
          <w:rFonts w:cs="Times New Roman"/>
          <w:sz w:val="20"/>
          <w:szCs w:val="20"/>
        </w:rPr>
        <w:t>nk, research database, or takes</w:t>
      </w:r>
      <w:r w:rsidRPr="00D45F3E">
        <w:rPr>
          <w:rFonts w:cs="Times New Roman"/>
          <w:sz w:val="20"/>
          <w:szCs w:val="20"/>
        </w:rPr>
        <w:t xml:space="preserve"> place outside </w:t>
      </w:r>
      <w:r w:rsidR="00A21748">
        <w:rPr>
          <w:rFonts w:cs="Times New Roman"/>
          <w:sz w:val="20"/>
          <w:szCs w:val="20"/>
        </w:rPr>
        <w:t xml:space="preserve">the </w:t>
      </w:r>
      <w:r w:rsidRPr="00D45F3E">
        <w:rPr>
          <w:rFonts w:cs="Times New Roman"/>
          <w:sz w:val="20"/>
          <w:szCs w:val="20"/>
        </w:rPr>
        <w:t>NHS setting, then HRA approval is not required, but REC approval is. It does not matter for the purposes of submitting an application to a research ethics committee where researchers are based, and all researchers will undergo the same process of review if they are using the NHS to recruit patients or are using NHS data, facilities, or staff. However, for the purposes of data protection</w:t>
      </w:r>
      <w:r w:rsidR="00A21748">
        <w:rPr>
          <w:rFonts w:cs="Times New Roman"/>
          <w:sz w:val="20"/>
          <w:szCs w:val="20"/>
        </w:rPr>
        <w:t>,</w:t>
      </w:r>
      <w:r w:rsidRPr="00D45F3E">
        <w:rPr>
          <w:rFonts w:cs="Times New Roman"/>
          <w:sz w:val="20"/>
          <w:szCs w:val="20"/>
        </w:rPr>
        <w:t xml:space="preserve"> it does matter. According to the Health Research Authority and the Information Commissioners Office Guidance</w:t>
      </w:r>
      <w:r w:rsidR="00A21748">
        <w:rPr>
          <w:rFonts w:cs="Times New Roman"/>
          <w:sz w:val="20"/>
          <w:szCs w:val="20"/>
        </w:rPr>
        <w:t>,</w:t>
      </w:r>
      <w:r w:rsidRPr="00D45F3E">
        <w:rPr>
          <w:rFonts w:cs="Times New Roman"/>
          <w:sz w:val="20"/>
          <w:szCs w:val="20"/>
        </w:rPr>
        <w:t xml:space="preserve"> research for health and social care should rely on other grounds for processing data, such as the public interest,</w:t>
      </w:r>
      <w:r w:rsidR="00FC1BF9" w:rsidRPr="00D45F3E">
        <w:rPr>
          <w:rFonts w:cs="Times New Roman"/>
          <w:sz w:val="20"/>
          <w:szCs w:val="20"/>
          <w:vertAlign w:val="superscript"/>
        </w:rPr>
        <w:t>11</w:t>
      </w:r>
      <w:r w:rsidRPr="00D45F3E">
        <w:rPr>
          <w:rFonts w:cs="Times New Roman"/>
          <w:sz w:val="20"/>
          <w:szCs w:val="20"/>
        </w:rPr>
        <w:t xml:space="preserve"> whereas organizations that are not public entities, especially DTC companies, are unlikely to be able to rely on these same grounds, given that they are typically conducting research on consumer data, which is originally collected for the purposes of a commercial genetic testing service.</w:t>
      </w:r>
    </w:p>
    <w:p w14:paraId="71A97A48" w14:textId="77777777" w:rsidR="007F683C" w:rsidRPr="00D45F3E" w:rsidRDefault="007F683C" w:rsidP="00BC5409">
      <w:pPr>
        <w:jc w:val="both"/>
        <w:rPr>
          <w:rFonts w:cs="Times New Roman"/>
          <w:sz w:val="20"/>
          <w:szCs w:val="20"/>
        </w:rPr>
      </w:pPr>
    </w:p>
    <w:p w14:paraId="5CD55880" w14:textId="70810495" w:rsidR="007F683C" w:rsidRPr="00D45F3E" w:rsidRDefault="007F683C" w:rsidP="00BC5409">
      <w:pPr>
        <w:ind w:left="446" w:hanging="446"/>
        <w:jc w:val="both"/>
        <w:rPr>
          <w:rFonts w:cs="Times New Roman"/>
          <w:b/>
          <w:bCs/>
          <w:sz w:val="20"/>
          <w:szCs w:val="20"/>
        </w:rPr>
      </w:pPr>
      <w:r w:rsidRPr="00D45F3E">
        <w:rPr>
          <w:rFonts w:cs="Times New Roman"/>
          <w:b/>
          <w:bCs/>
          <w:sz w:val="20"/>
          <w:szCs w:val="20"/>
        </w:rPr>
        <w:t>5.</w:t>
      </w:r>
      <w:r w:rsidRPr="00D45F3E">
        <w:rPr>
          <w:rFonts w:cs="Times New Roman"/>
          <w:b/>
          <w:bCs/>
          <w:sz w:val="20"/>
          <w:szCs w:val="20"/>
        </w:rPr>
        <w:tab/>
        <w:t>As far as you know, what are the perceived benefits and risks that could occur if a researcher from another country conducted IRB/REC-approved genomic research on samples or data obtained from your country? Please consider the perspectives of the public, research participants, socially-defined groups (e.g., indigenous or minority populations), researchers, and other professional or government entities.</w:t>
      </w:r>
    </w:p>
    <w:p w14:paraId="2099AE42" w14:textId="77777777" w:rsidR="007F683C" w:rsidRPr="00D45F3E" w:rsidRDefault="007F683C" w:rsidP="00BC5409">
      <w:pPr>
        <w:spacing w:before="120" w:after="100" w:afterAutospacing="1"/>
        <w:ind w:left="360" w:hanging="360"/>
        <w:contextualSpacing/>
        <w:jc w:val="both"/>
        <w:rPr>
          <w:rFonts w:cs="Times New Roman"/>
          <w:sz w:val="20"/>
          <w:szCs w:val="20"/>
        </w:rPr>
      </w:pPr>
    </w:p>
    <w:p w14:paraId="5B6244FA" w14:textId="732EAF4C" w:rsidR="007F683C" w:rsidRPr="00D45F3E" w:rsidRDefault="007F683C" w:rsidP="000D759B">
      <w:pPr>
        <w:spacing w:before="120" w:after="100" w:afterAutospacing="1"/>
        <w:contextualSpacing/>
        <w:jc w:val="both"/>
        <w:rPr>
          <w:rFonts w:cs="Times New Roman"/>
          <w:sz w:val="20"/>
          <w:szCs w:val="20"/>
        </w:rPr>
      </w:pPr>
      <w:r w:rsidRPr="00D45F3E">
        <w:rPr>
          <w:rFonts w:cs="Times New Roman"/>
          <w:sz w:val="20"/>
          <w:szCs w:val="20"/>
        </w:rPr>
        <w:t>In the UK, any research on samples from NHS patients or other research will have to have relevant approvals as outlined above. The risks and benefits would be considered by HRA and the appropriate REC accordingly. There are specific governance mechanisms that researchers have to adhere to</w:t>
      </w:r>
      <w:r w:rsidR="00A21748">
        <w:rPr>
          <w:rFonts w:cs="Times New Roman"/>
          <w:sz w:val="20"/>
          <w:szCs w:val="20"/>
        </w:rPr>
        <w:t>, including providing</w:t>
      </w:r>
      <w:r w:rsidRPr="00D45F3E">
        <w:rPr>
          <w:rFonts w:cs="Times New Roman"/>
          <w:sz w:val="20"/>
          <w:szCs w:val="20"/>
        </w:rPr>
        <w:t xml:space="preserve"> assurances for the handling of data. Risks might include that ethical standards and regulations may differ between countries, ethical review may not be required in the country of the researcher, research participants may not receive feedback of results, particularly of incidental findings if applicable, and different levels of choice are given to participants regarding the collection, use, and sharing of their samples. </w:t>
      </w:r>
    </w:p>
    <w:p w14:paraId="199745ED" w14:textId="77777777" w:rsidR="007F683C" w:rsidRPr="00D45F3E" w:rsidRDefault="007F683C" w:rsidP="00BC5409">
      <w:pPr>
        <w:spacing w:before="120" w:after="100" w:afterAutospacing="1"/>
        <w:ind w:left="360" w:hanging="360"/>
        <w:contextualSpacing/>
        <w:jc w:val="both"/>
        <w:rPr>
          <w:rFonts w:cs="Times New Roman"/>
          <w:sz w:val="20"/>
          <w:szCs w:val="20"/>
        </w:rPr>
      </w:pPr>
    </w:p>
    <w:p w14:paraId="7FB114F1" w14:textId="265957A5" w:rsidR="007F683C" w:rsidRPr="00D45F3E" w:rsidRDefault="007F683C" w:rsidP="00E072B9">
      <w:pPr>
        <w:rPr>
          <w:rFonts w:cs="Times New Roman"/>
          <w:b/>
          <w:i/>
          <w:sz w:val="20"/>
          <w:szCs w:val="20"/>
        </w:rPr>
      </w:pPr>
      <w:r w:rsidRPr="00D45F3E">
        <w:rPr>
          <w:rFonts w:cs="Times New Roman"/>
          <w:b/>
          <w:i/>
          <w:sz w:val="20"/>
          <w:szCs w:val="20"/>
        </w:rPr>
        <w:t>Part II – General Questions</w:t>
      </w:r>
    </w:p>
    <w:p w14:paraId="44246A3F" w14:textId="77777777" w:rsidR="007F683C" w:rsidRPr="00D45F3E" w:rsidRDefault="007F683C" w:rsidP="00F50DEE">
      <w:pPr>
        <w:spacing w:before="240" w:after="120"/>
        <w:ind w:left="360" w:hanging="360"/>
        <w:contextualSpacing/>
        <w:jc w:val="both"/>
        <w:rPr>
          <w:rFonts w:cs="Times New Roman"/>
          <w:sz w:val="20"/>
          <w:szCs w:val="20"/>
        </w:rPr>
      </w:pPr>
    </w:p>
    <w:p w14:paraId="3BE8A264" w14:textId="17D02AA3" w:rsidR="007F683C" w:rsidRPr="00D45F3E" w:rsidRDefault="007F683C" w:rsidP="00BC5409">
      <w:pPr>
        <w:ind w:left="446" w:hanging="446"/>
        <w:jc w:val="both"/>
        <w:rPr>
          <w:rFonts w:cs="Times New Roman"/>
          <w:b/>
          <w:bCs/>
          <w:sz w:val="20"/>
          <w:szCs w:val="20"/>
        </w:rPr>
      </w:pPr>
      <w:r w:rsidRPr="00D45F3E">
        <w:rPr>
          <w:rFonts w:cs="Times New Roman"/>
          <w:b/>
          <w:bCs/>
          <w:sz w:val="20"/>
          <w:szCs w:val="20"/>
        </w:rPr>
        <w:t xml:space="preserve">6. </w:t>
      </w:r>
      <w:r w:rsidRPr="00D45F3E">
        <w:rPr>
          <w:rFonts w:cs="Times New Roman"/>
          <w:b/>
          <w:bCs/>
          <w:sz w:val="20"/>
          <w:szCs w:val="20"/>
        </w:rPr>
        <w:tab/>
        <w:t>Does your country have biohazard committees, data protection boards, export permit authorities, or other entities that regulate the exporting of biospecimens or the transferring of data across borders for research? If so, do these requirements apply to individual citizens as well as research and medical institutions?</w:t>
      </w:r>
    </w:p>
    <w:p w14:paraId="28006983" w14:textId="32DC8635" w:rsidR="007F683C" w:rsidRPr="00D45F3E" w:rsidRDefault="007F683C" w:rsidP="00BC5409">
      <w:pPr>
        <w:ind w:left="446" w:hanging="446"/>
        <w:jc w:val="both"/>
        <w:rPr>
          <w:rFonts w:cs="Times New Roman"/>
          <w:sz w:val="20"/>
          <w:szCs w:val="20"/>
        </w:rPr>
      </w:pPr>
    </w:p>
    <w:p w14:paraId="754345AC" w14:textId="21A8C229" w:rsidR="007F683C" w:rsidRPr="00D45F3E" w:rsidRDefault="007F683C" w:rsidP="007448BD">
      <w:pPr>
        <w:jc w:val="both"/>
        <w:rPr>
          <w:rFonts w:cs="Times New Roman"/>
          <w:sz w:val="20"/>
          <w:szCs w:val="20"/>
        </w:rPr>
      </w:pPr>
      <w:r w:rsidRPr="00D45F3E">
        <w:rPr>
          <w:rFonts w:cs="Times New Roman"/>
          <w:sz w:val="20"/>
          <w:szCs w:val="20"/>
        </w:rPr>
        <w:t xml:space="preserve">Yes. The relevant data protection regulator is the ICO (Information Commissioner’s Office). Current legislation on data protection is the Data Protection Act 2018 together with the General Data Protection Regulation. There is some level of uncertainty regarding how the UK will be treated by other European member states post-Brexit, but the Data Protection Act has incorporated the GDPR into the UK’s domestic law, as well as making derogations from it. </w:t>
      </w:r>
    </w:p>
    <w:p w14:paraId="5CC5A9A9" w14:textId="77777777" w:rsidR="007F683C" w:rsidRPr="00D45F3E" w:rsidRDefault="007F683C" w:rsidP="007448BD">
      <w:pPr>
        <w:jc w:val="both"/>
        <w:rPr>
          <w:rFonts w:cs="Times New Roman"/>
          <w:sz w:val="20"/>
          <w:szCs w:val="20"/>
        </w:rPr>
      </w:pPr>
    </w:p>
    <w:p w14:paraId="51155AE5" w14:textId="5E599BB6" w:rsidR="007F683C" w:rsidRPr="00D45F3E" w:rsidRDefault="007F683C" w:rsidP="007448BD">
      <w:pPr>
        <w:jc w:val="both"/>
        <w:rPr>
          <w:rFonts w:cs="Times New Roman"/>
          <w:sz w:val="20"/>
          <w:szCs w:val="20"/>
          <w:vertAlign w:val="superscript"/>
        </w:rPr>
      </w:pPr>
      <w:r w:rsidRPr="00D45F3E">
        <w:rPr>
          <w:rFonts w:cs="Times New Roman"/>
          <w:sz w:val="20"/>
          <w:szCs w:val="20"/>
        </w:rPr>
        <w:lastRenderedPageBreak/>
        <w:t>The Human Tissue Authority enforces the Human Tissue Act 2004 and regulates “organizations that remove, store, and use human tissue for research, medical treatment, post-mortem examination, education and training, and display in public.”</w:t>
      </w:r>
      <w:r w:rsidR="00FC1BF9" w:rsidRPr="00D45F3E">
        <w:rPr>
          <w:rFonts w:cs="Times New Roman"/>
          <w:sz w:val="20"/>
          <w:szCs w:val="20"/>
          <w:vertAlign w:val="superscript"/>
        </w:rPr>
        <w:t>12</w:t>
      </w:r>
    </w:p>
    <w:p w14:paraId="7D4CBE9B" w14:textId="77777777" w:rsidR="007F683C" w:rsidRPr="00D45F3E" w:rsidRDefault="007F683C" w:rsidP="007448BD">
      <w:pPr>
        <w:jc w:val="both"/>
        <w:rPr>
          <w:rFonts w:cs="Times New Roman"/>
          <w:sz w:val="20"/>
          <w:szCs w:val="20"/>
        </w:rPr>
      </w:pPr>
    </w:p>
    <w:p w14:paraId="351CF105" w14:textId="3B256160" w:rsidR="007F683C" w:rsidRPr="00D45F3E" w:rsidRDefault="007F683C" w:rsidP="002A41BF">
      <w:pPr>
        <w:jc w:val="both"/>
        <w:rPr>
          <w:rFonts w:cs="Times New Roman"/>
          <w:sz w:val="20"/>
          <w:szCs w:val="20"/>
        </w:rPr>
      </w:pPr>
      <w:r w:rsidRPr="00D45F3E">
        <w:rPr>
          <w:rFonts w:cs="Times New Roman"/>
          <w:sz w:val="20"/>
          <w:szCs w:val="20"/>
        </w:rPr>
        <w:t>The Health Research Authority (HRA) was established in accordance with the Care Act 2014, “as an executive non-departmental public body (NDPB) sponsored by the Department of Health on 1 January 2015.”</w:t>
      </w:r>
      <w:r w:rsidR="00FC1BF9" w:rsidRPr="00D45F3E">
        <w:rPr>
          <w:rFonts w:cs="Times New Roman"/>
          <w:sz w:val="20"/>
          <w:szCs w:val="20"/>
          <w:vertAlign w:val="superscript"/>
        </w:rPr>
        <w:t>13</w:t>
      </w:r>
      <w:r w:rsidRPr="00D45F3E">
        <w:rPr>
          <w:rFonts w:cs="Times New Roman"/>
          <w:sz w:val="20"/>
          <w:szCs w:val="20"/>
        </w:rPr>
        <w:t xml:space="preserve"> The HRA’s primary purpose “is to protect and promote the interests of patients and the public in health and social care research.” In order to achieve this, it seeks to:</w:t>
      </w:r>
    </w:p>
    <w:p w14:paraId="32571D11" w14:textId="265EF0CC" w:rsidR="007F683C" w:rsidRPr="00D45F3E" w:rsidRDefault="007F683C" w:rsidP="00961D89">
      <w:pPr>
        <w:pStyle w:val="NormalWeb"/>
        <w:numPr>
          <w:ilvl w:val="0"/>
          <w:numId w:val="6"/>
        </w:numPr>
        <w:spacing w:after="300"/>
        <w:rPr>
          <w:sz w:val="20"/>
          <w:szCs w:val="20"/>
        </w:rPr>
      </w:pPr>
      <w:r w:rsidRPr="00D45F3E">
        <w:rPr>
          <w:sz w:val="20"/>
          <w:szCs w:val="20"/>
        </w:rPr>
        <w:t>make sure research is ethically reviewed and approved</w:t>
      </w:r>
    </w:p>
    <w:p w14:paraId="5302F442" w14:textId="23487729" w:rsidR="007F683C" w:rsidRPr="00D45F3E" w:rsidRDefault="007F683C" w:rsidP="00961D89">
      <w:pPr>
        <w:pStyle w:val="NormalWeb"/>
        <w:numPr>
          <w:ilvl w:val="0"/>
          <w:numId w:val="6"/>
        </w:numPr>
        <w:spacing w:after="300"/>
        <w:rPr>
          <w:sz w:val="20"/>
          <w:szCs w:val="20"/>
        </w:rPr>
      </w:pPr>
      <w:r w:rsidRPr="00D45F3E">
        <w:rPr>
          <w:sz w:val="20"/>
          <w:szCs w:val="20"/>
        </w:rPr>
        <w:t>promote transparency in research</w:t>
      </w:r>
    </w:p>
    <w:p w14:paraId="33617513" w14:textId="2E102A73" w:rsidR="007F683C" w:rsidRPr="00D45F3E" w:rsidRDefault="007F683C" w:rsidP="00961D89">
      <w:pPr>
        <w:pStyle w:val="NormalWeb"/>
        <w:numPr>
          <w:ilvl w:val="0"/>
          <w:numId w:val="6"/>
        </w:numPr>
        <w:spacing w:after="300"/>
        <w:rPr>
          <w:sz w:val="20"/>
          <w:szCs w:val="20"/>
        </w:rPr>
      </w:pPr>
      <w:r w:rsidRPr="00D45F3E">
        <w:rPr>
          <w:sz w:val="20"/>
          <w:szCs w:val="20"/>
        </w:rPr>
        <w:t>oversee a range of committees and services</w:t>
      </w:r>
    </w:p>
    <w:p w14:paraId="00B4A363" w14:textId="24157299" w:rsidR="007F683C" w:rsidRPr="00D45F3E" w:rsidRDefault="007F683C" w:rsidP="00961D89">
      <w:pPr>
        <w:pStyle w:val="NormalWeb"/>
        <w:numPr>
          <w:ilvl w:val="0"/>
          <w:numId w:val="6"/>
        </w:numPr>
        <w:spacing w:before="0" w:beforeAutospacing="0" w:after="300" w:afterAutospacing="0"/>
        <w:rPr>
          <w:color w:val="000000"/>
          <w:sz w:val="20"/>
          <w:szCs w:val="20"/>
        </w:rPr>
      </w:pPr>
      <w:r w:rsidRPr="00D45F3E">
        <w:rPr>
          <w:sz w:val="20"/>
          <w:szCs w:val="20"/>
        </w:rPr>
        <w:t>provide independent recommendations on the processing of identifiable patient information where it is not always practical to obtain consent, for research and non-research projects.</w:t>
      </w:r>
      <w:r w:rsidR="00FC1BF9" w:rsidRPr="00D45F3E">
        <w:rPr>
          <w:sz w:val="20"/>
          <w:szCs w:val="20"/>
          <w:vertAlign w:val="superscript"/>
        </w:rPr>
        <w:t>14</w:t>
      </w:r>
    </w:p>
    <w:p w14:paraId="25A76C6D" w14:textId="1908F726" w:rsidR="007F683C" w:rsidRPr="00D45F3E" w:rsidRDefault="007F683C" w:rsidP="00961D89">
      <w:pPr>
        <w:jc w:val="both"/>
        <w:rPr>
          <w:rFonts w:cs="Times New Roman"/>
          <w:sz w:val="20"/>
          <w:szCs w:val="20"/>
          <w:vertAlign w:val="superscript"/>
        </w:rPr>
      </w:pPr>
      <w:r w:rsidRPr="00D45F3E">
        <w:rPr>
          <w:rFonts w:cs="Times New Roman"/>
          <w:sz w:val="20"/>
          <w:szCs w:val="20"/>
        </w:rPr>
        <w:t>Both the ICO and the Health Research Authority have released guidance indicating that consent should not be the basis for processing in the context of health and social care research.</w:t>
      </w:r>
      <w:r w:rsidR="00FC1BF9" w:rsidRPr="00D45F3E">
        <w:rPr>
          <w:rFonts w:cs="Times New Roman"/>
          <w:sz w:val="20"/>
          <w:szCs w:val="20"/>
          <w:vertAlign w:val="superscript"/>
        </w:rPr>
        <w:t>15</w:t>
      </w:r>
    </w:p>
    <w:p w14:paraId="11766513" w14:textId="3343E80A" w:rsidR="007F683C" w:rsidRPr="00D45F3E" w:rsidRDefault="007F683C" w:rsidP="00961D89">
      <w:pPr>
        <w:jc w:val="both"/>
        <w:rPr>
          <w:rFonts w:cs="Times New Roman"/>
          <w:sz w:val="20"/>
          <w:szCs w:val="20"/>
        </w:rPr>
      </w:pPr>
      <w:r w:rsidRPr="00D45F3E">
        <w:rPr>
          <w:rFonts w:cs="Times New Roman"/>
          <w:sz w:val="20"/>
          <w:szCs w:val="20"/>
        </w:rPr>
        <w:t>However, in the context of DTC testing companies conducting health research, all companies will still need appropriate consent for the initial test and are likely to need additional consent for secondary research in accordance with both data protection legislation and the Human Tissue Act.</w:t>
      </w:r>
    </w:p>
    <w:p w14:paraId="3D8B4A58" w14:textId="0F9E0644" w:rsidR="007F683C" w:rsidRPr="00D45F3E" w:rsidRDefault="007F683C" w:rsidP="00993113">
      <w:pPr>
        <w:jc w:val="both"/>
        <w:rPr>
          <w:rFonts w:cs="Times New Roman"/>
          <w:color w:val="000000" w:themeColor="text1"/>
          <w:sz w:val="20"/>
          <w:szCs w:val="20"/>
        </w:rPr>
      </w:pPr>
    </w:p>
    <w:p w14:paraId="15ABF25F" w14:textId="150FC5D1" w:rsidR="007F683C" w:rsidRPr="00D45F3E" w:rsidRDefault="007F683C" w:rsidP="00B61167">
      <w:pPr>
        <w:spacing w:before="240" w:after="120"/>
        <w:contextualSpacing/>
        <w:jc w:val="both"/>
        <w:rPr>
          <w:rFonts w:cs="Times New Roman"/>
          <w:bCs/>
          <w:iCs/>
          <w:sz w:val="20"/>
          <w:szCs w:val="20"/>
          <w:vertAlign w:val="superscript"/>
          <w:lang w:val="en-AU"/>
        </w:rPr>
      </w:pPr>
      <w:r w:rsidRPr="00D45F3E">
        <w:rPr>
          <w:rFonts w:cs="Times New Roman"/>
          <w:sz w:val="20"/>
          <w:szCs w:val="20"/>
        </w:rPr>
        <w:t xml:space="preserve">The </w:t>
      </w:r>
      <w:r w:rsidRPr="00742D19">
        <w:rPr>
          <w:rFonts w:cs="Times New Roman"/>
          <w:bCs/>
          <w:i/>
          <w:iCs/>
          <w:sz w:val="20"/>
          <w:szCs w:val="20"/>
          <w:lang w:val="en-AU"/>
        </w:rPr>
        <w:t>Human Fertilisation and Embryology Act</w:t>
      </w:r>
      <w:r w:rsidRPr="00D45F3E">
        <w:rPr>
          <w:rFonts w:cs="Times New Roman"/>
          <w:bCs/>
          <w:iCs/>
          <w:sz w:val="20"/>
          <w:szCs w:val="20"/>
          <w:lang w:val="en-AU"/>
        </w:rPr>
        <w:t xml:space="preserve"> 1990, which is enforced by the Human Fertilisation and Embryology Authority, also </w:t>
      </w:r>
      <w:r w:rsidR="008B6304">
        <w:rPr>
          <w:rFonts w:cs="Times New Roman"/>
          <w:bCs/>
          <w:iCs/>
          <w:sz w:val="20"/>
          <w:szCs w:val="20"/>
          <w:lang w:val="en-AU"/>
        </w:rPr>
        <w:t>is relevant</w:t>
      </w:r>
      <w:r w:rsidRPr="00D45F3E">
        <w:rPr>
          <w:rFonts w:cs="Times New Roman"/>
          <w:bCs/>
          <w:iCs/>
          <w:sz w:val="20"/>
          <w:szCs w:val="20"/>
          <w:lang w:val="en-AU"/>
        </w:rPr>
        <w:t xml:space="preserve"> here. It “approves and licences research projects which use human tissue. The Act prohibits a number of acts including the creation of an embryo, except when holding a licence issued by the Authority. Generally speaking, without authorisation, there cannot be any genetic alterations of eggs and sperm and no person shall use modified germ cells to provide fertility services.”</w:t>
      </w:r>
      <w:r w:rsidR="00FC1BF9" w:rsidRPr="00D45F3E">
        <w:rPr>
          <w:rFonts w:cs="Times New Roman"/>
          <w:bCs/>
          <w:iCs/>
          <w:sz w:val="20"/>
          <w:szCs w:val="20"/>
          <w:vertAlign w:val="superscript"/>
          <w:lang w:val="en-AU"/>
        </w:rPr>
        <w:t>16</w:t>
      </w:r>
    </w:p>
    <w:p w14:paraId="77FB0E9D" w14:textId="77777777" w:rsidR="007F683C" w:rsidRPr="00D45F3E" w:rsidRDefault="007F683C" w:rsidP="00BC5409">
      <w:pPr>
        <w:spacing w:before="240" w:after="120"/>
        <w:ind w:left="360" w:hanging="360"/>
        <w:contextualSpacing/>
        <w:jc w:val="both"/>
        <w:rPr>
          <w:rFonts w:cs="Times New Roman"/>
          <w:sz w:val="20"/>
          <w:szCs w:val="20"/>
        </w:rPr>
      </w:pPr>
    </w:p>
    <w:p w14:paraId="2A3D9D3B" w14:textId="2C9FA230" w:rsidR="007F683C" w:rsidRPr="00D45F3E" w:rsidRDefault="007F683C" w:rsidP="00BC5409">
      <w:pPr>
        <w:ind w:left="446" w:hanging="446"/>
        <w:jc w:val="both"/>
        <w:rPr>
          <w:rFonts w:cs="Times New Roman"/>
          <w:b/>
          <w:bCs/>
          <w:sz w:val="20"/>
          <w:szCs w:val="20"/>
        </w:rPr>
      </w:pPr>
      <w:r w:rsidRPr="00D45F3E">
        <w:rPr>
          <w:rFonts w:cs="Times New Roman"/>
          <w:b/>
          <w:bCs/>
          <w:sz w:val="20"/>
          <w:szCs w:val="20"/>
        </w:rPr>
        <w:t xml:space="preserve">7. </w:t>
      </w:r>
      <w:r w:rsidRPr="00D45F3E">
        <w:rPr>
          <w:rFonts w:cs="Times New Roman"/>
          <w:b/>
          <w:bCs/>
          <w:sz w:val="20"/>
          <w:szCs w:val="20"/>
        </w:rPr>
        <w:tab/>
        <w:t xml:space="preserve">Does your country have laws, policies, or guidelines dealing with genetic or genomic research or genetic or genomic privacy that would apply to international DTP research? Do your national laws on these issues apply outside of your country when residents or citizens of your country enroll in a DTP study conducted abroad? </w:t>
      </w:r>
    </w:p>
    <w:p w14:paraId="031DCF07" w14:textId="299BECE0" w:rsidR="007F683C" w:rsidRPr="00D45F3E" w:rsidRDefault="007F683C" w:rsidP="00BC5409">
      <w:pPr>
        <w:ind w:left="446" w:hanging="446"/>
        <w:jc w:val="both"/>
        <w:rPr>
          <w:rFonts w:cs="Times New Roman"/>
          <w:sz w:val="20"/>
          <w:szCs w:val="20"/>
        </w:rPr>
      </w:pPr>
    </w:p>
    <w:p w14:paraId="7A34AA5D" w14:textId="776C4A1A" w:rsidR="007F683C" w:rsidRPr="00D45F3E" w:rsidRDefault="007F683C" w:rsidP="00EF4673">
      <w:pPr>
        <w:jc w:val="both"/>
        <w:rPr>
          <w:rFonts w:cs="Times New Roman"/>
          <w:sz w:val="20"/>
          <w:szCs w:val="20"/>
        </w:rPr>
      </w:pPr>
      <w:r w:rsidRPr="00D45F3E">
        <w:rPr>
          <w:rFonts w:cs="Times New Roman"/>
          <w:sz w:val="20"/>
          <w:szCs w:val="20"/>
        </w:rPr>
        <w:t>The UK has enacted the Data Protection Act 2018, which incorporates the GDPR into the UK’s domestic law and also sits alongside the GDPR, while the UK remains part of the EU. Under both the Data Protection Act and the GDPR, genomic data is categorized as sensitive information, and the standard of consent required for processing this data is quite high. For organizations conducting health and social care research within the UK, in accordance with the HRA and ICO guidance, consent may not be the main legal basis for processing, but where a DTC company is conducting health research on consumers’ data they should be complying with data protection requirements and should be obtaining appropriate consent for all processing of genetic data.</w:t>
      </w:r>
    </w:p>
    <w:p w14:paraId="4C16221B" w14:textId="082747E5" w:rsidR="007F683C" w:rsidRPr="00D45F3E" w:rsidRDefault="007F683C" w:rsidP="00BC5409">
      <w:pPr>
        <w:spacing w:before="240" w:after="120"/>
        <w:ind w:left="360" w:hanging="360"/>
        <w:contextualSpacing/>
        <w:jc w:val="both"/>
        <w:rPr>
          <w:rFonts w:cs="Times New Roman"/>
          <w:sz w:val="20"/>
          <w:szCs w:val="20"/>
        </w:rPr>
      </w:pPr>
    </w:p>
    <w:p w14:paraId="37C88940" w14:textId="3439A24E" w:rsidR="007F683C" w:rsidRPr="00D45F3E" w:rsidRDefault="007F683C" w:rsidP="00BC5409">
      <w:pPr>
        <w:ind w:left="446" w:hanging="446"/>
        <w:jc w:val="both"/>
        <w:rPr>
          <w:rFonts w:cs="Times New Roman"/>
          <w:b/>
          <w:bCs/>
          <w:sz w:val="20"/>
          <w:szCs w:val="20"/>
        </w:rPr>
      </w:pPr>
      <w:r w:rsidRPr="00D45F3E">
        <w:rPr>
          <w:rFonts w:cs="Times New Roman"/>
          <w:b/>
          <w:bCs/>
          <w:sz w:val="20"/>
          <w:szCs w:val="20"/>
        </w:rPr>
        <w:t xml:space="preserve">8. </w:t>
      </w:r>
      <w:r w:rsidRPr="00D45F3E">
        <w:rPr>
          <w:rFonts w:cs="Times New Roman"/>
          <w:b/>
          <w:bCs/>
          <w:sz w:val="20"/>
          <w:szCs w:val="20"/>
        </w:rPr>
        <w:tab/>
        <w:t>Does your country have laws, policies, guidelines, or cultural expectations regarding the return of individual or aggregate research results? [Multiple choice]</w:t>
      </w:r>
    </w:p>
    <w:p w14:paraId="7E1D1F91" w14:textId="3E510718" w:rsidR="007F683C" w:rsidRPr="00D45F3E" w:rsidRDefault="007F683C" w:rsidP="00BC5409">
      <w:pPr>
        <w:spacing w:before="240" w:after="120"/>
        <w:ind w:left="360" w:hanging="360"/>
        <w:contextualSpacing/>
        <w:jc w:val="both"/>
        <w:rPr>
          <w:rFonts w:cs="Times New Roman"/>
          <w:sz w:val="20"/>
          <w:szCs w:val="20"/>
        </w:rPr>
      </w:pPr>
    </w:p>
    <w:p w14:paraId="458A02A7" w14:textId="1CAD08D2" w:rsidR="007F683C" w:rsidRPr="00D45F3E" w:rsidRDefault="007F683C" w:rsidP="00BC5409">
      <w:pPr>
        <w:spacing w:before="240" w:after="120"/>
        <w:ind w:left="720" w:hanging="360"/>
        <w:contextualSpacing/>
        <w:jc w:val="both"/>
        <w:rPr>
          <w:rFonts w:cs="Times New Roman"/>
          <w:sz w:val="20"/>
          <w:szCs w:val="20"/>
        </w:rPr>
      </w:pPr>
      <w:r w:rsidRPr="00D45F3E">
        <w:rPr>
          <w:rFonts w:cs="Times New Roman"/>
          <w:sz w:val="20"/>
          <w:szCs w:val="20"/>
        </w:rPr>
        <w:tab/>
        <w:t>(a) The law requires the return of individual results unless the participant expressly declines to have results returned</w:t>
      </w:r>
    </w:p>
    <w:p w14:paraId="090E27C7" w14:textId="3869E0AD" w:rsidR="007F683C" w:rsidRPr="00D45F3E" w:rsidRDefault="007F683C" w:rsidP="00BC5409">
      <w:pPr>
        <w:spacing w:before="240" w:after="120"/>
        <w:ind w:left="720" w:hanging="360"/>
        <w:contextualSpacing/>
        <w:jc w:val="both"/>
        <w:rPr>
          <w:rFonts w:cs="Times New Roman"/>
          <w:sz w:val="20"/>
          <w:szCs w:val="20"/>
        </w:rPr>
      </w:pPr>
      <w:r w:rsidRPr="00D45F3E">
        <w:rPr>
          <w:rFonts w:cs="Times New Roman"/>
          <w:sz w:val="20"/>
          <w:szCs w:val="20"/>
        </w:rPr>
        <w:tab/>
        <w:t>(b) The law is silent on return of results; the expectation is that individual results will be returned unless the participant expressly declines to have the results returned</w:t>
      </w:r>
    </w:p>
    <w:p w14:paraId="380AA218" w14:textId="77777777" w:rsidR="007F683C" w:rsidRPr="00D45F3E" w:rsidRDefault="007F683C" w:rsidP="00BC5409">
      <w:pPr>
        <w:spacing w:before="240" w:after="120"/>
        <w:ind w:left="720" w:hanging="360"/>
        <w:contextualSpacing/>
        <w:jc w:val="both"/>
        <w:rPr>
          <w:rFonts w:cs="Times New Roman"/>
          <w:sz w:val="20"/>
          <w:szCs w:val="20"/>
        </w:rPr>
      </w:pPr>
      <w:r w:rsidRPr="00D45F3E">
        <w:rPr>
          <w:rFonts w:cs="Times New Roman"/>
          <w:sz w:val="20"/>
          <w:szCs w:val="20"/>
        </w:rPr>
        <w:tab/>
        <w:t>(c) The law is silent on return of results; aggregate results are typically returned, but individual results are not returned unless expressly stated in the research protocol</w:t>
      </w:r>
    </w:p>
    <w:p w14:paraId="722B3708" w14:textId="1063C5A1" w:rsidR="007F683C" w:rsidRPr="00D45F3E" w:rsidRDefault="007F683C" w:rsidP="00EF4673">
      <w:pPr>
        <w:spacing w:before="240" w:after="120"/>
        <w:ind w:left="720" w:hanging="360"/>
        <w:contextualSpacing/>
        <w:jc w:val="both"/>
        <w:rPr>
          <w:rFonts w:cs="Times New Roman"/>
          <w:sz w:val="20"/>
          <w:szCs w:val="20"/>
        </w:rPr>
      </w:pPr>
      <w:r w:rsidRPr="00D45F3E">
        <w:rPr>
          <w:rFonts w:cs="Times New Roman"/>
          <w:sz w:val="20"/>
          <w:szCs w:val="20"/>
        </w:rPr>
        <w:tab/>
        <w:t xml:space="preserve">(d) </w:t>
      </w:r>
      <w:r w:rsidRPr="00D45F3E">
        <w:rPr>
          <w:rFonts w:cs="Times New Roman"/>
          <w:b/>
          <w:bCs/>
          <w:sz w:val="20"/>
          <w:szCs w:val="20"/>
        </w:rPr>
        <w:t>I am not sure – or other answer</w:t>
      </w:r>
      <w:r w:rsidRPr="00D45F3E">
        <w:rPr>
          <w:rFonts w:cs="Times New Roman"/>
          <w:sz w:val="20"/>
          <w:szCs w:val="20"/>
        </w:rPr>
        <w:t xml:space="preserve">  </w:t>
      </w:r>
    </w:p>
    <w:p w14:paraId="7BE756CD" w14:textId="77777777" w:rsidR="007F683C" w:rsidRPr="00D45F3E" w:rsidRDefault="007F683C" w:rsidP="008D2D22">
      <w:pPr>
        <w:spacing w:before="240" w:after="120"/>
        <w:contextualSpacing/>
        <w:jc w:val="both"/>
        <w:rPr>
          <w:rFonts w:cs="Times New Roman"/>
          <w:sz w:val="20"/>
          <w:szCs w:val="20"/>
        </w:rPr>
      </w:pPr>
    </w:p>
    <w:p w14:paraId="477D57B6" w14:textId="54C6556E" w:rsidR="007F683C" w:rsidRPr="00D45F3E" w:rsidRDefault="007F683C" w:rsidP="00BC5409">
      <w:pPr>
        <w:ind w:left="446" w:hanging="446"/>
        <w:jc w:val="both"/>
        <w:rPr>
          <w:rFonts w:cs="Times New Roman"/>
          <w:b/>
          <w:bCs/>
          <w:sz w:val="20"/>
          <w:szCs w:val="20"/>
        </w:rPr>
      </w:pPr>
      <w:r w:rsidRPr="00D45F3E">
        <w:rPr>
          <w:rFonts w:cs="Times New Roman"/>
          <w:b/>
          <w:bCs/>
          <w:sz w:val="20"/>
          <w:szCs w:val="20"/>
        </w:rPr>
        <w:t xml:space="preserve">9. </w:t>
      </w:r>
      <w:r w:rsidRPr="00D45F3E">
        <w:rPr>
          <w:rFonts w:cs="Times New Roman"/>
          <w:b/>
          <w:bCs/>
          <w:sz w:val="20"/>
          <w:szCs w:val="20"/>
        </w:rPr>
        <w:tab/>
        <w:t>Does your country have laws, policies, or guidelines regarding “direct-to-consumer" genetic testing (e.g., 23andMe) and, if so, what do they provide? [Multiple choice]</w:t>
      </w:r>
    </w:p>
    <w:p w14:paraId="7A044AFE" w14:textId="11BDD88E" w:rsidR="007F683C" w:rsidRPr="00D45F3E" w:rsidRDefault="007F683C" w:rsidP="00BC5409">
      <w:pPr>
        <w:spacing w:before="240" w:after="120"/>
        <w:ind w:left="360" w:hanging="360"/>
        <w:contextualSpacing/>
        <w:jc w:val="both"/>
        <w:rPr>
          <w:rFonts w:cs="Times New Roman"/>
          <w:sz w:val="20"/>
          <w:szCs w:val="20"/>
        </w:rPr>
      </w:pPr>
    </w:p>
    <w:p w14:paraId="3B2970D0" w14:textId="48A16E69" w:rsidR="007F683C" w:rsidRPr="00D45F3E" w:rsidRDefault="007F683C" w:rsidP="00BC5409">
      <w:pPr>
        <w:spacing w:before="240" w:after="120"/>
        <w:ind w:left="720" w:hanging="360"/>
        <w:contextualSpacing/>
        <w:jc w:val="both"/>
        <w:rPr>
          <w:rFonts w:cs="Times New Roman"/>
          <w:sz w:val="20"/>
          <w:szCs w:val="20"/>
        </w:rPr>
      </w:pPr>
      <w:r w:rsidRPr="00D45F3E">
        <w:rPr>
          <w:rFonts w:cs="Times New Roman"/>
          <w:sz w:val="20"/>
          <w:szCs w:val="20"/>
        </w:rPr>
        <w:tab/>
        <w:t>(a) Yes. Direct-to-consumer genetic testing is illegal</w:t>
      </w:r>
    </w:p>
    <w:p w14:paraId="7415810B" w14:textId="74C2B2A3" w:rsidR="007F683C" w:rsidRPr="00D45F3E" w:rsidRDefault="007F683C" w:rsidP="00BC5409">
      <w:pPr>
        <w:spacing w:before="240" w:after="120"/>
        <w:ind w:left="720" w:hanging="360"/>
        <w:contextualSpacing/>
        <w:jc w:val="both"/>
        <w:rPr>
          <w:rFonts w:cs="Times New Roman"/>
          <w:sz w:val="20"/>
          <w:szCs w:val="20"/>
          <w:highlight w:val="yellow"/>
        </w:rPr>
      </w:pPr>
      <w:r w:rsidRPr="00D45F3E">
        <w:rPr>
          <w:rFonts w:cs="Times New Roman"/>
          <w:sz w:val="20"/>
          <w:szCs w:val="20"/>
        </w:rPr>
        <w:tab/>
        <w:t xml:space="preserve">(b) </w:t>
      </w:r>
      <w:r w:rsidRPr="00D45F3E">
        <w:rPr>
          <w:rFonts w:cs="Times New Roman"/>
          <w:b/>
          <w:bCs/>
          <w:sz w:val="20"/>
          <w:szCs w:val="20"/>
        </w:rPr>
        <w:t>Yes. Direct-to-consumer genetic testing is legal</w:t>
      </w:r>
    </w:p>
    <w:p w14:paraId="07591AF2" w14:textId="77777777" w:rsidR="007F683C" w:rsidRPr="00D45F3E" w:rsidRDefault="007F683C" w:rsidP="004C31EF">
      <w:pPr>
        <w:spacing w:before="240" w:after="120"/>
        <w:ind w:left="720"/>
        <w:contextualSpacing/>
        <w:jc w:val="both"/>
        <w:rPr>
          <w:rFonts w:cs="Times New Roman"/>
          <w:sz w:val="20"/>
          <w:szCs w:val="20"/>
        </w:rPr>
      </w:pPr>
      <w:r w:rsidRPr="00D45F3E">
        <w:rPr>
          <w:rFonts w:cs="Times New Roman"/>
          <w:sz w:val="20"/>
          <w:szCs w:val="20"/>
        </w:rPr>
        <w:t>(c) No. Direct-to-consumer genetic testing is not an issue</w:t>
      </w:r>
    </w:p>
    <w:p w14:paraId="006B584F" w14:textId="77777777" w:rsidR="007F683C" w:rsidRPr="00D45F3E" w:rsidRDefault="007F683C" w:rsidP="00735964">
      <w:pPr>
        <w:spacing w:before="240" w:after="120"/>
        <w:ind w:left="720" w:hanging="360"/>
        <w:contextualSpacing/>
        <w:jc w:val="both"/>
        <w:rPr>
          <w:rFonts w:cs="Times New Roman"/>
          <w:sz w:val="20"/>
          <w:szCs w:val="20"/>
        </w:rPr>
      </w:pPr>
      <w:r w:rsidRPr="00D45F3E">
        <w:rPr>
          <w:rFonts w:cs="Times New Roman"/>
          <w:sz w:val="20"/>
          <w:szCs w:val="20"/>
        </w:rPr>
        <w:tab/>
        <w:t>(d) I am not sure – or other answer</w:t>
      </w:r>
    </w:p>
    <w:p w14:paraId="67140D8F" w14:textId="77777777" w:rsidR="007F683C" w:rsidRPr="00D45F3E" w:rsidRDefault="007F683C" w:rsidP="00BC5409">
      <w:pPr>
        <w:spacing w:before="240" w:after="120"/>
        <w:ind w:left="720" w:hanging="360"/>
        <w:contextualSpacing/>
        <w:jc w:val="both"/>
        <w:rPr>
          <w:rFonts w:cs="Times New Roman"/>
          <w:sz w:val="20"/>
          <w:szCs w:val="20"/>
          <w:highlight w:val="yellow"/>
        </w:rPr>
      </w:pPr>
    </w:p>
    <w:p w14:paraId="0D5D58DC" w14:textId="77777777" w:rsidR="007F683C" w:rsidRPr="00D45F3E" w:rsidRDefault="007F683C" w:rsidP="002A41BF">
      <w:pPr>
        <w:ind w:right="-341"/>
        <w:jc w:val="both"/>
        <w:rPr>
          <w:rFonts w:cs="Times New Roman"/>
          <w:sz w:val="20"/>
          <w:szCs w:val="20"/>
        </w:rPr>
      </w:pPr>
    </w:p>
    <w:p w14:paraId="3A85A27B" w14:textId="5E121341" w:rsidR="007F683C" w:rsidRPr="00D45F3E" w:rsidRDefault="007F683C" w:rsidP="00FC1BF9">
      <w:pPr>
        <w:ind w:right="-341"/>
        <w:jc w:val="both"/>
        <w:rPr>
          <w:rFonts w:cs="Times New Roman"/>
          <w:sz w:val="20"/>
          <w:szCs w:val="20"/>
        </w:rPr>
      </w:pPr>
      <w:r w:rsidRPr="00D45F3E">
        <w:rPr>
          <w:rFonts w:cs="Times New Roman"/>
          <w:sz w:val="20"/>
          <w:szCs w:val="20"/>
        </w:rPr>
        <w:t>At present, DTC genetic testing is technically legal. That being said, all organizations conducting genetic tests are supposed to be complying with the provisions of the Human Tissue Act, as enforced by the Human Tissue Authority. The Human Tissue Act (HTA) governs the use of human tissue and organs in the UK. The Act sets requirements for consent and makes it a criminal offence under section 45 to analyze DNA without appropriate consent. It would appear that the Act has direct application to the DTC industry.</w:t>
      </w:r>
      <w:r w:rsidR="00FC1BF9" w:rsidRPr="00D45F3E">
        <w:rPr>
          <w:rFonts w:cs="Times New Roman"/>
          <w:sz w:val="20"/>
          <w:szCs w:val="20"/>
          <w:vertAlign w:val="superscript"/>
        </w:rPr>
        <w:t>17</w:t>
      </w:r>
      <w:r w:rsidRPr="00D45F3E">
        <w:rPr>
          <w:rFonts w:cs="Times New Roman"/>
          <w:sz w:val="20"/>
          <w:szCs w:val="20"/>
        </w:rPr>
        <w:t xml:space="preserve"> The Human Tissue Authority’s </w:t>
      </w:r>
      <w:r w:rsidRPr="00D45F3E">
        <w:rPr>
          <w:rFonts w:cs="Times New Roman"/>
          <w:i/>
          <w:sz w:val="20"/>
          <w:szCs w:val="20"/>
        </w:rPr>
        <w:t xml:space="preserve">Analysis of DNA under the HT Act FAQs </w:t>
      </w:r>
      <w:r w:rsidRPr="00D45F3E">
        <w:rPr>
          <w:rFonts w:cs="Times New Roman"/>
          <w:sz w:val="20"/>
          <w:szCs w:val="20"/>
        </w:rPr>
        <w:t xml:space="preserve">states that: </w:t>
      </w:r>
    </w:p>
    <w:p w14:paraId="70B8391A" w14:textId="77777777" w:rsidR="007F683C" w:rsidRPr="00D45F3E" w:rsidRDefault="007F683C" w:rsidP="002A41BF">
      <w:pPr>
        <w:ind w:left="720" w:right="-341"/>
        <w:rPr>
          <w:rFonts w:cs="Times New Roman"/>
          <w:sz w:val="20"/>
          <w:szCs w:val="20"/>
        </w:rPr>
      </w:pPr>
    </w:p>
    <w:p w14:paraId="2E7430EC" w14:textId="76799647" w:rsidR="007F683C" w:rsidRPr="00D45F3E" w:rsidRDefault="007F683C" w:rsidP="002A41BF">
      <w:pPr>
        <w:ind w:left="720" w:right="-341"/>
        <w:rPr>
          <w:rFonts w:cs="Times New Roman"/>
          <w:sz w:val="20"/>
          <w:szCs w:val="20"/>
          <w:vertAlign w:val="superscript"/>
        </w:rPr>
      </w:pPr>
      <w:r w:rsidRPr="00D45F3E">
        <w:rPr>
          <w:rFonts w:cs="Times New Roman"/>
          <w:sz w:val="20"/>
          <w:szCs w:val="20"/>
        </w:rPr>
        <w:t xml:space="preserve">All companies providing DNA testing kits or DNA testing services must comply with the provisions of the Human Tissue Act 2004 relating to consent and the holding of bodily material with the intent to </w:t>
      </w:r>
      <w:r w:rsidR="00EF4673" w:rsidRPr="00D45F3E">
        <w:rPr>
          <w:rFonts w:cs="Times New Roman"/>
          <w:sz w:val="20"/>
          <w:szCs w:val="20"/>
        </w:rPr>
        <w:t>analyze</w:t>
      </w:r>
      <w:r w:rsidRPr="00D45F3E">
        <w:rPr>
          <w:rFonts w:cs="Times New Roman"/>
          <w:sz w:val="20"/>
          <w:szCs w:val="20"/>
        </w:rPr>
        <w:t xml:space="preserve"> DNA.</w:t>
      </w:r>
      <w:r w:rsidR="00FC1BF9" w:rsidRPr="00D45F3E">
        <w:rPr>
          <w:rFonts w:cs="Times New Roman"/>
          <w:sz w:val="20"/>
          <w:szCs w:val="20"/>
          <w:vertAlign w:val="superscript"/>
        </w:rPr>
        <w:t>18</w:t>
      </w:r>
    </w:p>
    <w:p w14:paraId="37B0FE72" w14:textId="77777777" w:rsidR="007F683C" w:rsidRPr="00D45F3E" w:rsidRDefault="007F683C" w:rsidP="00961D89">
      <w:pPr>
        <w:ind w:right="-341"/>
        <w:jc w:val="both"/>
        <w:rPr>
          <w:rFonts w:cs="Times New Roman"/>
          <w:sz w:val="20"/>
          <w:szCs w:val="20"/>
        </w:rPr>
      </w:pPr>
    </w:p>
    <w:p w14:paraId="513F24B9" w14:textId="53BEF458" w:rsidR="007F683C" w:rsidRPr="00D45F3E" w:rsidRDefault="007F683C" w:rsidP="00FC1BF9">
      <w:pPr>
        <w:ind w:right="-341"/>
        <w:jc w:val="both"/>
        <w:rPr>
          <w:rFonts w:cs="Times New Roman"/>
          <w:sz w:val="20"/>
          <w:szCs w:val="20"/>
          <w:vertAlign w:val="superscript"/>
        </w:rPr>
      </w:pPr>
      <w:r w:rsidRPr="00D45F3E">
        <w:rPr>
          <w:rFonts w:cs="Times New Roman"/>
          <w:sz w:val="20"/>
          <w:szCs w:val="20"/>
        </w:rPr>
        <w:t xml:space="preserve">However, 23andMe has been allowed to market through Superdrug in the UK because it obtained a </w:t>
      </w:r>
      <w:r w:rsidRPr="00D45F3E">
        <w:rPr>
          <w:rFonts w:cs="Times New Roman"/>
          <w:bCs/>
          <w:sz w:val="20"/>
          <w:szCs w:val="20"/>
        </w:rPr>
        <w:t>C</w:t>
      </w:r>
      <w:r w:rsidRPr="00D45F3E">
        <w:rPr>
          <w:rFonts w:cs="Times New Roman"/>
          <w:sz w:val="20"/>
          <w:szCs w:val="20"/>
        </w:rPr>
        <w:t xml:space="preserve">onformité </w:t>
      </w:r>
      <w:r w:rsidRPr="00D45F3E">
        <w:rPr>
          <w:rFonts w:cs="Times New Roman"/>
          <w:bCs/>
          <w:sz w:val="20"/>
          <w:szCs w:val="20"/>
        </w:rPr>
        <w:t>E</w:t>
      </w:r>
      <w:r w:rsidRPr="00D45F3E">
        <w:rPr>
          <w:rFonts w:cs="Times New Roman"/>
          <w:sz w:val="20"/>
          <w:szCs w:val="20"/>
        </w:rPr>
        <w:t>uropéene (CE) mark for its test kit, which means essentially that the kit has been approved as safe for the purposes of collecting saliva.</w:t>
      </w:r>
      <w:r w:rsidR="00FC1BF9" w:rsidRPr="00D45F3E">
        <w:rPr>
          <w:rFonts w:cs="Times New Roman"/>
          <w:sz w:val="20"/>
          <w:szCs w:val="20"/>
          <w:vertAlign w:val="superscript"/>
        </w:rPr>
        <w:t>19</w:t>
      </w:r>
      <w:r w:rsidRPr="00D45F3E">
        <w:rPr>
          <w:rFonts w:cs="Times New Roman"/>
          <w:sz w:val="20"/>
          <w:szCs w:val="20"/>
        </w:rPr>
        <w:t xml:space="preserve"> This also means that the kit can be marketed throughout the EU, as CE certification is recognized reciprocally, so that if a company receives a CE mark in one Member State the mark will be recognized by others.</w:t>
      </w:r>
      <w:r w:rsidR="00FC1BF9" w:rsidRPr="00D45F3E">
        <w:rPr>
          <w:rFonts w:cs="Times New Roman"/>
          <w:sz w:val="20"/>
          <w:szCs w:val="20"/>
          <w:vertAlign w:val="superscript"/>
        </w:rPr>
        <w:t>20</w:t>
      </w:r>
    </w:p>
    <w:p w14:paraId="15E939AA" w14:textId="77777777" w:rsidR="007F683C" w:rsidRPr="00D45F3E" w:rsidRDefault="007F683C" w:rsidP="00961D89">
      <w:pPr>
        <w:ind w:right="-341"/>
        <w:jc w:val="both"/>
        <w:rPr>
          <w:rFonts w:cs="Times New Roman"/>
          <w:sz w:val="20"/>
          <w:szCs w:val="20"/>
        </w:rPr>
      </w:pPr>
    </w:p>
    <w:p w14:paraId="1D972ABF" w14:textId="6D628E2E" w:rsidR="007F683C" w:rsidRPr="00D45F3E" w:rsidRDefault="007F683C" w:rsidP="00FD0068">
      <w:pPr>
        <w:ind w:right="-341"/>
        <w:rPr>
          <w:rFonts w:cs="Times New Roman"/>
          <w:sz w:val="20"/>
          <w:szCs w:val="20"/>
          <w:vertAlign w:val="superscript"/>
        </w:rPr>
      </w:pPr>
      <w:r w:rsidRPr="00D45F3E">
        <w:rPr>
          <w:rFonts w:cs="Times New Roman"/>
          <w:sz w:val="20"/>
          <w:szCs w:val="20"/>
        </w:rPr>
        <w:t>An inquiry was launched in March 2019 into the commercial genomics industry by the Science and Technology Committee (Commons). We are still awaiting the recommendations from this consultation.</w:t>
      </w:r>
      <w:r w:rsidR="00FC1BF9" w:rsidRPr="00D45F3E">
        <w:rPr>
          <w:rFonts w:cs="Times New Roman"/>
          <w:sz w:val="20"/>
          <w:szCs w:val="20"/>
          <w:vertAlign w:val="superscript"/>
        </w:rPr>
        <w:t>21</w:t>
      </w:r>
    </w:p>
    <w:p w14:paraId="6DB09A1E" w14:textId="2B155215" w:rsidR="007F683C" w:rsidRPr="00D45F3E" w:rsidRDefault="007F683C" w:rsidP="00FD0068">
      <w:pPr>
        <w:ind w:right="-341"/>
        <w:rPr>
          <w:rFonts w:cs="Times New Roman"/>
          <w:sz w:val="20"/>
          <w:szCs w:val="20"/>
        </w:rPr>
      </w:pPr>
    </w:p>
    <w:p w14:paraId="6BFAB9BB" w14:textId="28578BEA" w:rsidR="001C47E5" w:rsidRPr="00D45F3E" w:rsidRDefault="007F683C" w:rsidP="00FD0068">
      <w:pPr>
        <w:ind w:right="-341"/>
        <w:rPr>
          <w:rFonts w:cs="Times New Roman"/>
          <w:sz w:val="20"/>
          <w:szCs w:val="20"/>
        </w:rPr>
      </w:pPr>
      <w:r w:rsidRPr="00D45F3E">
        <w:rPr>
          <w:rFonts w:cs="Times New Roman"/>
          <w:sz w:val="20"/>
          <w:szCs w:val="20"/>
        </w:rPr>
        <w:t>In October 2018 the Association of British Insurers released a Code of Practice On Genetic Testing And Insurance.</w:t>
      </w:r>
      <w:r w:rsidR="00FC1BF9" w:rsidRPr="00D45F3E">
        <w:rPr>
          <w:rFonts w:cs="Times New Roman"/>
          <w:sz w:val="20"/>
          <w:szCs w:val="20"/>
          <w:vertAlign w:val="superscript"/>
        </w:rPr>
        <w:t>22</w:t>
      </w:r>
      <w:r w:rsidRPr="00D45F3E">
        <w:rPr>
          <w:rFonts w:cs="Times New Roman"/>
          <w:sz w:val="20"/>
          <w:szCs w:val="20"/>
        </w:rPr>
        <w:t xml:space="preserve"> </w:t>
      </w:r>
      <w:r w:rsidR="001C47E5" w:rsidRPr="00D45F3E">
        <w:rPr>
          <w:rFonts w:cs="Times New Roman"/>
          <w:sz w:val="20"/>
          <w:szCs w:val="20"/>
        </w:rPr>
        <w:t>This is a voluntary code and does not apply to all insurers, but it is positive step in relation to providing some level of protection for people in this context.</w:t>
      </w:r>
    </w:p>
    <w:p w14:paraId="03F69907" w14:textId="4180549D" w:rsidR="003C6DDE" w:rsidRPr="00D45F3E" w:rsidRDefault="003C6DDE" w:rsidP="00875284">
      <w:pPr>
        <w:spacing w:before="240" w:after="120"/>
        <w:contextualSpacing/>
        <w:jc w:val="both"/>
        <w:rPr>
          <w:rFonts w:cs="Times New Roman"/>
          <w:sz w:val="20"/>
          <w:szCs w:val="20"/>
        </w:rPr>
      </w:pPr>
    </w:p>
    <w:p w14:paraId="2BC15906" w14:textId="10A6EE55" w:rsidR="00E303F0" w:rsidRPr="00D45F3E" w:rsidRDefault="00E303F0" w:rsidP="00E072B9">
      <w:pPr>
        <w:rPr>
          <w:rFonts w:cs="Times New Roman"/>
          <w:b/>
          <w:i/>
          <w:sz w:val="20"/>
          <w:szCs w:val="20"/>
        </w:rPr>
      </w:pPr>
      <w:r w:rsidRPr="00D45F3E">
        <w:rPr>
          <w:rFonts w:cs="Times New Roman"/>
          <w:b/>
          <w:i/>
          <w:sz w:val="20"/>
          <w:szCs w:val="20"/>
        </w:rPr>
        <w:t>Part III – Looking to the Future</w:t>
      </w:r>
    </w:p>
    <w:p w14:paraId="6F11EA53" w14:textId="77777777" w:rsidR="00ED1295" w:rsidRPr="00D45F3E" w:rsidRDefault="00ED1295" w:rsidP="00ED1295">
      <w:pPr>
        <w:rPr>
          <w:rFonts w:cs="Times New Roman"/>
          <w:sz w:val="20"/>
          <w:szCs w:val="20"/>
        </w:rPr>
      </w:pPr>
    </w:p>
    <w:p w14:paraId="33810297" w14:textId="6FCB749A" w:rsidR="00AF4908" w:rsidRPr="00D45F3E" w:rsidRDefault="00C8703D" w:rsidP="00BC5409">
      <w:pPr>
        <w:ind w:left="446" w:hanging="446"/>
        <w:jc w:val="both"/>
        <w:rPr>
          <w:rFonts w:cs="Times New Roman"/>
          <w:b/>
          <w:bCs/>
          <w:sz w:val="20"/>
          <w:szCs w:val="20"/>
        </w:rPr>
      </w:pPr>
      <w:r w:rsidRPr="00D45F3E">
        <w:rPr>
          <w:rFonts w:cs="Times New Roman"/>
          <w:b/>
          <w:bCs/>
          <w:sz w:val="20"/>
          <w:szCs w:val="20"/>
        </w:rPr>
        <w:t>10</w:t>
      </w:r>
      <w:r w:rsidR="00E303F0" w:rsidRPr="00D45F3E">
        <w:rPr>
          <w:rFonts w:cs="Times New Roman"/>
          <w:b/>
          <w:bCs/>
          <w:sz w:val="20"/>
          <w:szCs w:val="20"/>
        </w:rPr>
        <w:t>.</w:t>
      </w:r>
      <w:r w:rsidR="00C26D75" w:rsidRPr="00D45F3E">
        <w:rPr>
          <w:rFonts w:cs="Times New Roman"/>
          <w:b/>
          <w:bCs/>
          <w:sz w:val="20"/>
          <w:szCs w:val="20"/>
        </w:rPr>
        <w:t xml:space="preserve"> </w:t>
      </w:r>
      <w:r w:rsidR="00893F8B" w:rsidRPr="00D45F3E">
        <w:rPr>
          <w:rFonts w:cs="Times New Roman"/>
          <w:b/>
          <w:bCs/>
          <w:sz w:val="20"/>
          <w:szCs w:val="20"/>
        </w:rPr>
        <w:t xml:space="preserve"> </w:t>
      </w:r>
      <w:r w:rsidR="00B2706E" w:rsidRPr="00D45F3E">
        <w:rPr>
          <w:rFonts w:cs="Times New Roman"/>
          <w:b/>
          <w:bCs/>
          <w:sz w:val="20"/>
          <w:szCs w:val="20"/>
        </w:rPr>
        <w:tab/>
      </w:r>
      <w:r w:rsidR="00893F8B" w:rsidRPr="00D45F3E">
        <w:rPr>
          <w:rFonts w:cs="Times New Roman"/>
          <w:b/>
          <w:bCs/>
          <w:sz w:val="20"/>
          <w:szCs w:val="20"/>
        </w:rPr>
        <w:t xml:space="preserve">How, if at all, do you anticipate that your country’s laws, policies, or guidelines will change in the next 5-10 years in response to </w:t>
      </w:r>
      <w:r w:rsidR="00E303F0" w:rsidRPr="00D45F3E">
        <w:rPr>
          <w:rFonts w:cs="Times New Roman"/>
          <w:b/>
          <w:bCs/>
          <w:sz w:val="20"/>
          <w:szCs w:val="20"/>
        </w:rPr>
        <w:t xml:space="preserve">international DTP </w:t>
      </w:r>
      <w:r w:rsidR="00C26D75" w:rsidRPr="00D45F3E">
        <w:rPr>
          <w:rFonts w:cs="Times New Roman"/>
          <w:b/>
          <w:bCs/>
          <w:sz w:val="20"/>
          <w:szCs w:val="20"/>
        </w:rPr>
        <w:t xml:space="preserve">genomic </w:t>
      </w:r>
      <w:r w:rsidR="00E303F0" w:rsidRPr="00D45F3E">
        <w:rPr>
          <w:rFonts w:cs="Times New Roman"/>
          <w:b/>
          <w:bCs/>
          <w:sz w:val="20"/>
          <w:szCs w:val="20"/>
        </w:rPr>
        <w:t>research?</w:t>
      </w:r>
      <w:r w:rsidR="00F90563" w:rsidRPr="00D45F3E">
        <w:rPr>
          <w:rFonts w:cs="Times New Roman"/>
          <w:b/>
          <w:bCs/>
          <w:sz w:val="20"/>
          <w:szCs w:val="20"/>
        </w:rPr>
        <w:t xml:space="preserve"> [Multiple choice]</w:t>
      </w:r>
    </w:p>
    <w:p w14:paraId="20470D67" w14:textId="60D9EA94" w:rsidR="00F90563" w:rsidRPr="00D45F3E" w:rsidRDefault="00F90563" w:rsidP="00BC5409">
      <w:pPr>
        <w:spacing w:before="240" w:after="120"/>
        <w:ind w:left="360" w:hanging="360"/>
        <w:contextualSpacing/>
        <w:jc w:val="both"/>
        <w:rPr>
          <w:rFonts w:cs="Times New Roman"/>
          <w:sz w:val="20"/>
          <w:szCs w:val="20"/>
        </w:rPr>
      </w:pPr>
    </w:p>
    <w:p w14:paraId="23091884" w14:textId="38B66730" w:rsidR="00F90563" w:rsidRPr="00D45F3E" w:rsidRDefault="00F90563" w:rsidP="00BC5409">
      <w:pPr>
        <w:spacing w:before="240" w:after="120"/>
        <w:ind w:left="720" w:hanging="360"/>
        <w:contextualSpacing/>
        <w:jc w:val="both"/>
        <w:rPr>
          <w:rFonts w:cs="Times New Roman"/>
          <w:sz w:val="20"/>
          <w:szCs w:val="20"/>
        </w:rPr>
      </w:pPr>
      <w:r w:rsidRPr="00D45F3E">
        <w:rPr>
          <w:rFonts w:cs="Times New Roman"/>
          <w:sz w:val="20"/>
          <w:szCs w:val="20"/>
        </w:rPr>
        <w:tab/>
        <w:t>(a) I do not think they will change at all</w:t>
      </w:r>
    </w:p>
    <w:p w14:paraId="2277BFC2" w14:textId="640BF396" w:rsidR="00F90563" w:rsidRPr="00D45F3E" w:rsidRDefault="00F90563" w:rsidP="00BC5409">
      <w:pPr>
        <w:spacing w:before="240" w:after="120"/>
        <w:ind w:left="720" w:hanging="360"/>
        <w:contextualSpacing/>
        <w:jc w:val="both"/>
        <w:rPr>
          <w:rFonts w:cs="Times New Roman"/>
          <w:sz w:val="20"/>
          <w:szCs w:val="20"/>
        </w:rPr>
      </w:pPr>
      <w:r w:rsidRPr="00D45F3E">
        <w:rPr>
          <w:rFonts w:cs="Times New Roman"/>
          <w:sz w:val="20"/>
          <w:szCs w:val="20"/>
        </w:rPr>
        <w:tab/>
        <w:t xml:space="preserve">(b) I think they will restrict </w:t>
      </w:r>
      <w:r w:rsidR="003C6DDE" w:rsidRPr="00D45F3E">
        <w:rPr>
          <w:rFonts w:cs="Times New Roman"/>
          <w:sz w:val="20"/>
          <w:szCs w:val="20"/>
        </w:rPr>
        <w:t xml:space="preserve">international </w:t>
      </w:r>
      <w:r w:rsidRPr="00D45F3E">
        <w:rPr>
          <w:rFonts w:cs="Times New Roman"/>
          <w:sz w:val="20"/>
          <w:szCs w:val="20"/>
        </w:rPr>
        <w:t>DTP research</w:t>
      </w:r>
    </w:p>
    <w:p w14:paraId="0EBDE52B" w14:textId="51CACCD1" w:rsidR="00F90563" w:rsidRPr="00D45F3E" w:rsidRDefault="00F90563" w:rsidP="00BC5409">
      <w:pPr>
        <w:spacing w:before="240" w:after="120"/>
        <w:ind w:left="720" w:hanging="360"/>
        <w:contextualSpacing/>
        <w:jc w:val="both"/>
        <w:rPr>
          <w:rFonts w:cs="Times New Roman"/>
          <w:sz w:val="20"/>
          <w:szCs w:val="20"/>
        </w:rPr>
      </w:pPr>
      <w:r w:rsidRPr="00D45F3E">
        <w:rPr>
          <w:rFonts w:cs="Times New Roman"/>
          <w:sz w:val="20"/>
          <w:szCs w:val="20"/>
        </w:rPr>
        <w:tab/>
        <w:t xml:space="preserve">(c) I think they will allow </w:t>
      </w:r>
      <w:r w:rsidR="003C6DDE" w:rsidRPr="00D45F3E">
        <w:rPr>
          <w:rFonts w:cs="Times New Roman"/>
          <w:sz w:val="20"/>
          <w:szCs w:val="20"/>
        </w:rPr>
        <w:t xml:space="preserve">international </w:t>
      </w:r>
      <w:r w:rsidRPr="00D45F3E">
        <w:rPr>
          <w:rFonts w:cs="Times New Roman"/>
          <w:sz w:val="20"/>
          <w:szCs w:val="20"/>
        </w:rPr>
        <w:t>DTP research</w:t>
      </w:r>
    </w:p>
    <w:p w14:paraId="39E52598" w14:textId="05E25FDE" w:rsidR="00F90563" w:rsidRPr="00D45F3E" w:rsidRDefault="00F90563" w:rsidP="00BC5409">
      <w:pPr>
        <w:spacing w:before="240" w:after="120"/>
        <w:ind w:left="720" w:hanging="360"/>
        <w:contextualSpacing/>
        <w:jc w:val="both"/>
        <w:rPr>
          <w:rFonts w:cs="Times New Roman"/>
          <w:sz w:val="20"/>
          <w:szCs w:val="20"/>
        </w:rPr>
      </w:pPr>
      <w:r w:rsidRPr="00D45F3E">
        <w:rPr>
          <w:rFonts w:cs="Times New Roman"/>
          <w:sz w:val="20"/>
          <w:szCs w:val="20"/>
        </w:rPr>
        <w:tab/>
        <w:t xml:space="preserve">(d) </w:t>
      </w:r>
      <w:r w:rsidRPr="00D45F3E">
        <w:rPr>
          <w:rFonts w:cs="Times New Roman"/>
          <w:b/>
          <w:bCs/>
          <w:sz w:val="20"/>
          <w:szCs w:val="20"/>
        </w:rPr>
        <w:t xml:space="preserve">I am not sure </w:t>
      </w:r>
      <w:r w:rsidR="00154803" w:rsidRPr="00D45F3E">
        <w:rPr>
          <w:rFonts w:cs="Times New Roman"/>
          <w:b/>
          <w:bCs/>
          <w:sz w:val="20"/>
          <w:szCs w:val="20"/>
        </w:rPr>
        <w:t>– or other</w:t>
      </w:r>
      <w:r w:rsidR="00961C08" w:rsidRPr="00D45F3E">
        <w:rPr>
          <w:rFonts w:cs="Times New Roman"/>
          <w:b/>
          <w:bCs/>
          <w:sz w:val="20"/>
          <w:szCs w:val="20"/>
        </w:rPr>
        <w:t xml:space="preserve"> answer</w:t>
      </w:r>
    </w:p>
    <w:p w14:paraId="392A81BE" w14:textId="2EC0399B" w:rsidR="007448BD" w:rsidRPr="00D45F3E" w:rsidRDefault="007448BD" w:rsidP="00BC5409">
      <w:pPr>
        <w:spacing w:before="240" w:after="120"/>
        <w:ind w:left="720" w:hanging="360"/>
        <w:contextualSpacing/>
        <w:jc w:val="both"/>
        <w:rPr>
          <w:rFonts w:cs="Times New Roman"/>
          <w:sz w:val="20"/>
          <w:szCs w:val="20"/>
        </w:rPr>
      </w:pPr>
    </w:p>
    <w:p w14:paraId="1F6EB226" w14:textId="5FB0BEBD" w:rsidR="007448BD" w:rsidRPr="00D45F3E" w:rsidRDefault="007448BD" w:rsidP="007448BD">
      <w:pPr>
        <w:spacing w:before="240" w:after="120"/>
        <w:ind w:left="284"/>
        <w:contextualSpacing/>
        <w:jc w:val="both"/>
        <w:rPr>
          <w:rFonts w:cs="Times New Roman"/>
          <w:sz w:val="20"/>
          <w:szCs w:val="20"/>
        </w:rPr>
      </w:pPr>
      <w:r w:rsidRPr="00D45F3E">
        <w:rPr>
          <w:rFonts w:cs="Times New Roman"/>
          <w:sz w:val="20"/>
          <w:szCs w:val="20"/>
        </w:rPr>
        <w:t xml:space="preserve">How the laws on this change are likely to be connected with the form that </w:t>
      </w:r>
      <w:r w:rsidR="006107A4" w:rsidRPr="00D45F3E">
        <w:rPr>
          <w:rFonts w:cs="Times New Roman"/>
          <w:sz w:val="20"/>
          <w:szCs w:val="20"/>
        </w:rPr>
        <w:t xml:space="preserve">Brexit </w:t>
      </w:r>
      <w:r w:rsidRPr="00D45F3E">
        <w:rPr>
          <w:rFonts w:cs="Times New Roman"/>
          <w:sz w:val="20"/>
          <w:szCs w:val="20"/>
        </w:rPr>
        <w:t>ultimately takes and how other countries, both within the EU and those outside the EU</w:t>
      </w:r>
      <w:r w:rsidR="006107A4" w:rsidRPr="00D45F3E">
        <w:rPr>
          <w:rFonts w:cs="Times New Roman"/>
          <w:sz w:val="20"/>
          <w:szCs w:val="20"/>
        </w:rPr>
        <w:t>,</w:t>
      </w:r>
      <w:r w:rsidRPr="00D45F3E">
        <w:rPr>
          <w:rFonts w:cs="Times New Roman"/>
          <w:sz w:val="20"/>
          <w:szCs w:val="20"/>
        </w:rPr>
        <w:t xml:space="preserve"> treat the UK for data protection and other purposes. </w:t>
      </w:r>
    </w:p>
    <w:p w14:paraId="55931752" w14:textId="6A9C7F90" w:rsidR="00FC1BF9" w:rsidRPr="00D45F3E" w:rsidRDefault="00FC1BF9" w:rsidP="007448BD">
      <w:pPr>
        <w:spacing w:before="240" w:after="120"/>
        <w:ind w:left="284"/>
        <w:contextualSpacing/>
        <w:jc w:val="both"/>
        <w:rPr>
          <w:rFonts w:cs="Times New Roman"/>
          <w:sz w:val="20"/>
          <w:szCs w:val="20"/>
        </w:rPr>
      </w:pPr>
    </w:p>
    <w:p w14:paraId="10D6A53C" w14:textId="3DE5B1D3" w:rsidR="00FC1BF9" w:rsidRPr="00D45F3E" w:rsidRDefault="00253788" w:rsidP="00FC1BF9">
      <w:pPr>
        <w:spacing w:before="240" w:after="120"/>
        <w:ind w:left="284"/>
        <w:contextualSpacing/>
        <w:jc w:val="center"/>
        <w:rPr>
          <w:rFonts w:cs="Times New Roman"/>
          <w:i/>
          <w:iCs/>
          <w:sz w:val="20"/>
          <w:szCs w:val="20"/>
        </w:rPr>
      </w:pPr>
      <w:r w:rsidRPr="00D45F3E">
        <w:rPr>
          <w:rFonts w:cs="Times New Roman"/>
          <w:sz w:val="20"/>
          <w:szCs w:val="20"/>
        </w:rPr>
        <w:br w:type="column"/>
      </w:r>
      <w:r w:rsidRPr="00D45F3E">
        <w:rPr>
          <w:rFonts w:cs="Times New Roman"/>
          <w:i/>
          <w:iCs/>
          <w:sz w:val="20"/>
          <w:szCs w:val="20"/>
        </w:rPr>
        <w:lastRenderedPageBreak/>
        <w:t>References</w:t>
      </w:r>
    </w:p>
    <w:p w14:paraId="3053F2D6" w14:textId="1682F6C2" w:rsidR="00FC1BF9" w:rsidRPr="00D45F3E" w:rsidRDefault="00FC1BF9" w:rsidP="00FC1BF9">
      <w:pPr>
        <w:spacing w:before="240" w:after="120"/>
        <w:ind w:left="284"/>
        <w:contextualSpacing/>
        <w:jc w:val="center"/>
        <w:rPr>
          <w:rFonts w:cs="Times New Roman"/>
          <w:sz w:val="20"/>
          <w:szCs w:val="20"/>
        </w:rPr>
      </w:pPr>
    </w:p>
    <w:p w14:paraId="3F84BD27" w14:textId="77777777" w:rsidR="005A2906" w:rsidRPr="00D45F3E" w:rsidRDefault="00796706" w:rsidP="00796706">
      <w:pPr>
        <w:numPr>
          <w:ilvl w:val="0"/>
          <w:numId w:val="9"/>
        </w:numPr>
        <w:spacing w:before="240" w:after="120"/>
        <w:contextualSpacing/>
        <w:rPr>
          <w:rFonts w:cs="Times New Roman"/>
          <w:sz w:val="20"/>
          <w:szCs w:val="20"/>
          <w:lang w:val="en-AU"/>
        </w:rPr>
      </w:pPr>
      <w:r w:rsidRPr="00D45F3E">
        <w:rPr>
          <w:rFonts w:cs="Times New Roman"/>
          <w:sz w:val="20"/>
          <w:szCs w:val="20"/>
        </w:rPr>
        <w:t xml:space="preserve">Genomics England, </w:t>
      </w:r>
      <w:r w:rsidRPr="00D45F3E">
        <w:rPr>
          <w:rFonts w:cs="Times New Roman"/>
          <w:i/>
          <w:sz w:val="20"/>
          <w:szCs w:val="20"/>
        </w:rPr>
        <w:t>The 100,00 Genomes Project</w:t>
      </w:r>
      <w:r w:rsidRPr="00D45F3E">
        <w:rPr>
          <w:rFonts w:cs="Times New Roman"/>
          <w:sz w:val="20"/>
          <w:szCs w:val="20"/>
        </w:rPr>
        <w:t>, at</w:t>
      </w:r>
      <w:r w:rsidR="00673EB7" w:rsidRPr="00D45F3E">
        <w:rPr>
          <w:rFonts w:cs="Times New Roman"/>
          <w:sz w:val="20"/>
          <w:szCs w:val="20"/>
        </w:rPr>
        <w:t xml:space="preserve"> </w:t>
      </w:r>
      <w:r w:rsidRPr="00D45F3E">
        <w:rPr>
          <w:rFonts w:cs="Times New Roman"/>
          <w:sz w:val="20"/>
          <w:szCs w:val="20"/>
        </w:rPr>
        <w:t>&lt;</w:t>
      </w:r>
      <w:r w:rsidR="00673EB7" w:rsidRPr="00D45F3E">
        <w:rPr>
          <w:rFonts w:cs="Times New Roman"/>
          <w:sz w:val="20"/>
          <w:szCs w:val="20"/>
        </w:rPr>
        <w:t>https://www.genomicsengland.co.uk/about-genomics-england/the-100000-genomes-project/</w:t>
      </w:r>
      <w:r w:rsidRPr="00D45F3E">
        <w:rPr>
          <w:rFonts w:cs="Times New Roman"/>
          <w:sz w:val="20"/>
          <w:szCs w:val="20"/>
        </w:rPr>
        <w:t>&gt;</w:t>
      </w:r>
      <w:r w:rsidR="00673EB7" w:rsidRPr="00D45F3E">
        <w:rPr>
          <w:rFonts w:cs="Times New Roman"/>
          <w:sz w:val="20"/>
          <w:szCs w:val="20"/>
        </w:rPr>
        <w:t xml:space="preserve"> </w:t>
      </w:r>
    </w:p>
    <w:p w14:paraId="62595755" w14:textId="77777777" w:rsidR="005A2906" w:rsidRPr="00D45F3E" w:rsidRDefault="00796706" w:rsidP="00796706">
      <w:pPr>
        <w:numPr>
          <w:ilvl w:val="0"/>
          <w:numId w:val="9"/>
        </w:numPr>
        <w:spacing w:before="240" w:after="120"/>
        <w:contextualSpacing/>
        <w:rPr>
          <w:rFonts w:cs="Times New Roman"/>
          <w:sz w:val="20"/>
          <w:szCs w:val="20"/>
          <w:lang w:val="en-AU"/>
        </w:rPr>
      </w:pPr>
      <w:r w:rsidRPr="00D45F3E">
        <w:rPr>
          <w:rFonts w:cs="Times New Roman"/>
          <w:i/>
          <w:sz w:val="20"/>
          <w:szCs w:val="20"/>
        </w:rPr>
        <w:t xml:space="preserve">Biobank UK, </w:t>
      </w:r>
      <w:r w:rsidRPr="00D45F3E">
        <w:rPr>
          <w:rFonts w:cs="Times New Roman"/>
          <w:sz w:val="20"/>
          <w:szCs w:val="20"/>
        </w:rPr>
        <w:t>at &lt;</w:t>
      </w:r>
      <w:r w:rsidR="00673EB7" w:rsidRPr="00D45F3E">
        <w:rPr>
          <w:rFonts w:cs="Times New Roman"/>
          <w:sz w:val="20"/>
          <w:szCs w:val="20"/>
        </w:rPr>
        <w:t>https://www.ukbiobank.ac.uk</w:t>
      </w:r>
      <w:r w:rsidRPr="00D45F3E">
        <w:rPr>
          <w:rFonts w:cs="Times New Roman"/>
          <w:sz w:val="20"/>
          <w:szCs w:val="20"/>
        </w:rPr>
        <w:t>&gt;</w:t>
      </w:r>
      <w:r w:rsidR="00673EB7" w:rsidRPr="00D45F3E">
        <w:rPr>
          <w:rFonts w:cs="Times New Roman"/>
          <w:sz w:val="20"/>
          <w:szCs w:val="20"/>
        </w:rPr>
        <w:t xml:space="preserve"> </w:t>
      </w:r>
    </w:p>
    <w:p w14:paraId="187853BD" w14:textId="77777777" w:rsidR="005A2906" w:rsidRPr="00D45F3E" w:rsidRDefault="00673EB7" w:rsidP="00796706">
      <w:pPr>
        <w:numPr>
          <w:ilvl w:val="0"/>
          <w:numId w:val="9"/>
        </w:numPr>
        <w:spacing w:before="240" w:after="120"/>
        <w:contextualSpacing/>
        <w:rPr>
          <w:rFonts w:cs="Times New Roman"/>
          <w:sz w:val="20"/>
          <w:szCs w:val="20"/>
          <w:lang w:val="en-AU"/>
        </w:rPr>
      </w:pPr>
      <w:r w:rsidRPr="00D45F3E">
        <w:rPr>
          <w:rFonts w:cs="Times New Roman"/>
          <w:sz w:val="20"/>
          <w:szCs w:val="20"/>
        </w:rPr>
        <w:t xml:space="preserve">Human Genetics Commission, </w:t>
      </w:r>
      <w:r w:rsidRPr="00D45F3E">
        <w:rPr>
          <w:rFonts w:cs="Times New Roman"/>
          <w:i/>
          <w:sz w:val="20"/>
          <w:szCs w:val="20"/>
        </w:rPr>
        <w:t>Genes Direct: Ensuring The Effective Oversight Of Genetic Tests Supplied Directly To The Public</w:t>
      </w:r>
      <w:r w:rsidRPr="00D45F3E">
        <w:rPr>
          <w:rFonts w:cs="Times New Roman"/>
          <w:sz w:val="20"/>
          <w:szCs w:val="20"/>
        </w:rPr>
        <w:t xml:space="preserve"> (Department of Health, 2003)</w:t>
      </w:r>
      <w:r w:rsidR="00796706" w:rsidRPr="00D45F3E">
        <w:rPr>
          <w:rFonts w:cs="Times New Roman"/>
          <w:sz w:val="20"/>
          <w:szCs w:val="20"/>
        </w:rPr>
        <w:t>, available at</w:t>
      </w:r>
      <w:r w:rsidRPr="00D45F3E">
        <w:rPr>
          <w:rFonts w:cs="Times New Roman"/>
          <w:sz w:val="20"/>
          <w:szCs w:val="20"/>
        </w:rPr>
        <w:t xml:space="preserve">   &lt;http://webarchive.nationalarchives.gov.uk/20120504102222/http://www.hgc.gov.uk/Client/document.asp?DocId=34&amp;CAtegoryId=10&gt; </w:t>
      </w:r>
      <w:r w:rsidR="00796706" w:rsidRPr="00D45F3E">
        <w:rPr>
          <w:rFonts w:cs="Times New Roman"/>
          <w:sz w:val="20"/>
          <w:szCs w:val="20"/>
        </w:rPr>
        <w:t>(</w:t>
      </w:r>
      <w:r w:rsidRPr="00D45F3E">
        <w:rPr>
          <w:rFonts w:cs="Times New Roman"/>
          <w:sz w:val="20"/>
          <w:szCs w:val="20"/>
        </w:rPr>
        <w:t xml:space="preserve">last </w:t>
      </w:r>
      <w:r w:rsidR="00796706" w:rsidRPr="00D45F3E">
        <w:rPr>
          <w:rFonts w:cs="Times New Roman"/>
          <w:sz w:val="20"/>
          <w:szCs w:val="20"/>
        </w:rPr>
        <w:t xml:space="preserve">visited Oct. 30, </w:t>
      </w:r>
      <w:r w:rsidRPr="00D45F3E">
        <w:rPr>
          <w:rFonts w:cs="Times New Roman"/>
          <w:sz w:val="20"/>
          <w:szCs w:val="20"/>
        </w:rPr>
        <w:t>2018</w:t>
      </w:r>
      <w:r w:rsidR="00796706" w:rsidRPr="00D45F3E">
        <w:rPr>
          <w:rFonts w:cs="Times New Roman"/>
          <w:sz w:val="20"/>
          <w:szCs w:val="20"/>
        </w:rPr>
        <w:t>)</w:t>
      </w:r>
      <w:r w:rsidRPr="00D45F3E">
        <w:rPr>
          <w:rFonts w:cs="Times New Roman"/>
          <w:sz w:val="20"/>
          <w:szCs w:val="20"/>
        </w:rPr>
        <w:t xml:space="preserve">; Human Genetics Commission, </w:t>
      </w:r>
      <w:r w:rsidRPr="00D45F3E">
        <w:rPr>
          <w:rFonts w:cs="Times New Roman"/>
          <w:i/>
          <w:sz w:val="20"/>
          <w:szCs w:val="20"/>
        </w:rPr>
        <w:t>More Genes Direct</w:t>
      </w:r>
      <w:r w:rsidRPr="00D45F3E">
        <w:rPr>
          <w:rFonts w:cs="Times New Roman"/>
          <w:sz w:val="20"/>
          <w:szCs w:val="20"/>
        </w:rPr>
        <w:t xml:space="preserve"> (Department of Health, 2007)</w:t>
      </w:r>
      <w:r w:rsidR="00796706" w:rsidRPr="00D45F3E">
        <w:rPr>
          <w:rFonts w:cs="Times New Roman"/>
          <w:sz w:val="20"/>
          <w:szCs w:val="20"/>
        </w:rPr>
        <w:t>, available at</w:t>
      </w:r>
      <w:r w:rsidRPr="00D45F3E">
        <w:rPr>
          <w:rFonts w:cs="Times New Roman"/>
          <w:sz w:val="20"/>
          <w:szCs w:val="20"/>
        </w:rPr>
        <w:t xml:space="preserve">  &lt;http://sites.nationalacademies.org/cs/groups/pgasite/documents/webpage/pga_053238.pdf&gt;  </w:t>
      </w:r>
      <w:r w:rsidR="00796706" w:rsidRPr="00D45F3E">
        <w:rPr>
          <w:rFonts w:cs="Times New Roman"/>
          <w:sz w:val="20"/>
          <w:szCs w:val="20"/>
        </w:rPr>
        <w:t>(</w:t>
      </w:r>
      <w:r w:rsidRPr="00D45F3E">
        <w:rPr>
          <w:rFonts w:cs="Times New Roman"/>
          <w:sz w:val="20"/>
          <w:szCs w:val="20"/>
        </w:rPr>
        <w:t xml:space="preserve">last </w:t>
      </w:r>
      <w:r w:rsidR="00796706" w:rsidRPr="00D45F3E">
        <w:rPr>
          <w:rFonts w:cs="Times New Roman"/>
          <w:sz w:val="20"/>
          <w:szCs w:val="20"/>
        </w:rPr>
        <w:t>visited</w:t>
      </w:r>
      <w:r w:rsidRPr="00D45F3E">
        <w:rPr>
          <w:rFonts w:cs="Times New Roman"/>
          <w:sz w:val="20"/>
          <w:szCs w:val="20"/>
        </w:rPr>
        <w:t xml:space="preserve"> </w:t>
      </w:r>
      <w:r w:rsidR="00796706" w:rsidRPr="00D45F3E">
        <w:rPr>
          <w:rFonts w:cs="Times New Roman"/>
          <w:sz w:val="20"/>
          <w:szCs w:val="20"/>
        </w:rPr>
        <w:t>Oct. 22,</w:t>
      </w:r>
      <w:r w:rsidRPr="00D45F3E">
        <w:rPr>
          <w:rFonts w:cs="Times New Roman"/>
          <w:sz w:val="20"/>
          <w:szCs w:val="20"/>
        </w:rPr>
        <w:t xml:space="preserve"> 2018</w:t>
      </w:r>
      <w:r w:rsidR="00796706" w:rsidRPr="00D45F3E">
        <w:rPr>
          <w:rFonts w:cs="Times New Roman"/>
          <w:sz w:val="20"/>
          <w:szCs w:val="20"/>
        </w:rPr>
        <w:t>)</w:t>
      </w:r>
      <w:r w:rsidRPr="00D45F3E">
        <w:rPr>
          <w:rFonts w:cs="Times New Roman"/>
          <w:sz w:val="20"/>
          <w:szCs w:val="20"/>
        </w:rPr>
        <w:t xml:space="preserve">; Human Genetics Commission, </w:t>
      </w:r>
      <w:r w:rsidRPr="00D45F3E">
        <w:rPr>
          <w:rFonts w:cs="Times New Roman"/>
          <w:i/>
          <w:sz w:val="20"/>
          <w:szCs w:val="20"/>
        </w:rPr>
        <w:t>A Common Framework of Principles for direct-to-consumer genetic testing services</w:t>
      </w:r>
      <w:r w:rsidRPr="00D45F3E">
        <w:rPr>
          <w:rFonts w:cs="Times New Roman"/>
          <w:sz w:val="20"/>
          <w:szCs w:val="20"/>
        </w:rPr>
        <w:t xml:space="preserve"> (Department of Health, 2010)</w:t>
      </w:r>
      <w:r w:rsidR="00796706" w:rsidRPr="00D45F3E">
        <w:rPr>
          <w:rFonts w:cs="Times New Roman"/>
          <w:sz w:val="20"/>
          <w:szCs w:val="20"/>
        </w:rPr>
        <w:t xml:space="preserve">, available at </w:t>
      </w:r>
      <w:r w:rsidRPr="00D45F3E">
        <w:rPr>
          <w:rFonts w:cs="Times New Roman"/>
          <w:sz w:val="20"/>
          <w:szCs w:val="20"/>
        </w:rPr>
        <w:t xml:space="preserve"> &lt;https://ukgtn.nhs.uk/resources/library/article/human-genetics-commission-a-common-framework-of-principles-for-direct-to-consumer-genetic-testing-services-70/&gt; </w:t>
      </w:r>
      <w:r w:rsidR="00796706" w:rsidRPr="00D45F3E">
        <w:rPr>
          <w:rFonts w:cs="Times New Roman"/>
          <w:sz w:val="20"/>
          <w:szCs w:val="20"/>
        </w:rPr>
        <w:t>(</w:t>
      </w:r>
      <w:r w:rsidRPr="00D45F3E">
        <w:rPr>
          <w:rFonts w:cs="Times New Roman"/>
          <w:sz w:val="20"/>
          <w:szCs w:val="20"/>
        </w:rPr>
        <w:t xml:space="preserve">last </w:t>
      </w:r>
      <w:r w:rsidR="00796706" w:rsidRPr="00D45F3E">
        <w:rPr>
          <w:rFonts w:cs="Times New Roman"/>
          <w:sz w:val="20"/>
          <w:szCs w:val="20"/>
        </w:rPr>
        <w:t>visited</w:t>
      </w:r>
      <w:r w:rsidRPr="00D45F3E">
        <w:rPr>
          <w:rFonts w:cs="Times New Roman"/>
          <w:sz w:val="20"/>
          <w:szCs w:val="20"/>
        </w:rPr>
        <w:t xml:space="preserve"> October</w:t>
      </w:r>
      <w:r w:rsidR="00796706" w:rsidRPr="00D45F3E">
        <w:rPr>
          <w:rFonts w:cs="Times New Roman"/>
          <w:sz w:val="20"/>
          <w:szCs w:val="20"/>
        </w:rPr>
        <w:t xml:space="preserve"> 22,</w:t>
      </w:r>
      <w:r w:rsidRPr="00D45F3E">
        <w:rPr>
          <w:rFonts w:cs="Times New Roman"/>
          <w:sz w:val="20"/>
          <w:szCs w:val="20"/>
        </w:rPr>
        <w:t xml:space="preserve"> 2018</w:t>
      </w:r>
      <w:r w:rsidR="00796706" w:rsidRPr="00D45F3E">
        <w:rPr>
          <w:rFonts w:cs="Times New Roman"/>
          <w:sz w:val="20"/>
          <w:szCs w:val="20"/>
        </w:rPr>
        <w:t>)</w:t>
      </w:r>
      <w:r w:rsidRPr="00D45F3E">
        <w:rPr>
          <w:rFonts w:cs="Times New Roman"/>
          <w:sz w:val="20"/>
          <w:szCs w:val="20"/>
        </w:rPr>
        <w:t>.</w:t>
      </w:r>
    </w:p>
    <w:p w14:paraId="5B3136CD" w14:textId="77777777" w:rsidR="005A2906" w:rsidRPr="00D45F3E" w:rsidRDefault="00796706" w:rsidP="00796706">
      <w:pPr>
        <w:numPr>
          <w:ilvl w:val="0"/>
          <w:numId w:val="9"/>
        </w:numPr>
        <w:spacing w:before="240" w:after="120"/>
        <w:contextualSpacing/>
        <w:rPr>
          <w:rFonts w:cs="Times New Roman"/>
          <w:sz w:val="20"/>
          <w:szCs w:val="20"/>
          <w:lang w:val="en-AU"/>
        </w:rPr>
      </w:pPr>
      <w:r w:rsidRPr="00D45F3E">
        <w:rPr>
          <w:rFonts w:cs="Times New Roman"/>
          <w:sz w:val="20"/>
          <w:szCs w:val="20"/>
        </w:rPr>
        <w:t xml:space="preserve">Government of the United Kingdom, </w:t>
      </w:r>
      <w:r w:rsidRPr="00D45F3E">
        <w:rPr>
          <w:rFonts w:cs="Times New Roman"/>
          <w:i/>
          <w:sz w:val="20"/>
          <w:szCs w:val="20"/>
          <w:lang w:val="en"/>
        </w:rPr>
        <w:t>Emerging Science and Bioethics Advisory Committee</w:t>
      </w:r>
      <w:r w:rsidRPr="00D45F3E">
        <w:rPr>
          <w:rFonts w:cs="Times New Roman"/>
          <w:sz w:val="20"/>
          <w:szCs w:val="20"/>
          <w:lang w:val="en"/>
        </w:rPr>
        <w:t>, at &lt;</w:t>
      </w:r>
      <w:r w:rsidR="00673EB7" w:rsidRPr="00D45F3E">
        <w:rPr>
          <w:rFonts w:cs="Times New Roman"/>
          <w:sz w:val="20"/>
          <w:szCs w:val="20"/>
        </w:rPr>
        <w:t>https://www.gov.uk/government/groups/emerging-science-and-bioethics-advisory-committee</w:t>
      </w:r>
      <w:r w:rsidRPr="00D45F3E">
        <w:rPr>
          <w:rFonts w:cs="Times New Roman"/>
          <w:sz w:val="20"/>
          <w:szCs w:val="20"/>
        </w:rPr>
        <w:t>&gt;</w:t>
      </w:r>
      <w:r w:rsidR="00673EB7" w:rsidRPr="00D45F3E">
        <w:rPr>
          <w:rFonts w:cs="Times New Roman"/>
          <w:sz w:val="20"/>
          <w:szCs w:val="20"/>
        </w:rPr>
        <w:t xml:space="preserve"> </w:t>
      </w:r>
    </w:p>
    <w:p w14:paraId="0A1038B5" w14:textId="77777777" w:rsidR="005A2906" w:rsidRPr="00D45F3E" w:rsidRDefault="00673EB7" w:rsidP="00796706">
      <w:pPr>
        <w:numPr>
          <w:ilvl w:val="0"/>
          <w:numId w:val="9"/>
        </w:numPr>
        <w:spacing w:before="240" w:after="120"/>
        <w:contextualSpacing/>
        <w:rPr>
          <w:rFonts w:cs="Times New Roman"/>
          <w:sz w:val="20"/>
          <w:szCs w:val="20"/>
          <w:lang w:val="en-AU"/>
        </w:rPr>
      </w:pPr>
      <w:r w:rsidRPr="00D45F3E">
        <w:rPr>
          <w:rFonts w:cs="Times New Roman"/>
          <w:sz w:val="20"/>
          <w:szCs w:val="20"/>
        </w:rPr>
        <w:t xml:space="preserve">Human Tissue Authority, </w:t>
      </w:r>
      <w:r w:rsidRPr="00D45F3E">
        <w:rPr>
          <w:rFonts w:cs="Times New Roman"/>
          <w:i/>
          <w:sz w:val="20"/>
          <w:szCs w:val="20"/>
        </w:rPr>
        <w:t>Code A: Guiding Principles and The Fundamental Principle of Consent</w:t>
      </w:r>
      <w:r w:rsidR="00796706" w:rsidRPr="00D45F3E">
        <w:rPr>
          <w:rFonts w:cs="Times New Roman"/>
          <w:sz w:val="20"/>
          <w:szCs w:val="20"/>
        </w:rPr>
        <w:t xml:space="preserve"> (version updated 3 April 2017), </w:t>
      </w:r>
      <w:r w:rsidRPr="00D45F3E">
        <w:rPr>
          <w:rFonts w:cs="Times New Roman"/>
          <w:sz w:val="20"/>
          <w:szCs w:val="20"/>
        </w:rPr>
        <w:t>para 40</w:t>
      </w:r>
      <w:r w:rsidR="00796706" w:rsidRPr="00D45F3E">
        <w:rPr>
          <w:rFonts w:cs="Times New Roman"/>
          <w:sz w:val="20"/>
          <w:szCs w:val="20"/>
        </w:rPr>
        <w:t>, available at</w:t>
      </w:r>
      <w:r w:rsidRPr="00D45F3E">
        <w:rPr>
          <w:rFonts w:cs="Times New Roman"/>
          <w:sz w:val="20"/>
          <w:szCs w:val="20"/>
        </w:rPr>
        <w:t xml:space="preserve"> &lt;https://www.hta.gov.uk/hta-codes-practice-and-standards-0&gt; </w:t>
      </w:r>
      <w:r w:rsidR="00796706" w:rsidRPr="00D45F3E">
        <w:rPr>
          <w:rFonts w:cs="Times New Roman"/>
          <w:sz w:val="20"/>
          <w:szCs w:val="20"/>
        </w:rPr>
        <w:t>(</w:t>
      </w:r>
      <w:r w:rsidRPr="00D45F3E">
        <w:rPr>
          <w:rFonts w:cs="Times New Roman"/>
          <w:sz w:val="20"/>
          <w:szCs w:val="20"/>
        </w:rPr>
        <w:t xml:space="preserve">last </w:t>
      </w:r>
      <w:r w:rsidR="00796706" w:rsidRPr="00D45F3E">
        <w:rPr>
          <w:rFonts w:cs="Times New Roman"/>
          <w:sz w:val="20"/>
          <w:szCs w:val="20"/>
        </w:rPr>
        <w:t>visited</w:t>
      </w:r>
      <w:r w:rsidRPr="00D45F3E">
        <w:rPr>
          <w:rFonts w:cs="Times New Roman"/>
          <w:sz w:val="20"/>
          <w:szCs w:val="20"/>
        </w:rPr>
        <w:t xml:space="preserve"> </w:t>
      </w:r>
      <w:r w:rsidR="00796706" w:rsidRPr="00D45F3E">
        <w:rPr>
          <w:rFonts w:cs="Times New Roman"/>
          <w:sz w:val="20"/>
          <w:szCs w:val="20"/>
        </w:rPr>
        <w:t>Oct. 25,</w:t>
      </w:r>
      <w:r w:rsidRPr="00D45F3E">
        <w:rPr>
          <w:rFonts w:cs="Times New Roman"/>
          <w:sz w:val="20"/>
          <w:szCs w:val="20"/>
        </w:rPr>
        <w:t xml:space="preserve"> 2018</w:t>
      </w:r>
      <w:r w:rsidR="00796706" w:rsidRPr="00D45F3E">
        <w:rPr>
          <w:rFonts w:cs="Times New Roman"/>
          <w:sz w:val="20"/>
          <w:szCs w:val="20"/>
        </w:rPr>
        <w:t>)</w:t>
      </w:r>
      <w:r w:rsidRPr="00D45F3E">
        <w:rPr>
          <w:rFonts w:cs="Times New Roman"/>
          <w:sz w:val="20"/>
          <w:szCs w:val="20"/>
        </w:rPr>
        <w:t xml:space="preserve">; The previous version of this code was substantially similar. Please see Human Tissue Authority, </w:t>
      </w:r>
      <w:r w:rsidRPr="00D45F3E">
        <w:rPr>
          <w:rFonts w:cs="Times New Roman"/>
          <w:i/>
          <w:sz w:val="20"/>
          <w:szCs w:val="20"/>
        </w:rPr>
        <w:t>Code of Practice 1 – Consent</w:t>
      </w:r>
      <w:r w:rsidRPr="00D45F3E">
        <w:rPr>
          <w:rFonts w:cs="Times New Roman"/>
          <w:sz w:val="20"/>
          <w:szCs w:val="20"/>
        </w:rPr>
        <w:t xml:space="preserve"> (Version 14.0, updated July 2014)</w:t>
      </w:r>
      <w:r w:rsidR="00796706" w:rsidRPr="00D45F3E">
        <w:rPr>
          <w:rFonts w:cs="Times New Roman"/>
          <w:sz w:val="20"/>
          <w:szCs w:val="20"/>
        </w:rPr>
        <w:t>, para.</w:t>
      </w:r>
      <w:r w:rsidRPr="00D45F3E">
        <w:rPr>
          <w:rFonts w:cs="Times New Roman"/>
          <w:sz w:val="20"/>
          <w:szCs w:val="20"/>
        </w:rPr>
        <w:t xml:space="preserve"> 33 and 35</w:t>
      </w:r>
      <w:r w:rsidR="00796706" w:rsidRPr="00D45F3E">
        <w:rPr>
          <w:rFonts w:cs="Times New Roman"/>
          <w:sz w:val="20"/>
          <w:szCs w:val="20"/>
        </w:rPr>
        <w:t>, available at</w:t>
      </w:r>
      <w:r w:rsidRPr="00D45F3E">
        <w:rPr>
          <w:rFonts w:cs="Times New Roman"/>
          <w:sz w:val="20"/>
          <w:szCs w:val="20"/>
        </w:rPr>
        <w:t xml:space="preserve"> &lt;https://www.hta.gov.uk/sites/default/files/Code_of_practice_1_-_Consent.pdf&gt; </w:t>
      </w:r>
      <w:r w:rsidR="00796706" w:rsidRPr="00D45F3E">
        <w:rPr>
          <w:rFonts w:cs="Times New Roman"/>
          <w:sz w:val="20"/>
          <w:szCs w:val="20"/>
        </w:rPr>
        <w:t>(last visited</w:t>
      </w:r>
      <w:r w:rsidRPr="00D45F3E">
        <w:rPr>
          <w:rFonts w:cs="Times New Roman"/>
          <w:sz w:val="20"/>
          <w:szCs w:val="20"/>
        </w:rPr>
        <w:t xml:space="preserve"> May </w:t>
      </w:r>
      <w:r w:rsidR="00796706" w:rsidRPr="00D45F3E">
        <w:rPr>
          <w:rFonts w:cs="Times New Roman"/>
          <w:sz w:val="20"/>
          <w:szCs w:val="20"/>
        </w:rPr>
        <w:t xml:space="preserve">12, </w:t>
      </w:r>
      <w:r w:rsidRPr="00D45F3E">
        <w:rPr>
          <w:rFonts w:cs="Times New Roman"/>
          <w:sz w:val="20"/>
          <w:szCs w:val="20"/>
        </w:rPr>
        <w:t>2016</w:t>
      </w:r>
      <w:r w:rsidR="00796706" w:rsidRPr="00D45F3E">
        <w:rPr>
          <w:rFonts w:cs="Times New Roman"/>
          <w:sz w:val="20"/>
          <w:szCs w:val="20"/>
        </w:rPr>
        <w:t>)</w:t>
      </w:r>
    </w:p>
    <w:p w14:paraId="2B5C3040" w14:textId="77777777" w:rsidR="005A2906" w:rsidRPr="00D45F3E" w:rsidRDefault="00673EB7" w:rsidP="00796706">
      <w:pPr>
        <w:numPr>
          <w:ilvl w:val="0"/>
          <w:numId w:val="9"/>
        </w:numPr>
        <w:spacing w:before="240" w:after="120"/>
        <w:contextualSpacing/>
        <w:rPr>
          <w:rFonts w:cs="Times New Roman"/>
          <w:sz w:val="20"/>
          <w:szCs w:val="20"/>
          <w:lang w:val="en-GB"/>
        </w:rPr>
      </w:pPr>
      <w:r w:rsidRPr="00D45F3E">
        <w:rPr>
          <w:rFonts w:cs="Times New Roman"/>
          <w:sz w:val="20"/>
          <w:szCs w:val="20"/>
          <w:lang w:val="en-GB"/>
        </w:rPr>
        <w:t xml:space="preserve">In accordance with </w:t>
      </w:r>
      <w:r w:rsidR="00796706" w:rsidRPr="00D45F3E">
        <w:rPr>
          <w:rFonts w:cs="Times New Roman"/>
          <w:sz w:val="20"/>
          <w:szCs w:val="20"/>
        </w:rPr>
        <w:t xml:space="preserve">World Medical Association [WMA], </w:t>
      </w:r>
      <w:r w:rsidR="00796706" w:rsidRPr="00D45F3E">
        <w:rPr>
          <w:rFonts w:cs="Times New Roman"/>
          <w:i/>
          <w:sz w:val="20"/>
          <w:szCs w:val="20"/>
        </w:rPr>
        <w:t>Declaration of Helsinki</w:t>
      </w:r>
      <w:r w:rsidR="00796706" w:rsidRPr="00D45F3E">
        <w:rPr>
          <w:rFonts w:cs="Times New Roman"/>
          <w:sz w:val="20"/>
          <w:szCs w:val="20"/>
        </w:rPr>
        <w:t xml:space="preserve"> (June 1964), available at &lt;https://www.wma.net/policies-post/wma-declaration-of-helsinki-ethical-principles-for-medical-research-involving-human-subjects/&gt;</w:t>
      </w:r>
    </w:p>
    <w:p w14:paraId="0AB3DF72" w14:textId="77777777" w:rsidR="005A2906" w:rsidRPr="00D45F3E" w:rsidRDefault="00673EB7" w:rsidP="00796706">
      <w:pPr>
        <w:numPr>
          <w:ilvl w:val="0"/>
          <w:numId w:val="9"/>
        </w:numPr>
        <w:spacing w:before="240" w:after="120"/>
        <w:contextualSpacing/>
        <w:rPr>
          <w:rFonts w:cs="Times New Roman"/>
          <w:sz w:val="20"/>
          <w:szCs w:val="20"/>
          <w:u w:val="single"/>
          <w:lang w:val="en-GB"/>
        </w:rPr>
      </w:pPr>
      <w:r w:rsidRPr="00D45F3E">
        <w:rPr>
          <w:rFonts w:cs="Times New Roman"/>
          <w:sz w:val="20"/>
          <w:szCs w:val="20"/>
          <w:lang w:val="en-GB"/>
        </w:rPr>
        <w:t xml:space="preserve">See for example, </w:t>
      </w:r>
      <w:r w:rsidR="00796706" w:rsidRPr="00D45F3E">
        <w:rPr>
          <w:rFonts w:cs="Times New Roman"/>
          <w:sz w:val="20"/>
          <w:szCs w:val="20"/>
          <w:lang w:val="en-GB"/>
        </w:rPr>
        <w:t xml:space="preserve">Genomics England, </w:t>
      </w:r>
      <w:r w:rsidRPr="00D45F3E">
        <w:rPr>
          <w:rFonts w:cs="Times New Roman"/>
          <w:i/>
          <w:sz w:val="20"/>
          <w:szCs w:val="20"/>
          <w:lang w:val="en-GB"/>
        </w:rPr>
        <w:t>Ethical approval for 100,000 Genomes Project</w:t>
      </w:r>
      <w:r w:rsidR="00796706" w:rsidRPr="00D45F3E">
        <w:rPr>
          <w:rFonts w:cs="Times New Roman"/>
          <w:i/>
          <w:sz w:val="20"/>
          <w:szCs w:val="20"/>
          <w:lang w:val="en-GB"/>
        </w:rPr>
        <w:t xml:space="preserve">, </w:t>
      </w:r>
      <w:r w:rsidR="00796706" w:rsidRPr="00D45F3E">
        <w:rPr>
          <w:rFonts w:cs="Times New Roman"/>
          <w:sz w:val="20"/>
          <w:szCs w:val="20"/>
          <w:lang w:val="en-GB"/>
        </w:rPr>
        <w:t>at &lt;https://www.genomicsengland.co.uk/100k-genomes-projectp-gains-ethical-approval-to-offer-nhs-patients-further-information-about-their-genomic-results/&gt;</w:t>
      </w:r>
      <w:r w:rsidRPr="00D45F3E">
        <w:rPr>
          <w:rFonts w:cs="Times New Roman"/>
          <w:sz w:val="20"/>
          <w:szCs w:val="20"/>
          <w:lang w:val="en-GB"/>
        </w:rPr>
        <w:t>;</w:t>
      </w:r>
      <w:r w:rsidR="00796706" w:rsidRPr="00D45F3E">
        <w:rPr>
          <w:rFonts w:cs="Times New Roman"/>
          <w:sz w:val="20"/>
          <w:szCs w:val="20"/>
          <w:lang w:val="en-GB"/>
        </w:rPr>
        <w:t xml:space="preserve"> Genomics England, </w:t>
      </w:r>
      <w:r w:rsidR="00796706" w:rsidRPr="00D45F3E">
        <w:rPr>
          <w:rFonts w:cs="Times New Roman"/>
          <w:i/>
          <w:sz w:val="20"/>
          <w:szCs w:val="20"/>
          <w:lang w:val="en-GB"/>
        </w:rPr>
        <w:t xml:space="preserve">Protocol and related policies, </w:t>
      </w:r>
      <w:r w:rsidR="00796706" w:rsidRPr="00D45F3E">
        <w:rPr>
          <w:rFonts w:cs="Times New Roman"/>
          <w:sz w:val="20"/>
          <w:szCs w:val="20"/>
          <w:lang w:val="en-GB"/>
        </w:rPr>
        <w:t xml:space="preserve">at </w:t>
      </w:r>
      <w:r w:rsidRPr="00D45F3E">
        <w:rPr>
          <w:rFonts w:cs="Times New Roman"/>
          <w:sz w:val="20"/>
          <w:szCs w:val="20"/>
          <w:lang w:val="en-GB"/>
        </w:rPr>
        <w:t xml:space="preserve"> </w:t>
      </w:r>
      <w:r w:rsidR="00796706" w:rsidRPr="00D45F3E">
        <w:rPr>
          <w:rFonts w:cs="Times New Roman"/>
          <w:sz w:val="20"/>
          <w:szCs w:val="20"/>
          <w:lang w:val="en-GB"/>
        </w:rPr>
        <w:t>&lt;</w:t>
      </w:r>
      <w:r w:rsidRPr="00D45F3E">
        <w:rPr>
          <w:rFonts w:cs="Times New Roman"/>
          <w:sz w:val="20"/>
          <w:szCs w:val="20"/>
          <w:lang w:val="en-GB"/>
        </w:rPr>
        <w:t>www.genomicsengland.co.uk</w:t>
      </w:r>
      <w:r w:rsidR="00796706" w:rsidRPr="00D45F3E">
        <w:rPr>
          <w:rFonts w:cs="Times New Roman"/>
          <w:sz w:val="20"/>
          <w:szCs w:val="20"/>
          <w:lang w:val="en-GB"/>
        </w:rPr>
        <w:t>&gt;</w:t>
      </w:r>
    </w:p>
    <w:p w14:paraId="318FC3E0" w14:textId="77777777" w:rsidR="005A2906" w:rsidRPr="00D45F3E" w:rsidRDefault="00673EB7" w:rsidP="00796706">
      <w:pPr>
        <w:numPr>
          <w:ilvl w:val="0"/>
          <w:numId w:val="9"/>
        </w:numPr>
        <w:spacing w:before="240" w:after="120"/>
        <w:contextualSpacing/>
        <w:rPr>
          <w:rFonts w:cs="Times New Roman"/>
          <w:sz w:val="20"/>
          <w:szCs w:val="20"/>
          <w:u w:val="single"/>
          <w:vertAlign w:val="superscript"/>
          <w:lang w:val="en-GB"/>
        </w:rPr>
      </w:pPr>
      <w:r w:rsidRPr="00D45F3E">
        <w:rPr>
          <w:rFonts w:cs="Times New Roman"/>
          <w:sz w:val="20"/>
          <w:szCs w:val="20"/>
          <w:lang w:val="en-GB"/>
        </w:rPr>
        <w:t>See</w:t>
      </w:r>
      <w:r w:rsidR="00796706" w:rsidRPr="00D45F3E">
        <w:rPr>
          <w:rFonts w:cs="Times New Roman"/>
          <w:sz w:val="20"/>
          <w:szCs w:val="20"/>
        </w:rPr>
        <w:t xml:space="preserve"> Health Research Authority, </w:t>
      </w:r>
      <w:r w:rsidR="00796706" w:rsidRPr="00D45F3E">
        <w:rPr>
          <w:rFonts w:cs="Times New Roman"/>
          <w:i/>
          <w:sz w:val="20"/>
          <w:szCs w:val="20"/>
        </w:rPr>
        <w:t>Governance arrangements for Research Ethics Committees</w:t>
      </w:r>
      <w:r w:rsidR="00796706" w:rsidRPr="00D45F3E">
        <w:rPr>
          <w:rFonts w:cs="Times New Roman"/>
          <w:sz w:val="20"/>
          <w:szCs w:val="20"/>
        </w:rPr>
        <w:t xml:space="preserve">, at </w:t>
      </w:r>
      <w:r w:rsidRPr="00D45F3E">
        <w:rPr>
          <w:rFonts w:cs="Times New Roman"/>
          <w:sz w:val="20"/>
          <w:szCs w:val="20"/>
        </w:rPr>
        <w:t xml:space="preserve"> </w:t>
      </w:r>
      <w:r w:rsidR="00796706" w:rsidRPr="00D45F3E">
        <w:rPr>
          <w:rFonts w:cs="Times New Roman"/>
          <w:sz w:val="20"/>
          <w:szCs w:val="20"/>
        </w:rPr>
        <w:t>&lt;</w:t>
      </w:r>
      <w:r w:rsidRPr="00D45F3E">
        <w:rPr>
          <w:rFonts w:cs="Times New Roman"/>
          <w:sz w:val="20"/>
          <w:szCs w:val="20"/>
        </w:rPr>
        <w:t>https://www.hra.nhs.uk/planning-and-improving-research/policies-standards-legislation/governance-arrangement-research-ethics-committees/</w:t>
      </w:r>
      <w:r w:rsidR="00796706" w:rsidRPr="00D45F3E">
        <w:rPr>
          <w:rFonts w:cs="Times New Roman"/>
          <w:sz w:val="20"/>
          <w:szCs w:val="20"/>
        </w:rPr>
        <w:t>&gt;</w:t>
      </w:r>
    </w:p>
    <w:p w14:paraId="735A2956" w14:textId="77777777" w:rsidR="005A2906" w:rsidRPr="00D45F3E" w:rsidRDefault="00673EB7" w:rsidP="00796706">
      <w:pPr>
        <w:numPr>
          <w:ilvl w:val="0"/>
          <w:numId w:val="9"/>
        </w:numPr>
        <w:spacing w:before="240" w:after="120"/>
        <w:contextualSpacing/>
        <w:rPr>
          <w:rFonts w:cs="Times New Roman"/>
          <w:sz w:val="20"/>
          <w:szCs w:val="20"/>
        </w:rPr>
      </w:pPr>
      <w:r w:rsidRPr="00D45F3E">
        <w:rPr>
          <w:rFonts w:cs="Times New Roman"/>
          <w:sz w:val="20"/>
          <w:szCs w:val="20"/>
          <w:lang w:val="en-GB"/>
        </w:rPr>
        <w:t>See</w:t>
      </w:r>
      <w:r w:rsidR="00796706" w:rsidRPr="00D45F3E">
        <w:rPr>
          <w:rFonts w:cs="Times New Roman"/>
          <w:sz w:val="20"/>
          <w:szCs w:val="20"/>
          <w:lang w:val="en-GB"/>
        </w:rPr>
        <w:t xml:space="preserve"> Health Research Authority, </w:t>
      </w:r>
      <w:r w:rsidR="00796706" w:rsidRPr="00D45F3E">
        <w:rPr>
          <w:rFonts w:cs="Times New Roman"/>
          <w:i/>
          <w:sz w:val="20"/>
          <w:szCs w:val="20"/>
          <w:lang w:val="en-GB"/>
        </w:rPr>
        <w:t>What approvals and decisions do I need?</w:t>
      </w:r>
      <w:r w:rsidR="00796706" w:rsidRPr="00D45F3E">
        <w:rPr>
          <w:rFonts w:cs="Times New Roman"/>
          <w:sz w:val="20"/>
          <w:szCs w:val="20"/>
          <w:lang w:val="en-GB"/>
        </w:rPr>
        <w:t>, at &lt;</w:t>
      </w:r>
      <w:r w:rsidRPr="00D45F3E">
        <w:rPr>
          <w:rFonts w:cs="Times New Roman"/>
          <w:sz w:val="20"/>
          <w:szCs w:val="20"/>
        </w:rPr>
        <w:t>https://www.hra.nhs.uk/approvals-amendments/what-approvals-do-i-need/</w:t>
      </w:r>
      <w:r w:rsidR="00796706" w:rsidRPr="00D45F3E">
        <w:rPr>
          <w:rFonts w:cs="Times New Roman"/>
          <w:sz w:val="20"/>
          <w:szCs w:val="20"/>
        </w:rPr>
        <w:t>&gt;</w:t>
      </w:r>
    </w:p>
    <w:p w14:paraId="64F0B496" w14:textId="77777777" w:rsidR="005A2906" w:rsidRPr="00D45F3E" w:rsidRDefault="00673EB7" w:rsidP="00796706">
      <w:pPr>
        <w:numPr>
          <w:ilvl w:val="0"/>
          <w:numId w:val="9"/>
        </w:numPr>
        <w:spacing w:before="240" w:after="120"/>
        <w:contextualSpacing/>
        <w:rPr>
          <w:rFonts w:cs="Times New Roman"/>
          <w:sz w:val="20"/>
          <w:szCs w:val="20"/>
          <w:lang w:val="en-GB"/>
        </w:rPr>
      </w:pPr>
      <w:r w:rsidRPr="00D45F3E">
        <w:rPr>
          <w:rFonts w:cs="Times New Roman"/>
          <w:sz w:val="20"/>
          <w:szCs w:val="20"/>
          <w:lang w:val="en-AU"/>
        </w:rPr>
        <w:t xml:space="preserve">Please see </w:t>
      </w:r>
      <w:r w:rsidR="00796706" w:rsidRPr="00D45F3E">
        <w:rPr>
          <w:rFonts w:cs="Times New Roman"/>
          <w:sz w:val="20"/>
          <w:szCs w:val="20"/>
          <w:lang w:val="en-AU"/>
        </w:rPr>
        <w:t>the forthcoming chapter A.</w:t>
      </w:r>
      <w:r w:rsidRPr="00D45F3E">
        <w:rPr>
          <w:rFonts w:cs="Times New Roman"/>
          <w:sz w:val="20"/>
          <w:szCs w:val="20"/>
          <w:lang w:val="en-AU"/>
        </w:rPr>
        <w:t>M</w:t>
      </w:r>
      <w:r w:rsidR="00796706" w:rsidRPr="00D45F3E">
        <w:rPr>
          <w:rFonts w:cs="Times New Roman"/>
          <w:sz w:val="20"/>
          <w:szCs w:val="20"/>
          <w:lang w:val="en-AU"/>
        </w:rPr>
        <w:t>.</w:t>
      </w:r>
      <w:r w:rsidRPr="00D45F3E">
        <w:rPr>
          <w:rFonts w:cs="Times New Roman"/>
          <w:sz w:val="20"/>
          <w:szCs w:val="20"/>
          <w:lang w:val="en-AU"/>
        </w:rPr>
        <w:t xml:space="preserve"> Phillips and </w:t>
      </w:r>
      <w:r w:rsidR="00796706" w:rsidRPr="00D45F3E">
        <w:rPr>
          <w:rFonts w:cs="Times New Roman"/>
          <w:sz w:val="20"/>
          <w:szCs w:val="20"/>
          <w:lang w:val="en-AU"/>
        </w:rPr>
        <w:t>T.K. Hervey. Forthcoming. “</w:t>
      </w:r>
      <w:r w:rsidRPr="00D45F3E">
        <w:rPr>
          <w:rFonts w:cs="Times New Roman"/>
          <w:sz w:val="20"/>
          <w:szCs w:val="20"/>
          <w:lang w:val="en-AU"/>
        </w:rPr>
        <w:t>Brexit and biobanking: GDPR perspectives</w:t>
      </w:r>
      <w:r w:rsidR="00796706" w:rsidRPr="00D45F3E">
        <w:rPr>
          <w:rFonts w:cs="Times New Roman"/>
          <w:sz w:val="20"/>
          <w:szCs w:val="20"/>
          <w:lang w:val="en-AU"/>
        </w:rPr>
        <w:t>.”</w:t>
      </w:r>
      <w:r w:rsidRPr="00D45F3E">
        <w:rPr>
          <w:rFonts w:cs="Times New Roman"/>
          <w:sz w:val="20"/>
          <w:szCs w:val="20"/>
          <w:lang w:val="en-AU"/>
        </w:rPr>
        <w:t xml:space="preserve"> </w:t>
      </w:r>
      <w:r w:rsidR="00796706" w:rsidRPr="00D45F3E">
        <w:rPr>
          <w:rFonts w:cs="Times New Roman"/>
          <w:sz w:val="20"/>
          <w:szCs w:val="20"/>
        </w:rPr>
        <w:t>I</w:t>
      </w:r>
      <w:r w:rsidRPr="00D45F3E">
        <w:rPr>
          <w:rFonts w:cs="Times New Roman"/>
          <w:sz w:val="20"/>
          <w:szCs w:val="20"/>
        </w:rPr>
        <w:t xml:space="preserve">n </w:t>
      </w:r>
      <w:r w:rsidRPr="00D45F3E">
        <w:rPr>
          <w:rFonts w:cs="Times New Roman"/>
          <w:i/>
          <w:sz w:val="20"/>
          <w:szCs w:val="20"/>
        </w:rPr>
        <w:t>Individual rights, public interest and biobank research. Article 89 GDPR and European legal responses</w:t>
      </w:r>
      <w:r w:rsidR="00796706" w:rsidRPr="00D45F3E">
        <w:rPr>
          <w:rFonts w:cs="Times New Roman"/>
          <w:sz w:val="20"/>
          <w:szCs w:val="20"/>
        </w:rPr>
        <w:t>, edited by</w:t>
      </w:r>
      <w:r w:rsidRPr="00D45F3E">
        <w:rPr>
          <w:rFonts w:cs="Times New Roman"/>
          <w:i/>
          <w:sz w:val="20"/>
          <w:szCs w:val="20"/>
        </w:rPr>
        <w:t xml:space="preserve"> </w:t>
      </w:r>
      <w:r w:rsidRPr="00D45F3E">
        <w:rPr>
          <w:rFonts w:cs="Times New Roman"/>
          <w:sz w:val="20"/>
          <w:szCs w:val="20"/>
        </w:rPr>
        <w:t>Santa Slokenberga, Olga Tzo</w:t>
      </w:r>
      <w:r w:rsidR="00796706" w:rsidRPr="00D45F3E">
        <w:rPr>
          <w:rFonts w:cs="Times New Roman"/>
          <w:sz w:val="20"/>
          <w:szCs w:val="20"/>
        </w:rPr>
        <w:t>rtzatou and Jane Reichel (eds).</w:t>
      </w:r>
      <w:r w:rsidR="00796706" w:rsidRPr="00D45F3E">
        <w:rPr>
          <w:rFonts w:cs="Times New Roman"/>
          <w:i/>
          <w:sz w:val="20"/>
          <w:szCs w:val="20"/>
        </w:rPr>
        <w:t xml:space="preserve"> </w:t>
      </w:r>
      <w:r w:rsidR="00796706" w:rsidRPr="00D45F3E">
        <w:rPr>
          <w:rFonts w:cs="Times New Roman"/>
          <w:sz w:val="20"/>
          <w:szCs w:val="20"/>
        </w:rPr>
        <w:t>(T</w:t>
      </w:r>
      <w:r w:rsidRPr="00D45F3E">
        <w:rPr>
          <w:rFonts w:cs="Times New Roman"/>
          <w:sz w:val="20"/>
          <w:szCs w:val="20"/>
        </w:rPr>
        <w:t xml:space="preserve">o be published by Springer as part of their </w:t>
      </w:r>
      <w:r w:rsidRPr="00D45F3E">
        <w:rPr>
          <w:rFonts w:cs="Times New Roman"/>
          <w:i/>
          <w:sz w:val="20"/>
          <w:szCs w:val="20"/>
        </w:rPr>
        <w:t>Law, Governance and Technology Series</w:t>
      </w:r>
      <w:r w:rsidRPr="00D45F3E">
        <w:rPr>
          <w:rFonts w:cs="Times New Roman"/>
          <w:sz w:val="20"/>
          <w:szCs w:val="20"/>
        </w:rPr>
        <w:t xml:space="preserve"> (forthcoming 2019)</w:t>
      </w:r>
      <w:r w:rsidR="00796706" w:rsidRPr="00D45F3E">
        <w:rPr>
          <w:rFonts w:cs="Times New Roman"/>
          <w:sz w:val="20"/>
          <w:szCs w:val="20"/>
        </w:rPr>
        <w:t>)</w:t>
      </w:r>
    </w:p>
    <w:p w14:paraId="7B0E3B18" w14:textId="181DD07D" w:rsidR="00796706" w:rsidRPr="00D45F3E" w:rsidRDefault="00673EB7" w:rsidP="00796706">
      <w:pPr>
        <w:numPr>
          <w:ilvl w:val="0"/>
          <w:numId w:val="9"/>
        </w:numPr>
        <w:spacing w:before="240" w:after="120"/>
        <w:contextualSpacing/>
        <w:rPr>
          <w:rFonts w:cs="Times New Roman"/>
          <w:sz w:val="20"/>
          <w:szCs w:val="20"/>
        </w:rPr>
      </w:pPr>
      <w:r w:rsidRPr="00D45F3E">
        <w:rPr>
          <w:rFonts w:cs="Times New Roman"/>
          <w:sz w:val="20"/>
          <w:szCs w:val="20"/>
        </w:rPr>
        <w:t xml:space="preserve">Health Research Authority, </w:t>
      </w:r>
      <w:r w:rsidRPr="00D45F3E">
        <w:rPr>
          <w:rFonts w:cs="Times New Roman"/>
          <w:i/>
          <w:sz w:val="20"/>
          <w:szCs w:val="20"/>
        </w:rPr>
        <w:t>Legal basis for processing data</w:t>
      </w:r>
      <w:r w:rsidR="00796706" w:rsidRPr="00D45F3E">
        <w:rPr>
          <w:rFonts w:cs="Times New Roman"/>
          <w:sz w:val="20"/>
          <w:szCs w:val="20"/>
        </w:rPr>
        <w:t xml:space="preserve">, at </w:t>
      </w:r>
      <w:r w:rsidRPr="00D45F3E">
        <w:rPr>
          <w:rFonts w:cs="Times New Roman"/>
          <w:sz w:val="20"/>
          <w:szCs w:val="20"/>
        </w:rPr>
        <w:t xml:space="preserve">&lt;https://www.hra.nhs.uk/planning-and-improving-research/policies-standards-legislation/data-protection-and-information-governance/gdpr-detailed-guidance/legal-basis-processing-data/&gt; </w:t>
      </w:r>
      <w:r w:rsidR="00796706" w:rsidRPr="00D45F3E">
        <w:rPr>
          <w:rFonts w:cs="Times New Roman"/>
          <w:sz w:val="20"/>
          <w:szCs w:val="20"/>
        </w:rPr>
        <w:t>(</w:t>
      </w:r>
      <w:r w:rsidRPr="00D45F3E">
        <w:rPr>
          <w:rFonts w:cs="Times New Roman"/>
          <w:sz w:val="20"/>
          <w:szCs w:val="20"/>
        </w:rPr>
        <w:t xml:space="preserve">last </w:t>
      </w:r>
      <w:r w:rsidR="00796706" w:rsidRPr="00D45F3E">
        <w:rPr>
          <w:rFonts w:cs="Times New Roman"/>
          <w:sz w:val="20"/>
          <w:szCs w:val="20"/>
        </w:rPr>
        <w:t>visited Apr. 24,</w:t>
      </w:r>
      <w:r w:rsidRPr="00D45F3E">
        <w:rPr>
          <w:rFonts w:cs="Times New Roman"/>
          <w:sz w:val="20"/>
          <w:szCs w:val="20"/>
        </w:rPr>
        <w:t xml:space="preserve"> 2019</w:t>
      </w:r>
      <w:r w:rsidR="00796706" w:rsidRPr="00D45F3E">
        <w:rPr>
          <w:rFonts w:cs="Times New Roman"/>
          <w:sz w:val="20"/>
          <w:szCs w:val="20"/>
        </w:rPr>
        <w:t>)</w:t>
      </w:r>
    </w:p>
    <w:p w14:paraId="6BFE03E0" w14:textId="77777777" w:rsidR="00796706" w:rsidRPr="00D45F3E" w:rsidRDefault="00796706" w:rsidP="00796706">
      <w:pPr>
        <w:numPr>
          <w:ilvl w:val="0"/>
          <w:numId w:val="9"/>
        </w:numPr>
        <w:spacing w:before="240" w:after="120"/>
        <w:contextualSpacing/>
        <w:rPr>
          <w:rFonts w:cs="Times New Roman"/>
          <w:sz w:val="20"/>
          <w:szCs w:val="20"/>
          <w:lang w:val="en-GB"/>
        </w:rPr>
      </w:pPr>
      <w:r w:rsidRPr="00D45F3E">
        <w:rPr>
          <w:rFonts w:cs="Times New Roman"/>
          <w:sz w:val="20"/>
          <w:szCs w:val="20"/>
          <w:lang w:val="en-AU"/>
        </w:rPr>
        <w:t xml:space="preserve">Human Tissue Authority, </w:t>
      </w:r>
      <w:r w:rsidRPr="00D45F3E">
        <w:rPr>
          <w:rFonts w:cs="Times New Roman"/>
          <w:i/>
          <w:sz w:val="20"/>
          <w:szCs w:val="20"/>
          <w:lang w:val="en-AU"/>
        </w:rPr>
        <w:t>About Us</w:t>
      </w:r>
      <w:r w:rsidRPr="00D45F3E">
        <w:rPr>
          <w:rFonts w:cs="Times New Roman"/>
          <w:sz w:val="20"/>
          <w:szCs w:val="20"/>
          <w:lang w:val="en-AU"/>
        </w:rPr>
        <w:t>, at &lt;https://www.hta.gov.uk/about-us&gt;</w:t>
      </w:r>
    </w:p>
    <w:p w14:paraId="0AE78D02" w14:textId="77777777" w:rsidR="00796706" w:rsidRPr="00D45F3E" w:rsidRDefault="00796706" w:rsidP="00796706">
      <w:pPr>
        <w:numPr>
          <w:ilvl w:val="0"/>
          <w:numId w:val="9"/>
        </w:numPr>
        <w:spacing w:before="240" w:after="120"/>
        <w:contextualSpacing/>
        <w:rPr>
          <w:rFonts w:cs="Times New Roman"/>
          <w:sz w:val="20"/>
          <w:szCs w:val="20"/>
          <w:lang w:val="en-GB"/>
        </w:rPr>
      </w:pPr>
      <w:r w:rsidRPr="00D45F3E">
        <w:rPr>
          <w:rFonts w:cs="Times New Roman"/>
          <w:sz w:val="20"/>
          <w:szCs w:val="20"/>
          <w:lang w:val="en-AU"/>
        </w:rPr>
        <w:t xml:space="preserve">Health Research Authority, </w:t>
      </w:r>
      <w:r w:rsidRPr="00D45F3E">
        <w:rPr>
          <w:rFonts w:cs="Times New Roman"/>
          <w:i/>
          <w:sz w:val="20"/>
          <w:szCs w:val="20"/>
          <w:lang w:val="en-AU"/>
        </w:rPr>
        <w:t>About Us</w:t>
      </w:r>
      <w:r w:rsidRPr="00D45F3E">
        <w:rPr>
          <w:rFonts w:cs="Times New Roman"/>
          <w:sz w:val="20"/>
          <w:szCs w:val="20"/>
          <w:lang w:val="en-AU"/>
        </w:rPr>
        <w:t>, at  &lt;https://www.hra.nhs.uk/about-us/</w:t>
      </w:r>
      <w:r w:rsidRPr="00D45F3E">
        <w:rPr>
          <w:rFonts w:cs="Times New Roman"/>
          <w:sz w:val="20"/>
          <w:szCs w:val="20"/>
          <w:u w:val="single"/>
          <w:lang w:val="en-AU"/>
        </w:rPr>
        <w:t>&gt;</w:t>
      </w:r>
    </w:p>
    <w:p w14:paraId="7019371A" w14:textId="77777777" w:rsidR="00796706" w:rsidRPr="00D45F3E" w:rsidRDefault="00796706" w:rsidP="00796706">
      <w:pPr>
        <w:numPr>
          <w:ilvl w:val="0"/>
          <w:numId w:val="9"/>
        </w:numPr>
        <w:spacing w:before="240" w:after="120"/>
        <w:contextualSpacing/>
        <w:rPr>
          <w:rFonts w:cs="Times New Roman"/>
          <w:sz w:val="20"/>
          <w:szCs w:val="20"/>
          <w:lang w:val="en-GB"/>
        </w:rPr>
      </w:pPr>
      <w:r w:rsidRPr="00D45F3E">
        <w:rPr>
          <w:rFonts w:cs="Times New Roman"/>
          <w:sz w:val="20"/>
          <w:szCs w:val="20"/>
          <w:lang w:val="en-AU"/>
        </w:rPr>
        <w:t xml:space="preserve">Health Research Authority, </w:t>
      </w:r>
      <w:r w:rsidRPr="00D45F3E">
        <w:rPr>
          <w:rFonts w:cs="Times New Roman"/>
          <w:i/>
          <w:sz w:val="20"/>
          <w:szCs w:val="20"/>
          <w:lang w:val="en-AU"/>
        </w:rPr>
        <w:t>What We Do</w:t>
      </w:r>
      <w:r w:rsidRPr="00D45F3E">
        <w:rPr>
          <w:rFonts w:cs="Times New Roman"/>
          <w:sz w:val="20"/>
          <w:szCs w:val="20"/>
          <w:lang w:val="en-AU"/>
        </w:rPr>
        <w:t>, at &lt;https://www.hra.nhs.uk/about-us/what-we-do/</w:t>
      </w:r>
      <w:r w:rsidRPr="00D45F3E">
        <w:rPr>
          <w:rFonts w:cs="Times New Roman"/>
          <w:sz w:val="20"/>
          <w:szCs w:val="20"/>
          <w:u w:val="single"/>
          <w:lang w:val="en-AU"/>
        </w:rPr>
        <w:t>&gt;</w:t>
      </w:r>
    </w:p>
    <w:p w14:paraId="1263D530" w14:textId="77777777" w:rsidR="00796706" w:rsidRPr="00D45F3E" w:rsidRDefault="00796706" w:rsidP="00796706">
      <w:pPr>
        <w:numPr>
          <w:ilvl w:val="0"/>
          <w:numId w:val="9"/>
        </w:numPr>
        <w:spacing w:before="240" w:after="120"/>
        <w:contextualSpacing/>
        <w:rPr>
          <w:rFonts w:cs="Times New Roman"/>
          <w:sz w:val="20"/>
          <w:szCs w:val="20"/>
          <w:lang w:val="en-GB"/>
        </w:rPr>
      </w:pPr>
      <w:r w:rsidRPr="00D45F3E">
        <w:rPr>
          <w:rFonts w:cs="Times New Roman"/>
          <w:sz w:val="20"/>
          <w:szCs w:val="20"/>
          <w:lang w:val="en-AU"/>
        </w:rPr>
        <w:t xml:space="preserve">See A.M. Phillips and T.K. Hervey, supra note 10, citing Health Research Authority, </w:t>
      </w:r>
      <w:r w:rsidRPr="00D45F3E">
        <w:rPr>
          <w:rFonts w:cs="Times New Roman"/>
          <w:i/>
          <w:sz w:val="20"/>
          <w:szCs w:val="20"/>
          <w:lang w:val="en-AU"/>
        </w:rPr>
        <w:t>Consent in research</w:t>
      </w:r>
      <w:r w:rsidRPr="00D45F3E">
        <w:rPr>
          <w:rFonts w:cs="Times New Roman"/>
          <w:sz w:val="20"/>
          <w:szCs w:val="20"/>
          <w:lang w:val="en-AU"/>
        </w:rPr>
        <w:t>, at &lt;https://www.hra.nhs.uk/planning-and-improving-research/policies-standards-legislation/data-protection-and-information-governance/gdpr-guidance/what-law-says/consent-research/&gt; (last visited Apr. 24, 2019)</w:t>
      </w:r>
    </w:p>
    <w:p w14:paraId="1AF645EA" w14:textId="77777777" w:rsidR="00796706" w:rsidRPr="00D45F3E" w:rsidRDefault="00796706" w:rsidP="00796706">
      <w:pPr>
        <w:numPr>
          <w:ilvl w:val="0"/>
          <w:numId w:val="9"/>
        </w:numPr>
        <w:spacing w:before="240" w:after="120"/>
        <w:contextualSpacing/>
        <w:rPr>
          <w:rFonts w:cs="Times New Roman"/>
          <w:sz w:val="20"/>
          <w:szCs w:val="20"/>
          <w:lang w:val="en-GB"/>
        </w:rPr>
      </w:pPr>
      <w:r w:rsidRPr="00D45F3E">
        <w:rPr>
          <w:rFonts w:cs="Times New Roman"/>
          <w:sz w:val="20"/>
          <w:szCs w:val="20"/>
        </w:rPr>
        <w:t xml:space="preserve">Joint Research Centre, </w:t>
      </w:r>
      <w:r w:rsidRPr="00D45F3E">
        <w:rPr>
          <w:rFonts w:cs="Times New Roman"/>
          <w:i/>
          <w:sz w:val="20"/>
          <w:szCs w:val="20"/>
        </w:rPr>
        <w:t>Overview of EU National Legislation on Genomics</w:t>
      </w:r>
      <w:r w:rsidRPr="00D45F3E">
        <w:rPr>
          <w:rFonts w:cs="Times New Roman"/>
          <w:sz w:val="20"/>
          <w:szCs w:val="20"/>
        </w:rPr>
        <w:t xml:space="preserve"> (JRC Science for Policy Report 2018), at 71</w:t>
      </w:r>
    </w:p>
    <w:p w14:paraId="74E4F3AD" w14:textId="77777777" w:rsidR="00796706" w:rsidRPr="00D45F3E" w:rsidRDefault="00796706" w:rsidP="00796706">
      <w:pPr>
        <w:numPr>
          <w:ilvl w:val="0"/>
          <w:numId w:val="9"/>
        </w:numPr>
        <w:spacing w:before="240" w:after="120"/>
        <w:contextualSpacing/>
        <w:rPr>
          <w:rFonts w:cs="Times New Roman"/>
          <w:i/>
          <w:sz w:val="20"/>
          <w:szCs w:val="20"/>
          <w:lang w:val="en-GB"/>
        </w:rPr>
      </w:pPr>
      <w:r w:rsidRPr="00D45F3E">
        <w:rPr>
          <w:rFonts w:cs="Times New Roman"/>
          <w:i/>
          <w:sz w:val="20"/>
          <w:szCs w:val="20"/>
        </w:rPr>
        <w:t xml:space="preserve">Id., </w:t>
      </w:r>
      <w:r w:rsidRPr="00D45F3E">
        <w:rPr>
          <w:rFonts w:cs="Times New Roman"/>
          <w:sz w:val="20"/>
          <w:szCs w:val="20"/>
        </w:rPr>
        <w:t>ch. 1</w:t>
      </w:r>
    </w:p>
    <w:p w14:paraId="5B79693E" w14:textId="57B48E60" w:rsidR="00796706" w:rsidRPr="00D45F3E" w:rsidRDefault="00796706" w:rsidP="00796706">
      <w:pPr>
        <w:numPr>
          <w:ilvl w:val="0"/>
          <w:numId w:val="9"/>
        </w:numPr>
        <w:spacing w:before="240" w:after="120"/>
        <w:contextualSpacing/>
        <w:rPr>
          <w:rFonts w:cs="Times New Roman"/>
          <w:sz w:val="20"/>
          <w:szCs w:val="20"/>
          <w:lang w:val="en-AU"/>
        </w:rPr>
      </w:pPr>
      <w:r w:rsidRPr="00D45F3E">
        <w:rPr>
          <w:rFonts w:cs="Times New Roman"/>
          <w:sz w:val="20"/>
          <w:szCs w:val="20"/>
          <w:lang w:val="en-AU"/>
        </w:rPr>
        <w:t xml:space="preserve">A.M. Phillips. Buying Your Self on the Internet: Wrap Contracts and Personal Genomics, (Edinburgh:  Edinburgh University Press, 2019), ch. 3, citing Human Tissue Authority, </w:t>
      </w:r>
      <w:r w:rsidRPr="00D45F3E">
        <w:rPr>
          <w:rFonts w:cs="Times New Roman"/>
          <w:i/>
          <w:sz w:val="20"/>
          <w:szCs w:val="20"/>
          <w:lang w:val="en-AU"/>
        </w:rPr>
        <w:t>Analysis of DNA under the HT Act FAQs</w:t>
      </w:r>
      <w:r w:rsidRPr="00D45F3E">
        <w:rPr>
          <w:rFonts w:cs="Times New Roman"/>
          <w:sz w:val="20"/>
          <w:szCs w:val="20"/>
          <w:lang w:val="en-AU"/>
        </w:rPr>
        <w:t>, at</w:t>
      </w:r>
      <w:r w:rsidRPr="00D45F3E">
        <w:rPr>
          <w:rFonts w:cs="Times New Roman"/>
          <w:i/>
          <w:sz w:val="20"/>
          <w:szCs w:val="20"/>
          <w:lang w:val="en-AU"/>
        </w:rPr>
        <w:t xml:space="preserve"> </w:t>
      </w:r>
      <w:r w:rsidRPr="00D45F3E">
        <w:rPr>
          <w:rFonts w:cs="Times New Roman"/>
          <w:sz w:val="20"/>
          <w:szCs w:val="20"/>
          <w:lang w:val="en-AU"/>
        </w:rPr>
        <w:t xml:space="preserve"> &lt;https://www.hta.gov.uk/faqs/analysis-dna-under-ht-act-faqs&gt; (last visited Oct. 27, 2018). Note: The Human Tissue Authority has not altered its stance on this.</w:t>
      </w:r>
    </w:p>
    <w:p w14:paraId="5BC7689B" w14:textId="77777777" w:rsidR="00796706" w:rsidRPr="00D45F3E" w:rsidRDefault="00796706" w:rsidP="00796706">
      <w:pPr>
        <w:numPr>
          <w:ilvl w:val="0"/>
          <w:numId w:val="9"/>
        </w:numPr>
        <w:spacing w:before="240" w:after="120"/>
        <w:contextualSpacing/>
        <w:rPr>
          <w:rFonts w:cs="Times New Roman"/>
          <w:sz w:val="20"/>
          <w:szCs w:val="20"/>
          <w:lang w:val="en-GB"/>
        </w:rPr>
      </w:pPr>
      <w:r w:rsidRPr="00D45F3E">
        <w:rPr>
          <w:rFonts w:cs="Times New Roman"/>
          <w:sz w:val="20"/>
          <w:szCs w:val="20"/>
        </w:rPr>
        <w:t xml:space="preserve">T. Ray, 23andMe Gets CE Mark, Launches PGS Offering in UK for £125, GenomeWeb (1 December 2014), at &lt;https://www.genomeweb.com/microarrays-multiplexing/23andme-gets-ce-mark-launches-pgs-offering-uk-1255&gt; (last visited Oct. 22, 2018); S. Gibbs, ‘DNA-screening test 23andMe launches in UK </w:t>
      </w:r>
      <w:r w:rsidRPr="00D45F3E">
        <w:rPr>
          <w:rFonts w:cs="Times New Roman"/>
          <w:sz w:val="20"/>
          <w:szCs w:val="20"/>
        </w:rPr>
        <w:lastRenderedPageBreak/>
        <w:t>after US ban,’ The Guardian, December 2, 2014, available at &lt;https://www.theguardian.com/technology/2014/dec/02/google-genetic-testing-23andme-uk-launch&gt; (last visited Oct. 22, 2018)</w:t>
      </w:r>
    </w:p>
    <w:p w14:paraId="0C04F088" w14:textId="77777777" w:rsidR="00796706" w:rsidRPr="00D45F3E" w:rsidRDefault="00796706" w:rsidP="00796706">
      <w:pPr>
        <w:numPr>
          <w:ilvl w:val="0"/>
          <w:numId w:val="9"/>
        </w:numPr>
        <w:spacing w:before="240" w:after="120"/>
        <w:contextualSpacing/>
        <w:rPr>
          <w:rFonts w:cs="Times New Roman"/>
          <w:sz w:val="20"/>
          <w:szCs w:val="20"/>
          <w:lang w:val="en-AU"/>
        </w:rPr>
      </w:pPr>
      <w:r w:rsidRPr="00D45F3E">
        <w:rPr>
          <w:rFonts w:cs="Times New Roman"/>
          <w:sz w:val="20"/>
          <w:szCs w:val="20"/>
        </w:rPr>
        <w:t xml:space="preserve">A.M. Phillips, supra note 18, ch. 1 </w:t>
      </w:r>
    </w:p>
    <w:p w14:paraId="0557F6F9" w14:textId="1A9252A5" w:rsidR="00796706" w:rsidRPr="006C117F" w:rsidRDefault="00796706" w:rsidP="00742D19">
      <w:pPr>
        <w:numPr>
          <w:ilvl w:val="0"/>
          <w:numId w:val="9"/>
        </w:numPr>
        <w:spacing w:before="240" w:after="120"/>
        <w:contextualSpacing/>
        <w:rPr>
          <w:rFonts w:cs="Times New Roman"/>
          <w:sz w:val="20"/>
          <w:szCs w:val="20"/>
          <w:lang w:val="en-GB"/>
        </w:rPr>
      </w:pPr>
      <w:r w:rsidRPr="00D45F3E">
        <w:rPr>
          <w:rFonts w:cs="Times New Roman"/>
          <w:sz w:val="20"/>
          <w:szCs w:val="20"/>
        </w:rPr>
        <w:t xml:space="preserve">UK Parliament, </w:t>
      </w:r>
      <w:r w:rsidRPr="00D45F3E">
        <w:rPr>
          <w:rFonts w:cs="Times New Roman"/>
          <w:i/>
          <w:sz w:val="20"/>
          <w:szCs w:val="20"/>
        </w:rPr>
        <w:t>Science and Technology Committee (Commons)</w:t>
      </w:r>
      <w:r w:rsidRPr="00D45F3E">
        <w:rPr>
          <w:rFonts w:cs="Times New Roman"/>
          <w:sz w:val="20"/>
          <w:szCs w:val="20"/>
        </w:rPr>
        <w:t>, at &lt;https://www.parliament.uk/business/committees/committees-a-z/commons-select/science-and-technology-committee/inquiries/parliament-2017/commercial-genomics-17-19/&gt;</w:t>
      </w:r>
      <w:r w:rsidR="00F05509">
        <w:rPr>
          <w:rFonts w:cs="Times New Roman"/>
          <w:sz w:val="20"/>
          <w:szCs w:val="20"/>
          <w:lang w:val="en-GB"/>
        </w:rPr>
        <w:t>.</w:t>
      </w:r>
    </w:p>
    <w:p w14:paraId="1AAA6F7F" w14:textId="77777777" w:rsidR="00796706" w:rsidRPr="00D45F3E" w:rsidRDefault="00796706" w:rsidP="00796706">
      <w:pPr>
        <w:numPr>
          <w:ilvl w:val="0"/>
          <w:numId w:val="9"/>
        </w:numPr>
        <w:spacing w:before="240" w:after="120"/>
        <w:contextualSpacing/>
        <w:rPr>
          <w:rFonts w:cs="Times New Roman"/>
          <w:sz w:val="20"/>
          <w:szCs w:val="20"/>
          <w:lang w:val="en-GB"/>
        </w:rPr>
      </w:pPr>
      <w:r w:rsidRPr="00D45F3E">
        <w:rPr>
          <w:rFonts w:cs="Times New Roman"/>
          <w:sz w:val="20"/>
          <w:szCs w:val="20"/>
          <w:lang w:val="en-AU"/>
        </w:rPr>
        <w:t xml:space="preserve">HM Government &amp; Association of British Insurers, </w:t>
      </w:r>
      <w:r w:rsidRPr="00D45F3E">
        <w:rPr>
          <w:rFonts w:cs="Times New Roman"/>
          <w:i/>
          <w:sz w:val="20"/>
          <w:szCs w:val="20"/>
          <w:lang w:val="en-AU"/>
        </w:rPr>
        <w:t xml:space="preserve">Code on Genetic Testing and Insurance, </w:t>
      </w:r>
      <w:r w:rsidRPr="00D45F3E">
        <w:rPr>
          <w:rFonts w:cs="Times New Roman"/>
          <w:sz w:val="20"/>
          <w:szCs w:val="20"/>
          <w:lang w:val="en-AU"/>
        </w:rPr>
        <w:t>available at &lt;https://www.abi.org.uk/globalassets/files/publications/public/genetics/code-on-genetic-testing-and-insurance_embargoed.pdf&gt;</w:t>
      </w:r>
    </w:p>
    <w:p w14:paraId="17842817" w14:textId="77777777" w:rsidR="00796706" w:rsidRPr="00D45F3E" w:rsidRDefault="00796706" w:rsidP="00796706">
      <w:pPr>
        <w:spacing w:before="240" w:after="120"/>
        <w:ind w:left="284"/>
        <w:contextualSpacing/>
        <w:rPr>
          <w:rFonts w:cs="Times New Roman"/>
          <w:sz w:val="20"/>
          <w:szCs w:val="20"/>
          <w:lang w:val="en-AU"/>
        </w:rPr>
      </w:pPr>
    </w:p>
    <w:p w14:paraId="394123A7" w14:textId="77777777" w:rsidR="00FC1BF9" w:rsidRPr="00961D89" w:rsidRDefault="00FC1BF9" w:rsidP="00FC1BF9">
      <w:pPr>
        <w:spacing w:before="240" w:after="120"/>
        <w:ind w:left="284"/>
        <w:contextualSpacing/>
        <w:rPr>
          <w:szCs w:val="24"/>
        </w:rPr>
      </w:pPr>
    </w:p>
    <w:sectPr w:rsidR="00FC1BF9" w:rsidRPr="00961D89" w:rsidSect="00B50FA3">
      <w:headerReference w:type="default" r:id="rId13"/>
      <w:footerReference w:type="default" r:id="rId14"/>
      <w:endnotePr>
        <w:numFmt w:val="decimal"/>
      </w:endnotePr>
      <w:type w:val="continuous"/>
      <w:pgSz w:w="12240" w:h="15840" w:code="1"/>
      <w:pgMar w:top="36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C032B" w14:textId="77777777" w:rsidR="00992492" w:rsidRDefault="00992492" w:rsidP="00E303F0">
      <w:r>
        <w:separator/>
      </w:r>
    </w:p>
  </w:endnote>
  <w:endnote w:type="continuationSeparator" w:id="0">
    <w:p w14:paraId="28D65AB0" w14:textId="77777777" w:rsidR="00992492" w:rsidRDefault="00992492" w:rsidP="00E3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00"/>
    <w:family w:val="swiss"/>
    <w:pitch w:val="variable"/>
    <w:sig w:usb0="E10022FF" w:usb1="C000E47F" w:usb2="00000029" w:usb3="00000000" w:csb0="000001D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691703"/>
      <w:docPartObj>
        <w:docPartGallery w:val="Page Numbers (Bottom of Page)"/>
        <w:docPartUnique/>
      </w:docPartObj>
    </w:sdtPr>
    <w:sdtEndPr>
      <w:rPr>
        <w:noProof/>
      </w:rPr>
    </w:sdtEndPr>
    <w:sdtContent>
      <w:p w14:paraId="37C3ADAE" w14:textId="4FECC3A1" w:rsidR="007F683C" w:rsidRDefault="007F683C">
        <w:pPr>
          <w:pStyle w:val="Footer"/>
          <w:jc w:val="center"/>
        </w:pPr>
        <w:r>
          <w:fldChar w:fldCharType="begin"/>
        </w:r>
        <w:r>
          <w:instrText xml:space="preserve"> PAGE   \* MERGEFORMAT </w:instrText>
        </w:r>
        <w:r>
          <w:fldChar w:fldCharType="separate"/>
        </w:r>
        <w:r w:rsidR="00C42057">
          <w:rPr>
            <w:noProof/>
          </w:rPr>
          <w:t>2</w:t>
        </w:r>
        <w:r>
          <w:rPr>
            <w:noProof/>
          </w:rPr>
          <w:fldChar w:fldCharType="end"/>
        </w:r>
      </w:p>
    </w:sdtContent>
  </w:sdt>
  <w:p w14:paraId="68EAB231" w14:textId="77777777" w:rsidR="007F683C" w:rsidRDefault="007F6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200958"/>
      <w:docPartObj>
        <w:docPartGallery w:val="Page Numbers (Bottom of Page)"/>
        <w:docPartUnique/>
      </w:docPartObj>
    </w:sdtPr>
    <w:sdtEndPr>
      <w:rPr>
        <w:noProof/>
      </w:rPr>
    </w:sdtEndPr>
    <w:sdtContent>
      <w:p w14:paraId="0E0D84BE" w14:textId="4299AC63" w:rsidR="007F683C" w:rsidRDefault="007F683C">
        <w:pPr>
          <w:pStyle w:val="Footer"/>
          <w:jc w:val="center"/>
        </w:pPr>
        <w:r>
          <w:fldChar w:fldCharType="begin"/>
        </w:r>
        <w:r>
          <w:instrText xml:space="preserve"> PAGE   \* MERGEFORMAT </w:instrText>
        </w:r>
        <w:r>
          <w:fldChar w:fldCharType="separate"/>
        </w:r>
        <w:r w:rsidR="00FC1BF9">
          <w:rPr>
            <w:noProof/>
          </w:rPr>
          <w:t>4</w:t>
        </w:r>
        <w:r>
          <w:rPr>
            <w:noProof/>
          </w:rPr>
          <w:fldChar w:fldCharType="end"/>
        </w:r>
      </w:p>
    </w:sdtContent>
  </w:sdt>
  <w:p w14:paraId="37AA3182" w14:textId="77777777" w:rsidR="007F683C" w:rsidRDefault="007F6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238729"/>
      <w:docPartObj>
        <w:docPartGallery w:val="Page Numbers (Bottom of Page)"/>
        <w:docPartUnique/>
      </w:docPartObj>
    </w:sdtPr>
    <w:sdtEndPr>
      <w:rPr>
        <w:noProof/>
      </w:rPr>
    </w:sdtEndPr>
    <w:sdtContent>
      <w:p w14:paraId="4A8F152D" w14:textId="1FCE4B2C" w:rsidR="003F55EA" w:rsidRDefault="003F55EA">
        <w:pPr>
          <w:pStyle w:val="Footer"/>
          <w:jc w:val="center"/>
        </w:pPr>
        <w:r>
          <w:fldChar w:fldCharType="begin"/>
        </w:r>
        <w:r>
          <w:instrText xml:space="preserve"> PAGE   \* MERGEFORMAT </w:instrText>
        </w:r>
        <w:r>
          <w:fldChar w:fldCharType="separate"/>
        </w:r>
        <w:r w:rsidR="00C42057">
          <w:rPr>
            <w:noProof/>
          </w:rPr>
          <w:t>7</w:t>
        </w:r>
        <w:r>
          <w:rPr>
            <w:noProof/>
          </w:rPr>
          <w:fldChar w:fldCharType="end"/>
        </w:r>
      </w:p>
    </w:sdtContent>
  </w:sdt>
  <w:p w14:paraId="23884CCE" w14:textId="77777777" w:rsidR="003F55EA" w:rsidRDefault="003F5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A71B1" w14:textId="77777777" w:rsidR="00992492" w:rsidRDefault="00992492" w:rsidP="00E303F0">
      <w:r>
        <w:separator/>
      </w:r>
    </w:p>
  </w:footnote>
  <w:footnote w:type="continuationSeparator" w:id="0">
    <w:p w14:paraId="4CC69EF4" w14:textId="77777777" w:rsidR="00992492" w:rsidRDefault="00992492" w:rsidP="00E30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CA341" w14:textId="77777777" w:rsidR="00285BD3" w:rsidRPr="00285BD3" w:rsidRDefault="00285BD3" w:rsidP="00285BD3">
    <w:pPr>
      <w:jc w:val="center"/>
      <w:rPr>
        <w:b/>
        <w:sz w:val="22"/>
      </w:rPr>
    </w:pPr>
  </w:p>
  <w:p w14:paraId="700FC708" w14:textId="77777777" w:rsidR="00285BD3" w:rsidRPr="00285BD3" w:rsidRDefault="00285BD3" w:rsidP="00285BD3">
    <w:pPr>
      <w:jc w:val="center"/>
      <w:rPr>
        <w:b/>
        <w:sz w:val="22"/>
      </w:rPr>
    </w:pPr>
    <w:r w:rsidRPr="00285BD3">
      <w:rPr>
        <w:b/>
        <w:sz w:val="22"/>
      </w:rPr>
      <w:t>International Direct-to-Participant (DTP) Genomic Research</w:t>
    </w:r>
  </w:p>
  <w:p w14:paraId="2853769E" w14:textId="77777777" w:rsidR="00285BD3" w:rsidRPr="00285BD3" w:rsidRDefault="00285BD3" w:rsidP="00285BD3">
    <w:pPr>
      <w:spacing w:before="120" w:after="120"/>
      <w:jc w:val="center"/>
      <w:rPr>
        <w:sz w:val="22"/>
      </w:rPr>
    </w:pPr>
    <w:r w:rsidRPr="00285BD3">
      <w:rPr>
        <w:sz w:val="22"/>
      </w:rPr>
      <w:t>Mark A. Rothstein, J.D., and Bartha Maria Knoppers, Ph.D., co-PIs</w:t>
    </w:r>
  </w:p>
  <w:p w14:paraId="3869A090" w14:textId="77777777" w:rsidR="007F683C" w:rsidRPr="00E072B9" w:rsidRDefault="007F683C" w:rsidP="00E303F0">
    <w:pPr>
      <w:pStyle w:val="Header"/>
      <w:jc w:val="center"/>
      <w:rPr>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00B4D" w14:textId="77777777" w:rsidR="007F683C" w:rsidRPr="00E072B9" w:rsidRDefault="007F683C" w:rsidP="00E303F0">
    <w:pPr>
      <w:pStyle w:val="Header"/>
      <w:jc w:val="center"/>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EE5B6" w14:textId="77777777" w:rsidR="003F55EA" w:rsidRPr="00E072B9" w:rsidRDefault="003F55EA" w:rsidP="00E303F0">
    <w:pPr>
      <w:pStyle w:val="Header"/>
      <w:jc w:val="center"/>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A45EE"/>
    <w:multiLevelType w:val="hybridMultilevel"/>
    <w:tmpl w:val="EFB82A9E"/>
    <w:lvl w:ilvl="0" w:tplc="A8FE9710">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B3895"/>
    <w:multiLevelType w:val="hybridMultilevel"/>
    <w:tmpl w:val="87B24074"/>
    <w:lvl w:ilvl="0" w:tplc="4EB267DA">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0656C1"/>
    <w:multiLevelType w:val="hybridMultilevel"/>
    <w:tmpl w:val="0FDA9086"/>
    <w:lvl w:ilvl="0" w:tplc="E99C935A">
      <w:start w:val="1"/>
      <w:numFmt w:val="decimal"/>
      <w:lvlText w:val="%1."/>
      <w:lvlJc w:val="left"/>
      <w:pPr>
        <w:ind w:left="720" w:hanging="360"/>
      </w:pPr>
      <w:rPr>
        <w:i w:val="0"/>
        <w:vertAlign w:val="baseline"/>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53330BA"/>
    <w:multiLevelType w:val="hybridMultilevel"/>
    <w:tmpl w:val="F3081272"/>
    <w:lvl w:ilvl="0" w:tplc="AB7EB12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403D31B3"/>
    <w:multiLevelType w:val="multilevel"/>
    <w:tmpl w:val="AF54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EC244C"/>
    <w:multiLevelType w:val="hybridMultilevel"/>
    <w:tmpl w:val="51967F24"/>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6" w15:restartNumberingAfterBreak="0">
    <w:nsid w:val="57C85712"/>
    <w:multiLevelType w:val="hybridMultilevel"/>
    <w:tmpl w:val="1318D61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5A582EBC"/>
    <w:multiLevelType w:val="hybridMultilevel"/>
    <w:tmpl w:val="60446A2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15:restartNumberingAfterBreak="0">
    <w:nsid w:val="5E275930"/>
    <w:multiLevelType w:val="hybridMultilevel"/>
    <w:tmpl w:val="B61C02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6"/>
  </w:num>
  <w:num w:numId="3">
    <w:abstractNumId w:val="8"/>
  </w:num>
  <w:num w:numId="4">
    <w:abstractNumId w:val="5"/>
  </w:num>
  <w:num w:numId="5">
    <w:abstractNumId w:val="4"/>
  </w:num>
  <w:num w:numId="6">
    <w:abstractNumId w:val="7"/>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F0"/>
    <w:rsid w:val="00003951"/>
    <w:rsid w:val="000075D0"/>
    <w:rsid w:val="00047062"/>
    <w:rsid w:val="00053DA4"/>
    <w:rsid w:val="000674C6"/>
    <w:rsid w:val="000870E9"/>
    <w:rsid w:val="000971C2"/>
    <w:rsid w:val="000C5A65"/>
    <w:rsid w:val="000D061D"/>
    <w:rsid w:val="000D21BB"/>
    <w:rsid w:val="000D30A0"/>
    <w:rsid w:val="000D65F2"/>
    <w:rsid w:val="000D759B"/>
    <w:rsid w:val="000D78A6"/>
    <w:rsid w:val="00100779"/>
    <w:rsid w:val="00107CF3"/>
    <w:rsid w:val="00111C8C"/>
    <w:rsid w:val="001213A6"/>
    <w:rsid w:val="001454AA"/>
    <w:rsid w:val="00154300"/>
    <w:rsid w:val="00154803"/>
    <w:rsid w:val="00155B4F"/>
    <w:rsid w:val="0016368D"/>
    <w:rsid w:val="001714C7"/>
    <w:rsid w:val="00172CBD"/>
    <w:rsid w:val="0017515B"/>
    <w:rsid w:val="001A1F75"/>
    <w:rsid w:val="001A3721"/>
    <w:rsid w:val="001C47E5"/>
    <w:rsid w:val="001E14B1"/>
    <w:rsid w:val="001E39A2"/>
    <w:rsid w:val="002147F5"/>
    <w:rsid w:val="00215DB6"/>
    <w:rsid w:val="00235F27"/>
    <w:rsid w:val="00242F65"/>
    <w:rsid w:val="00246644"/>
    <w:rsid w:val="00253788"/>
    <w:rsid w:val="00255087"/>
    <w:rsid w:val="00256AFA"/>
    <w:rsid w:val="002829DB"/>
    <w:rsid w:val="002858F0"/>
    <w:rsid w:val="00285BD3"/>
    <w:rsid w:val="002944BA"/>
    <w:rsid w:val="002A41BF"/>
    <w:rsid w:val="002A6566"/>
    <w:rsid w:val="002C0174"/>
    <w:rsid w:val="002C47F1"/>
    <w:rsid w:val="002D7245"/>
    <w:rsid w:val="002F2585"/>
    <w:rsid w:val="002F29B1"/>
    <w:rsid w:val="003113C9"/>
    <w:rsid w:val="0031147F"/>
    <w:rsid w:val="003161B3"/>
    <w:rsid w:val="00320CEC"/>
    <w:rsid w:val="0032356A"/>
    <w:rsid w:val="00326124"/>
    <w:rsid w:val="00334E36"/>
    <w:rsid w:val="00341B99"/>
    <w:rsid w:val="00356F0D"/>
    <w:rsid w:val="00363F1D"/>
    <w:rsid w:val="00375BE8"/>
    <w:rsid w:val="0038131D"/>
    <w:rsid w:val="00383E75"/>
    <w:rsid w:val="00391359"/>
    <w:rsid w:val="003C6DDE"/>
    <w:rsid w:val="003D6849"/>
    <w:rsid w:val="003E2410"/>
    <w:rsid w:val="003F55EA"/>
    <w:rsid w:val="00410CAA"/>
    <w:rsid w:val="00431A1F"/>
    <w:rsid w:val="0043353B"/>
    <w:rsid w:val="00440F36"/>
    <w:rsid w:val="00456627"/>
    <w:rsid w:val="0046687E"/>
    <w:rsid w:val="00482B21"/>
    <w:rsid w:val="004931B5"/>
    <w:rsid w:val="00494C34"/>
    <w:rsid w:val="004A105A"/>
    <w:rsid w:val="004B3177"/>
    <w:rsid w:val="004B441A"/>
    <w:rsid w:val="004C31EF"/>
    <w:rsid w:val="004C3F9F"/>
    <w:rsid w:val="004C7732"/>
    <w:rsid w:val="004D2E0B"/>
    <w:rsid w:val="004F1635"/>
    <w:rsid w:val="004F70C7"/>
    <w:rsid w:val="005751A5"/>
    <w:rsid w:val="005865D2"/>
    <w:rsid w:val="00591B89"/>
    <w:rsid w:val="00593E36"/>
    <w:rsid w:val="00594736"/>
    <w:rsid w:val="005A2A1C"/>
    <w:rsid w:val="005B0D9F"/>
    <w:rsid w:val="005C199D"/>
    <w:rsid w:val="005C2D11"/>
    <w:rsid w:val="005D0255"/>
    <w:rsid w:val="005D2EA6"/>
    <w:rsid w:val="0060684F"/>
    <w:rsid w:val="006107A4"/>
    <w:rsid w:val="00640C05"/>
    <w:rsid w:val="00642DBF"/>
    <w:rsid w:val="00644B00"/>
    <w:rsid w:val="00657305"/>
    <w:rsid w:val="00660563"/>
    <w:rsid w:val="00665B13"/>
    <w:rsid w:val="0067243A"/>
    <w:rsid w:val="00673EB7"/>
    <w:rsid w:val="00680D8C"/>
    <w:rsid w:val="00696BDF"/>
    <w:rsid w:val="006979FB"/>
    <w:rsid w:val="006B4D6E"/>
    <w:rsid w:val="006C117F"/>
    <w:rsid w:val="006D1FF0"/>
    <w:rsid w:val="006D7432"/>
    <w:rsid w:val="007054B7"/>
    <w:rsid w:val="0072348D"/>
    <w:rsid w:val="00727350"/>
    <w:rsid w:val="0073483A"/>
    <w:rsid w:val="00735964"/>
    <w:rsid w:val="00742D19"/>
    <w:rsid w:val="007448BD"/>
    <w:rsid w:val="0076210D"/>
    <w:rsid w:val="007674D7"/>
    <w:rsid w:val="0077420A"/>
    <w:rsid w:val="007749FF"/>
    <w:rsid w:val="0077516E"/>
    <w:rsid w:val="00796706"/>
    <w:rsid w:val="007B03B5"/>
    <w:rsid w:val="007B7F90"/>
    <w:rsid w:val="007D0E28"/>
    <w:rsid w:val="007D4785"/>
    <w:rsid w:val="007D6B75"/>
    <w:rsid w:val="007D7BD9"/>
    <w:rsid w:val="007E244D"/>
    <w:rsid w:val="007F683C"/>
    <w:rsid w:val="0080542D"/>
    <w:rsid w:val="00826329"/>
    <w:rsid w:val="0082784C"/>
    <w:rsid w:val="008577F8"/>
    <w:rsid w:val="00875284"/>
    <w:rsid w:val="00881A8C"/>
    <w:rsid w:val="00893F8B"/>
    <w:rsid w:val="00895824"/>
    <w:rsid w:val="008A26DA"/>
    <w:rsid w:val="008B6304"/>
    <w:rsid w:val="008D0C64"/>
    <w:rsid w:val="008D2D22"/>
    <w:rsid w:val="008E20E0"/>
    <w:rsid w:val="008F33D5"/>
    <w:rsid w:val="008F36A2"/>
    <w:rsid w:val="008F7B6B"/>
    <w:rsid w:val="00900D74"/>
    <w:rsid w:val="009407F7"/>
    <w:rsid w:val="00953613"/>
    <w:rsid w:val="00960011"/>
    <w:rsid w:val="00961A14"/>
    <w:rsid w:val="00961C08"/>
    <w:rsid w:val="00961D89"/>
    <w:rsid w:val="00967A90"/>
    <w:rsid w:val="00992492"/>
    <w:rsid w:val="00993113"/>
    <w:rsid w:val="00994EE4"/>
    <w:rsid w:val="009B195E"/>
    <w:rsid w:val="009B57E5"/>
    <w:rsid w:val="009D5F41"/>
    <w:rsid w:val="009E3D60"/>
    <w:rsid w:val="009E5A37"/>
    <w:rsid w:val="009F3062"/>
    <w:rsid w:val="00A00101"/>
    <w:rsid w:val="00A068DF"/>
    <w:rsid w:val="00A07994"/>
    <w:rsid w:val="00A21748"/>
    <w:rsid w:val="00A41C5A"/>
    <w:rsid w:val="00A454BD"/>
    <w:rsid w:val="00A847D4"/>
    <w:rsid w:val="00A90940"/>
    <w:rsid w:val="00A914C1"/>
    <w:rsid w:val="00A9513A"/>
    <w:rsid w:val="00AD3D1D"/>
    <w:rsid w:val="00AD4483"/>
    <w:rsid w:val="00AF4908"/>
    <w:rsid w:val="00B0053B"/>
    <w:rsid w:val="00B14E05"/>
    <w:rsid w:val="00B208E4"/>
    <w:rsid w:val="00B2706E"/>
    <w:rsid w:val="00B32347"/>
    <w:rsid w:val="00B343FD"/>
    <w:rsid w:val="00B36E1C"/>
    <w:rsid w:val="00B40B9D"/>
    <w:rsid w:val="00B50FA3"/>
    <w:rsid w:val="00B61167"/>
    <w:rsid w:val="00B648AD"/>
    <w:rsid w:val="00BA4C59"/>
    <w:rsid w:val="00BA7C9B"/>
    <w:rsid w:val="00BB405E"/>
    <w:rsid w:val="00BC5409"/>
    <w:rsid w:val="00BD5A36"/>
    <w:rsid w:val="00BF2384"/>
    <w:rsid w:val="00BF292B"/>
    <w:rsid w:val="00BF68C3"/>
    <w:rsid w:val="00C02861"/>
    <w:rsid w:val="00C0329E"/>
    <w:rsid w:val="00C04EC6"/>
    <w:rsid w:val="00C07588"/>
    <w:rsid w:val="00C15765"/>
    <w:rsid w:val="00C16B3B"/>
    <w:rsid w:val="00C26D75"/>
    <w:rsid w:val="00C41063"/>
    <w:rsid w:val="00C42057"/>
    <w:rsid w:val="00C44320"/>
    <w:rsid w:val="00C4633B"/>
    <w:rsid w:val="00C46D06"/>
    <w:rsid w:val="00C61EC8"/>
    <w:rsid w:val="00C62D3D"/>
    <w:rsid w:val="00C7129D"/>
    <w:rsid w:val="00C744BB"/>
    <w:rsid w:val="00C80CDD"/>
    <w:rsid w:val="00C8703D"/>
    <w:rsid w:val="00CA0A06"/>
    <w:rsid w:val="00CA381A"/>
    <w:rsid w:val="00CA4F7E"/>
    <w:rsid w:val="00CA7501"/>
    <w:rsid w:val="00CE6330"/>
    <w:rsid w:val="00CF0847"/>
    <w:rsid w:val="00CF416B"/>
    <w:rsid w:val="00CF6D54"/>
    <w:rsid w:val="00D0291E"/>
    <w:rsid w:val="00D02F89"/>
    <w:rsid w:val="00D12F78"/>
    <w:rsid w:val="00D15739"/>
    <w:rsid w:val="00D45F3E"/>
    <w:rsid w:val="00D54CE0"/>
    <w:rsid w:val="00D5683C"/>
    <w:rsid w:val="00D57FF6"/>
    <w:rsid w:val="00D73644"/>
    <w:rsid w:val="00D90C7B"/>
    <w:rsid w:val="00DB3BDA"/>
    <w:rsid w:val="00DC0A58"/>
    <w:rsid w:val="00DD0D2F"/>
    <w:rsid w:val="00DD22F9"/>
    <w:rsid w:val="00DE1CA8"/>
    <w:rsid w:val="00DE4C0C"/>
    <w:rsid w:val="00DF287E"/>
    <w:rsid w:val="00E0331A"/>
    <w:rsid w:val="00E072B9"/>
    <w:rsid w:val="00E14F97"/>
    <w:rsid w:val="00E164FA"/>
    <w:rsid w:val="00E17BCB"/>
    <w:rsid w:val="00E22D62"/>
    <w:rsid w:val="00E303F0"/>
    <w:rsid w:val="00E36BCF"/>
    <w:rsid w:val="00E54B28"/>
    <w:rsid w:val="00E6524D"/>
    <w:rsid w:val="00E765FF"/>
    <w:rsid w:val="00E77BBC"/>
    <w:rsid w:val="00E77E59"/>
    <w:rsid w:val="00EA5BFC"/>
    <w:rsid w:val="00EB4842"/>
    <w:rsid w:val="00ED0426"/>
    <w:rsid w:val="00ED06F0"/>
    <w:rsid w:val="00ED1295"/>
    <w:rsid w:val="00EF4673"/>
    <w:rsid w:val="00F034A2"/>
    <w:rsid w:val="00F05509"/>
    <w:rsid w:val="00F20208"/>
    <w:rsid w:val="00F21F13"/>
    <w:rsid w:val="00F25B0C"/>
    <w:rsid w:val="00F402B0"/>
    <w:rsid w:val="00F50DEE"/>
    <w:rsid w:val="00F632B2"/>
    <w:rsid w:val="00F640FD"/>
    <w:rsid w:val="00F7555B"/>
    <w:rsid w:val="00F76F36"/>
    <w:rsid w:val="00F90563"/>
    <w:rsid w:val="00FC1BF9"/>
    <w:rsid w:val="00FD0068"/>
    <w:rsid w:val="00FD41D5"/>
    <w:rsid w:val="00FE2C9B"/>
    <w:rsid w:val="00FE3BE3"/>
    <w:rsid w:val="00FE7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D3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3F0"/>
    <w:pPr>
      <w:tabs>
        <w:tab w:val="center" w:pos="4680"/>
        <w:tab w:val="right" w:pos="9360"/>
      </w:tabs>
    </w:pPr>
  </w:style>
  <w:style w:type="character" w:customStyle="1" w:styleId="HeaderChar">
    <w:name w:val="Header Char"/>
    <w:basedOn w:val="DefaultParagraphFont"/>
    <w:link w:val="Header"/>
    <w:uiPriority w:val="99"/>
    <w:rsid w:val="00E303F0"/>
  </w:style>
  <w:style w:type="paragraph" w:styleId="Footer">
    <w:name w:val="footer"/>
    <w:basedOn w:val="Normal"/>
    <w:link w:val="FooterChar"/>
    <w:uiPriority w:val="99"/>
    <w:unhideWhenUsed/>
    <w:rsid w:val="00E303F0"/>
    <w:pPr>
      <w:tabs>
        <w:tab w:val="center" w:pos="4680"/>
        <w:tab w:val="right" w:pos="9360"/>
      </w:tabs>
    </w:pPr>
  </w:style>
  <w:style w:type="character" w:customStyle="1" w:styleId="FooterChar">
    <w:name w:val="Footer Char"/>
    <w:basedOn w:val="DefaultParagraphFont"/>
    <w:link w:val="Footer"/>
    <w:uiPriority w:val="99"/>
    <w:rsid w:val="00E303F0"/>
  </w:style>
  <w:style w:type="paragraph" w:styleId="BalloonText">
    <w:name w:val="Balloon Text"/>
    <w:basedOn w:val="Normal"/>
    <w:link w:val="BalloonTextChar"/>
    <w:uiPriority w:val="99"/>
    <w:semiHidden/>
    <w:unhideWhenUsed/>
    <w:rsid w:val="00E30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3F0"/>
    <w:rPr>
      <w:rFonts w:ascii="Segoe UI" w:hAnsi="Segoe UI" w:cs="Segoe UI"/>
      <w:sz w:val="18"/>
      <w:szCs w:val="18"/>
    </w:rPr>
  </w:style>
  <w:style w:type="character" w:styleId="CommentReference">
    <w:name w:val="annotation reference"/>
    <w:basedOn w:val="DefaultParagraphFont"/>
    <w:uiPriority w:val="99"/>
    <w:semiHidden/>
    <w:unhideWhenUsed/>
    <w:rsid w:val="001454AA"/>
    <w:rPr>
      <w:sz w:val="16"/>
      <w:szCs w:val="16"/>
    </w:rPr>
  </w:style>
  <w:style w:type="paragraph" w:styleId="CommentText">
    <w:name w:val="annotation text"/>
    <w:basedOn w:val="Normal"/>
    <w:link w:val="CommentTextChar"/>
    <w:uiPriority w:val="99"/>
    <w:semiHidden/>
    <w:unhideWhenUsed/>
    <w:rsid w:val="001454AA"/>
    <w:rPr>
      <w:sz w:val="20"/>
      <w:szCs w:val="20"/>
    </w:rPr>
  </w:style>
  <w:style w:type="character" w:customStyle="1" w:styleId="CommentTextChar">
    <w:name w:val="Comment Text Char"/>
    <w:basedOn w:val="DefaultParagraphFont"/>
    <w:link w:val="CommentText"/>
    <w:uiPriority w:val="99"/>
    <w:semiHidden/>
    <w:rsid w:val="001454AA"/>
    <w:rPr>
      <w:sz w:val="20"/>
      <w:szCs w:val="20"/>
    </w:rPr>
  </w:style>
  <w:style w:type="paragraph" w:styleId="CommentSubject">
    <w:name w:val="annotation subject"/>
    <w:basedOn w:val="CommentText"/>
    <w:next w:val="CommentText"/>
    <w:link w:val="CommentSubjectChar"/>
    <w:uiPriority w:val="99"/>
    <w:semiHidden/>
    <w:unhideWhenUsed/>
    <w:rsid w:val="001454AA"/>
    <w:rPr>
      <w:b/>
      <w:bCs/>
    </w:rPr>
  </w:style>
  <w:style w:type="character" w:customStyle="1" w:styleId="CommentSubjectChar">
    <w:name w:val="Comment Subject Char"/>
    <w:basedOn w:val="CommentTextChar"/>
    <w:link w:val="CommentSubject"/>
    <w:uiPriority w:val="99"/>
    <w:semiHidden/>
    <w:rsid w:val="001454AA"/>
    <w:rPr>
      <w:b/>
      <w:bCs/>
      <w:sz w:val="20"/>
      <w:szCs w:val="20"/>
    </w:rPr>
  </w:style>
  <w:style w:type="paragraph" w:styleId="ListParagraph">
    <w:name w:val="List Paragraph"/>
    <w:basedOn w:val="Normal"/>
    <w:uiPriority w:val="34"/>
    <w:qFormat/>
    <w:rsid w:val="00255087"/>
    <w:pPr>
      <w:ind w:left="720"/>
      <w:contextualSpacing/>
    </w:pPr>
  </w:style>
  <w:style w:type="character" w:styleId="FootnoteReference">
    <w:name w:val="footnote reference"/>
    <w:basedOn w:val="DefaultParagraphFont"/>
    <w:rsid w:val="00FD0068"/>
    <w:rPr>
      <w:vertAlign w:val="superscript"/>
    </w:rPr>
  </w:style>
  <w:style w:type="paragraph" w:customStyle="1" w:styleId="FootInd">
    <w:name w:val="FootInd"/>
    <w:basedOn w:val="FootnoteText"/>
    <w:autoRedefine/>
    <w:qFormat/>
    <w:rsid w:val="00FD0068"/>
    <w:pPr>
      <w:tabs>
        <w:tab w:val="left" w:pos="1985"/>
        <w:tab w:val="left" w:pos="2693"/>
        <w:tab w:val="left" w:pos="3402"/>
        <w:tab w:val="left" w:pos="4111"/>
        <w:tab w:val="left" w:pos="8640"/>
      </w:tabs>
      <w:spacing w:line="480" w:lineRule="auto"/>
      <w:ind w:left="720" w:right="-375" w:hanging="709"/>
      <w:contextualSpacing/>
    </w:pPr>
    <w:rPr>
      <w:rFonts w:eastAsia="Times New Roman" w:cs="Times New Roman"/>
      <w:lang w:val="en-AU"/>
    </w:rPr>
  </w:style>
  <w:style w:type="paragraph" w:styleId="FootnoteText">
    <w:name w:val="footnote text"/>
    <w:basedOn w:val="Normal"/>
    <w:link w:val="FootnoteTextChar"/>
    <w:uiPriority w:val="99"/>
    <w:unhideWhenUsed/>
    <w:rsid w:val="00FD0068"/>
    <w:rPr>
      <w:sz w:val="20"/>
      <w:szCs w:val="20"/>
    </w:rPr>
  </w:style>
  <w:style w:type="character" w:customStyle="1" w:styleId="FootnoteTextChar">
    <w:name w:val="Footnote Text Char"/>
    <w:basedOn w:val="DefaultParagraphFont"/>
    <w:link w:val="FootnoteText"/>
    <w:uiPriority w:val="99"/>
    <w:rsid w:val="00FD0068"/>
    <w:rPr>
      <w:sz w:val="20"/>
      <w:szCs w:val="20"/>
    </w:rPr>
  </w:style>
  <w:style w:type="character" w:styleId="Hyperlink">
    <w:name w:val="Hyperlink"/>
    <w:basedOn w:val="DefaultParagraphFont"/>
    <w:uiPriority w:val="99"/>
    <w:unhideWhenUsed/>
    <w:rsid w:val="00B208E4"/>
    <w:rPr>
      <w:color w:val="0563C1" w:themeColor="hyperlink"/>
      <w:u w:val="single"/>
    </w:rPr>
  </w:style>
  <w:style w:type="character" w:customStyle="1" w:styleId="UnresolvedMention1">
    <w:name w:val="Unresolved Mention1"/>
    <w:basedOn w:val="DefaultParagraphFont"/>
    <w:uiPriority w:val="99"/>
    <w:semiHidden/>
    <w:unhideWhenUsed/>
    <w:rsid w:val="00B208E4"/>
    <w:rPr>
      <w:color w:val="605E5C"/>
      <w:shd w:val="clear" w:color="auto" w:fill="E1DFDD"/>
    </w:rPr>
  </w:style>
  <w:style w:type="paragraph" w:styleId="NormalWeb">
    <w:name w:val="Normal (Web)"/>
    <w:basedOn w:val="Normal"/>
    <w:uiPriority w:val="99"/>
    <w:unhideWhenUsed/>
    <w:rsid w:val="00961D89"/>
    <w:pPr>
      <w:spacing w:before="100" w:beforeAutospacing="1" w:after="100" w:afterAutospacing="1"/>
    </w:pPr>
    <w:rPr>
      <w:rFonts w:eastAsia="Times New Roman" w:cs="Times New Roman"/>
      <w:szCs w:val="24"/>
      <w:lang w:val="en-NZ"/>
    </w:rPr>
  </w:style>
  <w:style w:type="character" w:customStyle="1" w:styleId="apple-converted-space">
    <w:name w:val="apple-converted-space"/>
    <w:basedOn w:val="DefaultParagraphFont"/>
    <w:rsid w:val="00961D89"/>
  </w:style>
  <w:style w:type="character" w:styleId="FollowedHyperlink">
    <w:name w:val="FollowedHyperlink"/>
    <w:basedOn w:val="DefaultParagraphFont"/>
    <w:uiPriority w:val="99"/>
    <w:semiHidden/>
    <w:unhideWhenUsed/>
    <w:rsid w:val="00B648AD"/>
    <w:rPr>
      <w:color w:val="954F72" w:themeColor="followedHyperlink"/>
      <w:u w:val="single"/>
    </w:rPr>
  </w:style>
  <w:style w:type="paragraph" w:styleId="EndnoteText">
    <w:name w:val="endnote text"/>
    <w:basedOn w:val="Normal"/>
    <w:link w:val="EndnoteTextChar"/>
    <w:uiPriority w:val="99"/>
    <w:semiHidden/>
    <w:unhideWhenUsed/>
    <w:rsid w:val="00B50FA3"/>
    <w:rPr>
      <w:sz w:val="20"/>
      <w:szCs w:val="20"/>
    </w:rPr>
  </w:style>
  <w:style w:type="character" w:customStyle="1" w:styleId="EndnoteTextChar">
    <w:name w:val="Endnote Text Char"/>
    <w:basedOn w:val="DefaultParagraphFont"/>
    <w:link w:val="EndnoteText"/>
    <w:uiPriority w:val="99"/>
    <w:semiHidden/>
    <w:rsid w:val="00B50FA3"/>
    <w:rPr>
      <w:sz w:val="20"/>
      <w:szCs w:val="20"/>
    </w:rPr>
  </w:style>
  <w:style w:type="character" w:styleId="EndnoteReference">
    <w:name w:val="endnote reference"/>
    <w:basedOn w:val="DefaultParagraphFont"/>
    <w:uiPriority w:val="99"/>
    <w:semiHidden/>
    <w:unhideWhenUsed/>
    <w:rsid w:val="00B50FA3"/>
    <w:rPr>
      <w:vertAlign w:val="superscript"/>
    </w:rPr>
  </w:style>
  <w:style w:type="character" w:customStyle="1" w:styleId="UnresolvedMention">
    <w:name w:val="Unresolved Mention"/>
    <w:basedOn w:val="DefaultParagraphFont"/>
    <w:uiPriority w:val="99"/>
    <w:semiHidden/>
    <w:unhideWhenUsed/>
    <w:rsid w:val="00F05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070523">
      <w:bodyDiv w:val="1"/>
      <w:marLeft w:val="0"/>
      <w:marRight w:val="0"/>
      <w:marTop w:val="0"/>
      <w:marBottom w:val="0"/>
      <w:divBdr>
        <w:top w:val="none" w:sz="0" w:space="0" w:color="auto"/>
        <w:left w:val="none" w:sz="0" w:space="0" w:color="auto"/>
        <w:bottom w:val="none" w:sz="0" w:space="0" w:color="auto"/>
        <w:right w:val="none" w:sz="0" w:space="0" w:color="auto"/>
      </w:divBdr>
    </w:div>
    <w:div w:id="107420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ndorms.ox.ac.uk/rud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872A1-4777-4387-84B6-168A9F957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3492</Words>
  <Characters>19911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2019-05-14T09:31:00Z</cp:lastPrinted>
  <dcterms:created xsi:type="dcterms:W3CDTF">2020-03-23T15:28:00Z</dcterms:created>
  <dcterms:modified xsi:type="dcterms:W3CDTF">2020-03-23T15:28:00Z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