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714D2" w14:textId="2F9A7101" w:rsidR="00F725F3" w:rsidRDefault="00F725F3" w:rsidP="00BD64AF">
      <w:pPr>
        <w:pStyle w:val="Heading1"/>
      </w:pPr>
      <w:r>
        <w:t>Supplemental table 1. Adverse events</w:t>
      </w:r>
    </w:p>
    <w:p w14:paraId="5541079C" w14:textId="5DDF1E37" w:rsidR="00551157" w:rsidRDefault="007E4864" w:rsidP="00BD64AF">
      <w:pPr>
        <w:pStyle w:val="Heading1"/>
      </w:pPr>
      <w:r>
        <w:t>Adverse events data not contributing to meta-analyses</w:t>
      </w:r>
      <w:r w:rsidR="00843EEC">
        <w:rPr>
          <w:rStyle w:val="FootnoteReference"/>
        </w:rPr>
        <w:footnoteReference w:id="1"/>
      </w:r>
    </w:p>
    <w:p w14:paraId="3ACDE1E9" w14:textId="633F3237" w:rsidR="005436BA" w:rsidRPr="005436BA" w:rsidRDefault="005436BA" w:rsidP="005436BA">
      <w:r w:rsidRPr="005436BA">
        <w:rPr>
          <w:rStyle w:val="Heading2Char"/>
        </w:rPr>
        <w:t>Randomized controlled</w:t>
      </w:r>
      <w:r w:rsidR="00496750">
        <w:rPr>
          <w:rStyle w:val="Heading2Char"/>
        </w:rPr>
        <w:t xml:space="preserve"> and crossover</w:t>
      </w:r>
      <w:r w:rsidRPr="005436BA">
        <w:rPr>
          <w:rStyle w:val="Heading2Char"/>
        </w:rPr>
        <w:t xml:space="preserve"> trials</w:t>
      </w:r>
      <w:r>
        <w:rPr>
          <w:rStyle w:val="FootnoteReference"/>
        </w:rPr>
        <w:footnoteReference w:id="2"/>
      </w:r>
    </w:p>
    <w:tbl>
      <w:tblPr>
        <w:tblStyle w:val="TableGrid"/>
        <w:tblW w:w="14029" w:type="dxa"/>
        <w:tblLook w:val="04A0" w:firstRow="1" w:lastRow="0" w:firstColumn="1" w:lastColumn="0" w:noHBand="0" w:noVBand="1"/>
      </w:tblPr>
      <w:tblGrid>
        <w:gridCol w:w="1562"/>
        <w:gridCol w:w="1340"/>
        <w:gridCol w:w="887"/>
        <w:gridCol w:w="7580"/>
        <w:gridCol w:w="2660"/>
      </w:tblGrid>
      <w:tr w:rsidR="005436BA" w:rsidRPr="005436BA" w14:paraId="532D3CA7" w14:textId="77777777" w:rsidTr="0054464E">
        <w:trPr>
          <w:cantSplit/>
          <w:trHeight w:val="1085"/>
          <w:tblHeader/>
        </w:trPr>
        <w:tc>
          <w:tcPr>
            <w:tcW w:w="1562" w:type="dxa"/>
          </w:tcPr>
          <w:p w14:paraId="07607340" w14:textId="77777777" w:rsidR="005436BA" w:rsidRPr="005436BA" w:rsidRDefault="005436BA">
            <w:pPr>
              <w:rPr>
                <w:b/>
                <w:sz w:val="20"/>
                <w:szCs w:val="20"/>
              </w:rPr>
            </w:pPr>
            <w:r w:rsidRPr="005436BA">
              <w:rPr>
                <w:b/>
                <w:sz w:val="20"/>
                <w:szCs w:val="20"/>
              </w:rPr>
              <w:t>Study ID</w:t>
            </w:r>
          </w:p>
        </w:tc>
        <w:tc>
          <w:tcPr>
            <w:tcW w:w="1340" w:type="dxa"/>
          </w:tcPr>
          <w:p w14:paraId="1A321C4B" w14:textId="77777777" w:rsidR="005436BA" w:rsidRPr="005436BA" w:rsidRDefault="005436BA">
            <w:pPr>
              <w:rPr>
                <w:b/>
                <w:sz w:val="20"/>
                <w:szCs w:val="20"/>
              </w:rPr>
            </w:pPr>
            <w:r w:rsidRPr="005436BA">
              <w:rPr>
                <w:b/>
                <w:sz w:val="20"/>
                <w:szCs w:val="20"/>
              </w:rPr>
              <w:t>Intervention/ comparator</w:t>
            </w:r>
          </w:p>
        </w:tc>
        <w:tc>
          <w:tcPr>
            <w:tcW w:w="887" w:type="dxa"/>
          </w:tcPr>
          <w:p w14:paraId="0F742C03" w14:textId="77777777" w:rsidR="005436BA" w:rsidRPr="005436BA" w:rsidRDefault="005436BA">
            <w:pPr>
              <w:rPr>
                <w:b/>
                <w:sz w:val="20"/>
                <w:szCs w:val="20"/>
              </w:rPr>
            </w:pPr>
            <w:r w:rsidRPr="005436BA">
              <w:rPr>
                <w:b/>
                <w:sz w:val="20"/>
                <w:szCs w:val="20"/>
              </w:rPr>
              <w:t>Time point</w:t>
            </w:r>
          </w:p>
        </w:tc>
        <w:tc>
          <w:tcPr>
            <w:tcW w:w="7580" w:type="dxa"/>
          </w:tcPr>
          <w:p w14:paraId="76C91C7E" w14:textId="77777777" w:rsidR="005436BA" w:rsidRPr="005436BA" w:rsidRDefault="005436BA">
            <w:pPr>
              <w:rPr>
                <w:b/>
                <w:sz w:val="20"/>
                <w:szCs w:val="20"/>
              </w:rPr>
            </w:pPr>
            <w:r>
              <w:rPr>
                <w:b/>
                <w:sz w:val="20"/>
                <w:szCs w:val="20"/>
              </w:rPr>
              <w:t>Data</w:t>
            </w:r>
          </w:p>
        </w:tc>
        <w:tc>
          <w:tcPr>
            <w:tcW w:w="2660" w:type="dxa"/>
          </w:tcPr>
          <w:p w14:paraId="1C5710D3" w14:textId="79A8A889" w:rsidR="005436BA" w:rsidRPr="005436BA" w:rsidRDefault="005436BA" w:rsidP="00843EEC">
            <w:pPr>
              <w:rPr>
                <w:b/>
                <w:sz w:val="20"/>
                <w:szCs w:val="20"/>
              </w:rPr>
            </w:pPr>
            <w:r w:rsidRPr="005436BA">
              <w:rPr>
                <w:b/>
                <w:sz w:val="20"/>
                <w:szCs w:val="20"/>
              </w:rPr>
              <w:t>Between</w:t>
            </w:r>
            <w:r w:rsidR="00A862A7">
              <w:rPr>
                <w:b/>
                <w:sz w:val="20"/>
                <w:szCs w:val="20"/>
              </w:rPr>
              <w:t>-</w:t>
            </w:r>
            <w:r w:rsidRPr="005436BA">
              <w:rPr>
                <w:b/>
                <w:sz w:val="20"/>
                <w:szCs w:val="20"/>
              </w:rPr>
              <w:t>group difference</w:t>
            </w:r>
            <w:r w:rsidR="00843EEC">
              <w:rPr>
                <w:rStyle w:val="FootnoteReference"/>
                <w:b/>
                <w:sz w:val="20"/>
                <w:szCs w:val="20"/>
              </w:rPr>
              <w:footnoteReference w:id="3"/>
            </w:r>
            <w:r w:rsidRPr="005436BA">
              <w:rPr>
                <w:b/>
                <w:sz w:val="20"/>
                <w:szCs w:val="20"/>
              </w:rPr>
              <w:t xml:space="preserve"> (</w:t>
            </w:r>
            <w:r w:rsidRPr="005436BA">
              <w:rPr>
                <w:rFonts w:cstheme="minorHAnsi"/>
                <w:b/>
                <w:sz w:val="20"/>
                <w:szCs w:val="20"/>
              </w:rPr>
              <w:t>↑</w:t>
            </w:r>
            <w:r w:rsidRPr="005436BA">
              <w:rPr>
                <w:b/>
                <w:sz w:val="20"/>
                <w:szCs w:val="20"/>
              </w:rPr>
              <w:t xml:space="preserve"> more AEs </w:t>
            </w:r>
            <w:r w:rsidR="00843EEC">
              <w:rPr>
                <w:b/>
                <w:sz w:val="20"/>
                <w:szCs w:val="20"/>
              </w:rPr>
              <w:t>in EC/higher dose EC</w:t>
            </w:r>
            <w:r w:rsidRPr="005436BA">
              <w:rPr>
                <w:b/>
                <w:sz w:val="20"/>
                <w:szCs w:val="20"/>
              </w:rPr>
              <w:t xml:space="preserve"> arm; </w:t>
            </w:r>
            <w:r w:rsidRPr="005436BA">
              <w:rPr>
                <w:rFonts w:cstheme="minorHAnsi"/>
                <w:b/>
                <w:sz w:val="20"/>
                <w:szCs w:val="20"/>
              </w:rPr>
              <w:t>↔</w:t>
            </w:r>
            <w:r w:rsidRPr="005436BA">
              <w:rPr>
                <w:b/>
                <w:sz w:val="20"/>
                <w:szCs w:val="20"/>
              </w:rPr>
              <w:t xml:space="preserve"> equivocal; </w:t>
            </w:r>
            <w:r w:rsidRPr="005436BA">
              <w:rPr>
                <w:rFonts w:cstheme="minorHAnsi"/>
                <w:b/>
                <w:sz w:val="20"/>
                <w:szCs w:val="20"/>
              </w:rPr>
              <w:t>↓ fewer  AEs in</w:t>
            </w:r>
            <w:r w:rsidR="00843EEC">
              <w:rPr>
                <w:rFonts w:cstheme="minorHAnsi"/>
                <w:b/>
                <w:sz w:val="20"/>
                <w:szCs w:val="20"/>
              </w:rPr>
              <w:t xml:space="preserve"> EC/higher dose</w:t>
            </w:r>
            <w:r w:rsidRPr="005436BA">
              <w:rPr>
                <w:rFonts w:cstheme="minorHAnsi"/>
                <w:b/>
                <w:sz w:val="20"/>
                <w:szCs w:val="20"/>
              </w:rPr>
              <w:t xml:space="preserve"> arm)</w:t>
            </w:r>
          </w:p>
        </w:tc>
      </w:tr>
      <w:tr w:rsidR="005436BA" w:rsidRPr="005436BA" w14:paraId="30CFC405" w14:textId="77777777" w:rsidTr="0054464E">
        <w:trPr>
          <w:cantSplit/>
        </w:trPr>
        <w:tc>
          <w:tcPr>
            <w:tcW w:w="1562" w:type="dxa"/>
          </w:tcPr>
          <w:p w14:paraId="097CAFE2" w14:textId="77777777" w:rsidR="005436BA" w:rsidRPr="005436BA" w:rsidRDefault="005436BA">
            <w:pPr>
              <w:rPr>
                <w:sz w:val="20"/>
                <w:szCs w:val="20"/>
              </w:rPr>
            </w:pPr>
            <w:proofErr w:type="spellStart"/>
            <w:r w:rsidRPr="005436BA">
              <w:rPr>
                <w:sz w:val="20"/>
                <w:szCs w:val="20"/>
              </w:rPr>
              <w:t>Adriaens</w:t>
            </w:r>
            <w:proofErr w:type="spellEnd"/>
            <w:r w:rsidRPr="005436BA">
              <w:rPr>
                <w:sz w:val="20"/>
                <w:szCs w:val="20"/>
              </w:rPr>
              <w:t xml:space="preserve"> 2014</w:t>
            </w:r>
          </w:p>
        </w:tc>
        <w:tc>
          <w:tcPr>
            <w:tcW w:w="1340" w:type="dxa"/>
          </w:tcPr>
          <w:p w14:paraId="0F742315" w14:textId="77777777" w:rsidR="005436BA" w:rsidRPr="005436BA" w:rsidRDefault="005436BA">
            <w:pPr>
              <w:rPr>
                <w:sz w:val="20"/>
                <w:szCs w:val="20"/>
              </w:rPr>
            </w:pPr>
            <w:r w:rsidRPr="005436BA">
              <w:rPr>
                <w:sz w:val="20"/>
                <w:szCs w:val="20"/>
              </w:rPr>
              <w:t xml:space="preserve">All received EC by final follow-up </w:t>
            </w:r>
          </w:p>
        </w:tc>
        <w:tc>
          <w:tcPr>
            <w:tcW w:w="887" w:type="dxa"/>
          </w:tcPr>
          <w:p w14:paraId="75729605" w14:textId="77777777" w:rsidR="005436BA" w:rsidRPr="005436BA" w:rsidRDefault="005436BA">
            <w:pPr>
              <w:rPr>
                <w:sz w:val="20"/>
                <w:szCs w:val="20"/>
              </w:rPr>
            </w:pPr>
            <w:r w:rsidRPr="005436BA">
              <w:rPr>
                <w:sz w:val="20"/>
                <w:szCs w:val="20"/>
              </w:rPr>
              <w:t>8 months</w:t>
            </w:r>
          </w:p>
        </w:tc>
        <w:tc>
          <w:tcPr>
            <w:tcW w:w="7580" w:type="dxa"/>
          </w:tcPr>
          <w:p w14:paraId="47F24343" w14:textId="523CF0DC" w:rsidR="005436BA" w:rsidRPr="005436BA" w:rsidRDefault="005436BA" w:rsidP="009B6E19">
            <w:pPr>
              <w:rPr>
                <w:sz w:val="20"/>
                <w:szCs w:val="20"/>
              </w:rPr>
            </w:pPr>
            <w:r w:rsidRPr="005436BA">
              <w:rPr>
                <w:sz w:val="20"/>
                <w:szCs w:val="20"/>
              </w:rPr>
              <w:t>Did not systematically collect data on AEs but did collect 'complaints' through online diaries; across all groups</w:t>
            </w:r>
            <w:r w:rsidR="009B6E19">
              <w:rPr>
                <w:sz w:val="20"/>
                <w:szCs w:val="20"/>
              </w:rPr>
              <w:t xml:space="preserve"> </w:t>
            </w:r>
            <w:r w:rsidRPr="005436BA">
              <w:rPr>
                <w:sz w:val="20"/>
                <w:szCs w:val="20"/>
              </w:rPr>
              <w:t xml:space="preserve"> bad taste, dry mouth/throat, irritated mouth/throat, dizziness, headache, nausea, and increased heart rate/palpitations</w:t>
            </w:r>
            <w:r w:rsidR="009B6E19">
              <w:rPr>
                <w:sz w:val="20"/>
                <w:szCs w:val="20"/>
              </w:rPr>
              <w:t>;</w:t>
            </w:r>
            <w:r w:rsidRPr="005436BA">
              <w:rPr>
                <w:sz w:val="20"/>
                <w:szCs w:val="20"/>
              </w:rPr>
              <w:t xml:space="preserve"> rates were not provided</w:t>
            </w:r>
          </w:p>
        </w:tc>
        <w:tc>
          <w:tcPr>
            <w:tcW w:w="2660" w:type="dxa"/>
          </w:tcPr>
          <w:p w14:paraId="340B4E83" w14:textId="074888A6" w:rsidR="005436BA" w:rsidRPr="005436BA" w:rsidRDefault="005436BA" w:rsidP="007E4864">
            <w:pPr>
              <w:rPr>
                <w:sz w:val="20"/>
                <w:szCs w:val="20"/>
              </w:rPr>
            </w:pPr>
          </w:p>
        </w:tc>
      </w:tr>
      <w:tr w:rsidR="005436BA" w:rsidRPr="005436BA" w14:paraId="30EB8057" w14:textId="77777777" w:rsidTr="0054464E">
        <w:trPr>
          <w:cantSplit/>
        </w:trPr>
        <w:tc>
          <w:tcPr>
            <w:tcW w:w="1562" w:type="dxa"/>
          </w:tcPr>
          <w:p w14:paraId="2D9FB1C9" w14:textId="77777777" w:rsidR="005436BA" w:rsidRPr="005436BA" w:rsidRDefault="005436BA">
            <w:pPr>
              <w:rPr>
                <w:sz w:val="20"/>
                <w:szCs w:val="20"/>
              </w:rPr>
            </w:pPr>
            <w:proofErr w:type="spellStart"/>
            <w:r w:rsidRPr="005436BA">
              <w:rPr>
                <w:sz w:val="20"/>
                <w:szCs w:val="20"/>
              </w:rPr>
              <w:t>Baldassarri</w:t>
            </w:r>
            <w:proofErr w:type="spellEnd"/>
            <w:r w:rsidRPr="005436BA">
              <w:rPr>
                <w:sz w:val="20"/>
                <w:szCs w:val="20"/>
              </w:rPr>
              <w:t xml:space="preserve"> 2018</w:t>
            </w:r>
          </w:p>
        </w:tc>
        <w:tc>
          <w:tcPr>
            <w:tcW w:w="1340" w:type="dxa"/>
          </w:tcPr>
          <w:p w14:paraId="627427CF" w14:textId="77777777" w:rsidR="005436BA" w:rsidRPr="005436BA" w:rsidRDefault="005436BA">
            <w:pPr>
              <w:rPr>
                <w:sz w:val="20"/>
                <w:szCs w:val="20"/>
              </w:rPr>
            </w:pPr>
            <w:r w:rsidRPr="005436BA">
              <w:rPr>
                <w:sz w:val="20"/>
                <w:szCs w:val="20"/>
              </w:rPr>
              <w:t>Nicotine EC + NRT v no-nicotine EC + NRT</w:t>
            </w:r>
          </w:p>
        </w:tc>
        <w:tc>
          <w:tcPr>
            <w:tcW w:w="887" w:type="dxa"/>
          </w:tcPr>
          <w:p w14:paraId="1D282E75" w14:textId="77777777" w:rsidR="005436BA" w:rsidRPr="005436BA" w:rsidRDefault="005436BA">
            <w:pPr>
              <w:rPr>
                <w:sz w:val="20"/>
                <w:szCs w:val="20"/>
              </w:rPr>
            </w:pPr>
            <w:r>
              <w:rPr>
                <w:sz w:val="20"/>
                <w:szCs w:val="20"/>
              </w:rPr>
              <w:t>NS</w:t>
            </w:r>
          </w:p>
        </w:tc>
        <w:tc>
          <w:tcPr>
            <w:tcW w:w="7580" w:type="dxa"/>
          </w:tcPr>
          <w:p w14:paraId="298AF474" w14:textId="77777777" w:rsidR="005436BA" w:rsidRPr="005436BA" w:rsidRDefault="005436BA">
            <w:pPr>
              <w:rPr>
                <w:sz w:val="20"/>
                <w:szCs w:val="20"/>
              </w:rPr>
            </w:pPr>
            <w:r w:rsidRPr="005436BA">
              <w:rPr>
                <w:sz w:val="20"/>
                <w:szCs w:val="20"/>
              </w:rPr>
              <w:t>AEs only reported narratively, across whole sample. The most commonly reported side effects among all participants were cough (30%), sore throat (22.5%), increased appetite (17.5%), and vivid dreams (17.5%) (no significant differences by treatment group).</w:t>
            </w:r>
          </w:p>
        </w:tc>
        <w:tc>
          <w:tcPr>
            <w:tcW w:w="2660" w:type="dxa"/>
          </w:tcPr>
          <w:p w14:paraId="52D0D796" w14:textId="77777777" w:rsidR="005436BA" w:rsidRPr="005436BA" w:rsidRDefault="005436BA">
            <w:pPr>
              <w:rPr>
                <w:sz w:val="20"/>
                <w:szCs w:val="20"/>
              </w:rPr>
            </w:pPr>
            <w:r w:rsidRPr="005436BA">
              <w:rPr>
                <w:rFonts w:cstheme="minorHAnsi"/>
                <w:sz w:val="20"/>
                <w:szCs w:val="20"/>
              </w:rPr>
              <w:t>↔</w:t>
            </w:r>
          </w:p>
        </w:tc>
      </w:tr>
      <w:tr w:rsidR="009F71D2" w:rsidRPr="005436BA" w14:paraId="488280B0" w14:textId="77777777" w:rsidTr="0054464E">
        <w:trPr>
          <w:cantSplit/>
        </w:trPr>
        <w:tc>
          <w:tcPr>
            <w:tcW w:w="1562" w:type="dxa"/>
          </w:tcPr>
          <w:p w14:paraId="21770CF7" w14:textId="6446D12E" w:rsidR="009F71D2" w:rsidRPr="005436BA" w:rsidRDefault="009F71D2">
            <w:pPr>
              <w:rPr>
                <w:sz w:val="20"/>
                <w:szCs w:val="20"/>
              </w:rPr>
            </w:pPr>
            <w:r>
              <w:rPr>
                <w:sz w:val="20"/>
                <w:szCs w:val="20"/>
              </w:rPr>
              <w:t>Begh 2019</w:t>
            </w:r>
          </w:p>
        </w:tc>
        <w:tc>
          <w:tcPr>
            <w:tcW w:w="1340" w:type="dxa"/>
          </w:tcPr>
          <w:p w14:paraId="6F39318D" w14:textId="47CEAE93" w:rsidR="009F71D2" w:rsidRPr="005436BA" w:rsidRDefault="009F71D2">
            <w:pPr>
              <w:rPr>
                <w:sz w:val="20"/>
                <w:szCs w:val="20"/>
              </w:rPr>
            </w:pPr>
            <w:r>
              <w:rPr>
                <w:sz w:val="20"/>
                <w:szCs w:val="20"/>
              </w:rPr>
              <w:t>Nicotine EC versus usual care</w:t>
            </w:r>
          </w:p>
        </w:tc>
        <w:tc>
          <w:tcPr>
            <w:tcW w:w="887" w:type="dxa"/>
          </w:tcPr>
          <w:p w14:paraId="002ED58E" w14:textId="7A756E11" w:rsidR="009F71D2" w:rsidRDefault="009F71D2">
            <w:pPr>
              <w:rPr>
                <w:sz w:val="20"/>
                <w:szCs w:val="20"/>
              </w:rPr>
            </w:pPr>
            <w:r>
              <w:rPr>
                <w:sz w:val="20"/>
                <w:szCs w:val="20"/>
              </w:rPr>
              <w:t>2 months, n =</w:t>
            </w:r>
            <w:r w:rsidR="00E36931">
              <w:rPr>
                <w:sz w:val="20"/>
                <w:szCs w:val="20"/>
              </w:rPr>
              <w:t xml:space="preserve"> </w:t>
            </w:r>
            <w:r>
              <w:rPr>
                <w:sz w:val="20"/>
                <w:szCs w:val="20"/>
              </w:rPr>
              <w:t>157 per group</w:t>
            </w:r>
          </w:p>
        </w:tc>
        <w:tc>
          <w:tcPr>
            <w:tcW w:w="7580" w:type="dxa"/>
          </w:tcPr>
          <w:p w14:paraId="6735B87C" w14:textId="431DB7AE" w:rsidR="009F71D2" w:rsidRDefault="009F71D2">
            <w:pPr>
              <w:rPr>
                <w:sz w:val="20"/>
                <w:szCs w:val="20"/>
              </w:rPr>
            </w:pPr>
            <w:r>
              <w:rPr>
                <w:sz w:val="20"/>
                <w:szCs w:val="20"/>
              </w:rPr>
              <w:t>AEs by type.</w:t>
            </w:r>
            <w:r w:rsidR="009B6E19">
              <w:rPr>
                <w:sz w:val="20"/>
                <w:szCs w:val="20"/>
              </w:rPr>
              <w:t xml:space="preserve"> n reporting any AE in past 24 hr 90.4% control, 92.1% EC</w:t>
            </w:r>
          </w:p>
          <w:tbl>
            <w:tblPr>
              <w:tblStyle w:val="TableGrid"/>
              <w:tblW w:w="5214" w:type="dxa"/>
              <w:tblLook w:val="04A0" w:firstRow="1" w:lastRow="0" w:firstColumn="1" w:lastColumn="0" w:noHBand="0" w:noVBand="1"/>
            </w:tblPr>
            <w:tblGrid>
              <w:gridCol w:w="1949"/>
              <w:gridCol w:w="1659"/>
              <w:gridCol w:w="1606"/>
            </w:tblGrid>
            <w:tr w:rsidR="009F71D2" w14:paraId="7F2A79D6" w14:textId="77777777" w:rsidTr="0054464E">
              <w:trPr>
                <w:trHeight w:val="210"/>
              </w:trPr>
              <w:tc>
                <w:tcPr>
                  <w:tcW w:w="1949" w:type="dxa"/>
                </w:tcPr>
                <w:p w14:paraId="31E7BD6A" w14:textId="77777777" w:rsidR="009F71D2" w:rsidRPr="009F71D2" w:rsidRDefault="009F71D2" w:rsidP="009F71D2">
                  <w:pPr>
                    <w:rPr>
                      <w:rFonts w:cstheme="minorHAnsi"/>
                      <w:sz w:val="16"/>
                      <w:szCs w:val="16"/>
                    </w:rPr>
                  </w:pPr>
                  <w:r w:rsidRPr="009F71D2">
                    <w:rPr>
                      <w:rFonts w:cstheme="minorHAnsi"/>
                      <w:sz w:val="16"/>
                      <w:szCs w:val="16"/>
                    </w:rPr>
                    <w:t>Adverse event</w:t>
                  </w:r>
                </w:p>
              </w:tc>
              <w:tc>
                <w:tcPr>
                  <w:tcW w:w="1659" w:type="dxa"/>
                </w:tcPr>
                <w:p w14:paraId="0A82D62F" w14:textId="1F623EDB" w:rsidR="009F71D2" w:rsidRPr="009F71D2" w:rsidRDefault="009F71D2" w:rsidP="009F71D2">
                  <w:pPr>
                    <w:rPr>
                      <w:rFonts w:cstheme="minorHAnsi"/>
                      <w:sz w:val="16"/>
                      <w:szCs w:val="16"/>
                    </w:rPr>
                  </w:pPr>
                  <w:r w:rsidRPr="009F71D2">
                    <w:rPr>
                      <w:rFonts w:cstheme="minorHAnsi"/>
                      <w:sz w:val="16"/>
                      <w:szCs w:val="16"/>
                    </w:rPr>
                    <w:t>% reporting</w:t>
                  </w:r>
                  <w:r>
                    <w:rPr>
                      <w:rFonts w:cstheme="minorHAnsi"/>
                      <w:sz w:val="16"/>
                      <w:szCs w:val="16"/>
                    </w:rPr>
                    <w:t xml:space="preserve"> control</w:t>
                  </w:r>
                </w:p>
              </w:tc>
              <w:tc>
                <w:tcPr>
                  <w:tcW w:w="1606" w:type="dxa"/>
                </w:tcPr>
                <w:p w14:paraId="585F8C22" w14:textId="6EE7A661" w:rsidR="009F71D2" w:rsidRPr="009F71D2" w:rsidRDefault="009F71D2" w:rsidP="009F71D2">
                  <w:pPr>
                    <w:rPr>
                      <w:rFonts w:cstheme="minorHAnsi"/>
                      <w:sz w:val="16"/>
                      <w:szCs w:val="16"/>
                    </w:rPr>
                  </w:pPr>
                  <w:r>
                    <w:rPr>
                      <w:rFonts w:cstheme="minorHAnsi"/>
                      <w:sz w:val="16"/>
                      <w:szCs w:val="16"/>
                    </w:rPr>
                    <w:t>% reporting EC</w:t>
                  </w:r>
                </w:p>
              </w:tc>
            </w:tr>
            <w:tr w:rsidR="009F71D2" w14:paraId="1FCD8CB9" w14:textId="77777777" w:rsidTr="0054464E">
              <w:trPr>
                <w:trHeight w:val="260"/>
              </w:trPr>
              <w:tc>
                <w:tcPr>
                  <w:tcW w:w="1949" w:type="dxa"/>
                </w:tcPr>
                <w:p w14:paraId="1B90FC88" w14:textId="77777777" w:rsidR="009F71D2" w:rsidRPr="009F71D2" w:rsidRDefault="009F71D2" w:rsidP="009F71D2">
                  <w:pPr>
                    <w:rPr>
                      <w:rFonts w:cstheme="minorHAnsi"/>
                      <w:sz w:val="16"/>
                      <w:szCs w:val="16"/>
                    </w:rPr>
                  </w:pPr>
                  <w:r w:rsidRPr="009F71D2">
                    <w:rPr>
                      <w:rFonts w:cstheme="minorHAnsi"/>
                      <w:sz w:val="16"/>
                      <w:szCs w:val="16"/>
                    </w:rPr>
                    <w:t>Throat/mouth irritation</w:t>
                  </w:r>
                </w:p>
              </w:tc>
              <w:tc>
                <w:tcPr>
                  <w:tcW w:w="1659" w:type="dxa"/>
                </w:tcPr>
                <w:p w14:paraId="3EAEC70D" w14:textId="77777777" w:rsidR="009F71D2" w:rsidRPr="009F71D2" w:rsidRDefault="009F71D2" w:rsidP="009F71D2">
                  <w:pPr>
                    <w:rPr>
                      <w:rFonts w:cstheme="minorHAnsi"/>
                      <w:sz w:val="16"/>
                      <w:szCs w:val="16"/>
                    </w:rPr>
                  </w:pPr>
                  <w:r w:rsidRPr="009F71D2">
                    <w:rPr>
                      <w:rFonts w:cstheme="minorHAnsi"/>
                      <w:sz w:val="16"/>
                      <w:szCs w:val="16"/>
                    </w:rPr>
                    <w:t>12.8</w:t>
                  </w:r>
                </w:p>
              </w:tc>
              <w:tc>
                <w:tcPr>
                  <w:tcW w:w="1606" w:type="dxa"/>
                </w:tcPr>
                <w:p w14:paraId="52170068" w14:textId="58044CBA" w:rsidR="009F71D2" w:rsidRPr="009F71D2" w:rsidRDefault="009F71D2" w:rsidP="009F71D2">
                  <w:pPr>
                    <w:rPr>
                      <w:rFonts w:cstheme="minorHAnsi"/>
                      <w:sz w:val="16"/>
                      <w:szCs w:val="16"/>
                    </w:rPr>
                  </w:pPr>
                  <w:r w:rsidRPr="009F71D2">
                    <w:rPr>
                      <w:rFonts w:cstheme="minorHAnsi"/>
                      <w:sz w:val="16"/>
                      <w:szCs w:val="16"/>
                    </w:rPr>
                    <w:t>16.6%</w:t>
                  </w:r>
                </w:p>
              </w:tc>
            </w:tr>
            <w:tr w:rsidR="009F71D2" w14:paraId="49D629FE" w14:textId="77777777" w:rsidTr="0054464E">
              <w:trPr>
                <w:trHeight w:val="260"/>
              </w:trPr>
              <w:tc>
                <w:tcPr>
                  <w:tcW w:w="1949" w:type="dxa"/>
                </w:tcPr>
                <w:p w14:paraId="1353460E" w14:textId="77777777" w:rsidR="009F71D2" w:rsidRPr="009F71D2" w:rsidRDefault="009F71D2" w:rsidP="009F71D2">
                  <w:pPr>
                    <w:rPr>
                      <w:rFonts w:cstheme="minorHAnsi"/>
                      <w:sz w:val="16"/>
                      <w:szCs w:val="16"/>
                    </w:rPr>
                  </w:pPr>
                  <w:r w:rsidRPr="009F71D2">
                    <w:rPr>
                      <w:rFonts w:cstheme="minorHAnsi"/>
                      <w:sz w:val="16"/>
                      <w:szCs w:val="16"/>
                    </w:rPr>
                    <w:t>Cough</w:t>
                  </w:r>
                </w:p>
              </w:tc>
              <w:tc>
                <w:tcPr>
                  <w:tcW w:w="1659" w:type="dxa"/>
                </w:tcPr>
                <w:p w14:paraId="459DA152" w14:textId="77777777" w:rsidR="009F71D2" w:rsidRPr="009F71D2" w:rsidRDefault="009F71D2" w:rsidP="009F71D2">
                  <w:pPr>
                    <w:rPr>
                      <w:rFonts w:cstheme="minorHAnsi"/>
                      <w:sz w:val="16"/>
                      <w:szCs w:val="16"/>
                    </w:rPr>
                  </w:pPr>
                  <w:r w:rsidRPr="009F71D2">
                    <w:rPr>
                      <w:rFonts w:cstheme="minorHAnsi"/>
                      <w:sz w:val="16"/>
                      <w:szCs w:val="16"/>
                    </w:rPr>
                    <w:t>30.6%</w:t>
                  </w:r>
                </w:p>
              </w:tc>
              <w:tc>
                <w:tcPr>
                  <w:tcW w:w="1606" w:type="dxa"/>
                </w:tcPr>
                <w:p w14:paraId="4B42ABCB" w14:textId="3EFD3A5D" w:rsidR="009F71D2" w:rsidRPr="009F71D2" w:rsidRDefault="009F71D2" w:rsidP="009F71D2">
                  <w:pPr>
                    <w:rPr>
                      <w:rFonts w:cstheme="minorHAnsi"/>
                      <w:sz w:val="16"/>
                      <w:szCs w:val="16"/>
                    </w:rPr>
                  </w:pPr>
                  <w:r w:rsidRPr="009F71D2">
                    <w:rPr>
                      <w:rFonts w:cstheme="minorHAnsi"/>
                      <w:sz w:val="16"/>
                      <w:szCs w:val="16"/>
                    </w:rPr>
                    <w:t>26.1%</w:t>
                  </w:r>
                </w:p>
              </w:tc>
            </w:tr>
            <w:tr w:rsidR="009F71D2" w14:paraId="2572240C" w14:textId="77777777" w:rsidTr="0054464E">
              <w:trPr>
                <w:trHeight w:val="260"/>
              </w:trPr>
              <w:tc>
                <w:tcPr>
                  <w:tcW w:w="1949" w:type="dxa"/>
                </w:tcPr>
                <w:p w14:paraId="0FFB64D0" w14:textId="77777777" w:rsidR="009F71D2" w:rsidRPr="009F71D2" w:rsidRDefault="009F71D2" w:rsidP="009F71D2">
                  <w:pPr>
                    <w:rPr>
                      <w:rFonts w:cstheme="minorHAnsi"/>
                      <w:sz w:val="16"/>
                      <w:szCs w:val="16"/>
                    </w:rPr>
                  </w:pPr>
                  <w:r w:rsidRPr="009F71D2">
                    <w:rPr>
                      <w:rFonts w:cstheme="minorHAnsi"/>
                      <w:sz w:val="16"/>
                      <w:szCs w:val="16"/>
                    </w:rPr>
                    <w:t>Headache</w:t>
                  </w:r>
                </w:p>
              </w:tc>
              <w:tc>
                <w:tcPr>
                  <w:tcW w:w="1659" w:type="dxa"/>
                </w:tcPr>
                <w:p w14:paraId="4E7234C8" w14:textId="77777777" w:rsidR="009F71D2" w:rsidRPr="009F71D2" w:rsidRDefault="009F71D2" w:rsidP="009F71D2">
                  <w:pPr>
                    <w:rPr>
                      <w:rFonts w:cstheme="minorHAnsi"/>
                      <w:sz w:val="16"/>
                      <w:szCs w:val="16"/>
                    </w:rPr>
                  </w:pPr>
                  <w:r w:rsidRPr="009F71D2">
                    <w:rPr>
                      <w:rFonts w:cstheme="minorHAnsi"/>
                      <w:sz w:val="16"/>
                      <w:szCs w:val="16"/>
                    </w:rPr>
                    <w:t>14%</w:t>
                  </w:r>
                </w:p>
              </w:tc>
              <w:tc>
                <w:tcPr>
                  <w:tcW w:w="1606" w:type="dxa"/>
                </w:tcPr>
                <w:p w14:paraId="0E5FBBAB" w14:textId="4A5CAFA1" w:rsidR="009F71D2" w:rsidRPr="009F71D2" w:rsidRDefault="009F71D2" w:rsidP="009F71D2">
                  <w:pPr>
                    <w:rPr>
                      <w:rFonts w:cstheme="minorHAnsi"/>
                      <w:sz w:val="16"/>
                      <w:szCs w:val="16"/>
                    </w:rPr>
                  </w:pPr>
                  <w:r w:rsidRPr="009F71D2">
                    <w:rPr>
                      <w:rFonts w:cstheme="minorHAnsi"/>
                      <w:sz w:val="16"/>
                      <w:szCs w:val="16"/>
                    </w:rPr>
                    <w:t>13.4%</w:t>
                  </w:r>
                </w:p>
              </w:tc>
            </w:tr>
            <w:tr w:rsidR="009F71D2" w14:paraId="580BA9F5" w14:textId="77777777" w:rsidTr="0054464E">
              <w:trPr>
                <w:trHeight w:val="260"/>
              </w:trPr>
              <w:tc>
                <w:tcPr>
                  <w:tcW w:w="1949" w:type="dxa"/>
                </w:tcPr>
                <w:p w14:paraId="35EA567F" w14:textId="77777777" w:rsidR="009F71D2" w:rsidRPr="009F71D2" w:rsidRDefault="009F71D2" w:rsidP="009F71D2">
                  <w:pPr>
                    <w:rPr>
                      <w:rFonts w:cstheme="minorHAnsi"/>
                      <w:sz w:val="16"/>
                      <w:szCs w:val="16"/>
                    </w:rPr>
                  </w:pPr>
                  <w:r w:rsidRPr="009F71D2">
                    <w:rPr>
                      <w:rFonts w:cstheme="minorHAnsi"/>
                      <w:sz w:val="16"/>
                      <w:szCs w:val="16"/>
                    </w:rPr>
                    <w:t>Palpitations</w:t>
                  </w:r>
                </w:p>
              </w:tc>
              <w:tc>
                <w:tcPr>
                  <w:tcW w:w="1659" w:type="dxa"/>
                </w:tcPr>
                <w:p w14:paraId="2D205DAE" w14:textId="77777777" w:rsidR="009F71D2" w:rsidRPr="009F71D2" w:rsidRDefault="009F71D2" w:rsidP="009F71D2">
                  <w:pPr>
                    <w:rPr>
                      <w:rFonts w:cstheme="minorHAnsi"/>
                      <w:sz w:val="16"/>
                      <w:szCs w:val="16"/>
                    </w:rPr>
                  </w:pPr>
                  <w:r w:rsidRPr="009F71D2">
                    <w:rPr>
                      <w:rFonts w:cstheme="minorHAnsi"/>
                      <w:sz w:val="16"/>
                      <w:szCs w:val="16"/>
                    </w:rPr>
                    <w:t>8.2%</w:t>
                  </w:r>
                </w:p>
              </w:tc>
              <w:tc>
                <w:tcPr>
                  <w:tcW w:w="1606" w:type="dxa"/>
                </w:tcPr>
                <w:p w14:paraId="4DB6995A" w14:textId="6C154BDA" w:rsidR="009F71D2" w:rsidRPr="009F71D2" w:rsidRDefault="009F71D2" w:rsidP="009F71D2">
                  <w:pPr>
                    <w:rPr>
                      <w:rFonts w:cstheme="minorHAnsi"/>
                      <w:sz w:val="16"/>
                      <w:szCs w:val="16"/>
                    </w:rPr>
                  </w:pPr>
                  <w:r w:rsidRPr="009F71D2">
                    <w:rPr>
                      <w:rFonts w:cstheme="minorHAnsi"/>
                      <w:sz w:val="16"/>
                      <w:szCs w:val="16"/>
                    </w:rPr>
                    <w:t>9.6%</w:t>
                  </w:r>
                </w:p>
              </w:tc>
            </w:tr>
            <w:tr w:rsidR="009F71D2" w14:paraId="576599A3" w14:textId="77777777" w:rsidTr="0054464E">
              <w:trPr>
                <w:trHeight w:val="260"/>
              </w:trPr>
              <w:tc>
                <w:tcPr>
                  <w:tcW w:w="1949" w:type="dxa"/>
                </w:tcPr>
                <w:p w14:paraId="0480B016" w14:textId="77777777" w:rsidR="009F71D2" w:rsidRPr="009F71D2" w:rsidRDefault="009F71D2" w:rsidP="009F71D2">
                  <w:pPr>
                    <w:rPr>
                      <w:rFonts w:cstheme="minorHAnsi"/>
                      <w:sz w:val="16"/>
                      <w:szCs w:val="16"/>
                    </w:rPr>
                  </w:pPr>
                  <w:r w:rsidRPr="009F71D2">
                    <w:rPr>
                      <w:rFonts w:cstheme="minorHAnsi"/>
                      <w:sz w:val="16"/>
                      <w:szCs w:val="16"/>
                    </w:rPr>
                    <w:t>Nausea</w:t>
                  </w:r>
                </w:p>
              </w:tc>
              <w:tc>
                <w:tcPr>
                  <w:tcW w:w="1659" w:type="dxa"/>
                </w:tcPr>
                <w:p w14:paraId="1717A203" w14:textId="77777777" w:rsidR="009F71D2" w:rsidRPr="009F71D2" w:rsidRDefault="009F71D2" w:rsidP="009F71D2">
                  <w:pPr>
                    <w:rPr>
                      <w:rFonts w:cstheme="minorHAnsi"/>
                      <w:sz w:val="16"/>
                      <w:szCs w:val="16"/>
                    </w:rPr>
                  </w:pPr>
                  <w:r w:rsidRPr="009F71D2">
                    <w:rPr>
                      <w:rFonts w:cstheme="minorHAnsi"/>
                      <w:sz w:val="16"/>
                      <w:szCs w:val="16"/>
                    </w:rPr>
                    <w:t>5.1%</w:t>
                  </w:r>
                </w:p>
              </w:tc>
              <w:tc>
                <w:tcPr>
                  <w:tcW w:w="1606" w:type="dxa"/>
                </w:tcPr>
                <w:p w14:paraId="00AF0FB5" w14:textId="4AD4CBE2" w:rsidR="009F71D2" w:rsidRPr="009F71D2" w:rsidRDefault="009F71D2" w:rsidP="009F71D2">
                  <w:pPr>
                    <w:rPr>
                      <w:rFonts w:cstheme="minorHAnsi"/>
                      <w:sz w:val="16"/>
                      <w:szCs w:val="16"/>
                    </w:rPr>
                  </w:pPr>
                  <w:r w:rsidRPr="009F71D2">
                    <w:rPr>
                      <w:rFonts w:cstheme="minorHAnsi"/>
                      <w:sz w:val="16"/>
                      <w:szCs w:val="16"/>
                    </w:rPr>
                    <w:t>4.5%</w:t>
                  </w:r>
                </w:p>
              </w:tc>
            </w:tr>
            <w:tr w:rsidR="009F71D2" w14:paraId="37AA6A2C" w14:textId="77777777" w:rsidTr="0054464E">
              <w:trPr>
                <w:trHeight w:val="260"/>
              </w:trPr>
              <w:tc>
                <w:tcPr>
                  <w:tcW w:w="1949" w:type="dxa"/>
                </w:tcPr>
                <w:p w14:paraId="00E5A9C1" w14:textId="77777777" w:rsidR="009F71D2" w:rsidRPr="009F71D2" w:rsidRDefault="009F71D2" w:rsidP="009F71D2">
                  <w:pPr>
                    <w:rPr>
                      <w:rFonts w:cstheme="minorHAnsi"/>
                      <w:sz w:val="16"/>
                      <w:szCs w:val="16"/>
                    </w:rPr>
                  </w:pPr>
                  <w:r w:rsidRPr="009F71D2">
                    <w:rPr>
                      <w:rFonts w:cstheme="minorHAnsi"/>
                      <w:sz w:val="16"/>
                      <w:szCs w:val="16"/>
                    </w:rPr>
                    <w:t>Dry mouth</w:t>
                  </w:r>
                </w:p>
              </w:tc>
              <w:tc>
                <w:tcPr>
                  <w:tcW w:w="1659" w:type="dxa"/>
                </w:tcPr>
                <w:p w14:paraId="0F0A6C01" w14:textId="77777777" w:rsidR="009F71D2" w:rsidRPr="009F71D2" w:rsidRDefault="009F71D2" w:rsidP="009F71D2">
                  <w:pPr>
                    <w:rPr>
                      <w:rFonts w:cstheme="minorHAnsi"/>
                      <w:sz w:val="16"/>
                      <w:szCs w:val="16"/>
                    </w:rPr>
                  </w:pPr>
                  <w:r w:rsidRPr="009F71D2">
                    <w:rPr>
                      <w:rFonts w:cstheme="minorHAnsi"/>
                      <w:sz w:val="16"/>
                      <w:szCs w:val="16"/>
                    </w:rPr>
                    <w:t>28.7%</w:t>
                  </w:r>
                </w:p>
              </w:tc>
              <w:tc>
                <w:tcPr>
                  <w:tcW w:w="1606" w:type="dxa"/>
                </w:tcPr>
                <w:p w14:paraId="1DDE1C5C" w14:textId="00B605E8" w:rsidR="009F71D2" w:rsidRPr="009F71D2" w:rsidRDefault="009F71D2" w:rsidP="009F71D2">
                  <w:pPr>
                    <w:rPr>
                      <w:rFonts w:cstheme="minorHAnsi"/>
                      <w:sz w:val="16"/>
                      <w:szCs w:val="16"/>
                    </w:rPr>
                  </w:pPr>
                  <w:r w:rsidRPr="009F71D2">
                    <w:rPr>
                      <w:rFonts w:cstheme="minorHAnsi"/>
                      <w:sz w:val="16"/>
                      <w:szCs w:val="16"/>
                    </w:rPr>
                    <w:t>26.1%</w:t>
                  </w:r>
                </w:p>
              </w:tc>
            </w:tr>
            <w:tr w:rsidR="009F71D2" w14:paraId="2EC2912C" w14:textId="77777777" w:rsidTr="0054464E">
              <w:trPr>
                <w:trHeight w:val="260"/>
              </w:trPr>
              <w:tc>
                <w:tcPr>
                  <w:tcW w:w="1949" w:type="dxa"/>
                </w:tcPr>
                <w:p w14:paraId="0F76F07F" w14:textId="77777777" w:rsidR="009F71D2" w:rsidRPr="009F71D2" w:rsidRDefault="009F71D2" w:rsidP="009F71D2">
                  <w:pPr>
                    <w:rPr>
                      <w:rFonts w:cstheme="minorHAnsi"/>
                      <w:sz w:val="16"/>
                      <w:szCs w:val="16"/>
                    </w:rPr>
                  </w:pPr>
                  <w:r w:rsidRPr="009F71D2">
                    <w:rPr>
                      <w:rFonts w:cstheme="minorHAnsi"/>
                      <w:sz w:val="16"/>
                      <w:szCs w:val="16"/>
                    </w:rPr>
                    <w:t>Dizziness</w:t>
                  </w:r>
                </w:p>
              </w:tc>
              <w:tc>
                <w:tcPr>
                  <w:tcW w:w="1659" w:type="dxa"/>
                </w:tcPr>
                <w:p w14:paraId="6FAB6BEC" w14:textId="77777777" w:rsidR="009F71D2" w:rsidRPr="009F71D2" w:rsidRDefault="009F71D2" w:rsidP="009F71D2">
                  <w:pPr>
                    <w:rPr>
                      <w:rFonts w:cstheme="minorHAnsi"/>
                      <w:sz w:val="16"/>
                      <w:szCs w:val="16"/>
                    </w:rPr>
                  </w:pPr>
                  <w:r w:rsidRPr="009F71D2">
                    <w:rPr>
                      <w:rFonts w:cstheme="minorHAnsi"/>
                      <w:sz w:val="16"/>
                      <w:szCs w:val="16"/>
                    </w:rPr>
                    <w:t>7.7%</w:t>
                  </w:r>
                </w:p>
              </w:tc>
              <w:tc>
                <w:tcPr>
                  <w:tcW w:w="1606" w:type="dxa"/>
                </w:tcPr>
                <w:p w14:paraId="1E5829C2" w14:textId="064AA15D" w:rsidR="009F71D2" w:rsidRPr="009F71D2" w:rsidRDefault="009F71D2" w:rsidP="009F71D2">
                  <w:pPr>
                    <w:rPr>
                      <w:rFonts w:cstheme="minorHAnsi"/>
                      <w:sz w:val="16"/>
                      <w:szCs w:val="16"/>
                    </w:rPr>
                  </w:pPr>
                  <w:r w:rsidRPr="009F71D2">
                    <w:rPr>
                      <w:rFonts w:cstheme="minorHAnsi"/>
                      <w:sz w:val="16"/>
                      <w:szCs w:val="16"/>
                    </w:rPr>
                    <w:t>10.9%</w:t>
                  </w:r>
                </w:p>
              </w:tc>
            </w:tr>
            <w:tr w:rsidR="009F71D2" w14:paraId="0696DF89" w14:textId="77777777" w:rsidTr="0054464E">
              <w:trPr>
                <w:trHeight w:val="260"/>
              </w:trPr>
              <w:tc>
                <w:tcPr>
                  <w:tcW w:w="1949" w:type="dxa"/>
                </w:tcPr>
                <w:p w14:paraId="1D133EF2" w14:textId="77777777" w:rsidR="009F71D2" w:rsidRPr="009F71D2" w:rsidRDefault="009F71D2" w:rsidP="009F71D2">
                  <w:pPr>
                    <w:rPr>
                      <w:rFonts w:cstheme="minorHAnsi"/>
                      <w:sz w:val="16"/>
                      <w:szCs w:val="16"/>
                    </w:rPr>
                  </w:pPr>
                  <w:r w:rsidRPr="009F71D2">
                    <w:rPr>
                      <w:rFonts w:cstheme="minorHAnsi"/>
                      <w:sz w:val="16"/>
                      <w:szCs w:val="16"/>
                    </w:rPr>
                    <w:t>Shortness of breath</w:t>
                  </w:r>
                </w:p>
              </w:tc>
              <w:tc>
                <w:tcPr>
                  <w:tcW w:w="1659" w:type="dxa"/>
                </w:tcPr>
                <w:p w14:paraId="63A50185" w14:textId="77777777" w:rsidR="009F71D2" w:rsidRPr="009F71D2" w:rsidRDefault="009F71D2" w:rsidP="009F71D2">
                  <w:pPr>
                    <w:rPr>
                      <w:rFonts w:cstheme="minorHAnsi"/>
                      <w:sz w:val="16"/>
                      <w:szCs w:val="16"/>
                    </w:rPr>
                  </w:pPr>
                  <w:r w:rsidRPr="009F71D2">
                    <w:rPr>
                      <w:rFonts w:cstheme="minorHAnsi"/>
                      <w:sz w:val="16"/>
                      <w:szCs w:val="16"/>
                    </w:rPr>
                    <w:t>31.2%</w:t>
                  </w:r>
                </w:p>
              </w:tc>
              <w:tc>
                <w:tcPr>
                  <w:tcW w:w="1606" w:type="dxa"/>
                </w:tcPr>
                <w:p w14:paraId="4C38265B" w14:textId="51FBB27F" w:rsidR="009F71D2" w:rsidRPr="009F71D2" w:rsidRDefault="009F71D2" w:rsidP="009F71D2">
                  <w:pPr>
                    <w:rPr>
                      <w:rFonts w:cstheme="minorHAnsi"/>
                      <w:sz w:val="16"/>
                      <w:szCs w:val="16"/>
                    </w:rPr>
                  </w:pPr>
                  <w:r w:rsidRPr="009F71D2">
                    <w:rPr>
                      <w:rFonts w:cstheme="minorHAnsi"/>
                      <w:sz w:val="16"/>
                      <w:szCs w:val="16"/>
                    </w:rPr>
                    <w:t>24.3%</w:t>
                  </w:r>
                </w:p>
              </w:tc>
            </w:tr>
            <w:tr w:rsidR="009F71D2" w14:paraId="534D8A4A" w14:textId="77777777" w:rsidTr="0054464E">
              <w:trPr>
                <w:trHeight w:val="260"/>
              </w:trPr>
              <w:tc>
                <w:tcPr>
                  <w:tcW w:w="1949" w:type="dxa"/>
                </w:tcPr>
                <w:p w14:paraId="7AA439C7" w14:textId="77777777" w:rsidR="009F71D2" w:rsidRPr="009F71D2" w:rsidRDefault="009F71D2" w:rsidP="009F71D2">
                  <w:pPr>
                    <w:rPr>
                      <w:rFonts w:cstheme="minorHAnsi"/>
                      <w:sz w:val="16"/>
                      <w:szCs w:val="16"/>
                    </w:rPr>
                  </w:pPr>
                  <w:r w:rsidRPr="009F71D2">
                    <w:rPr>
                      <w:rFonts w:cstheme="minorHAnsi"/>
                      <w:sz w:val="16"/>
                      <w:szCs w:val="16"/>
                    </w:rPr>
                    <w:t>Stomach pain</w:t>
                  </w:r>
                </w:p>
              </w:tc>
              <w:tc>
                <w:tcPr>
                  <w:tcW w:w="1659" w:type="dxa"/>
                </w:tcPr>
                <w:p w14:paraId="0A6DA70A" w14:textId="77777777" w:rsidR="009F71D2" w:rsidRPr="009F71D2" w:rsidRDefault="009F71D2" w:rsidP="009F71D2">
                  <w:pPr>
                    <w:rPr>
                      <w:rFonts w:cstheme="minorHAnsi"/>
                      <w:sz w:val="16"/>
                      <w:szCs w:val="16"/>
                    </w:rPr>
                  </w:pPr>
                  <w:r w:rsidRPr="009F71D2">
                    <w:rPr>
                      <w:rFonts w:cstheme="minorHAnsi"/>
                      <w:sz w:val="16"/>
                      <w:szCs w:val="16"/>
                    </w:rPr>
                    <w:t>24.6%</w:t>
                  </w:r>
                </w:p>
              </w:tc>
              <w:tc>
                <w:tcPr>
                  <w:tcW w:w="1606" w:type="dxa"/>
                </w:tcPr>
                <w:p w14:paraId="2BADCF6D" w14:textId="79931173" w:rsidR="009F71D2" w:rsidRPr="009F71D2" w:rsidRDefault="009F71D2" w:rsidP="009F71D2">
                  <w:pPr>
                    <w:rPr>
                      <w:rFonts w:cstheme="minorHAnsi"/>
                      <w:sz w:val="16"/>
                      <w:szCs w:val="16"/>
                    </w:rPr>
                  </w:pPr>
                  <w:r w:rsidRPr="009F71D2">
                    <w:rPr>
                      <w:rFonts w:cstheme="minorHAnsi"/>
                      <w:sz w:val="16"/>
                      <w:szCs w:val="16"/>
                    </w:rPr>
                    <w:t>7.7%</w:t>
                  </w:r>
                </w:p>
              </w:tc>
            </w:tr>
          </w:tbl>
          <w:p w14:paraId="1FC34848" w14:textId="50BFC001" w:rsidR="009F71D2" w:rsidRPr="005436BA" w:rsidRDefault="009F71D2">
            <w:pPr>
              <w:rPr>
                <w:sz w:val="20"/>
                <w:szCs w:val="20"/>
              </w:rPr>
            </w:pPr>
          </w:p>
        </w:tc>
        <w:tc>
          <w:tcPr>
            <w:tcW w:w="2660" w:type="dxa"/>
          </w:tcPr>
          <w:p w14:paraId="53D0DC5E" w14:textId="77777777" w:rsidR="009F71D2" w:rsidRPr="005436BA" w:rsidRDefault="009F71D2" w:rsidP="009F71D2">
            <w:pPr>
              <w:rPr>
                <w:rFonts w:cstheme="minorHAnsi"/>
                <w:sz w:val="20"/>
                <w:szCs w:val="20"/>
              </w:rPr>
            </w:pPr>
            <w:r w:rsidRPr="005436BA">
              <w:rPr>
                <w:rFonts w:cstheme="minorHAnsi"/>
                <w:sz w:val="20"/>
                <w:szCs w:val="20"/>
              </w:rPr>
              <w:t>↑ throat irritation</w:t>
            </w:r>
          </w:p>
          <w:p w14:paraId="2660B530" w14:textId="6CF38DF3" w:rsidR="009F71D2" w:rsidRDefault="009F71D2" w:rsidP="009F71D2">
            <w:pPr>
              <w:rPr>
                <w:rFonts w:cstheme="minorHAnsi"/>
                <w:sz w:val="20"/>
                <w:szCs w:val="20"/>
              </w:rPr>
            </w:pPr>
            <w:r w:rsidRPr="005436BA">
              <w:rPr>
                <w:rFonts w:cstheme="minorHAnsi"/>
                <w:sz w:val="20"/>
                <w:szCs w:val="20"/>
              </w:rPr>
              <w:t>↓</w:t>
            </w:r>
            <w:r>
              <w:rPr>
                <w:rFonts w:cstheme="minorHAnsi"/>
                <w:sz w:val="20"/>
                <w:szCs w:val="20"/>
              </w:rPr>
              <w:t xml:space="preserve"> c</w:t>
            </w:r>
            <w:r w:rsidRPr="005436BA">
              <w:rPr>
                <w:rFonts w:cstheme="minorHAnsi"/>
                <w:sz w:val="20"/>
                <w:szCs w:val="20"/>
              </w:rPr>
              <w:t>ough</w:t>
            </w:r>
          </w:p>
          <w:p w14:paraId="0A5B9CF9" w14:textId="597CCA21" w:rsidR="009F71D2" w:rsidRDefault="009F71D2" w:rsidP="009F71D2">
            <w:pPr>
              <w:rPr>
                <w:rFonts w:cstheme="minorHAnsi"/>
                <w:sz w:val="20"/>
                <w:szCs w:val="20"/>
              </w:rPr>
            </w:pPr>
            <w:r w:rsidRPr="005436BA">
              <w:rPr>
                <w:rFonts w:cstheme="minorHAnsi"/>
                <w:sz w:val="20"/>
                <w:szCs w:val="20"/>
              </w:rPr>
              <w:t>↓</w:t>
            </w:r>
            <w:r>
              <w:rPr>
                <w:rFonts w:cstheme="minorHAnsi"/>
                <w:sz w:val="20"/>
                <w:szCs w:val="20"/>
              </w:rPr>
              <w:t xml:space="preserve"> headache</w:t>
            </w:r>
          </w:p>
          <w:p w14:paraId="5A30E8D2" w14:textId="5C7915D1" w:rsidR="009F71D2" w:rsidRDefault="009F71D2" w:rsidP="009F71D2">
            <w:pPr>
              <w:rPr>
                <w:rFonts w:cstheme="minorHAnsi"/>
                <w:sz w:val="20"/>
                <w:szCs w:val="20"/>
              </w:rPr>
            </w:pPr>
            <w:r>
              <w:rPr>
                <w:rFonts w:cstheme="minorHAnsi"/>
                <w:sz w:val="20"/>
                <w:szCs w:val="20"/>
              </w:rPr>
              <w:t>↑ palpitations</w:t>
            </w:r>
          </w:p>
          <w:p w14:paraId="54FC63FD" w14:textId="497A91A6" w:rsidR="009F71D2" w:rsidRDefault="009F71D2" w:rsidP="009F71D2">
            <w:pPr>
              <w:rPr>
                <w:rFonts w:cstheme="minorHAnsi"/>
                <w:sz w:val="20"/>
                <w:szCs w:val="20"/>
              </w:rPr>
            </w:pPr>
            <w:r w:rsidRPr="005436BA">
              <w:rPr>
                <w:rFonts w:cstheme="minorHAnsi"/>
                <w:sz w:val="20"/>
                <w:szCs w:val="20"/>
              </w:rPr>
              <w:t>↓</w:t>
            </w:r>
            <w:r>
              <w:rPr>
                <w:rFonts w:cstheme="minorHAnsi"/>
                <w:sz w:val="20"/>
                <w:szCs w:val="20"/>
              </w:rPr>
              <w:t xml:space="preserve"> nausea</w:t>
            </w:r>
          </w:p>
          <w:p w14:paraId="7E32566E" w14:textId="6988076B" w:rsidR="009F71D2" w:rsidRDefault="009F71D2" w:rsidP="009F71D2">
            <w:pPr>
              <w:rPr>
                <w:rFonts w:cstheme="minorHAnsi"/>
                <w:sz w:val="20"/>
                <w:szCs w:val="20"/>
              </w:rPr>
            </w:pPr>
            <w:r w:rsidRPr="005436BA">
              <w:rPr>
                <w:rFonts w:cstheme="minorHAnsi"/>
                <w:sz w:val="20"/>
                <w:szCs w:val="20"/>
              </w:rPr>
              <w:t>↓</w:t>
            </w:r>
            <w:r>
              <w:rPr>
                <w:rFonts w:cstheme="minorHAnsi"/>
                <w:sz w:val="20"/>
                <w:szCs w:val="20"/>
              </w:rPr>
              <w:t xml:space="preserve"> dry mouth</w:t>
            </w:r>
          </w:p>
          <w:p w14:paraId="22918183" w14:textId="69B0F882" w:rsidR="009F71D2" w:rsidRDefault="009F71D2" w:rsidP="009F71D2">
            <w:pPr>
              <w:rPr>
                <w:rFonts w:cstheme="minorHAnsi"/>
                <w:sz w:val="20"/>
                <w:szCs w:val="20"/>
              </w:rPr>
            </w:pPr>
            <w:r>
              <w:rPr>
                <w:rFonts w:cstheme="minorHAnsi"/>
                <w:sz w:val="20"/>
                <w:szCs w:val="20"/>
              </w:rPr>
              <w:t>↑ dizziness</w:t>
            </w:r>
          </w:p>
          <w:p w14:paraId="759CF5F0" w14:textId="10FFE73E" w:rsidR="009F71D2" w:rsidRDefault="009F71D2" w:rsidP="009F71D2">
            <w:pPr>
              <w:rPr>
                <w:rFonts w:cstheme="minorHAnsi"/>
                <w:sz w:val="20"/>
                <w:szCs w:val="20"/>
              </w:rPr>
            </w:pPr>
            <w:r w:rsidRPr="005436BA">
              <w:rPr>
                <w:rFonts w:cstheme="minorHAnsi"/>
                <w:sz w:val="20"/>
                <w:szCs w:val="20"/>
              </w:rPr>
              <w:t>↓</w:t>
            </w:r>
            <w:r>
              <w:rPr>
                <w:rFonts w:cstheme="minorHAnsi"/>
                <w:sz w:val="20"/>
                <w:szCs w:val="20"/>
              </w:rPr>
              <w:t xml:space="preserve"> shortness of breath</w:t>
            </w:r>
          </w:p>
          <w:p w14:paraId="4456F9EF" w14:textId="7436A089" w:rsidR="009F71D2" w:rsidRDefault="009F71D2" w:rsidP="009F71D2">
            <w:pPr>
              <w:rPr>
                <w:rFonts w:cstheme="minorHAnsi"/>
                <w:sz w:val="20"/>
                <w:szCs w:val="20"/>
              </w:rPr>
            </w:pPr>
            <w:r w:rsidRPr="005436BA">
              <w:rPr>
                <w:rFonts w:cstheme="minorHAnsi"/>
                <w:sz w:val="20"/>
                <w:szCs w:val="20"/>
              </w:rPr>
              <w:t>↓</w:t>
            </w:r>
            <w:r>
              <w:rPr>
                <w:rFonts w:cstheme="minorHAnsi"/>
                <w:sz w:val="20"/>
                <w:szCs w:val="20"/>
              </w:rPr>
              <w:t xml:space="preserve"> stomach pain</w:t>
            </w:r>
          </w:p>
          <w:p w14:paraId="0F3AE770" w14:textId="77777777" w:rsidR="009F71D2" w:rsidRDefault="009F71D2" w:rsidP="009F71D2">
            <w:pPr>
              <w:rPr>
                <w:rFonts w:cstheme="minorHAnsi"/>
                <w:sz w:val="20"/>
                <w:szCs w:val="20"/>
              </w:rPr>
            </w:pPr>
          </w:p>
          <w:p w14:paraId="2C46D2FC" w14:textId="77777777" w:rsidR="009F71D2" w:rsidRPr="005436BA" w:rsidRDefault="009F71D2" w:rsidP="009F71D2">
            <w:pPr>
              <w:rPr>
                <w:rFonts w:cstheme="minorHAnsi"/>
                <w:sz w:val="20"/>
                <w:szCs w:val="20"/>
              </w:rPr>
            </w:pPr>
          </w:p>
          <w:p w14:paraId="21B8C5A1" w14:textId="77777777" w:rsidR="009F71D2" w:rsidRPr="005436BA" w:rsidRDefault="009F71D2">
            <w:pPr>
              <w:rPr>
                <w:rFonts w:cstheme="minorHAnsi"/>
                <w:sz w:val="20"/>
                <w:szCs w:val="20"/>
              </w:rPr>
            </w:pPr>
          </w:p>
        </w:tc>
      </w:tr>
      <w:tr w:rsidR="000E30EF" w:rsidRPr="005436BA" w14:paraId="6CFC8D70" w14:textId="77777777" w:rsidTr="0054464E">
        <w:trPr>
          <w:cantSplit/>
        </w:trPr>
        <w:tc>
          <w:tcPr>
            <w:tcW w:w="1562" w:type="dxa"/>
          </w:tcPr>
          <w:p w14:paraId="32681613" w14:textId="718E9918" w:rsidR="000E30EF" w:rsidRPr="00A51600" w:rsidRDefault="000E30EF" w:rsidP="007E4864">
            <w:pPr>
              <w:rPr>
                <w:sz w:val="20"/>
                <w:szCs w:val="20"/>
              </w:rPr>
            </w:pPr>
            <w:proofErr w:type="spellStart"/>
            <w:r w:rsidRPr="00A51600">
              <w:rPr>
                <w:sz w:val="20"/>
                <w:szCs w:val="20"/>
              </w:rPr>
              <w:lastRenderedPageBreak/>
              <w:t>Bonafont</w:t>
            </w:r>
            <w:proofErr w:type="spellEnd"/>
            <w:r w:rsidRPr="00A51600">
              <w:rPr>
                <w:sz w:val="20"/>
                <w:szCs w:val="20"/>
              </w:rPr>
              <w:t xml:space="preserve"> Reyes 2022</w:t>
            </w:r>
          </w:p>
        </w:tc>
        <w:tc>
          <w:tcPr>
            <w:tcW w:w="1340" w:type="dxa"/>
          </w:tcPr>
          <w:p w14:paraId="5E23A8F3" w14:textId="5BE27D18" w:rsidR="000E30EF" w:rsidRPr="005436BA" w:rsidRDefault="000E30EF" w:rsidP="007E4864">
            <w:pPr>
              <w:rPr>
                <w:sz w:val="20"/>
                <w:szCs w:val="20"/>
              </w:rPr>
            </w:pPr>
            <w:r>
              <w:rPr>
                <w:sz w:val="20"/>
                <w:szCs w:val="20"/>
              </w:rPr>
              <w:t>Nicotine EC v NRT</w:t>
            </w:r>
          </w:p>
        </w:tc>
        <w:tc>
          <w:tcPr>
            <w:tcW w:w="887" w:type="dxa"/>
          </w:tcPr>
          <w:p w14:paraId="19154826" w14:textId="38B4D0C3" w:rsidR="000E30EF" w:rsidRPr="005436BA" w:rsidRDefault="000E30EF" w:rsidP="007E4864">
            <w:pPr>
              <w:rPr>
                <w:sz w:val="20"/>
                <w:szCs w:val="20"/>
              </w:rPr>
            </w:pPr>
            <w:r>
              <w:rPr>
                <w:sz w:val="20"/>
                <w:szCs w:val="20"/>
              </w:rPr>
              <w:t>12 weeks</w:t>
            </w:r>
          </w:p>
        </w:tc>
        <w:tc>
          <w:tcPr>
            <w:tcW w:w="7580" w:type="dxa"/>
          </w:tcPr>
          <w:p w14:paraId="607D936C" w14:textId="13DD7916" w:rsidR="000E30EF" w:rsidRPr="005436BA" w:rsidRDefault="000E30EF" w:rsidP="007E4864">
            <w:pPr>
              <w:rPr>
                <w:sz w:val="20"/>
                <w:szCs w:val="20"/>
              </w:rPr>
            </w:pPr>
            <w:r>
              <w:rPr>
                <w:sz w:val="20"/>
                <w:szCs w:val="20"/>
              </w:rPr>
              <w:t xml:space="preserve">“There was a trend towards decreased </w:t>
            </w:r>
            <w:proofErr w:type="spellStart"/>
            <w:r>
              <w:rPr>
                <w:sz w:val="20"/>
                <w:szCs w:val="20"/>
              </w:rPr>
              <w:t>dyspnea</w:t>
            </w:r>
            <w:proofErr w:type="spellEnd"/>
            <w:r>
              <w:rPr>
                <w:sz w:val="20"/>
                <w:szCs w:val="20"/>
              </w:rPr>
              <w:t xml:space="preserve"> and COPD symptoms… in the EC arm compared to the NRT arm”</w:t>
            </w:r>
          </w:p>
        </w:tc>
        <w:tc>
          <w:tcPr>
            <w:tcW w:w="2660" w:type="dxa"/>
          </w:tcPr>
          <w:p w14:paraId="4C8D8A39" w14:textId="3E615971" w:rsidR="000E30EF" w:rsidRPr="005436BA" w:rsidRDefault="000E30EF" w:rsidP="007E4864">
            <w:pPr>
              <w:rPr>
                <w:rFonts w:cstheme="minorHAnsi"/>
                <w:sz w:val="20"/>
                <w:szCs w:val="20"/>
              </w:rPr>
            </w:pPr>
            <w:r w:rsidRPr="005436BA">
              <w:rPr>
                <w:rFonts w:cstheme="minorHAnsi"/>
                <w:sz w:val="20"/>
                <w:szCs w:val="20"/>
              </w:rPr>
              <w:t>↓</w:t>
            </w:r>
          </w:p>
        </w:tc>
      </w:tr>
      <w:tr w:rsidR="005436BA" w:rsidRPr="005436BA" w14:paraId="73D55A9B" w14:textId="77777777" w:rsidTr="0054464E">
        <w:trPr>
          <w:cantSplit/>
        </w:trPr>
        <w:tc>
          <w:tcPr>
            <w:tcW w:w="1562" w:type="dxa"/>
          </w:tcPr>
          <w:p w14:paraId="55A76431" w14:textId="77777777" w:rsidR="005436BA" w:rsidRPr="005436BA" w:rsidRDefault="005436BA" w:rsidP="007E4864">
            <w:pPr>
              <w:rPr>
                <w:sz w:val="20"/>
                <w:szCs w:val="20"/>
              </w:rPr>
            </w:pPr>
            <w:proofErr w:type="spellStart"/>
            <w:r w:rsidRPr="005436BA">
              <w:rPr>
                <w:sz w:val="20"/>
                <w:szCs w:val="20"/>
              </w:rPr>
              <w:t>Caponetto</w:t>
            </w:r>
            <w:proofErr w:type="spellEnd"/>
            <w:r w:rsidRPr="005436BA">
              <w:rPr>
                <w:sz w:val="20"/>
                <w:szCs w:val="20"/>
              </w:rPr>
              <w:t xml:space="preserve"> 2013a</w:t>
            </w:r>
          </w:p>
        </w:tc>
        <w:tc>
          <w:tcPr>
            <w:tcW w:w="1340" w:type="dxa"/>
          </w:tcPr>
          <w:p w14:paraId="11BB9CCC" w14:textId="77777777" w:rsidR="005436BA" w:rsidRPr="005436BA" w:rsidRDefault="005436BA" w:rsidP="007E4864">
            <w:pPr>
              <w:rPr>
                <w:sz w:val="20"/>
                <w:szCs w:val="20"/>
              </w:rPr>
            </w:pPr>
            <w:r w:rsidRPr="005436BA">
              <w:rPr>
                <w:sz w:val="20"/>
                <w:szCs w:val="20"/>
              </w:rPr>
              <w:t>Nicotine EC v no-nicotine EC</w:t>
            </w:r>
          </w:p>
        </w:tc>
        <w:tc>
          <w:tcPr>
            <w:tcW w:w="887" w:type="dxa"/>
          </w:tcPr>
          <w:p w14:paraId="657AEE49" w14:textId="77777777" w:rsidR="005436BA" w:rsidRPr="005436BA" w:rsidRDefault="005436BA" w:rsidP="007E4864">
            <w:pPr>
              <w:rPr>
                <w:sz w:val="20"/>
                <w:szCs w:val="20"/>
              </w:rPr>
            </w:pPr>
            <w:r w:rsidRPr="005436BA">
              <w:rPr>
                <w:sz w:val="20"/>
                <w:szCs w:val="20"/>
              </w:rPr>
              <w:t>3 and 12 months</w:t>
            </w:r>
          </w:p>
        </w:tc>
        <w:tc>
          <w:tcPr>
            <w:tcW w:w="7580" w:type="dxa"/>
          </w:tcPr>
          <w:p w14:paraId="38145EDB" w14:textId="77777777" w:rsidR="005436BA" w:rsidRPr="005436BA" w:rsidRDefault="005436BA" w:rsidP="007E4864">
            <w:pPr>
              <w:rPr>
                <w:sz w:val="20"/>
                <w:szCs w:val="20"/>
              </w:rPr>
            </w:pPr>
            <w:r w:rsidRPr="005436BA">
              <w:rPr>
                <w:sz w:val="20"/>
                <w:szCs w:val="20"/>
              </w:rPr>
              <w:t>No difference in frequency of AEs between groups. 5 most frequently reported at baseline: cough (26%), dry mouth (22%), shortness of breath (20%), throat irritation (17%), and headache (17%). In all groups the frequency of AEs decreased significantly over time, with the exception of throat irritation.</w:t>
            </w:r>
          </w:p>
        </w:tc>
        <w:tc>
          <w:tcPr>
            <w:tcW w:w="2660" w:type="dxa"/>
          </w:tcPr>
          <w:p w14:paraId="0087C676" w14:textId="752AAB63" w:rsidR="005436BA" w:rsidRPr="005436BA" w:rsidRDefault="005436BA" w:rsidP="007E4864">
            <w:pPr>
              <w:rPr>
                <w:sz w:val="20"/>
                <w:szCs w:val="20"/>
              </w:rPr>
            </w:pPr>
            <w:r w:rsidRPr="005436BA">
              <w:rPr>
                <w:rFonts w:cstheme="minorHAnsi"/>
                <w:sz w:val="20"/>
                <w:szCs w:val="20"/>
              </w:rPr>
              <w:t>↔</w:t>
            </w:r>
            <w:r w:rsidR="00A862A7">
              <w:rPr>
                <w:rFonts w:cstheme="minorHAnsi"/>
                <w:sz w:val="20"/>
                <w:szCs w:val="20"/>
              </w:rPr>
              <w:t>-</w:t>
            </w:r>
          </w:p>
        </w:tc>
      </w:tr>
      <w:tr w:rsidR="00302237" w:rsidRPr="005436BA" w14:paraId="11D21400" w14:textId="77777777" w:rsidTr="0054464E">
        <w:trPr>
          <w:cantSplit/>
        </w:trPr>
        <w:tc>
          <w:tcPr>
            <w:tcW w:w="1562" w:type="dxa"/>
          </w:tcPr>
          <w:p w14:paraId="430BBD2B" w14:textId="748FB47A" w:rsidR="00302237" w:rsidRPr="00A51600" w:rsidRDefault="00302237" w:rsidP="007E4864">
            <w:pPr>
              <w:rPr>
                <w:sz w:val="20"/>
                <w:szCs w:val="20"/>
              </w:rPr>
            </w:pPr>
            <w:r w:rsidRPr="00A51600">
              <w:rPr>
                <w:sz w:val="20"/>
                <w:szCs w:val="20"/>
              </w:rPr>
              <w:t>Edmiston 2022</w:t>
            </w:r>
          </w:p>
        </w:tc>
        <w:tc>
          <w:tcPr>
            <w:tcW w:w="1340" w:type="dxa"/>
          </w:tcPr>
          <w:p w14:paraId="3464F67C" w14:textId="08694FBB" w:rsidR="00302237" w:rsidRPr="005436BA" w:rsidRDefault="00302237" w:rsidP="007E4864">
            <w:pPr>
              <w:rPr>
                <w:sz w:val="20"/>
                <w:szCs w:val="20"/>
              </w:rPr>
            </w:pPr>
            <w:r>
              <w:rPr>
                <w:sz w:val="20"/>
                <w:szCs w:val="20"/>
              </w:rPr>
              <w:t>Nicotine EC (comparison of flavours) v behavioural support only</w:t>
            </w:r>
          </w:p>
        </w:tc>
        <w:tc>
          <w:tcPr>
            <w:tcW w:w="887" w:type="dxa"/>
          </w:tcPr>
          <w:p w14:paraId="2050C10D" w14:textId="2EEDBCAB" w:rsidR="00302237" w:rsidRPr="005436BA" w:rsidRDefault="00302237" w:rsidP="007E4864">
            <w:pPr>
              <w:rPr>
                <w:sz w:val="20"/>
                <w:szCs w:val="20"/>
              </w:rPr>
            </w:pPr>
            <w:r>
              <w:rPr>
                <w:sz w:val="20"/>
                <w:szCs w:val="20"/>
              </w:rPr>
              <w:t>12 weeks</w:t>
            </w:r>
          </w:p>
        </w:tc>
        <w:tc>
          <w:tcPr>
            <w:tcW w:w="7580" w:type="dxa"/>
          </w:tcPr>
          <w:p w14:paraId="2719074A" w14:textId="1116F64D" w:rsidR="00302237" w:rsidRPr="00E36931" w:rsidRDefault="00302237" w:rsidP="00302237">
            <w:pPr>
              <w:rPr>
                <w:rFonts w:cstheme="minorHAnsi"/>
                <w:sz w:val="20"/>
                <w:szCs w:val="20"/>
              </w:rPr>
            </w:pPr>
            <w:r w:rsidRPr="00E36931">
              <w:rPr>
                <w:rFonts w:cstheme="minorHAnsi"/>
                <w:color w:val="2A2A2A"/>
                <w:sz w:val="20"/>
                <w:szCs w:val="20"/>
                <w:shd w:val="clear" w:color="auto" w:fill="FFFFFF"/>
              </w:rPr>
              <w:t>“33 total AEs were reported by 13 test 1 subjects; 3 subjects in test 1… experienced an AE definitely related to study product” (no breakdown by group)</w:t>
            </w:r>
          </w:p>
          <w:p w14:paraId="550AC692" w14:textId="77777777" w:rsidR="00302237" w:rsidRPr="005436BA" w:rsidRDefault="00302237" w:rsidP="007E4864">
            <w:pPr>
              <w:rPr>
                <w:sz w:val="20"/>
                <w:szCs w:val="20"/>
              </w:rPr>
            </w:pPr>
          </w:p>
        </w:tc>
        <w:tc>
          <w:tcPr>
            <w:tcW w:w="2660" w:type="dxa"/>
          </w:tcPr>
          <w:p w14:paraId="1970A762" w14:textId="77777777" w:rsidR="00302237" w:rsidRPr="005436BA" w:rsidRDefault="00302237" w:rsidP="007E4864">
            <w:pPr>
              <w:rPr>
                <w:rFonts w:cstheme="minorHAnsi"/>
                <w:sz w:val="20"/>
                <w:szCs w:val="20"/>
              </w:rPr>
            </w:pPr>
          </w:p>
        </w:tc>
      </w:tr>
      <w:tr w:rsidR="005436BA" w:rsidRPr="005436BA" w14:paraId="7388F9A9" w14:textId="77777777" w:rsidTr="0054464E">
        <w:trPr>
          <w:cantSplit/>
        </w:trPr>
        <w:tc>
          <w:tcPr>
            <w:tcW w:w="1562" w:type="dxa"/>
          </w:tcPr>
          <w:p w14:paraId="5B01DFEC" w14:textId="77777777" w:rsidR="005436BA" w:rsidRPr="005436BA" w:rsidRDefault="005436BA" w:rsidP="007E4864">
            <w:pPr>
              <w:rPr>
                <w:sz w:val="20"/>
                <w:szCs w:val="20"/>
              </w:rPr>
            </w:pPr>
            <w:proofErr w:type="spellStart"/>
            <w:r w:rsidRPr="005436BA">
              <w:rPr>
                <w:sz w:val="20"/>
                <w:szCs w:val="20"/>
              </w:rPr>
              <w:t>Felicione</w:t>
            </w:r>
            <w:proofErr w:type="spellEnd"/>
            <w:r w:rsidRPr="005436BA">
              <w:rPr>
                <w:sz w:val="20"/>
                <w:szCs w:val="20"/>
              </w:rPr>
              <w:t xml:space="preserve"> 2019</w:t>
            </w:r>
          </w:p>
        </w:tc>
        <w:tc>
          <w:tcPr>
            <w:tcW w:w="1340" w:type="dxa"/>
          </w:tcPr>
          <w:p w14:paraId="71F85099" w14:textId="77777777" w:rsidR="005436BA" w:rsidRPr="005436BA" w:rsidRDefault="005436BA" w:rsidP="007E4864">
            <w:pPr>
              <w:rPr>
                <w:sz w:val="20"/>
                <w:szCs w:val="20"/>
              </w:rPr>
            </w:pPr>
            <w:r w:rsidRPr="005436BA">
              <w:rPr>
                <w:sz w:val="20"/>
                <w:szCs w:val="20"/>
              </w:rPr>
              <w:t>Nicotine EC v non-nicotine EC</w:t>
            </w:r>
          </w:p>
        </w:tc>
        <w:tc>
          <w:tcPr>
            <w:tcW w:w="887" w:type="dxa"/>
          </w:tcPr>
          <w:p w14:paraId="5E39050D" w14:textId="77777777" w:rsidR="005436BA" w:rsidRPr="005436BA" w:rsidRDefault="005436BA" w:rsidP="007E4864">
            <w:pPr>
              <w:rPr>
                <w:sz w:val="20"/>
                <w:szCs w:val="20"/>
              </w:rPr>
            </w:pPr>
            <w:r w:rsidRPr="005436BA">
              <w:rPr>
                <w:sz w:val="20"/>
                <w:szCs w:val="20"/>
              </w:rPr>
              <w:t>4 weeks</w:t>
            </w:r>
          </w:p>
        </w:tc>
        <w:tc>
          <w:tcPr>
            <w:tcW w:w="7580" w:type="dxa"/>
          </w:tcPr>
          <w:p w14:paraId="4C83AD25" w14:textId="1F48CB2A" w:rsidR="005436BA" w:rsidRPr="005436BA" w:rsidRDefault="005436BA" w:rsidP="00010DAD">
            <w:pPr>
              <w:rPr>
                <w:sz w:val="20"/>
                <w:szCs w:val="20"/>
              </w:rPr>
            </w:pPr>
            <w:r w:rsidRPr="005436BA">
              <w:rPr>
                <w:sz w:val="20"/>
                <w:szCs w:val="20"/>
              </w:rPr>
              <w:t>Total n = 25. Number of participants reporting: headaches (n</w:t>
            </w:r>
            <w:r w:rsidR="00A862A7">
              <w:rPr>
                <w:sz w:val="20"/>
                <w:szCs w:val="20"/>
              </w:rPr>
              <w:t xml:space="preserve"> </w:t>
            </w:r>
            <w:r w:rsidRPr="005436BA">
              <w:rPr>
                <w:sz w:val="20"/>
                <w:szCs w:val="20"/>
              </w:rPr>
              <w:t>=</w:t>
            </w:r>
            <w:r w:rsidR="00A862A7">
              <w:rPr>
                <w:sz w:val="20"/>
                <w:szCs w:val="20"/>
              </w:rPr>
              <w:t xml:space="preserve"> </w:t>
            </w:r>
            <w:r w:rsidRPr="005436BA">
              <w:rPr>
                <w:sz w:val="20"/>
                <w:szCs w:val="20"/>
              </w:rPr>
              <w:t>8), throat irritation (n</w:t>
            </w:r>
            <w:r w:rsidR="00A862A7">
              <w:rPr>
                <w:sz w:val="20"/>
                <w:szCs w:val="20"/>
              </w:rPr>
              <w:t xml:space="preserve"> </w:t>
            </w:r>
            <w:r w:rsidRPr="005436BA">
              <w:rPr>
                <w:sz w:val="20"/>
                <w:szCs w:val="20"/>
              </w:rPr>
              <w:t>=</w:t>
            </w:r>
            <w:r w:rsidR="00A862A7">
              <w:rPr>
                <w:sz w:val="20"/>
                <w:szCs w:val="20"/>
              </w:rPr>
              <w:t xml:space="preserve"> </w:t>
            </w:r>
            <w:r w:rsidRPr="005436BA">
              <w:rPr>
                <w:sz w:val="20"/>
                <w:szCs w:val="20"/>
              </w:rPr>
              <w:t>6), nausea (n</w:t>
            </w:r>
            <w:r w:rsidR="00A862A7">
              <w:rPr>
                <w:sz w:val="20"/>
                <w:szCs w:val="20"/>
              </w:rPr>
              <w:t xml:space="preserve"> </w:t>
            </w:r>
            <w:r w:rsidRPr="005436BA">
              <w:rPr>
                <w:sz w:val="20"/>
                <w:szCs w:val="20"/>
              </w:rPr>
              <w:t>=</w:t>
            </w:r>
            <w:r w:rsidR="00A862A7">
              <w:rPr>
                <w:sz w:val="20"/>
                <w:szCs w:val="20"/>
              </w:rPr>
              <w:t xml:space="preserve"> </w:t>
            </w:r>
            <w:r w:rsidRPr="005436BA">
              <w:rPr>
                <w:sz w:val="20"/>
                <w:szCs w:val="20"/>
              </w:rPr>
              <w:t>4), dry mouth (n</w:t>
            </w:r>
            <w:r w:rsidR="00A862A7">
              <w:rPr>
                <w:sz w:val="20"/>
                <w:szCs w:val="20"/>
              </w:rPr>
              <w:t xml:space="preserve"> </w:t>
            </w:r>
            <w:r w:rsidRPr="005436BA">
              <w:rPr>
                <w:sz w:val="20"/>
                <w:szCs w:val="20"/>
              </w:rPr>
              <w:t>=</w:t>
            </w:r>
            <w:r w:rsidR="00A862A7">
              <w:rPr>
                <w:sz w:val="20"/>
                <w:szCs w:val="20"/>
              </w:rPr>
              <w:t xml:space="preserve"> </w:t>
            </w:r>
            <w:r w:rsidRPr="005436BA">
              <w:rPr>
                <w:sz w:val="20"/>
                <w:szCs w:val="20"/>
              </w:rPr>
              <w:t>3), coughing (n</w:t>
            </w:r>
            <w:r w:rsidR="00A862A7">
              <w:rPr>
                <w:sz w:val="20"/>
                <w:szCs w:val="20"/>
              </w:rPr>
              <w:t xml:space="preserve"> </w:t>
            </w:r>
            <w:r w:rsidRPr="005436BA">
              <w:rPr>
                <w:sz w:val="20"/>
                <w:szCs w:val="20"/>
              </w:rPr>
              <w:t>=</w:t>
            </w:r>
            <w:r w:rsidR="00A862A7">
              <w:rPr>
                <w:sz w:val="20"/>
                <w:szCs w:val="20"/>
              </w:rPr>
              <w:t xml:space="preserve"> </w:t>
            </w:r>
            <w:r w:rsidRPr="005436BA">
              <w:rPr>
                <w:sz w:val="20"/>
                <w:szCs w:val="20"/>
              </w:rPr>
              <w:t>3), dizziness (n</w:t>
            </w:r>
            <w:r w:rsidR="00A862A7">
              <w:rPr>
                <w:sz w:val="20"/>
                <w:szCs w:val="20"/>
              </w:rPr>
              <w:t xml:space="preserve"> </w:t>
            </w:r>
            <w:r w:rsidRPr="005436BA">
              <w:rPr>
                <w:sz w:val="20"/>
                <w:szCs w:val="20"/>
              </w:rPr>
              <w:t>=</w:t>
            </w:r>
            <w:r w:rsidR="00A862A7">
              <w:rPr>
                <w:sz w:val="20"/>
                <w:szCs w:val="20"/>
              </w:rPr>
              <w:t xml:space="preserve"> </w:t>
            </w:r>
            <w:r w:rsidRPr="005436BA">
              <w:rPr>
                <w:sz w:val="20"/>
                <w:szCs w:val="20"/>
              </w:rPr>
              <w:t>2), shortness of breath (n</w:t>
            </w:r>
            <w:r w:rsidR="00A862A7">
              <w:rPr>
                <w:sz w:val="20"/>
                <w:szCs w:val="20"/>
              </w:rPr>
              <w:t xml:space="preserve"> </w:t>
            </w:r>
            <w:r w:rsidRPr="005436BA">
              <w:rPr>
                <w:sz w:val="20"/>
                <w:szCs w:val="20"/>
              </w:rPr>
              <w:t>=</w:t>
            </w:r>
            <w:r w:rsidR="00A862A7">
              <w:rPr>
                <w:sz w:val="20"/>
                <w:szCs w:val="20"/>
              </w:rPr>
              <w:t xml:space="preserve"> </w:t>
            </w:r>
            <w:r w:rsidRPr="005436BA">
              <w:rPr>
                <w:sz w:val="20"/>
                <w:szCs w:val="20"/>
              </w:rPr>
              <w:t>2). 52% of participants reported one of these effects during intervention period.  Compared frequency between groups: “items with the largest effect sizes included throat irritation (p=.12, OR</w:t>
            </w:r>
            <w:r w:rsidR="00A862A7">
              <w:rPr>
                <w:sz w:val="20"/>
                <w:szCs w:val="20"/>
              </w:rPr>
              <w:t xml:space="preserve"> </w:t>
            </w:r>
            <w:r w:rsidRPr="005436BA">
              <w:rPr>
                <w:sz w:val="20"/>
                <w:szCs w:val="20"/>
              </w:rPr>
              <w:t>=</w:t>
            </w:r>
            <w:r w:rsidR="00A862A7">
              <w:rPr>
                <w:sz w:val="20"/>
                <w:szCs w:val="20"/>
              </w:rPr>
              <w:t xml:space="preserve"> </w:t>
            </w:r>
            <w:r w:rsidRPr="005436BA">
              <w:rPr>
                <w:sz w:val="20"/>
                <w:szCs w:val="20"/>
              </w:rPr>
              <w:t xml:space="preserve">5.6) and headache </w:t>
            </w:r>
            <w:r w:rsidR="00A862A7">
              <w:rPr>
                <w:sz w:val="20"/>
                <w:szCs w:val="20"/>
              </w:rPr>
              <w:t xml:space="preserve">P </w:t>
            </w:r>
            <w:r w:rsidRPr="005436BA">
              <w:rPr>
                <w:sz w:val="20"/>
                <w:szCs w:val="20"/>
              </w:rPr>
              <w:t>=</w:t>
            </w:r>
            <w:r w:rsidR="00A862A7">
              <w:rPr>
                <w:sz w:val="20"/>
                <w:szCs w:val="20"/>
              </w:rPr>
              <w:t xml:space="preserve"> </w:t>
            </w:r>
            <w:r w:rsidRPr="005436BA">
              <w:rPr>
                <w:sz w:val="20"/>
                <w:szCs w:val="20"/>
              </w:rPr>
              <w:t>.10; OR</w:t>
            </w:r>
            <w:r w:rsidR="00A862A7">
              <w:rPr>
                <w:sz w:val="20"/>
                <w:szCs w:val="20"/>
              </w:rPr>
              <w:t xml:space="preserve"> </w:t>
            </w:r>
            <w:r w:rsidRPr="005436BA">
              <w:rPr>
                <w:sz w:val="20"/>
                <w:szCs w:val="20"/>
              </w:rPr>
              <w:t>=</w:t>
            </w:r>
            <w:r w:rsidR="00A862A7">
              <w:rPr>
                <w:sz w:val="20"/>
                <w:szCs w:val="20"/>
              </w:rPr>
              <w:t xml:space="preserve"> </w:t>
            </w:r>
            <w:r w:rsidRPr="005436BA">
              <w:rPr>
                <w:sz w:val="20"/>
                <w:szCs w:val="20"/>
              </w:rPr>
              <w:t>4.5). Other side effect items revealed small effect sizes, with ORs ranging from 0.04 to 1.7 (</w:t>
            </w:r>
            <w:r w:rsidR="00A862A7">
              <w:rPr>
                <w:sz w:val="20"/>
                <w:szCs w:val="20"/>
              </w:rPr>
              <w:t>P</w:t>
            </w:r>
            <w:r w:rsidRPr="005436BA">
              <w:rPr>
                <w:sz w:val="20"/>
                <w:szCs w:val="20"/>
              </w:rPr>
              <w:t>s</w:t>
            </w:r>
            <w:r w:rsidR="00A862A7">
              <w:rPr>
                <w:sz w:val="20"/>
                <w:szCs w:val="20"/>
              </w:rPr>
              <w:t xml:space="preserve"> </w:t>
            </w:r>
            <w:r w:rsidRPr="005436BA">
              <w:rPr>
                <w:sz w:val="20"/>
                <w:szCs w:val="20"/>
              </w:rPr>
              <w:t>=</w:t>
            </w:r>
            <w:r w:rsidR="00A862A7">
              <w:rPr>
                <w:sz w:val="20"/>
                <w:szCs w:val="20"/>
              </w:rPr>
              <w:t xml:space="preserve"> </w:t>
            </w:r>
            <w:r w:rsidRPr="005436BA">
              <w:rPr>
                <w:sz w:val="20"/>
                <w:szCs w:val="20"/>
              </w:rPr>
              <w:t>0.10 to 0.86).”</w:t>
            </w:r>
          </w:p>
        </w:tc>
        <w:tc>
          <w:tcPr>
            <w:tcW w:w="2660" w:type="dxa"/>
          </w:tcPr>
          <w:p w14:paraId="72965415" w14:textId="77777777" w:rsidR="005436BA" w:rsidRPr="005436BA" w:rsidRDefault="005436BA" w:rsidP="007E4864">
            <w:pPr>
              <w:rPr>
                <w:rFonts w:cstheme="minorHAnsi"/>
                <w:sz w:val="20"/>
                <w:szCs w:val="20"/>
              </w:rPr>
            </w:pPr>
            <w:r w:rsidRPr="005436BA">
              <w:rPr>
                <w:rFonts w:cstheme="minorHAnsi"/>
                <w:sz w:val="20"/>
                <w:szCs w:val="20"/>
              </w:rPr>
              <w:t>↑ throat irritation</w:t>
            </w:r>
          </w:p>
          <w:p w14:paraId="0C249C33" w14:textId="77777777" w:rsidR="005436BA" w:rsidRPr="005436BA" w:rsidRDefault="005436BA" w:rsidP="007E4864">
            <w:pPr>
              <w:rPr>
                <w:sz w:val="20"/>
                <w:szCs w:val="20"/>
              </w:rPr>
            </w:pPr>
            <w:r w:rsidRPr="005436BA">
              <w:rPr>
                <w:rFonts w:cstheme="minorHAnsi"/>
                <w:sz w:val="20"/>
                <w:szCs w:val="20"/>
              </w:rPr>
              <w:t>↑ headache</w:t>
            </w:r>
          </w:p>
        </w:tc>
      </w:tr>
      <w:tr w:rsidR="005436BA" w:rsidRPr="005436BA" w14:paraId="54A57018" w14:textId="77777777" w:rsidTr="0054464E">
        <w:trPr>
          <w:cantSplit/>
        </w:trPr>
        <w:tc>
          <w:tcPr>
            <w:tcW w:w="1562" w:type="dxa"/>
          </w:tcPr>
          <w:p w14:paraId="68DEBDE1" w14:textId="77777777" w:rsidR="005436BA" w:rsidRPr="005436BA" w:rsidRDefault="005436BA" w:rsidP="007E4864">
            <w:pPr>
              <w:rPr>
                <w:sz w:val="20"/>
                <w:szCs w:val="20"/>
              </w:rPr>
            </w:pPr>
            <w:r w:rsidRPr="005436BA">
              <w:rPr>
                <w:sz w:val="20"/>
                <w:szCs w:val="20"/>
              </w:rPr>
              <w:t>Hajek 2019</w:t>
            </w:r>
          </w:p>
        </w:tc>
        <w:tc>
          <w:tcPr>
            <w:tcW w:w="1340" w:type="dxa"/>
          </w:tcPr>
          <w:p w14:paraId="442759BF" w14:textId="77777777" w:rsidR="005436BA" w:rsidRPr="005436BA" w:rsidRDefault="005436BA" w:rsidP="007E4864">
            <w:pPr>
              <w:rPr>
                <w:sz w:val="20"/>
                <w:szCs w:val="20"/>
              </w:rPr>
            </w:pPr>
            <w:r w:rsidRPr="005436BA">
              <w:rPr>
                <w:sz w:val="20"/>
                <w:szCs w:val="20"/>
              </w:rPr>
              <w:t>Nicotine EC v NRT</w:t>
            </w:r>
          </w:p>
        </w:tc>
        <w:tc>
          <w:tcPr>
            <w:tcW w:w="887" w:type="dxa"/>
          </w:tcPr>
          <w:p w14:paraId="34AADBA4" w14:textId="20C6AC97" w:rsidR="005436BA" w:rsidRPr="005436BA" w:rsidRDefault="005436BA" w:rsidP="00E36931">
            <w:pPr>
              <w:rPr>
                <w:sz w:val="20"/>
                <w:szCs w:val="20"/>
              </w:rPr>
            </w:pPr>
            <w:r w:rsidRPr="005436BA">
              <w:rPr>
                <w:sz w:val="20"/>
                <w:szCs w:val="20"/>
              </w:rPr>
              <w:t>Weeks 1</w:t>
            </w:r>
            <w:r w:rsidR="00E36931">
              <w:rPr>
                <w:sz w:val="20"/>
                <w:szCs w:val="20"/>
              </w:rPr>
              <w:t xml:space="preserve"> to </w:t>
            </w:r>
            <w:r w:rsidRPr="005436BA">
              <w:rPr>
                <w:sz w:val="20"/>
                <w:szCs w:val="20"/>
              </w:rPr>
              <w:t>6</w:t>
            </w:r>
          </w:p>
        </w:tc>
        <w:tc>
          <w:tcPr>
            <w:tcW w:w="7580" w:type="dxa"/>
          </w:tcPr>
          <w:p w14:paraId="19B8E198" w14:textId="46A6BA70" w:rsidR="005436BA" w:rsidRPr="005436BA" w:rsidRDefault="005436BA" w:rsidP="007E4864">
            <w:pPr>
              <w:rPr>
                <w:sz w:val="20"/>
                <w:szCs w:val="20"/>
              </w:rPr>
            </w:pPr>
            <w:r w:rsidRPr="005436BA">
              <w:rPr>
                <w:sz w:val="20"/>
                <w:szCs w:val="20"/>
              </w:rPr>
              <w:t xml:space="preserve">Only prespecified outcomes collected.  Shortness of breath: 21% EC; 22.9% NRT. Wheezing 23.5% EC; 21.1% NRT. Cough 30.8% EC; 39.8% NRT. Phlegm 25.1% EC; 36.9% NRT. Nausea: 31% EC; 38% NRT. Throat/mouth irritation: 65% EC; 51% NRT. Sleep disturbances 64% EC; 68% NRT. </w:t>
            </w:r>
            <w:r w:rsidRPr="005436BA">
              <w:rPr>
                <w:i/>
                <w:sz w:val="20"/>
                <w:szCs w:val="20"/>
              </w:rPr>
              <w:t>Of these SEVERE: nausea 6.6% EC; 6.5% NRT. Throat/mouth irritation 5.9% EC, 3.8% NRT. Sleep disturbances 13% in both arms.</w:t>
            </w:r>
          </w:p>
        </w:tc>
        <w:tc>
          <w:tcPr>
            <w:tcW w:w="2660" w:type="dxa"/>
          </w:tcPr>
          <w:p w14:paraId="64B354D7" w14:textId="77777777" w:rsidR="005436BA" w:rsidRPr="005436BA" w:rsidRDefault="005436BA" w:rsidP="00246976">
            <w:pPr>
              <w:rPr>
                <w:rFonts w:cstheme="minorHAnsi"/>
                <w:sz w:val="20"/>
                <w:szCs w:val="20"/>
              </w:rPr>
            </w:pPr>
            <w:r w:rsidRPr="005436BA">
              <w:rPr>
                <w:rFonts w:cstheme="minorHAnsi"/>
                <w:sz w:val="20"/>
                <w:szCs w:val="20"/>
              </w:rPr>
              <w:t>Shortness of breath ↓</w:t>
            </w:r>
          </w:p>
          <w:p w14:paraId="4ECAA707" w14:textId="77777777" w:rsidR="005436BA" w:rsidRPr="005436BA" w:rsidRDefault="005436BA" w:rsidP="00246976">
            <w:pPr>
              <w:rPr>
                <w:rFonts w:cstheme="minorHAnsi"/>
                <w:sz w:val="20"/>
                <w:szCs w:val="20"/>
              </w:rPr>
            </w:pPr>
            <w:r w:rsidRPr="005436BA">
              <w:rPr>
                <w:rFonts w:cstheme="minorHAnsi"/>
                <w:sz w:val="20"/>
                <w:szCs w:val="20"/>
              </w:rPr>
              <w:t>Wheezing ↑</w:t>
            </w:r>
          </w:p>
          <w:p w14:paraId="4F769919" w14:textId="77777777" w:rsidR="005436BA" w:rsidRPr="005436BA" w:rsidRDefault="005436BA" w:rsidP="00246976">
            <w:pPr>
              <w:rPr>
                <w:rFonts w:cstheme="minorHAnsi"/>
                <w:sz w:val="20"/>
                <w:szCs w:val="20"/>
              </w:rPr>
            </w:pPr>
            <w:r w:rsidRPr="005436BA">
              <w:rPr>
                <w:rFonts w:cstheme="minorHAnsi"/>
                <w:sz w:val="20"/>
                <w:szCs w:val="20"/>
              </w:rPr>
              <w:t>Cough ↓</w:t>
            </w:r>
          </w:p>
          <w:p w14:paraId="13DC40F5" w14:textId="77777777" w:rsidR="005436BA" w:rsidRPr="005436BA" w:rsidRDefault="005436BA" w:rsidP="00246976">
            <w:pPr>
              <w:rPr>
                <w:rFonts w:cstheme="minorHAnsi"/>
                <w:sz w:val="20"/>
                <w:szCs w:val="20"/>
              </w:rPr>
            </w:pPr>
            <w:r w:rsidRPr="005436BA">
              <w:rPr>
                <w:rFonts w:cstheme="minorHAnsi"/>
                <w:sz w:val="20"/>
                <w:szCs w:val="20"/>
              </w:rPr>
              <w:t>Phlegm ↓</w:t>
            </w:r>
          </w:p>
          <w:p w14:paraId="03B4A790" w14:textId="77777777" w:rsidR="005436BA" w:rsidRPr="005436BA" w:rsidRDefault="005436BA" w:rsidP="00246976">
            <w:pPr>
              <w:rPr>
                <w:rFonts w:cstheme="minorHAnsi"/>
                <w:sz w:val="20"/>
                <w:szCs w:val="20"/>
              </w:rPr>
            </w:pPr>
            <w:r w:rsidRPr="005436BA">
              <w:rPr>
                <w:rFonts w:cstheme="minorHAnsi"/>
                <w:sz w:val="20"/>
                <w:szCs w:val="20"/>
              </w:rPr>
              <w:t>Nausea↓</w:t>
            </w:r>
          </w:p>
          <w:p w14:paraId="448CE766" w14:textId="77777777" w:rsidR="005436BA" w:rsidRPr="005436BA" w:rsidRDefault="005436BA" w:rsidP="00246976">
            <w:pPr>
              <w:rPr>
                <w:rFonts w:cstheme="minorHAnsi"/>
                <w:sz w:val="20"/>
                <w:szCs w:val="20"/>
              </w:rPr>
            </w:pPr>
            <w:r w:rsidRPr="005436BA">
              <w:rPr>
                <w:rFonts w:cstheme="minorHAnsi"/>
                <w:sz w:val="20"/>
                <w:szCs w:val="20"/>
              </w:rPr>
              <w:t>Throat/mouth irritation ↑</w:t>
            </w:r>
          </w:p>
          <w:p w14:paraId="6C9614B6" w14:textId="77777777" w:rsidR="005436BA" w:rsidRPr="005436BA" w:rsidRDefault="005436BA" w:rsidP="00246976">
            <w:pPr>
              <w:rPr>
                <w:sz w:val="20"/>
                <w:szCs w:val="20"/>
              </w:rPr>
            </w:pPr>
            <w:r w:rsidRPr="005436BA">
              <w:rPr>
                <w:rFonts w:cstheme="minorHAnsi"/>
                <w:sz w:val="20"/>
                <w:szCs w:val="20"/>
              </w:rPr>
              <w:t>Sleep disturbances ↓</w:t>
            </w:r>
          </w:p>
        </w:tc>
      </w:tr>
      <w:tr w:rsidR="005436BA" w:rsidRPr="005436BA" w14:paraId="07DD0913" w14:textId="77777777" w:rsidTr="0054464E">
        <w:trPr>
          <w:cantSplit/>
        </w:trPr>
        <w:tc>
          <w:tcPr>
            <w:tcW w:w="1562" w:type="dxa"/>
          </w:tcPr>
          <w:p w14:paraId="69CA2ACC" w14:textId="77777777" w:rsidR="005436BA" w:rsidRPr="005436BA" w:rsidRDefault="005436BA" w:rsidP="007E4864">
            <w:pPr>
              <w:rPr>
                <w:sz w:val="20"/>
                <w:szCs w:val="20"/>
              </w:rPr>
            </w:pPr>
            <w:proofErr w:type="spellStart"/>
            <w:r w:rsidRPr="005436BA">
              <w:rPr>
                <w:sz w:val="20"/>
                <w:szCs w:val="20"/>
              </w:rPr>
              <w:t>Ioakeimidis</w:t>
            </w:r>
            <w:proofErr w:type="spellEnd"/>
            <w:r w:rsidRPr="005436BA">
              <w:rPr>
                <w:sz w:val="20"/>
                <w:szCs w:val="20"/>
              </w:rPr>
              <w:t xml:space="preserve"> 2018</w:t>
            </w:r>
          </w:p>
        </w:tc>
        <w:tc>
          <w:tcPr>
            <w:tcW w:w="1340" w:type="dxa"/>
          </w:tcPr>
          <w:p w14:paraId="0BD8CB66" w14:textId="77777777" w:rsidR="005436BA" w:rsidRPr="005436BA" w:rsidRDefault="005436BA" w:rsidP="007E4864">
            <w:pPr>
              <w:rPr>
                <w:sz w:val="20"/>
                <w:szCs w:val="20"/>
              </w:rPr>
            </w:pPr>
            <w:r w:rsidRPr="005436BA">
              <w:rPr>
                <w:sz w:val="20"/>
                <w:szCs w:val="20"/>
              </w:rPr>
              <w:t>Nicotine EC v varenicline</w:t>
            </w:r>
          </w:p>
        </w:tc>
        <w:tc>
          <w:tcPr>
            <w:tcW w:w="887" w:type="dxa"/>
          </w:tcPr>
          <w:p w14:paraId="16FFC220" w14:textId="77777777" w:rsidR="005436BA" w:rsidRPr="005436BA" w:rsidRDefault="005436BA" w:rsidP="007E4864">
            <w:pPr>
              <w:rPr>
                <w:sz w:val="20"/>
                <w:szCs w:val="20"/>
              </w:rPr>
            </w:pPr>
            <w:r w:rsidRPr="005436BA">
              <w:rPr>
                <w:sz w:val="20"/>
                <w:szCs w:val="20"/>
              </w:rPr>
              <w:t>12 weeks</w:t>
            </w:r>
          </w:p>
        </w:tc>
        <w:tc>
          <w:tcPr>
            <w:tcW w:w="7580" w:type="dxa"/>
          </w:tcPr>
          <w:p w14:paraId="6CC716B2" w14:textId="77777777" w:rsidR="005436BA" w:rsidRPr="005436BA" w:rsidRDefault="005436BA" w:rsidP="007E4864">
            <w:pPr>
              <w:rPr>
                <w:sz w:val="20"/>
                <w:szCs w:val="20"/>
              </w:rPr>
            </w:pPr>
            <w:r w:rsidRPr="005436BA">
              <w:rPr>
                <w:sz w:val="20"/>
                <w:szCs w:val="20"/>
              </w:rPr>
              <w:t>N = 27 per arm. Nausea 1 EC; 3 varenicline. Sleep disorders 2 EC; 2 varenicline.</w:t>
            </w:r>
          </w:p>
        </w:tc>
        <w:tc>
          <w:tcPr>
            <w:tcW w:w="2660" w:type="dxa"/>
          </w:tcPr>
          <w:p w14:paraId="2CBE9909" w14:textId="77777777" w:rsidR="005436BA" w:rsidRPr="005436BA" w:rsidRDefault="005436BA" w:rsidP="007E4864">
            <w:pPr>
              <w:rPr>
                <w:sz w:val="20"/>
                <w:szCs w:val="20"/>
              </w:rPr>
            </w:pPr>
            <w:r w:rsidRPr="005436BA">
              <w:rPr>
                <w:sz w:val="20"/>
                <w:szCs w:val="20"/>
              </w:rPr>
              <w:t xml:space="preserve">Nausea </w:t>
            </w:r>
            <w:r w:rsidRPr="005436BA">
              <w:rPr>
                <w:rFonts w:cstheme="minorHAnsi"/>
                <w:sz w:val="20"/>
                <w:szCs w:val="20"/>
              </w:rPr>
              <w:t>↓</w:t>
            </w:r>
          </w:p>
          <w:p w14:paraId="2701B72D" w14:textId="77777777" w:rsidR="005436BA" w:rsidRPr="005436BA" w:rsidRDefault="005436BA" w:rsidP="007E4864">
            <w:pPr>
              <w:rPr>
                <w:sz w:val="20"/>
                <w:szCs w:val="20"/>
              </w:rPr>
            </w:pPr>
            <w:r w:rsidRPr="005436BA">
              <w:rPr>
                <w:sz w:val="20"/>
                <w:szCs w:val="20"/>
              </w:rPr>
              <w:t xml:space="preserve">Sleep disorders </w:t>
            </w:r>
            <w:r w:rsidRPr="005436BA">
              <w:rPr>
                <w:rFonts w:cstheme="minorHAnsi"/>
                <w:sz w:val="20"/>
                <w:szCs w:val="20"/>
              </w:rPr>
              <w:t>↔</w:t>
            </w:r>
          </w:p>
        </w:tc>
      </w:tr>
      <w:tr w:rsidR="009B7881" w:rsidRPr="005436BA" w14:paraId="7DB27C50" w14:textId="77777777" w:rsidTr="0054464E">
        <w:trPr>
          <w:cantSplit/>
        </w:trPr>
        <w:tc>
          <w:tcPr>
            <w:tcW w:w="1562" w:type="dxa"/>
          </w:tcPr>
          <w:p w14:paraId="32933E05" w14:textId="748AB2D4" w:rsidR="009B7881" w:rsidRPr="005436BA" w:rsidRDefault="009B7881" w:rsidP="007E4864">
            <w:pPr>
              <w:rPr>
                <w:sz w:val="20"/>
                <w:szCs w:val="20"/>
              </w:rPr>
            </w:pPr>
            <w:r>
              <w:rPr>
                <w:sz w:val="20"/>
                <w:szCs w:val="20"/>
              </w:rPr>
              <w:lastRenderedPageBreak/>
              <w:t>Kimber 2021</w:t>
            </w:r>
          </w:p>
        </w:tc>
        <w:tc>
          <w:tcPr>
            <w:tcW w:w="1340" w:type="dxa"/>
          </w:tcPr>
          <w:p w14:paraId="55BF0282" w14:textId="68D0E07D" w:rsidR="009B7881" w:rsidRPr="005436BA" w:rsidRDefault="009B7881" w:rsidP="007E4864">
            <w:pPr>
              <w:rPr>
                <w:sz w:val="20"/>
                <w:szCs w:val="20"/>
              </w:rPr>
            </w:pPr>
            <w:r>
              <w:rPr>
                <w:sz w:val="20"/>
                <w:szCs w:val="20"/>
              </w:rPr>
              <w:t>Nicotine EC (comparisons by nicotine level and device type)</w:t>
            </w:r>
          </w:p>
        </w:tc>
        <w:tc>
          <w:tcPr>
            <w:tcW w:w="887" w:type="dxa"/>
          </w:tcPr>
          <w:p w14:paraId="1BD01403" w14:textId="038CCDDC" w:rsidR="009B7881" w:rsidRPr="005436BA" w:rsidRDefault="009B7881" w:rsidP="007E4864">
            <w:pPr>
              <w:rPr>
                <w:sz w:val="20"/>
                <w:szCs w:val="20"/>
              </w:rPr>
            </w:pPr>
            <w:r>
              <w:rPr>
                <w:sz w:val="20"/>
                <w:szCs w:val="20"/>
              </w:rPr>
              <w:t>2 weeks</w:t>
            </w:r>
          </w:p>
        </w:tc>
        <w:tc>
          <w:tcPr>
            <w:tcW w:w="7580" w:type="dxa"/>
          </w:tcPr>
          <w:p w14:paraId="4912F1ED" w14:textId="176AF229" w:rsidR="009B7881" w:rsidRPr="00E36931" w:rsidRDefault="00E36931" w:rsidP="009B7881">
            <w:pPr>
              <w:contextualSpacing/>
              <w:rPr>
                <w:rFonts w:cstheme="minorHAnsi"/>
                <w:sz w:val="20"/>
                <w:szCs w:val="20"/>
              </w:rPr>
            </w:pPr>
            <w:proofErr w:type="gramStart"/>
            <w:r>
              <w:rPr>
                <w:rFonts w:cstheme="minorHAnsi"/>
                <w:sz w:val="20"/>
                <w:szCs w:val="20"/>
              </w:rPr>
              <w:t>“</w:t>
            </w:r>
            <w:r w:rsidR="009B7881" w:rsidRPr="00E36931">
              <w:rPr>
                <w:rFonts w:cstheme="minorHAnsi"/>
                <w:sz w:val="20"/>
                <w:szCs w:val="20"/>
              </w:rPr>
              <w:t xml:space="preserve">There was no main effect of time on the overall adverse effects reported following EC use in the lab sessions, </w:t>
            </w:r>
            <w:r w:rsidR="009B7881" w:rsidRPr="00E36931">
              <w:rPr>
                <w:rFonts w:cstheme="minorHAnsi"/>
                <w:iCs/>
                <w:sz w:val="20"/>
                <w:szCs w:val="20"/>
              </w:rPr>
              <w:t>F</w:t>
            </w:r>
            <w:r w:rsidR="009B7881" w:rsidRPr="00E36931">
              <w:rPr>
                <w:rFonts w:cstheme="minorHAnsi"/>
                <w:sz w:val="20"/>
                <w:szCs w:val="20"/>
              </w:rPr>
              <w:t xml:space="preserve">(1.51, 70.92) = 0.875, </w:t>
            </w:r>
            <w:r w:rsidR="009B7881" w:rsidRPr="00E36931">
              <w:rPr>
                <w:rFonts w:cstheme="minorHAnsi"/>
                <w:iCs/>
                <w:sz w:val="20"/>
                <w:szCs w:val="20"/>
              </w:rPr>
              <w:t xml:space="preserve">p </w:t>
            </w:r>
            <w:r w:rsidR="009B7881" w:rsidRPr="00E36931">
              <w:rPr>
                <w:rFonts w:cstheme="minorHAnsi"/>
                <w:sz w:val="20"/>
                <w:szCs w:val="20"/>
              </w:rPr>
              <w:t>= .394, ƞ2</w:t>
            </w:r>
            <w:r w:rsidR="009B7881" w:rsidRPr="00E36931">
              <w:rPr>
                <w:rFonts w:cstheme="minorHAnsi"/>
                <w:iCs/>
                <w:sz w:val="20"/>
                <w:szCs w:val="20"/>
              </w:rPr>
              <w:t xml:space="preserve">p </w:t>
            </w:r>
            <w:r w:rsidR="009B7881" w:rsidRPr="00E36931">
              <w:rPr>
                <w:rFonts w:cstheme="minorHAnsi"/>
                <w:sz w:val="20"/>
                <w:szCs w:val="20"/>
              </w:rPr>
              <w:t xml:space="preserve">= .018, no main effect of condition </w:t>
            </w:r>
            <w:r w:rsidR="009B7881" w:rsidRPr="00E36931">
              <w:rPr>
                <w:rFonts w:cstheme="minorHAnsi"/>
                <w:iCs/>
                <w:sz w:val="20"/>
                <w:szCs w:val="20"/>
              </w:rPr>
              <w:t>F</w:t>
            </w:r>
            <w:r w:rsidR="009B7881" w:rsidRPr="00E36931">
              <w:rPr>
                <w:rFonts w:cstheme="minorHAnsi"/>
                <w:sz w:val="20"/>
                <w:szCs w:val="20"/>
              </w:rPr>
              <w:t xml:space="preserve">(2, 47) = 0.864, </w:t>
            </w:r>
            <w:r w:rsidR="009B7881" w:rsidRPr="00E36931">
              <w:rPr>
                <w:rFonts w:cstheme="minorHAnsi"/>
                <w:iCs/>
                <w:sz w:val="20"/>
                <w:szCs w:val="20"/>
              </w:rPr>
              <w:t xml:space="preserve">p </w:t>
            </w:r>
            <w:r w:rsidR="009B7881" w:rsidRPr="00E36931">
              <w:rPr>
                <w:rFonts w:cstheme="minorHAnsi"/>
                <w:sz w:val="20"/>
                <w:szCs w:val="20"/>
              </w:rPr>
              <w:t>= .428, ƞ2</w:t>
            </w:r>
            <w:r w:rsidR="009B7881" w:rsidRPr="00E36931">
              <w:rPr>
                <w:rFonts w:cstheme="minorHAnsi"/>
                <w:iCs/>
                <w:sz w:val="20"/>
                <w:szCs w:val="20"/>
              </w:rPr>
              <w:t xml:space="preserve">p </w:t>
            </w:r>
            <w:r w:rsidR="009B7881" w:rsidRPr="00E36931">
              <w:rPr>
                <w:rFonts w:cstheme="minorHAnsi"/>
                <w:sz w:val="20"/>
                <w:szCs w:val="20"/>
              </w:rPr>
              <w:t xml:space="preserve">= .035, no significant time X condition interaction </w:t>
            </w:r>
            <w:r w:rsidR="009B7881" w:rsidRPr="00E36931">
              <w:rPr>
                <w:rFonts w:cstheme="minorHAnsi"/>
                <w:iCs/>
                <w:sz w:val="20"/>
                <w:szCs w:val="20"/>
              </w:rPr>
              <w:t>F</w:t>
            </w:r>
            <w:r w:rsidR="009B7881" w:rsidRPr="00E36931">
              <w:rPr>
                <w:rFonts w:cstheme="minorHAnsi"/>
                <w:sz w:val="20"/>
                <w:szCs w:val="20"/>
              </w:rPr>
              <w:t xml:space="preserve">(3.02, 70.92) = 0.636, </w:t>
            </w:r>
            <w:r w:rsidR="009B7881" w:rsidRPr="00E36931">
              <w:rPr>
                <w:rFonts w:cstheme="minorHAnsi"/>
                <w:iCs/>
                <w:sz w:val="20"/>
                <w:szCs w:val="20"/>
              </w:rPr>
              <w:t xml:space="preserve">p </w:t>
            </w:r>
            <w:r w:rsidR="009B7881" w:rsidRPr="00E36931">
              <w:rPr>
                <w:rFonts w:cstheme="minorHAnsi"/>
                <w:sz w:val="20"/>
                <w:szCs w:val="20"/>
              </w:rPr>
              <w:t>= .595, ƞ2</w:t>
            </w:r>
            <w:r w:rsidR="009B7881" w:rsidRPr="00E36931">
              <w:rPr>
                <w:rFonts w:cstheme="minorHAnsi"/>
                <w:iCs/>
                <w:sz w:val="20"/>
                <w:szCs w:val="20"/>
              </w:rPr>
              <w:t xml:space="preserve">p </w:t>
            </w:r>
            <w:r w:rsidR="009B7881" w:rsidRPr="00E36931">
              <w:rPr>
                <w:rFonts w:cstheme="minorHAnsi"/>
                <w:sz w:val="20"/>
                <w:szCs w:val="20"/>
              </w:rPr>
              <w:t>= .026…For the overall adverse effects, there were no changes over time or differences between conditions.”</w:t>
            </w:r>
            <w:proofErr w:type="gramEnd"/>
          </w:p>
          <w:p w14:paraId="189C8851" w14:textId="77777777" w:rsidR="009B7881" w:rsidRPr="005436BA" w:rsidRDefault="009B7881" w:rsidP="007E4864">
            <w:pPr>
              <w:rPr>
                <w:sz w:val="20"/>
                <w:szCs w:val="20"/>
              </w:rPr>
            </w:pPr>
          </w:p>
        </w:tc>
        <w:tc>
          <w:tcPr>
            <w:tcW w:w="2660" w:type="dxa"/>
          </w:tcPr>
          <w:p w14:paraId="48263B01" w14:textId="73DB53FB" w:rsidR="009B7881" w:rsidRPr="005436BA" w:rsidRDefault="009B7881" w:rsidP="007E4864">
            <w:pPr>
              <w:rPr>
                <w:sz w:val="20"/>
                <w:szCs w:val="20"/>
              </w:rPr>
            </w:pPr>
            <w:r w:rsidRPr="005436BA">
              <w:rPr>
                <w:rFonts w:cstheme="minorHAnsi"/>
                <w:sz w:val="20"/>
                <w:szCs w:val="20"/>
              </w:rPr>
              <w:t>↔</w:t>
            </w:r>
          </w:p>
        </w:tc>
      </w:tr>
      <w:tr w:rsidR="005436BA" w:rsidRPr="005436BA" w14:paraId="5FFF9328" w14:textId="77777777" w:rsidTr="0054464E">
        <w:trPr>
          <w:cantSplit/>
        </w:trPr>
        <w:tc>
          <w:tcPr>
            <w:tcW w:w="1562" w:type="dxa"/>
          </w:tcPr>
          <w:p w14:paraId="45B1DB91" w14:textId="77777777" w:rsidR="005436BA" w:rsidRPr="005436BA" w:rsidRDefault="005436BA" w:rsidP="007E4864">
            <w:pPr>
              <w:rPr>
                <w:sz w:val="20"/>
                <w:szCs w:val="20"/>
              </w:rPr>
            </w:pPr>
            <w:proofErr w:type="spellStart"/>
            <w:r w:rsidRPr="005436BA">
              <w:rPr>
                <w:sz w:val="20"/>
                <w:szCs w:val="20"/>
              </w:rPr>
              <w:t>Kumral</w:t>
            </w:r>
            <w:proofErr w:type="spellEnd"/>
            <w:r w:rsidRPr="005436BA">
              <w:rPr>
                <w:sz w:val="20"/>
                <w:szCs w:val="20"/>
              </w:rPr>
              <w:t xml:space="preserve"> 2016</w:t>
            </w:r>
          </w:p>
        </w:tc>
        <w:tc>
          <w:tcPr>
            <w:tcW w:w="1340" w:type="dxa"/>
          </w:tcPr>
          <w:p w14:paraId="53413652" w14:textId="77777777" w:rsidR="005436BA" w:rsidRPr="005436BA" w:rsidRDefault="005436BA" w:rsidP="007E4864">
            <w:pPr>
              <w:rPr>
                <w:sz w:val="20"/>
                <w:szCs w:val="20"/>
              </w:rPr>
            </w:pPr>
            <w:r w:rsidRPr="005436BA">
              <w:rPr>
                <w:sz w:val="20"/>
                <w:szCs w:val="20"/>
              </w:rPr>
              <w:t>Nicotine EC v CBT</w:t>
            </w:r>
          </w:p>
        </w:tc>
        <w:tc>
          <w:tcPr>
            <w:tcW w:w="887" w:type="dxa"/>
          </w:tcPr>
          <w:p w14:paraId="07CDD02B" w14:textId="77777777" w:rsidR="005436BA" w:rsidRPr="005436BA" w:rsidRDefault="005436BA" w:rsidP="007E4864">
            <w:pPr>
              <w:rPr>
                <w:sz w:val="20"/>
                <w:szCs w:val="20"/>
              </w:rPr>
            </w:pPr>
            <w:r w:rsidRPr="005436BA">
              <w:rPr>
                <w:sz w:val="20"/>
                <w:szCs w:val="20"/>
              </w:rPr>
              <w:t>3 months</w:t>
            </w:r>
          </w:p>
        </w:tc>
        <w:tc>
          <w:tcPr>
            <w:tcW w:w="7580" w:type="dxa"/>
          </w:tcPr>
          <w:p w14:paraId="7DB7B611" w14:textId="76A6D4F2" w:rsidR="005436BA" w:rsidRPr="005436BA" w:rsidRDefault="005436BA" w:rsidP="00246976">
            <w:pPr>
              <w:rPr>
                <w:sz w:val="20"/>
                <w:szCs w:val="20"/>
              </w:rPr>
            </w:pPr>
            <w:r w:rsidRPr="005436BA">
              <w:rPr>
                <w:sz w:val="20"/>
                <w:szCs w:val="20"/>
              </w:rPr>
              <w:t xml:space="preserve">Only measured </w:t>
            </w:r>
            <w:proofErr w:type="spellStart"/>
            <w:r w:rsidRPr="005436BA">
              <w:rPr>
                <w:sz w:val="20"/>
                <w:szCs w:val="20"/>
              </w:rPr>
              <w:t>sinonasal</w:t>
            </w:r>
            <w:proofErr w:type="spellEnd"/>
            <w:r w:rsidRPr="005436BA">
              <w:rPr>
                <w:sz w:val="20"/>
                <w:szCs w:val="20"/>
              </w:rPr>
              <w:t xml:space="preserve"> symptoms. SNOT 22 (lower = better) Significant declines in both groups between baseline and 3 months with significantly lower scores in </w:t>
            </w:r>
            <w:r w:rsidR="00A862A7">
              <w:rPr>
                <w:sz w:val="20"/>
                <w:szCs w:val="20"/>
              </w:rPr>
              <w:t>n</w:t>
            </w:r>
            <w:r w:rsidRPr="005436BA">
              <w:rPr>
                <w:sz w:val="20"/>
                <w:szCs w:val="20"/>
              </w:rPr>
              <w:t>on</w:t>
            </w:r>
            <w:r w:rsidR="00A862A7">
              <w:rPr>
                <w:sz w:val="20"/>
                <w:szCs w:val="20"/>
              </w:rPr>
              <w:t>-</w:t>
            </w:r>
            <w:r w:rsidRPr="005436BA">
              <w:rPr>
                <w:sz w:val="20"/>
                <w:szCs w:val="20"/>
              </w:rPr>
              <w:t>EC group at 3m (</w:t>
            </w:r>
            <w:r w:rsidR="00A862A7">
              <w:rPr>
                <w:sz w:val="20"/>
                <w:szCs w:val="20"/>
              </w:rPr>
              <w:t xml:space="preserve">P </w:t>
            </w:r>
            <w:r w:rsidRPr="005436BA">
              <w:rPr>
                <w:sz w:val="20"/>
                <w:szCs w:val="20"/>
              </w:rPr>
              <w:t>=</w:t>
            </w:r>
            <w:r w:rsidR="00A862A7">
              <w:rPr>
                <w:sz w:val="20"/>
                <w:szCs w:val="20"/>
              </w:rPr>
              <w:t xml:space="preserve"> </w:t>
            </w:r>
            <w:r w:rsidRPr="005436BA">
              <w:rPr>
                <w:sz w:val="20"/>
                <w:szCs w:val="20"/>
              </w:rPr>
              <w:t>0.0001)</w:t>
            </w:r>
          </w:p>
        </w:tc>
        <w:tc>
          <w:tcPr>
            <w:tcW w:w="2660" w:type="dxa"/>
          </w:tcPr>
          <w:p w14:paraId="0BD0B013" w14:textId="77777777" w:rsidR="005436BA" w:rsidRPr="005436BA" w:rsidRDefault="005436BA" w:rsidP="00EA4C8B">
            <w:pPr>
              <w:rPr>
                <w:sz w:val="20"/>
                <w:szCs w:val="20"/>
              </w:rPr>
            </w:pPr>
            <w:proofErr w:type="spellStart"/>
            <w:r w:rsidRPr="005436BA">
              <w:rPr>
                <w:sz w:val="20"/>
                <w:szCs w:val="20"/>
              </w:rPr>
              <w:t>Sinonasal</w:t>
            </w:r>
            <w:proofErr w:type="spellEnd"/>
            <w:r w:rsidRPr="005436BA">
              <w:rPr>
                <w:sz w:val="20"/>
                <w:szCs w:val="20"/>
              </w:rPr>
              <w:t xml:space="preserve"> symptoms </w:t>
            </w:r>
            <w:r w:rsidRPr="005436BA">
              <w:rPr>
                <w:rFonts w:cstheme="minorHAnsi"/>
                <w:sz w:val="20"/>
                <w:szCs w:val="20"/>
              </w:rPr>
              <w:t>↑</w:t>
            </w:r>
          </w:p>
        </w:tc>
      </w:tr>
      <w:tr w:rsidR="005436BA" w:rsidRPr="005436BA" w14:paraId="59C6E8C9" w14:textId="77777777" w:rsidTr="0054464E">
        <w:trPr>
          <w:cantSplit/>
        </w:trPr>
        <w:tc>
          <w:tcPr>
            <w:tcW w:w="1562" w:type="dxa"/>
          </w:tcPr>
          <w:p w14:paraId="6ABD3F98" w14:textId="77777777" w:rsidR="005436BA" w:rsidRPr="005436BA" w:rsidRDefault="005436BA" w:rsidP="00EA4C8B">
            <w:pPr>
              <w:rPr>
                <w:sz w:val="20"/>
                <w:szCs w:val="20"/>
              </w:rPr>
            </w:pPr>
            <w:proofErr w:type="spellStart"/>
            <w:r w:rsidRPr="005436BA">
              <w:rPr>
                <w:sz w:val="20"/>
                <w:szCs w:val="20"/>
              </w:rPr>
              <w:t>Lucchiari</w:t>
            </w:r>
            <w:proofErr w:type="spellEnd"/>
            <w:r w:rsidRPr="005436BA">
              <w:rPr>
                <w:sz w:val="20"/>
                <w:szCs w:val="20"/>
              </w:rPr>
              <w:t xml:space="preserve"> 2020</w:t>
            </w:r>
          </w:p>
        </w:tc>
        <w:tc>
          <w:tcPr>
            <w:tcW w:w="1340" w:type="dxa"/>
          </w:tcPr>
          <w:p w14:paraId="793D90CB" w14:textId="77777777" w:rsidR="005436BA" w:rsidRPr="005436BA" w:rsidRDefault="005436BA" w:rsidP="00EA4C8B">
            <w:pPr>
              <w:rPr>
                <w:sz w:val="20"/>
                <w:szCs w:val="20"/>
              </w:rPr>
            </w:pPr>
            <w:r w:rsidRPr="005436BA">
              <w:rPr>
                <w:sz w:val="20"/>
                <w:szCs w:val="20"/>
              </w:rPr>
              <w:t>Nicotine EC v non-nicotine EC</w:t>
            </w:r>
            <w:r w:rsidRPr="005436BA">
              <w:rPr>
                <w:rStyle w:val="FootnoteReference"/>
                <w:sz w:val="20"/>
                <w:szCs w:val="20"/>
              </w:rPr>
              <w:footnoteReference w:id="4"/>
            </w:r>
          </w:p>
        </w:tc>
        <w:tc>
          <w:tcPr>
            <w:tcW w:w="887" w:type="dxa"/>
          </w:tcPr>
          <w:p w14:paraId="49E8AF23" w14:textId="77777777" w:rsidR="005436BA" w:rsidRPr="005436BA" w:rsidRDefault="005436BA" w:rsidP="00EA4C8B">
            <w:pPr>
              <w:rPr>
                <w:sz w:val="20"/>
                <w:szCs w:val="20"/>
              </w:rPr>
            </w:pPr>
            <w:r w:rsidRPr="005436BA">
              <w:rPr>
                <w:sz w:val="20"/>
                <w:szCs w:val="20"/>
              </w:rPr>
              <w:t>6 months</w:t>
            </w:r>
          </w:p>
        </w:tc>
        <w:tc>
          <w:tcPr>
            <w:tcW w:w="7580" w:type="dxa"/>
          </w:tcPr>
          <w:p w14:paraId="7E93A10F" w14:textId="00D7F367" w:rsidR="005436BA" w:rsidRPr="005436BA" w:rsidRDefault="005436BA" w:rsidP="00EA4C8B">
            <w:pPr>
              <w:rPr>
                <w:sz w:val="20"/>
                <w:szCs w:val="20"/>
              </w:rPr>
            </w:pPr>
            <w:r w:rsidRPr="005436BA">
              <w:rPr>
                <w:sz w:val="20"/>
                <w:szCs w:val="20"/>
              </w:rPr>
              <w:t>N</w:t>
            </w:r>
            <w:r w:rsidR="00E36931">
              <w:rPr>
                <w:sz w:val="20"/>
                <w:szCs w:val="20"/>
              </w:rPr>
              <w:t xml:space="preserve"> </w:t>
            </w:r>
            <w:r w:rsidRPr="005436BA">
              <w:rPr>
                <w:sz w:val="20"/>
                <w:szCs w:val="20"/>
              </w:rPr>
              <w:t>= 52 nicotine</w:t>
            </w:r>
            <w:proofErr w:type="gramStart"/>
            <w:r w:rsidRPr="005436BA">
              <w:rPr>
                <w:sz w:val="20"/>
                <w:szCs w:val="20"/>
              </w:rPr>
              <w:t>;</w:t>
            </w:r>
            <w:proofErr w:type="gramEnd"/>
            <w:r w:rsidRPr="005436BA">
              <w:rPr>
                <w:sz w:val="20"/>
                <w:szCs w:val="20"/>
              </w:rPr>
              <w:t xml:space="preserve"> 51 non-nicotine. Burning throat: 15.9% nicotine; 5.6% non-nicotine. Cough 5.8% nicotine, 2.8% non-nicotine. Nausea 5.8% nicotine, 7% non-nicotine. Headache 0% nicotine; 1.4% non-nicotine. Insomnia 1.4% nicotine; 0 non-nicotine. Stomach ache 4.3% nicotine; 4.2% non-nicotine. Confusion 1.4% nicotine; 0 non-nicotine.</w:t>
            </w:r>
          </w:p>
        </w:tc>
        <w:tc>
          <w:tcPr>
            <w:tcW w:w="2660" w:type="dxa"/>
          </w:tcPr>
          <w:p w14:paraId="0096CA5E" w14:textId="77777777" w:rsidR="005436BA" w:rsidRPr="005436BA" w:rsidRDefault="005436BA" w:rsidP="00EA4C8B">
            <w:pPr>
              <w:rPr>
                <w:rFonts w:cstheme="minorHAnsi"/>
                <w:sz w:val="20"/>
                <w:szCs w:val="20"/>
              </w:rPr>
            </w:pPr>
            <w:r w:rsidRPr="005436BA">
              <w:rPr>
                <w:sz w:val="20"/>
                <w:szCs w:val="20"/>
              </w:rPr>
              <w:t xml:space="preserve">Burning throat </w:t>
            </w:r>
            <w:r w:rsidRPr="005436BA">
              <w:rPr>
                <w:rFonts w:cstheme="minorHAnsi"/>
                <w:sz w:val="20"/>
                <w:szCs w:val="20"/>
              </w:rPr>
              <w:t>↑</w:t>
            </w:r>
          </w:p>
          <w:p w14:paraId="33DE2CD3" w14:textId="77777777" w:rsidR="005436BA" w:rsidRPr="005436BA" w:rsidRDefault="005436BA" w:rsidP="00EA4C8B">
            <w:pPr>
              <w:rPr>
                <w:rFonts w:cstheme="minorHAnsi"/>
                <w:sz w:val="20"/>
                <w:szCs w:val="20"/>
              </w:rPr>
            </w:pPr>
            <w:r w:rsidRPr="005436BA">
              <w:rPr>
                <w:sz w:val="20"/>
                <w:szCs w:val="20"/>
              </w:rPr>
              <w:t xml:space="preserve">Cough </w:t>
            </w:r>
            <w:r w:rsidRPr="005436BA">
              <w:rPr>
                <w:rFonts w:cstheme="minorHAnsi"/>
                <w:sz w:val="20"/>
                <w:szCs w:val="20"/>
              </w:rPr>
              <w:t>↑</w:t>
            </w:r>
          </w:p>
          <w:p w14:paraId="6D6A68BA" w14:textId="77777777" w:rsidR="005436BA" w:rsidRPr="005436BA" w:rsidRDefault="005436BA" w:rsidP="00EA4C8B">
            <w:pPr>
              <w:rPr>
                <w:rFonts w:cstheme="minorHAnsi"/>
                <w:sz w:val="20"/>
                <w:szCs w:val="20"/>
              </w:rPr>
            </w:pPr>
            <w:r w:rsidRPr="005436BA">
              <w:rPr>
                <w:rFonts w:cstheme="minorHAnsi"/>
                <w:sz w:val="20"/>
                <w:szCs w:val="20"/>
              </w:rPr>
              <w:t>Nausea ↓</w:t>
            </w:r>
          </w:p>
          <w:p w14:paraId="26409741" w14:textId="77777777" w:rsidR="005436BA" w:rsidRPr="005436BA" w:rsidRDefault="005436BA" w:rsidP="00EA4C8B">
            <w:pPr>
              <w:rPr>
                <w:rFonts w:cstheme="minorHAnsi"/>
                <w:sz w:val="20"/>
                <w:szCs w:val="20"/>
              </w:rPr>
            </w:pPr>
            <w:r w:rsidRPr="005436BA">
              <w:rPr>
                <w:rFonts w:cstheme="minorHAnsi"/>
                <w:sz w:val="20"/>
                <w:szCs w:val="20"/>
              </w:rPr>
              <w:t>Headache ↓</w:t>
            </w:r>
          </w:p>
          <w:p w14:paraId="16F7553C" w14:textId="77777777" w:rsidR="005436BA" w:rsidRPr="005436BA" w:rsidRDefault="005436BA" w:rsidP="00EA4C8B">
            <w:pPr>
              <w:rPr>
                <w:rFonts w:cstheme="minorHAnsi"/>
                <w:sz w:val="20"/>
                <w:szCs w:val="20"/>
              </w:rPr>
            </w:pPr>
            <w:r w:rsidRPr="005436BA">
              <w:rPr>
                <w:rFonts w:cstheme="minorHAnsi"/>
                <w:sz w:val="20"/>
                <w:szCs w:val="20"/>
              </w:rPr>
              <w:t>Insomnia ↑</w:t>
            </w:r>
          </w:p>
          <w:p w14:paraId="298D9040" w14:textId="77777777" w:rsidR="005436BA" w:rsidRPr="005436BA" w:rsidRDefault="005436BA" w:rsidP="00EA4C8B">
            <w:pPr>
              <w:rPr>
                <w:rFonts w:cstheme="minorHAnsi"/>
                <w:sz w:val="20"/>
                <w:szCs w:val="20"/>
              </w:rPr>
            </w:pPr>
            <w:r w:rsidRPr="005436BA">
              <w:rPr>
                <w:rFonts w:cstheme="minorHAnsi"/>
                <w:sz w:val="20"/>
                <w:szCs w:val="20"/>
              </w:rPr>
              <w:t>Stomach ache ↔</w:t>
            </w:r>
          </w:p>
          <w:p w14:paraId="36E3BC98" w14:textId="77777777" w:rsidR="005436BA" w:rsidRPr="005436BA" w:rsidRDefault="005436BA" w:rsidP="00EA4C8B">
            <w:pPr>
              <w:rPr>
                <w:sz w:val="20"/>
                <w:szCs w:val="20"/>
              </w:rPr>
            </w:pPr>
            <w:r w:rsidRPr="005436BA">
              <w:rPr>
                <w:rFonts w:cstheme="minorHAnsi"/>
                <w:sz w:val="20"/>
                <w:szCs w:val="20"/>
              </w:rPr>
              <w:t>Confusion ↑</w:t>
            </w:r>
          </w:p>
        </w:tc>
      </w:tr>
      <w:tr w:rsidR="00A37F4D" w:rsidRPr="005436BA" w14:paraId="3C7EA36E" w14:textId="77777777" w:rsidTr="0054464E">
        <w:trPr>
          <w:cantSplit/>
        </w:trPr>
        <w:tc>
          <w:tcPr>
            <w:tcW w:w="1562" w:type="dxa"/>
          </w:tcPr>
          <w:p w14:paraId="7A89B350" w14:textId="187617BC" w:rsidR="00A37F4D" w:rsidRPr="005436BA" w:rsidRDefault="00A37F4D" w:rsidP="00EA4C8B">
            <w:pPr>
              <w:rPr>
                <w:sz w:val="20"/>
                <w:szCs w:val="20"/>
              </w:rPr>
            </w:pPr>
            <w:r>
              <w:rPr>
                <w:sz w:val="20"/>
                <w:szCs w:val="20"/>
              </w:rPr>
              <w:t>Morris 2022</w:t>
            </w:r>
          </w:p>
        </w:tc>
        <w:tc>
          <w:tcPr>
            <w:tcW w:w="1340" w:type="dxa"/>
          </w:tcPr>
          <w:p w14:paraId="0FB0F475" w14:textId="61552874" w:rsidR="00A37F4D" w:rsidRPr="005436BA" w:rsidRDefault="00A37F4D" w:rsidP="00EA4C8B">
            <w:pPr>
              <w:rPr>
                <w:sz w:val="20"/>
                <w:szCs w:val="20"/>
              </w:rPr>
            </w:pPr>
            <w:r>
              <w:rPr>
                <w:sz w:val="20"/>
                <w:szCs w:val="20"/>
              </w:rPr>
              <w:t>Nicotine EC, variations on nicotine strength, flavour, and salt vs. freebase</w:t>
            </w:r>
          </w:p>
        </w:tc>
        <w:tc>
          <w:tcPr>
            <w:tcW w:w="887" w:type="dxa"/>
          </w:tcPr>
          <w:p w14:paraId="129EF1AA" w14:textId="517D4782" w:rsidR="00A37F4D" w:rsidRPr="005436BA" w:rsidRDefault="00114C72" w:rsidP="00EA4C8B">
            <w:pPr>
              <w:rPr>
                <w:sz w:val="20"/>
                <w:szCs w:val="20"/>
              </w:rPr>
            </w:pPr>
            <w:r>
              <w:rPr>
                <w:sz w:val="20"/>
                <w:szCs w:val="20"/>
              </w:rPr>
              <w:t>9 days</w:t>
            </w:r>
          </w:p>
        </w:tc>
        <w:tc>
          <w:tcPr>
            <w:tcW w:w="7580" w:type="dxa"/>
          </w:tcPr>
          <w:p w14:paraId="0BD3CAC3" w14:textId="1111825E" w:rsidR="00114C72" w:rsidRPr="00E36931" w:rsidRDefault="00114C72" w:rsidP="00114C72">
            <w:pPr>
              <w:rPr>
                <w:rFonts w:cstheme="minorHAnsi"/>
                <w:sz w:val="20"/>
                <w:szCs w:val="20"/>
              </w:rPr>
            </w:pPr>
            <w:r>
              <w:rPr>
                <w:rFonts w:cstheme="minorHAnsi"/>
                <w:color w:val="333333"/>
                <w:sz w:val="20"/>
                <w:szCs w:val="20"/>
                <w:shd w:val="clear" w:color="auto" w:fill="FCFCFC"/>
              </w:rPr>
              <w:t>“</w:t>
            </w:r>
            <w:r w:rsidRPr="00E36931">
              <w:rPr>
                <w:rFonts w:cstheme="minorHAnsi"/>
                <w:color w:val="333333"/>
                <w:sz w:val="20"/>
                <w:szCs w:val="20"/>
                <w:shd w:val="clear" w:color="auto" w:fill="FCFCFC"/>
              </w:rPr>
              <w:t>a total of 35 mild and three moderate AEs were reported by 27 (34%) subjects across study products. The most frequent event was headache, experienced by six (8%) subjects. All remaining events were reported by four or fewer (≤ 5%) subjects each. The PIs considered two events {throat tightness [</w:t>
            </w:r>
            <w:proofErr w:type="spellStart"/>
            <w:r w:rsidRPr="00E36931">
              <w:rPr>
                <w:rFonts w:cstheme="minorHAnsi"/>
                <w:i/>
                <w:iCs/>
                <w:color w:val="333333"/>
                <w:sz w:val="20"/>
                <w:szCs w:val="20"/>
                <w:shd w:val="clear" w:color="auto" w:fill="FCFCFC"/>
              </w:rPr>
              <w:t>my</w:t>
            </w:r>
            <w:r w:rsidRPr="00E36931">
              <w:rPr>
                <w:rFonts w:cstheme="minorHAnsi"/>
                <w:color w:val="333333"/>
                <w:sz w:val="20"/>
                <w:szCs w:val="20"/>
                <w:shd w:val="clear" w:color="auto" w:fill="FCFCFC"/>
              </w:rPr>
              <w:t>blu</w:t>
            </w:r>
            <w:proofErr w:type="spellEnd"/>
            <w:r w:rsidRPr="00E36931">
              <w:rPr>
                <w:rFonts w:cstheme="minorHAnsi"/>
                <w:color w:val="333333"/>
                <w:sz w:val="20"/>
                <w:szCs w:val="20"/>
                <w:shd w:val="clear" w:color="auto" w:fill="FCFCFC"/>
                <w:vertAlign w:val="superscript"/>
              </w:rPr>
              <w:t>™</w:t>
            </w:r>
            <w:r w:rsidRPr="00E36931">
              <w:rPr>
                <w:rFonts w:cstheme="minorHAnsi"/>
                <w:color w:val="333333"/>
                <w:sz w:val="20"/>
                <w:szCs w:val="20"/>
                <w:shd w:val="clear" w:color="auto" w:fill="FCFCFC"/>
              </w:rPr>
              <w:t> Intense Fresh Melon 2.5%] and oropharyngeal discomfort [</w:t>
            </w:r>
            <w:proofErr w:type="spellStart"/>
            <w:r w:rsidRPr="00E36931">
              <w:rPr>
                <w:rFonts w:cstheme="minorHAnsi"/>
                <w:i/>
                <w:iCs/>
                <w:color w:val="333333"/>
                <w:sz w:val="20"/>
                <w:szCs w:val="20"/>
                <w:shd w:val="clear" w:color="auto" w:fill="FCFCFC"/>
              </w:rPr>
              <w:t>my</w:t>
            </w:r>
            <w:r w:rsidRPr="00E36931">
              <w:rPr>
                <w:rFonts w:cstheme="minorHAnsi"/>
                <w:color w:val="333333"/>
                <w:sz w:val="20"/>
                <w:szCs w:val="20"/>
                <w:shd w:val="clear" w:color="auto" w:fill="FCFCFC"/>
              </w:rPr>
              <w:t>blu</w:t>
            </w:r>
            <w:proofErr w:type="spellEnd"/>
            <w:r w:rsidRPr="00E36931">
              <w:rPr>
                <w:rFonts w:cstheme="minorHAnsi"/>
                <w:color w:val="333333"/>
                <w:sz w:val="20"/>
                <w:szCs w:val="20"/>
                <w:shd w:val="clear" w:color="auto" w:fill="FCFCFC"/>
                <w:vertAlign w:val="superscript"/>
              </w:rPr>
              <w:t>™</w:t>
            </w:r>
            <w:r w:rsidRPr="00E36931">
              <w:rPr>
                <w:rFonts w:cstheme="minorHAnsi"/>
                <w:color w:val="333333"/>
                <w:sz w:val="20"/>
                <w:szCs w:val="20"/>
                <w:shd w:val="clear" w:color="auto" w:fill="FCFCFC"/>
              </w:rPr>
              <w:t> Gold Leaf 2.4%]} to be likely related to study product and one event {headache [</w:t>
            </w:r>
            <w:proofErr w:type="spellStart"/>
            <w:r w:rsidRPr="00E36931">
              <w:rPr>
                <w:rFonts w:cstheme="minorHAnsi"/>
                <w:i/>
                <w:iCs/>
                <w:color w:val="333333"/>
                <w:sz w:val="20"/>
                <w:szCs w:val="20"/>
                <w:shd w:val="clear" w:color="auto" w:fill="FCFCFC"/>
              </w:rPr>
              <w:t>my</w:t>
            </w:r>
            <w:r w:rsidRPr="00E36931">
              <w:rPr>
                <w:rFonts w:cstheme="minorHAnsi"/>
                <w:color w:val="333333"/>
                <w:sz w:val="20"/>
                <w:szCs w:val="20"/>
                <w:shd w:val="clear" w:color="auto" w:fill="FCFCFC"/>
              </w:rPr>
              <w:t>blu</w:t>
            </w:r>
            <w:proofErr w:type="spellEnd"/>
            <w:r w:rsidRPr="00E36931">
              <w:rPr>
                <w:rFonts w:cstheme="minorHAnsi"/>
                <w:color w:val="333333"/>
                <w:sz w:val="20"/>
                <w:szCs w:val="20"/>
                <w:shd w:val="clear" w:color="auto" w:fill="FCFCFC"/>
                <w:vertAlign w:val="superscript"/>
              </w:rPr>
              <w:t>™</w:t>
            </w:r>
            <w:r w:rsidRPr="00E36931">
              <w:rPr>
                <w:rFonts w:cstheme="minorHAnsi"/>
                <w:color w:val="333333"/>
                <w:sz w:val="20"/>
                <w:szCs w:val="20"/>
                <w:shd w:val="clear" w:color="auto" w:fill="FCFCFC"/>
              </w:rPr>
              <w:t> Intense Fresh Mint 2.4%]} to be possibly related. All remaining events were considered to be unlikely related/ unrelated to study product.</w:t>
            </w:r>
            <w:r>
              <w:rPr>
                <w:rFonts w:cstheme="minorHAnsi"/>
                <w:color w:val="333333"/>
                <w:sz w:val="20"/>
                <w:szCs w:val="20"/>
                <w:shd w:val="clear" w:color="auto" w:fill="FCFCFC"/>
              </w:rPr>
              <w:t>”</w:t>
            </w:r>
          </w:p>
          <w:p w14:paraId="76A9D355" w14:textId="59A78CDC" w:rsidR="00A37F4D" w:rsidRPr="00E36931" w:rsidRDefault="00A37F4D" w:rsidP="00A37F4D">
            <w:pPr>
              <w:rPr>
                <w:sz w:val="20"/>
                <w:szCs w:val="20"/>
              </w:rPr>
            </w:pPr>
          </w:p>
        </w:tc>
        <w:tc>
          <w:tcPr>
            <w:tcW w:w="2660" w:type="dxa"/>
          </w:tcPr>
          <w:p w14:paraId="6C1D5624" w14:textId="77777777" w:rsidR="00A37F4D" w:rsidRPr="005436BA" w:rsidRDefault="00A37F4D" w:rsidP="00EA4C8B">
            <w:pPr>
              <w:rPr>
                <w:sz w:val="20"/>
                <w:szCs w:val="20"/>
              </w:rPr>
            </w:pPr>
          </w:p>
        </w:tc>
      </w:tr>
      <w:tr w:rsidR="00496750" w:rsidRPr="005436BA" w14:paraId="79D7E3E6" w14:textId="77777777" w:rsidTr="0054464E">
        <w:trPr>
          <w:cantSplit/>
        </w:trPr>
        <w:tc>
          <w:tcPr>
            <w:tcW w:w="1562" w:type="dxa"/>
          </w:tcPr>
          <w:p w14:paraId="43B2DB52" w14:textId="18C849DE" w:rsidR="00496750" w:rsidRPr="005436BA" w:rsidRDefault="00496750" w:rsidP="00496750">
            <w:pPr>
              <w:rPr>
                <w:sz w:val="20"/>
                <w:szCs w:val="20"/>
              </w:rPr>
            </w:pPr>
            <w:proofErr w:type="spellStart"/>
            <w:r>
              <w:rPr>
                <w:sz w:val="20"/>
                <w:szCs w:val="20"/>
              </w:rPr>
              <w:t>Ozga</w:t>
            </w:r>
            <w:proofErr w:type="spellEnd"/>
            <w:r>
              <w:rPr>
                <w:sz w:val="20"/>
                <w:szCs w:val="20"/>
              </w:rPr>
              <w:t>-Hess 2019</w:t>
            </w:r>
          </w:p>
        </w:tc>
        <w:tc>
          <w:tcPr>
            <w:tcW w:w="1340" w:type="dxa"/>
          </w:tcPr>
          <w:p w14:paraId="3F94C3A3" w14:textId="58F75133" w:rsidR="00496750" w:rsidRPr="005436BA" w:rsidRDefault="00496750" w:rsidP="00F26D8E">
            <w:pPr>
              <w:rPr>
                <w:sz w:val="20"/>
                <w:szCs w:val="20"/>
              </w:rPr>
            </w:pPr>
            <w:r>
              <w:rPr>
                <w:sz w:val="20"/>
                <w:szCs w:val="20"/>
              </w:rPr>
              <w:t>Nicotine EC v traditional cigarette</w:t>
            </w:r>
          </w:p>
        </w:tc>
        <w:tc>
          <w:tcPr>
            <w:tcW w:w="887" w:type="dxa"/>
          </w:tcPr>
          <w:p w14:paraId="49221ECE" w14:textId="19927117" w:rsidR="00496750" w:rsidRPr="005436BA" w:rsidRDefault="00496750" w:rsidP="00496750">
            <w:pPr>
              <w:rPr>
                <w:sz w:val="20"/>
                <w:szCs w:val="20"/>
              </w:rPr>
            </w:pPr>
            <w:r>
              <w:rPr>
                <w:sz w:val="20"/>
                <w:szCs w:val="20"/>
              </w:rPr>
              <w:t>4 weeks</w:t>
            </w:r>
          </w:p>
        </w:tc>
        <w:tc>
          <w:tcPr>
            <w:tcW w:w="7580" w:type="dxa"/>
          </w:tcPr>
          <w:p w14:paraId="3D048F77" w14:textId="767A2C09" w:rsidR="00496750" w:rsidRPr="005436BA" w:rsidRDefault="00496750" w:rsidP="00496750">
            <w:pPr>
              <w:rPr>
                <w:sz w:val="20"/>
                <w:szCs w:val="20"/>
              </w:rPr>
            </w:pPr>
            <w:r>
              <w:rPr>
                <w:sz w:val="20"/>
                <w:szCs w:val="20"/>
              </w:rPr>
              <w:t>Participants were asked to rate throat irritation, cough, dry mouth, nausea, and dizziness on scale of 0</w:t>
            </w:r>
            <w:r w:rsidR="004C0ED0">
              <w:rPr>
                <w:sz w:val="20"/>
                <w:szCs w:val="20"/>
              </w:rPr>
              <w:t xml:space="preserve"> </w:t>
            </w:r>
            <w:r>
              <w:rPr>
                <w:sz w:val="20"/>
                <w:szCs w:val="20"/>
              </w:rPr>
              <w:t>-</w:t>
            </w:r>
            <w:r w:rsidR="004C0ED0">
              <w:rPr>
                <w:sz w:val="20"/>
                <w:szCs w:val="20"/>
              </w:rPr>
              <w:t xml:space="preserve"> </w:t>
            </w:r>
            <w:r>
              <w:rPr>
                <w:sz w:val="20"/>
                <w:szCs w:val="20"/>
              </w:rPr>
              <w:t>100 (high score</w:t>
            </w:r>
            <w:r w:rsidR="004C0ED0">
              <w:rPr>
                <w:sz w:val="20"/>
                <w:szCs w:val="20"/>
              </w:rPr>
              <w:t xml:space="preserve"> </w:t>
            </w:r>
            <w:r>
              <w:rPr>
                <w:sz w:val="20"/>
                <w:szCs w:val="20"/>
              </w:rPr>
              <w:t>=</w:t>
            </w:r>
            <w:r w:rsidR="004C0ED0">
              <w:rPr>
                <w:sz w:val="20"/>
                <w:szCs w:val="20"/>
              </w:rPr>
              <w:t xml:space="preserve"> </w:t>
            </w:r>
            <w:r>
              <w:rPr>
                <w:sz w:val="20"/>
                <w:szCs w:val="20"/>
              </w:rPr>
              <w:t>more serious). Throat irritation: 37.4 (32.2) EC, 30.87 (28.8) TC. Cough 44.7 (32.2) EC, 40.2 (32.2) TC. Dry mouth: 46.9 (30.3) EC, 41.8 (31.3) TC. Comparison not provided for nausea and dizziness, but authors state: “</w:t>
            </w:r>
            <w:r w:rsidRPr="00496750">
              <w:rPr>
                <w:sz w:val="20"/>
                <w:szCs w:val="20"/>
              </w:rPr>
              <w:t>The effects of nausea (56.2% vs. 65.8-75.3%, respectively) and dizziness (56.9% vs. 63.6-74.7%, respectively) were reported on slightly fewer days for ECIG+OB participants who made the choice to quit, relative to other subgroups (p’s &lt; .05).</w:t>
            </w:r>
            <w:r>
              <w:rPr>
                <w:sz w:val="20"/>
                <w:szCs w:val="20"/>
              </w:rPr>
              <w:t>”</w:t>
            </w:r>
          </w:p>
        </w:tc>
        <w:tc>
          <w:tcPr>
            <w:tcW w:w="2660" w:type="dxa"/>
          </w:tcPr>
          <w:p w14:paraId="5F4B431F" w14:textId="77777777" w:rsidR="00496750" w:rsidRDefault="00496750" w:rsidP="00496750">
            <w:pPr>
              <w:rPr>
                <w:rFonts w:cstheme="minorHAnsi"/>
                <w:sz w:val="20"/>
                <w:szCs w:val="20"/>
              </w:rPr>
            </w:pPr>
            <w:r>
              <w:rPr>
                <w:sz w:val="20"/>
                <w:szCs w:val="20"/>
              </w:rPr>
              <w:t xml:space="preserve">Throat irritation </w:t>
            </w:r>
            <w:r w:rsidRPr="005436BA">
              <w:rPr>
                <w:rFonts w:cstheme="minorHAnsi"/>
                <w:sz w:val="20"/>
                <w:szCs w:val="20"/>
              </w:rPr>
              <w:t>↑</w:t>
            </w:r>
          </w:p>
          <w:p w14:paraId="62D228CF" w14:textId="77777777" w:rsidR="00496750" w:rsidRDefault="00496750" w:rsidP="00496750">
            <w:pPr>
              <w:rPr>
                <w:rFonts w:cstheme="minorHAnsi"/>
                <w:sz w:val="20"/>
                <w:szCs w:val="20"/>
              </w:rPr>
            </w:pPr>
            <w:r>
              <w:rPr>
                <w:rFonts w:cstheme="minorHAnsi"/>
                <w:sz w:val="20"/>
                <w:szCs w:val="20"/>
              </w:rPr>
              <w:t xml:space="preserve">Cough </w:t>
            </w:r>
            <w:r w:rsidRPr="005436BA">
              <w:rPr>
                <w:rFonts w:cstheme="minorHAnsi"/>
                <w:sz w:val="20"/>
                <w:szCs w:val="20"/>
              </w:rPr>
              <w:t>↑</w:t>
            </w:r>
          </w:p>
          <w:p w14:paraId="73009EC5" w14:textId="3EE958EC" w:rsidR="00496750" w:rsidRPr="005436BA" w:rsidRDefault="00496750" w:rsidP="00496750">
            <w:pPr>
              <w:rPr>
                <w:sz w:val="20"/>
                <w:szCs w:val="20"/>
              </w:rPr>
            </w:pPr>
            <w:r>
              <w:rPr>
                <w:rFonts w:cstheme="minorHAnsi"/>
                <w:sz w:val="20"/>
                <w:szCs w:val="20"/>
              </w:rPr>
              <w:t xml:space="preserve">Dry mouth </w:t>
            </w:r>
            <w:r w:rsidRPr="005436BA">
              <w:rPr>
                <w:rFonts w:cstheme="minorHAnsi"/>
                <w:sz w:val="20"/>
                <w:szCs w:val="20"/>
              </w:rPr>
              <w:t>↑</w:t>
            </w:r>
          </w:p>
        </w:tc>
      </w:tr>
      <w:tr w:rsidR="00E26150" w:rsidRPr="005436BA" w14:paraId="1173C416" w14:textId="77777777" w:rsidTr="0054464E">
        <w:trPr>
          <w:cantSplit/>
        </w:trPr>
        <w:tc>
          <w:tcPr>
            <w:tcW w:w="1562" w:type="dxa"/>
          </w:tcPr>
          <w:p w14:paraId="41B2FF50" w14:textId="66BD53C1" w:rsidR="00E26150" w:rsidRPr="00A51600" w:rsidRDefault="00E26150" w:rsidP="00496750">
            <w:pPr>
              <w:rPr>
                <w:sz w:val="20"/>
                <w:szCs w:val="20"/>
              </w:rPr>
            </w:pPr>
            <w:r w:rsidRPr="00A51600">
              <w:rPr>
                <w:sz w:val="20"/>
                <w:szCs w:val="20"/>
              </w:rPr>
              <w:t>Pratt 2022</w:t>
            </w:r>
          </w:p>
        </w:tc>
        <w:tc>
          <w:tcPr>
            <w:tcW w:w="1340" w:type="dxa"/>
          </w:tcPr>
          <w:p w14:paraId="0AF9836C" w14:textId="41A3C742" w:rsidR="00E26150" w:rsidRDefault="00E26150" w:rsidP="00F26D8E">
            <w:pPr>
              <w:rPr>
                <w:sz w:val="20"/>
                <w:szCs w:val="20"/>
              </w:rPr>
            </w:pPr>
            <w:r>
              <w:rPr>
                <w:sz w:val="20"/>
                <w:szCs w:val="20"/>
              </w:rPr>
              <w:t>Nicotine EC v behavioural support only</w:t>
            </w:r>
          </w:p>
        </w:tc>
        <w:tc>
          <w:tcPr>
            <w:tcW w:w="887" w:type="dxa"/>
          </w:tcPr>
          <w:p w14:paraId="2133828E" w14:textId="5363A269" w:rsidR="00E26150" w:rsidRDefault="00E26150" w:rsidP="00496750">
            <w:pPr>
              <w:rPr>
                <w:sz w:val="20"/>
                <w:szCs w:val="20"/>
              </w:rPr>
            </w:pPr>
            <w:r>
              <w:rPr>
                <w:sz w:val="20"/>
                <w:szCs w:val="20"/>
              </w:rPr>
              <w:t>26 weeks</w:t>
            </w:r>
          </w:p>
        </w:tc>
        <w:tc>
          <w:tcPr>
            <w:tcW w:w="7580" w:type="dxa"/>
          </w:tcPr>
          <w:p w14:paraId="50243D87" w14:textId="247D4184" w:rsidR="00E26150" w:rsidRDefault="00E26150" w:rsidP="00496750">
            <w:pPr>
              <w:rPr>
                <w:sz w:val="20"/>
                <w:szCs w:val="20"/>
              </w:rPr>
            </w:pPr>
            <w:r>
              <w:rPr>
                <w:sz w:val="20"/>
                <w:szCs w:val="20"/>
              </w:rPr>
              <w:t>Average number of symptoms 1.9 (SD 2.2) in EC group and 2.1 (SD 2.0) in control. No statistically significant between group difference.</w:t>
            </w:r>
          </w:p>
        </w:tc>
        <w:tc>
          <w:tcPr>
            <w:tcW w:w="2660" w:type="dxa"/>
          </w:tcPr>
          <w:p w14:paraId="195949E0" w14:textId="3013CA49" w:rsidR="00E26150" w:rsidRDefault="00E26150" w:rsidP="00496750">
            <w:pPr>
              <w:rPr>
                <w:sz w:val="20"/>
                <w:szCs w:val="20"/>
              </w:rPr>
            </w:pPr>
            <w:r w:rsidRPr="005436BA">
              <w:rPr>
                <w:rFonts w:cstheme="minorHAnsi"/>
                <w:sz w:val="20"/>
                <w:szCs w:val="20"/>
              </w:rPr>
              <w:t>↔</w:t>
            </w:r>
          </w:p>
        </w:tc>
      </w:tr>
      <w:tr w:rsidR="00F26D8E" w:rsidRPr="005436BA" w14:paraId="2D7DD65D" w14:textId="77777777" w:rsidTr="0054464E">
        <w:trPr>
          <w:cantSplit/>
        </w:trPr>
        <w:tc>
          <w:tcPr>
            <w:tcW w:w="1562" w:type="dxa"/>
          </w:tcPr>
          <w:p w14:paraId="35900FB1" w14:textId="1D5AAD47" w:rsidR="00F26D8E" w:rsidRDefault="00F26D8E" w:rsidP="00F26D8E">
            <w:pPr>
              <w:rPr>
                <w:sz w:val="20"/>
                <w:szCs w:val="20"/>
              </w:rPr>
            </w:pPr>
            <w:proofErr w:type="spellStart"/>
            <w:r>
              <w:rPr>
                <w:sz w:val="20"/>
                <w:szCs w:val="20"/>
              </w:rPr>
              <w:t>Pulvers</w:t>
            </w:r>
            <w:proofErr w:type="spellEnd"/>
            <w:r>
              <w:rPr>
                <w:sz w:val="20"/>
                <w:szCs w:val="20"/>
              </w:rPr>
              <w:t xml:space="preserve"> 2020</w:t>
            </w:r>
          </w:p>
        </w:tc>
        <w:tc>
          <w:tcPr>
            <w:tcW w:w="1340" w:type="dxa"/>
          </w:tcPr>
          <w:p w14:paraId="72B6D77C" w14:textId="3AB64EEA" w:rsidR="00F26D8E" w:rsidRDefault="00F26D8E" w:rsidP="00F26D8E">
            <w:pPr>
              <w:rPr>
                <w:sz w:val="20"/>
                <w:szCs w:val="20"/>
              </w:rPr>
            </w:pPr>
            <w:r>
              <w:rPr>
                <w:sz w:val="20"/>
                <w:szCs w:val="20"/>
              </w:rPr>
              <w:t>Nicotine EC v traditional cigarette</w:t>
            </w:r>
          </w:p>
        </w:tc>
        <w:tc>
          <w:tcPr>
            <w:tcW w:w="887" w:type="dxa"/>
          </w:tcPr>
          <w:p w14:paraId="6B75963F" w14:textId="7EFE43D7" w:rsidR="00F26D8E" w:rsidRDefault="00F26D8E" w:rsidP="00F26D8E">
            <w:pPr>
              <w:rPr>
                <w:sz w:val="20"/>
                <w:szCs w:val="20"/>
              </w:rPr>
            </w:pPr>
            <w:r>
              <w:rPr>
                <w:sz w:val="20"/>
                <w:szCs w:val="20"/>
              </w:rPr>
              <w:t>2, 6 weeks</w:t>
            </w:r>
          </w:p>
        </w:tc>
        <w:tc>
          <w:tcPr>
            <w:tcW w:w="7580" w:type="dxa"/>
          </w:tcPr>
          <w:p w14:paraId="1911E5CD" w14:textId="13870475" w:rsidR="00F26D8E" w:rsidRDefault="00F26D8E" w:rsidP="00F26D8E">
            <w:pPr>
              <w:rPr>
                <w:sz w:val="20"/>
                <w:szCs w:val="20"/>
              </w:rPr>
            </w:pPr>
            <w:r>
              <w:rPr>
                <w:sz w:val="20"/>
                <w:szCs w:val="20"/>
              </w:rPr>
              <w:t xml:space="preserve">Respiratory symptoms </w:t>
            </w:r>
            <w:r w:rsidRPr="00F26D8E">
              <w:rPr>
                <w:sz w:val="20"/>
                <w:szCs w:val="20"/>
              </w:rPr>
              <w:t xml:space="preserve">as measured with the American Thoracic Society Questionnaire </w:t>
            </w:r>
            <w:r>
              <w:rPr>
                <w:sz w:val="20"/>
                <w:szCs w:val="20"/>
              </w:rPr>
              <w:t>“</w:t>
            </w:r>
            <w:r w:rsidRPr="000373DD">
              <w:rPr>
                <w:sz w:val="20"/>
                <w:szCs w:val="20"/>
              </w:rPr>
              <w:t>The e-cigarette group</w:t>
            </w:r>
            <w:r>
              <w:rPr>
                <w:sz w:val="20"/>
                <w:szCs w:val="20"/>
              </w:rPr>
              <w:t xml:space="preserve"> </w:t>
            </w:r>
            <w:r w:rsidRPr="000373DD">
              <w:rPr>
                <w:sz w:val="20"/>
                <w:szCs w:val="20"/>
              </w:rPr>
              <w:t>had significantly greater reductions</w:t>
            </w:r>
            <w:r>
              <w:rPr>
                <w:sz w:val="20"/>
                <w:szCs w:val="20"/>
              </w:rPr>
              <w:t xml:space="preserve"> in</w:t>
            </w:r>
            <w:r w:rsidRPr="000373DD">
              <w:rPr>
                <w:sz w:val="20"/>
                <w:szCs w:val="20"/>
              </w:rPr>
              <w:t xml:space="preserve"> </w:t>
            </w:r>
            <w:r>
              <w:rPr>
                <w:sz w:val="20"/>
                <w:szCs w:val="20"/>
              </w:rPr>
              <w:t>…</w:t>
            </w:r>
            <w:r w:rsidRPr="000373DD">
              <w:rPr>
                <w:sz w:val="20"/>
                <w:szCs w:val="20"/>
              </w:rPr>
              <w:t>respiratory symptoms (RR, 0.63</w:t>
            </w:r>
            <w:r>
              <w:rPr>
                <w:sz w:val="20"/>
                <w:szCs w:val="20"/>
              </w:rPr>
              <w:t xml:space="preserve"> [95%CI, 0.47-0.85]; P = .002) …</w:t>
            </w:r>
            <w:r w:rsidRPr="000373DD">
              <w:rPr>
                <w:sz w:val="20"/>
                <w:szCs w:val="20"/>
              </w:rPr>
              <w:t>than the cigarettes as usual group.</w:t>
            </w:r>
            <w:r>
              <w:rPr>
                <w:sz w:val="20"/>
                <w:szCs w:val="20"/>
              </w:rPr>
              <w:t>”</w:t>
            </w:r>
          </w:p>
        </w:tc>
        <w:tc>
          <w:tcPr>
            <w:tcW w:w="2660" w:type="dxa"/>
          </w:tcPr>
          <w:p w14:paraId="5EA9A723" w14:textId="1B3D3808" w:rsidR="00F26D8E" w:rsidRDefault="00F26D8E" w:rsidP="00F26D8E">
            <w:pPr>
              <w:rPr>
                <w:sz w:val="20"/>
                <w:szCs w:val="20"/>
              </w:rPr>
            </w:pPr>
            <w:r w:rsidRPr="00007F85">
              <w:rPr>
                <w:rFonts w:cstheme="minorHAnsi"/>
                <w:sz w:val="20"/>
                <w:szCs w:val="20"/>
              </w:rPr>
              <w:t>↓</w:t>
            </w:r>
          </w:p>
        </w:tc>
      </w:tr>
      <w:tr w:rsidR="00F26D8E" w:rsidRPr="005436BA" w14:paraId="460895E8" w14:textId="77777777" w:rsidTr="0054464E">
        <w:trPr>
          <w:cantSplit/>
        </w:trPr>
        <w:tc>
          <w:tcPr>
            <w:tcW w:w="1562" w:type="dxa"/>
          </w:tcPr>
          <w:p w14:paraId="3EDD517E" w14:textId="77777777" w:rsidR="00F26D8E" w:rsidRPr="005436BA" w:rsidRDefault="00F26D8E" w:rsidP="00F26D8E">
            <w:pPr>
              <w:rPr>
                <w:sz w:val="20"/>
                <w:szCs w:val="20"/>
              </w:rPr>
            </w:pPr>
            <w:r w:rsidRPr="005436BA">
              <w:rPr>
                <w:sz w:val="20"/>
                <w:szCs w:val="20"/>
              </w:rPr>
              <w:t>Tseng 2016</w:t>
            </w:r>
          </w:p>
        </w:tc>
        <w:tc>
          <w:tcPr>
            <w:tcW w:w="1340" w:type="dxa"/>
          </w:tcPr>
          <w:p w14:paraId="4B8C2CE2" w14:textId="77777777" w:rsidR="00F26D8E" w:rsidRPr="005436BA" w:rsidRDefault="00F26D8E" w:rsidP="00F26D8E">
            <w:pPr>
              <w:rPr>
                <w:sz w:val="20"/>
                <w:szCs w:val="20"/>
              </w:rPr>
            </w:pPr>
            <w:r w:rsidRPr="005436BA">
              <w:rPr>
                <w:sz w:val="20"/>
                <w:szCs w:val="20"/>
              </w:rPr>
              <w:t>Nicotine EC v non-nicotine EC</w:t>
            </w:r>
          </w:p>
        </w:tc>
        <w:tc>
          <w:tcPr>
            <w:tcW w:w="887" w:type="dxa"/>
          </w:tcPr>
          <w:p w14:paraId="5BA2B956" w14:textId="77777777" w:rsidR="00F26D8E" w:rsidRPr="005436BA" w:rsidRDefault="00F26D8E" w:rsidP="00F26D8E">
            <w:pPr>
              <w:rPr>
                <w:sz w:val="20"/>
                <w:szCs w:val="20"/>
              </w:rPr>
            </w:pPr>
            <w:r w:rsidRPr="005436BA">
              <w:rPr>
                <w:sz w:val="20"/>
                <w:szCs w:val="20"/>
              </w:rPr>
              <w:t>1 and 3 weeks</w:t>
            </w:r>
          </w:p>
        </w:tc>
        <w:tc>
          <w:tcPr>
            <w:tcW w:w="7580" w:type="dxa"/>
          </w:tcPr>
          <w:p w14:paraId="0CACECEA" w14:textId="77777777" w:rsidR="00F26D8E" w:rsidRPr="005436BA" w:rsidRDefault="00F26D8E" w:rsidP="00F26D8E">
            <w:pPr>
              <w:rPr>
                <w:sz w:val="20"/>
                <w:szCs w:val="20"/>
              </w:rPr>
            </w:pPr>
            <w:r w:rsidRPr="005436BA">
              <w:rPr>
                <w:sz w:val="20"/>
                <w:szCs w:val="20"/>
              </w:rPr>
              <w:t>“Reported side effects”: 34.1% for intervention and 17.5% for placebo group at week 1 (P = .09); 22.5% for intervention and 10.3% for placebo group at week 3 (P = .14). “Common side effects included mouth or throat irritation, cough, insomnia or difficulty sleeping, abnormal dreams, headache and fatigue.”</w:t>
            </w:r>
          </w:p>
        </w:tc>
        <w:tc>
          <w:tcPr>
            <w:tcW w:w="2660" w:type="dxa"/>
          </w:tcPr>
          <w:p w14:paraId="61098A39" w14:textId="77777777" w:rsidR="00F26D8E" w:rsidRPr="005436BA" w:rsidRDefault="00F26D8E" w:rsidP="00F26D8E">
            <w:pPr>
              <w:rPr>
                <w:sz w:val="20"/>
                <w:szCs w:val="20"/>
              </w:rPr>
            </w:pPr>
            <w:r w:rsidRPr="005436BA">
              <w:rPr>
                <w:rFonts w:cstheme="minorHAnsi"/>
                <w:sz w:val="20"/>
                <w:szCs w:val="20"/>
              </w:rPr>
              <w:t>↑</w:t>
            </w:r>
          </w:p>
        </w:tc>
      </w:tr>
      <w:tr w:rsidR="00F26D8E" w:rsidRPr="005436BA" w14:paraId="3F3A88C2" w14:textId="77777777" w:rsidTr="0054464E">
        <w:trPr>
          <w:cantSplit/>
        </w:trPr>
        <w:tc>
          <w:tcPr>
            <w:tcW w:w="1562" w:type="dxa"/>
          </w:tcPr>
          <w:p w14:paraId="0A12FB35" w14:textId="157206BF" w:rsidR="00F26D8E" w:rsidRPr="005436BA" w:rsidRDefault="00F26D8E" w:rsidP="00F26D8E">
            <w:pPr>
              <w:rPr>
                <w:sz w:val="20"/>
                <w:szCs w:val="20"/>
              </w:rPr>
            </w:pPr>
            <w:proofErr w:type="spellStart"/>
            <w:r>
              <w:rPr>
                <w:sz w:val="20"/>
                <w:szCs w:val="20"/>
              </w:rPr>
              <w:t>Yingst</w:t>
            </w:r>
            <w:proofErr w:type="spellEnd"/>
            <w:r>
              <w:rPr>
                <w:sz w:val="20"/>
                <w:szCs w:val="20"/>
              </w:rPr>
              <w:t xml:space="preserve"> 2020</w:t>
            </w:r>
          </w:p>
        </w:tc>
        <w:tc>
          <w:tcPr>
            <w:tcW w:w="1340" w:type="dxa"/>
          </w:tcPr>
          <w:p w14:paraId="153BE4AB" w14:textId="09065843" w:rsidR="00F26D8E" w:rsidRPr="005436BA" w:rsidRDefault="00F26D8E" w:rsidP="00F26D8E">
            <w:pPr>
              <w:rPr>
                <w:sz w:val="20"/>
                <w:szCs w:val="20"/>
              </w:rPr>
            </w:pPr>
            <w:r>
              <w:rPr>
                <w:sz w:val="20"/>
                <w:szCs w:val="20"/>
              </w:rPr>
              <w:t>Nicotine EC (36 mg/ml; refillable) versus nicotine EC (24 mg/ml; cig-a-like)</w:t>
            </w:r>
          </w:p>
        </w:tc>
        <w:tc>
          <w:tcPr>
            <w:tcW w:w="887" w:type="dxa"/>
          </w:tcPr>
          <w:p w14:paraId="35C02161" w14:textId="1A338D7B" w:rsidR="00F26D8E" w:rsidRPr="005436BA" w:rsidRDefault="00F26D8E" w:rsidP="00F26D8E">
            <w:pPr>
              <w:rPr>
                <w:sz w:val="20"/>
                <w:szCs w:val="20"/>
              </w:rPr>
            </w:pPr>
            <w:r>
              <w:rPr>
                <w:sz w:val="20"/>
                <w:szCs w:val="20"/>
              </w:rPr>
              <w:t>3 weeks</w:t>
            </w:r>
          </w:p>
        </w:tc>
        <w:tc>
          <w:tcPr>
            <w:tcW w:w="7580" w:type="dxa"/>
          </w:tcPr>
          <w:p w14:paraId="585D5F04" w14:textId="58AA72B2" w:rsidR="00F26D8E" w:rsidRDefault="00F26D8E" w:rsidP="00F26D8E">
            <w:pPr>
              <w:rPr>
                <w:sz w:val="20"/>
                <w:szCs w:val="20"/>
              </w:rPr>
            </w:pPr>
            <w:r>
              <w:rPr>
                <w:sz w:val="20"/>
                <w:szCs w:val="20"/>
              </w:rPr>
              <w:t>N</w:t>
            </w:r>
            <w:r w:rsidR="004C0ED0">
              <w:rPr>
                <w:sz w:val="20"/>
                <w:szCs w:val="20"/>
              </w:rPr>
              <w:t xml:space="preserve"> </w:t>
            </w:r>
            <w:r>
              <w:rPr>
                <w:sz w:val="20"/>
                <w:szCs w:val="20"/>
              </w:rPr>
              <w:t>=</w:t>
            </w:r>
            <w:r w:rsidR="004C0ED0">
              <w:rPr>
                <w:sz w:val="20"/>
                <w:szCs w:val="20"/>
              </w:rPr>
              <w:t xml:space="preserve"> </w:t>
            </w:r>
            <w:r>
              <w:rPr>
                <w:sz w:val="20"/>
                <w:szCs w:val="20"/>
              </w:rPr>
              <w:t>17. Score range 0 (not at all) to 10 (extremely)</w:t>
            </w:r>
          </w:p>
          <w:p w14:paraId="08AE2ED8" w14:textId="77777777" w:rsidR="00F26D8E" w:rsidRDefault="00F26D8E" w:rsidP="00F26D8E">
            <w:pPr>
              <w:rPr>
                <w:sz w:val="20"/>
                <w:szCs w:val="20"/>
              </w:rPr>
            </w:pPr>
            <w:r>
              <w:rPr>
                <w:sz w:val="20"/>
                <w:szCs w:val="20"/>
              </w:rPr>
              <w:t>Dizziness: 0.9 (1.4) refillable; 0.7 (1.0) cartridge</w:t>
            </w:r>
          </w:p>
          <w:p w14:paraId="26CD54FD" w14:textId="76776EDF" w:rsidR="00F26D8E" w:rsidRPr="005436BA" w:rsidRDefault="00F26D8E" w:rsidP="00F26D8E">
            <w:pPr>
              <w:rPr>
                <w:sz w:val="20"/>
                <w:szCs w:val="20"/>
              </w:rPr>
            </w:pPr>
            <w:r>
              <w:rPr>
                <w:sz w:val="20"/>
                <w:szCs w:val="20"/>
              </w:rPr>
              <w:t>Nausea 0.5 (1.1) refillable; 0.5 (1.1) cartridge</w:t>
            </w:r>
          </w:p>
        </w:tc>
        <w:tc>
          <w:tcPr>
            <w:tcW w:w="2660" w:type="dxa"/>
          </w:tcPr>
          <w:p w14:paraId="6C3EA50B" w14:textId="77777777" w:rsidR="00F26D8E" w:rsidRDefault="00F26D8E" w:rsidP="00F26D8E">
            <w:pPr>
              <w:rPr>
                <w:rFonts w:cstheme="minorHAnsi"/>
                <w:sz w:val="20"/>
                <w:szCs w:val="20"/>
              </w:rPr>
            </w:pPr>
            <w:r>
              <w:rPr>
                <w:rFonts w:cstheme="minorHAnsi"/>
                <w:sz w:val="20"/>
                <w:szCs w:val="20"/>
              </w:rPr>
              <w:t xml:space="preserve">Dizziness </w:t>
            </w:r>
            <w:r w:rsidRPr="005436BA">
              <w:rPr>
                <w:rFonts w:cstheme="minorHAnsi"/>
                <w:sz w:val="20"/>
                <w:szCs w:val="20"/>
              </w:rPr>
              <w:t>↑</w:t>
            </w:r>
          </w:p>
          <w:p w14:paraId="2E424414" w14:textId="02E3B27A" w:rsidR="00F26D8E" w:rsidRPr="005436BA" w:rsidRDefault="00F26D8E" w:rsidP="00F26D8E">
            <w:pPr>
              <w:rPr>
                <w:rFonts w:cstheme="minorHAnsi"/>
                <w:sz w:val="20"/>
                <w:szCs w:val="20"/>
              </w:rPr>
            </w:pPr>
            <w:r>
              <w:rPr>
                <w:rFonts w:cstheme="minorHAnsi"/>
                <w:sz w:val="20"/>
                <w:szCs w:val="20"/>
              </w:rPr>
              <w:t xml:space="preserve">Nausea </w:t>
            </w:r>
            <w:r w:rsidRPr="005436BA">
              <w:rPr>
                <w:rFonts w:cstheme="minorHAnsi"/>
                <w:sz w:val="20"/>
                <w:szCs w:val="20"/>
              </w:rPr>
              <w:t>↔</w:t>
            </w:r>
          </w:p>
        </w:tc>
      </w:tr>
    </w:tbl>
    <w:p w14:paraId="526BC005" w14:textId="77777777" w:rsidR="007E4864" w:rsidRDefault="007E4864"/>
    <w:p w14:paraId="0AB25863" w14:textId="77777777" w:rsidR="005436BA" w:rsidRDefault="005436BA" w:rsidP="005436BA">
      <w:r>
        <w:br w:type="page"/>
      </w:r>
    </w:p>
    <w:p w14:paraId="76F575E6" w14:textId="77777777" w:rsidR="005436BA" w:rsidRPr="005436BA" w:rsidRDefault="005436BA" w:rsidP="005436BA">
      <w:pPr>
        <w:pStyle w:val="Heading2"/>
      </w:pPr>
      <w:r>
        <w:t>Cohort studies (all nicotine EC)</w:t>
      </w:r>
    </w:p>
    <w:tbl>
      <w:tblPr>
        <w:tblStyle w:val="TableGrid"/>
        <w:tblW w:w="13745" w:type="dxa"/>
        <w:tblLook w:val="04A0" w:firstRow="1" w:lastRow="0" w:firstColumn="1" w:lastColumn="0" w:noHBand="0" w:noVBand="1"/>
      </w:tblPr>
      <w:tblGrid>
        <w:gridCol w:w="1361"/>
        <w:gridCol w:w="871"/>
        <w:gridCol w:w="9000"/>
        <w:gridCol w:w="2513"/>
      </w:tblGrid>
      <w:tr w:rsidR="005436BA" w14:paraId="680346D7" w14:textId="77777777" w:rsidTr="00D150C7">
        <w:trPr>
          <w:cantSplit/>
          <w:tblHeader/>
        </w:trPr>
        <w:tc>
          <w:tcPr>
            <w:tcW w:w="1074" w:type="dxa"/>
          </w:tcPr>
          <w:p w14:paraId="41B8F1A4" w14:textId="77777777" w:rsidR="005436BA" w:rsidRPr="005436BA" w:rsidRDefault="005436BA" w:rsidP="009A3C63">
            <w:pPr>
              <w:rPr>
                <w:b/>
                <w:sz w:val="20"/>
                <w:szCs w:val="20"/>
              </w:rPr>
            </w:pPr>
            <w:r w:rsidRPr="005436BA">
              <w:rPr>
                <w:b/>
                <w:sz w:val="20"/>
                <w:szCs w:val="20"/>
              </w:rPr>
              <w:t>Study ID</w:t>
            </w:r>
          </w:p>
        </w:tc>
        <w:tc>
          <w:tcPr>
            <w:tcW w:w="872" w:type="dxa"/>
          </w:tcPr>
          <w:p w14:paraId="6F1AE86F" w14:textId="77777777" w:rsidR="005436BA" w:rsidRPr="005436BA" w:rsidRDefault="005436BA" w:rsidP="009A3C63">
            <w:pPr>
              <w:rPr>
                <w:b/>
                <w:sz w:val="20"/>
                <w:szCs w:val="20"/>
              </w:rPr>
            </w:pPr>
            <w:r w:rsidRPr="005436BA">
              <w:rPr>
                <w:b/>
                <w:sz w:val="20"/>
                <w:szCs w:val="20"/>
              </w:rPr>
              <w:t>Time point</w:t>
            </w:r>
          </w:p>
        </w:tc>
        <w:tc>
          <w:tcPr>
            <w:tcW w:w="9248" w:type="dxa"/>
          </w:tcPr>
          <w:p w14:paraId="7653CB94" w14:textId="77777777" w:rsidR="005436BA" w:rsidRPr="005436BA" w:rsidRDefault="005436BA" w:rsidP="009A3C63">
            <w:pPr>
              <w:rPr>
                <w:b/>
                <w:sz w:val="20"/>
                <w:szCs w:val="20"/>
              </w:rPr>
            </w:pPr>
            <w:r>
              <w:rPr>
                <w:b/>
                <w:sz w:val="20"/>
                <w:szCs w:val="20"/>
              </w:rPr>
              <w:t xml:space="preserve">Data </w:t>
            </w:r>
          </w:p>
        </w:tc>
        <w:tc>
          <w:tcPr>
            <w:tcW w:w="2551" w:type="dxa"/>
          </w:tcPr>
          <w:p w14:paraId="07B5E448" w14:textId="77777777" w:rsidR="005436BA" w:rsidRPr="005436BA" w:rsidRDefault="005436BA" w:rsidP="005436BA">
            <w:pPr>
              <w:rPr>
                <w:b/>
                <w:sz w:val="20"/>
                <w:szCs w:val="20"/>
              </w:rPr>
            </w:pPr>
            <w:r>
              <w:rPr>
                <w:b/>
                <w:sz w:val="20"/>
                <w:szCs w:val="20"/>
              </w:rPr>
              <w:t>Frequency</w:t>
            </w:r>
            <w:r w:rsidRPr="005436BA">
              <w:rPr>
                <w:b/>
                <w:sz w:val="20"/>
                <w:szCs w:val="20"/>
              </w:rPr>
              <w:t xml:space="preserve"> over time</w:t>
            </w:r>
            <w:r>
              <w:rPr>
                <w:rStyle w:val="FootnoteReference"/>
                <w:b/>
                <w:sz w:val="20"/>
                <w:szCs w:val="20"/>
              </w:rPr>
              <w:footnoteReference w:id="5"/>
            </w:r>
            <w:r w:rsidRPr="005436BA">
              <w:rPr>
                <w:b/>
                <w:sz w:val="20"/>
                <w:szCs w:val="20"/>
              </w:rPr>
              <w:t xml:space="preserve"> (</w:t>
            </w:r>
            <w:r w:rsidRPr="005436BA">
              <w:rPr>
                <w:rFonts w:cstheme="minorHAnsi"/>
                <w:b/>
                <w:sz w:val="20"/>
                <w:szCs w:val="20"/>
              </w:rPr>
              <w:t>↓</w:t>
            </w:r>
            <w:r w:rsidRPr="005436BA">
              <w:rPr>
                <w:b/>
                <w:sz w:val="20"/>
                <w:szCs w:val="20"/>
              </w:rPr>
              <w:t xml:space="preserve"> decline</w:t>
            </w:r>
            <w:r>
              <w:rPr>
                <w:b/>
                <w:sz w:val="20"/>
                <w:szCs w:val="20"/>
              </w:rPr>
              <w:t xml:space="preserve">; </w:t>
            </w:r>
            <w:r w:rsidRPr="005436BA">
              <w:rPr>
                <w:b/>
                <w:sz w:val="20"/>
                <w:szCs w:val="20"/>
              </w:rPr>
              <w:t>↔</w:t>
            </w:r>
            <w:r>
              <w:rPr>
                <w:b/>
                <w:sz w:val="20"/>
                <w:szCs w:val="20"/>
              </w:rPr>
              <w:t xml:space="preserve"> equivocal; </w:t>
            </w:r>
            <w:r w:rsidRPr="005436BA">
              <w:rPr>
                <w:b/>
                <w:sz w:val="20"/>
                <w:szCs w:val="20"/>
              </w:rPr>
              <w:t>↑</w:t>
            </w:r>
            <w:r>
              <w:rPr>
                <w:b/>
                <w:sz w:val="20"/>
                <w:szCs w:val="20"/>
              </w:rPr>
              <w:t xml:space="preserve"> increase</w:t>
            </w:r>
            <w:r w:rsidRPr="005436BA">
              <w:rPr>
                <w:b/>
                <w:sz w:val="20"/>
                <w:szCs w:val="20"/>
              </w:rPr>
              <w:t>)</w:t>
            </w:r>
          </w:p>
        </w:tc>
      </w:tr>
      <w:tr w:rsidR="005436BA" w14:paraId="7CF7DD86" w14:textId="77777777" w:rsidTr="00D150C7">
        <w:trPr>
          <w:cantSplit/>
        </w:trPr>
        <w:tc>
          <w:tcPr>
            <w:tcW w:w="1074" w:type="dxa"/>
          </w:tcPr>
          <w:p w14:paraId="60C19825" w14:textId="77777777" w:rsidR="005436BA" w:rsidRPr="005436BA" w:rsidRDefault="005436BA" w:rsidP="009A3C63">
            <w:pPr>
              <w:rPr>
                <w:sz w:val="20"/>
                <w:szCs w:val="20"/>
              </w:rPr>
            </w:pPr>
            <w:r w:rsidRPr="005436BA">
              <w:rPr>
                <w:sz w:val="20"/>
                <w:szCs w:val="20"/>
              </w:rPr>
              <w:t>Bell 2017</w:t>
            </w:r>
          </w:p>
        </w:tc>
        <w:tc>
          <w:tcPr>
            <w:tcW w:w="872" w:type="dxa"/>
          </w:tcPr>
          <w:p w14:paraId="7DF6AECF" w14:textId="77777777" w:rsidR="005436BA" w:rsidRPr="005436BA" w:rsidRDefault="005436BA" w:rsidP="009A3C63">
            <w:pPr>
              <w:rPr>
                <w:sz w:val="20"/>
                <w:szCs w:val="20"/>
              </w:rPr>
            </w:pPr>
            <w:r w:rsidRPr="005436BA">
              <w:rPr>
                <w:sz w:val="20"/>
                <w:szCs w:val="20"/>
              </w:rPr>
              <w:t>6 months</w:t>
            </w:r>
          </w:p>
        </w:tc>
        <w:tc>
          <w:tcPr>
            <w:tcW w:w="9248" w:type="dxa"/>
          </w:tcPr>
          <w:p w14:paraId="7B9D4690" w14:textId="2340C134" w:rsidR="005436BA" w:rsidRPr="005436BA" w:rsidRDefault="005436BA" w:rsidP="009A3C63">
            <w:pPr>
              <w:rPr>
                <w:sz w:val="20"/>
                <w:szCs w:val="20"/>
              </w:rPr>
            </w:pPr>
            <w:r w:rsidRPr="005436BA">
              <w:rPr>
                <w:sz w:val="20"/>
                <w:szCs w:val="20"/>
              </w:rPr>
              <w:t>N followed up</w:t>
            </w:r>
            <w:r w:rsidR="00E36931">
              <w:rPr>
                <w:sz w:val="20"/>
                <w:szCs w:val="20"/>
              </w:rPr>
              <w:t xml:space="preserve"> </w:t>
            </w:r>
            <w:r w:rsidRPr="005436BA">
              <w:rPr>
                <w:sz w:val="20"/>
                <w:szCs w:val="20"/>
              </w:rPr>
              <w:t>=</w:t>
            </w:r>
            <w:r w:rsidR="00E36931">
              <w:rPr>
                <w:sz w:val="20"/>
                <w:szCs w:val="20"/>
              </w:rPr>
              <w:t xml:space="preserve"> </w:t>
            </w:r>
            <w:r w:rsidRPr="005436BA">
              <w:rPr>
                <w:sz w:val="20"/>
                <w:szCs w:val="20"/>
              </w:rPr>
              <w:t>26.</w:t>
            </w:r>
            <w:r w:rsidRPr="005436BA">
              <w:rPr>
                <w:rFonts w:ascii="Calibri" w:hAnsi="Calibri" w:cs="Calibri"/>
                <w:color w:val="000000" w:themeColor="text1"/>
                <w:sz w:val="20"/>
                <w:szCs w:val="20"/>
                <w:bdr w:val="none" w:sz="0" w:space="0" w:color="auto" w:frame="1"/>
                <w:shd w:val="clear" w:color="auto" w:fill="FFFFFF"/>
              </w:rPr>
              <w:t xml:space="preserve"> 41 events recorded during the duration of the study. 27 were considered to be possibly, probably or definitely related to the study treatment. Of these 27 adverse events 21 (78%) occurred within the first 4 weeks of the treatment period. </w:t>
            </w:r>
            <w:r w:rsidRPr="005436BA">
              <w:rPr>
                <w:sz w:val="20"/>
                <w:szCs w:val="20"/>
              </w:rPr>
              <w:t xml:space="preserve"> % experiencing the following AEs </w:t>
            </w:r>
            <w:proofErr w:type="gramStart"/>
            <w:r w:rsidRPr="005436BA">
              <w:rPr>
                <w:sz w:val="20"/>
                <w:szCs w:val="20"/>
              </w:rPr>
              <w:t>reported:</w:t>
            </w:r>
            <w:proofErr w:type="gramEnd"/>
            <w:r w:rsidRPr="005436BA">
              <w:rPr>
                <w:sz w:val="20"/>
                <w:szCs w:val="20"/>
              </w:rPr>
              <w:t xml:space="preserve"> throat irritation 29.6%; headache 25.9%; cough/chest irritation 18.5%; nausea 14.8%; breathing difficulty 3.7%; gastroesophageal reflux &amp; </w:t>
            </w:r>
            <w:proofErr w:type="spellStart"/>
            <w:r w:rsidRPr="005436BA">
              <w:rPr>
                <w:sz w:val="20"/>
                <w:szCs w:val="20"/>
              </w:rPr>
              <w:t>oesophagistis</w:t>
            </w:r>
            <w:proofErr w:type="spellEnd"/>
            <w:r w:rsidRPr="005436BA">
              <w:rPr>
                <w:sz w:val="20"/>
                <w:szCs w:val="20"/>
              </w:rPr>
              <w:t xml:space="preserve"> 3.7%; heart palpitations 3.7%. </w:t>
            </w:r>
          </w:p>
        </w:tc>
        <w:tc>
          <w:tcPr>
            <w:tcW w:w="2551" w:type="dxa"/>
          </w:tcPr>
          <w:p w14:paraId="5BA8FCD2" w14:textId="77777777" w:rsidR="005436BA" w:rsidRPr="005436BA" w:rsidRDefault="005436BA" w:rsidP="009A3C63">
            <w:pPr>
              <w:rPr>
                <w:sz w:val="20"/>
                <w:szCs w:val="20"/>
              </w:rPr>
            </w:pPr>
            <w:r w:rsidRPr="005436BA">
              <w:rPr>
                <w:rFonts w:cstheme="minorHAnsi"/>
                <w:sz w:val="20"/>
                <w:szCs w:val="20"/>
              </w:rPr>
              <w:t>↓</w:t>
            </w:r>
          </w:p>
        </w:tc>
      </w:tr>
      <w:tr w:rsidR="005436BA" w14:paraId="17E9FD4E" w14:textId="77777777" w:rsidTr="00D150C7">
        <w:trPr>
          <w:cantSplit/>
        </w:trPr>
        <w:tc>
          <w:tcPr>
            <w:tcW w:w="1074" w:type="dxa"/>
          </w:tcPr>
          <w:p w14:paraId="4BFA6AB2" w14:textId="77777777" w:rsidR="005436BA" w:rsidRPr="005436BA" w:rsidRDefault="005436BA" w:rsidP="009A3C63">
            <w:pPr>
              <w:rPr>
                <w:sz w:val="20"/>
                <w:szCs w:val="20"/>
              </w:rPr>
            </w:pPr>
            <w:proofErr w:type="spellStart"/>
            <w:r w:rsidRPr="005436BA">
              <w:rPr>
                <w:sz w:val="20"/>
                <w:szCs w:val="20"/>
              </w:rPr>
              <w:t>Caponetto</w:t>
            </w:r>
            <w:proofErr w:type="spellEnd"/>
            <w:r w:rsidRPr="005436BA">
              <w:rPr>
                <w:sz w:val="20"/>
                <w:szCs w:val="20"/>
              </w:rPr>
              <w:t xml:space="preserve"> 2013b</w:t>
            </w:r>
          </w:p>
        </w:tc>
        <w:tc>
          <w:tcPr>
            <w:tcW w:w="872" w:type="dxa"/>
          </w:tcPr>
          <w:p w14:paraId="60DC02CF" w14:textId="77777777" w:rsidR="005436BA" w:rsidRPr="005436BA" w:rsidRDefault="005436BA" w:rsidP="009A3C63">
            <w:pPr>
              <w:rPr>
                <w:sz w:val="20"/>
                <w:szCs w:val="20"/>
              </w:rPr>
            </w:pPr>
            <w:r w:rsidRPr="005436BA">
              <w:rPr>
                <w:sz w:val="20"/>
                <w:szCs w:val="20"/>
              </w:rPr>
              <w:t>1 year</w:t>
            </w:r>
          </w:p>
        </w:tc>
        <w:tc>
          <w:tcPr>
            <w:tcW w:w="9248" w:type="dxa"/>
          </w:tcPr>
          <w:p w14:paraId="7364985C" w14:textId="77777777" w:rsidR="005436BA" w:rsidRPr="005436BA" w:rsidRDefault="005436BA" w:rsidP="009A3C63">
            <w:pPr>
              <w:rPr>
                <w:sz w:val="20"/>
                <w:szCs w:val="20"/>
              </w:rPr>
            </w:pPr>
            <w:r w:rsidRPr="005436BA">
              <w:rPr>
                <w:sz w:val="20"/>
                <w:szCs w:val="20"/>
              </w:rPr>
              <w:t>Nausea 2/14 (14.4%) participants,</w:t>
            </w:r>
          </w:p>
          <w:p w14:paraId="34C95EC9" w14:textId="0D373A2A" w:rsidR="005436BA" w:rsidRPr="005436BA" w:rsidRDefault="005436BA" w:rsidP="00F725F3">
            <w:pPr>
              <w:rPr>
                <w:sz w:val="20"/>
                <w:szCs w:val="20"/>
              </w:rPr>
            </w:pPr>
            <w:r w:rsidRPr="005436BA">
              <w:rPr>
                <w:sz w:val="20"/>
                <w:szCs w:val="20"/>
              </w:rPr>
              <w:t>throat irritation 2/14 (14.4%) participants, headache 2/14 participants, dry cough in 4/14 (28.6%) participants. “Diminished</w:t>
            </w:r>
            <w:r w:rsidR="00F725F3">
              <w:rPr>
                <w:sz w:val="20"/>
                <w:szCs w:val="20"/>
              </w:rPr>
              <w:t xml:space="preserve"> </w:t>
            </w:r>
            <w:r w:rsidRPr="005436BA">
              <w:rPr>
                <w:sz w:val="20"/>
                <w:szCs w:val="20"/>
              </w:rPr>
              <w:t>substantially by week-24”</w:t>
            </w:r>
          </w:p>
        </w:tc>
        <w:tc>
          <w:tcPr>
            <w:tcW w:w="2551" w:type="dxa"/>
          </w:tcPr>
          <w:p w14:paraId="2C4616EB" w14:textId="77777777" w:rsidR="005436BA" w:rsidRPr="005436BA" w:rsidRDefault="005436BA" w:rsidP="009A3C63">
            <w:pPr>
              <w:rPr>
                <w:sz w:val="20"/>
                <w:szCs w:val="20"/>
              </w:rPr>
            </w:pPr>
            <w:r w:rsidRPr="005436BA">
              <w:rPr>
                <w:rFonts w:cstheme="minorHAnsi"/>
                <w:sz w:val="20"/>
                <w:szCs w:val="20"/>
              </w:rPr>
              <w:t>↓</w:t>
            </w:r>
          </w:p>
        </w:tc>
      </w:tr>
      <w:tr w:rsidR="006B6235" w14:paraId="742ABBC8" w14:textId="77777777" w:rsidTr="00D150C7">
        <w:trPr>
          <w:cantSplit/>
        </w:trPr>
        <w:tc>
          <w:tcPr>
            <w:tcW w:w="1074" w:type="dxa"/>
          </w:tcPr>
          <w:p w14:paraId="017B227D" w14:textId="0924F4B1" w:rsidR="006B6235" w:rsidRPr="005436BA" w:rsidRDefault="006B6235" w:rsidP="009A3C63">
            <w:pPr>
              <w:rPr>
                <w:sz w:val="20"/>
                <w:szCs w:val="20"/>
              </w:rPr>
            </w:pPr>
            <w:proofErr w:type="spellStart"/>
            <w:r>
              <w:rPr>
                <w:sz w:val="20"/>
                <w:szCs w:val="20"/>
              </w:rPr>
              <w:t>Caponetto</w:t>
            </w:r>
            <w:proofErr w:type="spellEnd"/>
            <w:r>
              <w:rPr>
                <w:sz w:val="20"/>
                <w:szCs w:val="20"/>
              </w:rPr>
              <w:t xml:space="preserve"> 2021</w:t>
            </w:r>
          </w:p>
        </w:tc>
        <w:tc>
          <w:tcPr>
            <w:tcW w:w="872" w:type="dxa"/>
          </w:tcPr>
          <w:p w14:paraId="6BE6C8CF" w14:textId="01E1A190" w:rsidR="006B6235" w:rsidRPr="005436BA" w:rsidRDefault="006B6235" w:rsidP="009A3C63">
            <w:pPr>
              <w:rPr>
                <w:sz w:val="20"/>
                <w:szCs w:val="20"/>
              </w:rPr>
            </w:pPr>
            <w:r>
              <w:rPr>
                <w:sz w:val="20"/>
                <w:szCs w:val="20"/>
              </w:rPr>
              <w:t>24 weeks</w:t>
            </w:r>
          </w:p>
        </w:tc>
        <w:tc>
          <w:tcPr>
            <w:tcW w:w="9248" w:type="dxa"/>
          </w:tcPr>
          <w:p w14:paraId="0FB29E45" w14:textId="248BA16D" w:rsidR="006B6235" w:rsidRPr="005436BA" w:rsidRDefault="006B6235" w:rsidP="009A3C63">
            <w:pPr>
              <w:rPr>
                <w:sz w:val="20"/>
                <w:szCs w:val="20"/>
              </w:rPr>
            </w:pPr>
            <w:r>
              <w:rPr>
                <w:sz w:val="20"/>
                <w:szCs w:val="20"/>
              </w:rPr>
              <w:t>7.8% reported dry cough during the course of the study, 5.4% reported headache, and 2.7% reported throat irritation. No data on frequency over time.</w:t>
            </w:r>
          </w:p>
        </w:tc>
        <w:tc>
          <w:tcPr>
            <w:tcW w:w="2551" w:type="dxa"/>
          </w:tcPr>
          <w:p w14:paraId="526E7FD4" w14:textId="77777777" w:rsidR="006B6235" w:rsidRPr="005436BA" w:rsidRDefault="006B6235" w:rsidP="009A3C63">
            <w:pPr>
              <w:rPr>
                <w:rFonts w:cstheme="minorHAnsi"/>
                <w:sz w:val="20"/>
                <w:szCs w:val="20"/>
              </w:rPr>
            </w:pPr>
          </w:p>
        </w:tc>
      </w:tr>
      <w:tr w:rsidR="005436BA" w14:paraId="59733B5B" w14:textId="77777777" w:rsidTr="00D150C7">
        <w:trPr>
          <w:cantSplit/>
        </w:trPr>
        <w:tc>
          <w:tcPr>
            <w:tcW w:w="1074" w:type="dxa"/>
          </w:tcPr>
          <w:p w14:paraId="06A75B34" w14:textId="77777777" w:rsidR="005436BA" w:rsidRPr="005436BA" w:rsidRDefault="005436BA" w:rsidP="009A3C63">
            <w:pPr>
              <w:rPr>
                <w:sz w:val="20"/>
                <w:szCs w:val="20"/>
              </w:rPr>
            </w:pPr>
            <w:r w:rsidRPr="005436BA">
              <w:rPr>
                <w:sz w:val="20"/>
                <w:szCs w:val="20"/>
              </w:rPr>
              <w:t>Goniewicz 2017</w:t>
            </w:r>
          </w:p>
        </w:tc>
        <w:tc>
          <w:tcPr>
            <w:tcW w:w="872" w:type="dxa"/>
          </w:tcPr>
          <w:p w14:paraId="5D628067" w14:textId="77777777" w:rsidR="005436BA" w:rsidRPr="005436BA" w:rsidRDefault="005436BA" w:rsidP="009A3C63">
            <w:pPr>
              <w:rPr>
                <w:sz w:val="20"/>
                <w:szCs w:val="20"/>
              </w:rPr>
            </w:pPr>
            <w:r w:rsidRPr="005436BA">
              <w:rPr>
                <w:sz w:val="20"/>
                <w:szCs w:val="20"/>
              </w:rPr>
              <w:t>2 weeks</w:t>
            </w:r>
          </w:p>
        </w:tc>
        <w:tc>
          <w:tcPr>
            <w:tcW w:w="9248" w:type="dxa"/>
          </w:tcPr>
          <w:p w14:paraId="26E4D732" w14:textId="77777777" w:rsidR="005436BA" w:rsidRPr="005436BA" w:rsidRDefault="005436BA" w:rsidP="009A3C63">
            <w:pPr>
              <w:rPr>
                <w:sz w:val="20"/>
                <w:szCs w:val="20"/>
              </w:rPr>
            </w:pPr>
            <w:r w:rsidRPr="005436BA">
              <w:rPr>
                <w:sz w:val="20"/>
                <w:szCs w:val="20"/>
              </w:rPr>
              <w:t xml:space="preserve">“Significant improvements in chest tightness (35% baseline, 10% week 1, 5% week 2; </w:t>
            </w:r>
            <w:r w:rsidRPr="005436BA">
              <w:rPr>
                <w:i/>
                <w:iCs/>
                <w:sz w:val="20"/>
                <w:szCs w:val="20"/>
              </w:rPr>
              <w:t xml:space="preserve">p </w:t>
            </w:r>
            <w:r w:rsidRPr="005436BA">
              <w:rPr>
                <w:sz w:val="20"/>
                <w:szCs w:val="20"/>
              </w:rPr>
              <w:t xml:space="preserve">= .024) and visual disturbances (25% baseline, 5% week 1, 0% week 2; </w:t>
            </w:r>
            <w:r w:rsidRPr="005436BA">
              <w:rPr>
                <w:i/>
                <w:iCs/>
                <w:sz w:val="20"/>
                <w:szCs w:val="20"/>
              </w:rPr>
              <w:t xml:space="preserve">p </w:t>
            </w:r>
            <w:r w:rsidRPr="005436BA">
              <w:rPr>
                <w:sz w:val="20"/>
                <w:szCs w:val="20"/>
              </w:rPr>
              <w:t>= .020) were observed. Subjects reported non-significant improvement in daytime cough (80% baseline, 70% week 1, 65% week 2), difficulty concentrating (65% baseline, 35% weeks 1 and 2, respectively), irritability (60% baseline, 50% week 1, 40% week 2), and presence of phlegm (75% baseline, 65% week 1, 50% week 2).”</w:t>
            </w:r>
          </w:p>
        </w:tc>
        <w:tc>
          <w:tcPr>
            <w:tcW w:w="2551" w:type="dxa"/>
          </w:tcPr>
          <w:p w14:paraId="34206298" w14:textId="77777777" w:rsidR="005436BA" w:rsidRPr="005436BA" w:rsidRDefault="005436BA" w:rsidP="009A3C63">
            <w:pPr>
              <w:rPr>
                <w:sz w:val="20"/>
                <w:szCs w:val="20"/>
              </w:rPr>
            </w:pPr>
            <w:r w:rsidRPr="005436BA">
              <w:rPr>
                <w:rFonts w:cstheme="minorHAnsi"/>
                <w:sz w:val="20"/>
                <w:szCs w:val="20"/>
              </w:rPr>
              <w:t>↓</w:t>
            </w:r>
          </w:p>
        </w:tc>
      </w:tr>
      <w:tr w:rsidR="005436BA" w14:paraId="6133B184" w14:textId="77777777" w:rsidTr="00D150C7">
        <w:trPr>
          <w:cantSplit/>
        </w:trPr>
        <w:tc>
          <w:tcPr>
            <w:tcW w:w="1074" w:type="dxa"/>
          </w:tcPr>
          <w:p w14:paraId="34B8FF9B" w14:textId="77777777" w:rsidR="005436BA" w:rsidRPr="005436BA" w:rsidRDefault="005436BA" w:rsidP="009A3C63">
            <w:pPr>
              <w:rPr>
                <w:sz w:val="20"/>
                <w:szCs w:val="20"/>
              </w:rPr>
            </w:pPr>
            <w:r w:rsidRPr="005436BA">
              <w:rPr>
                <w:sz w:val="20"/>
                <w:szCs w:val="20"/>
              </w:rPr>
              <w:t>Hajek 2015a</w:t>
            </w:r>
          </w:p>
        </w:tc>
        <w:tc>
          <w:tcPr>
            <w:tcW w:w="872" w:type="dxa"/>
          </w:tcPr>
          <w:p w14:paraId="3832A637" w14:textId="77777777" w:rsidR="005436BA" w:rsidRPr="005436BA" w:rsidRDefault="005436BA" w:rsidP="009A3C63">
            <w:pPr>
              <w:rPr>
                <w:sz w:val="20"/>
                <w:szCs w:val="20"/>
              </w:rPr>
            </w:pPr>
            <w:r w:rsidRPr="005436BA">
              <w:rPr>
                <w:sz w:val="20"/>
                <w:szCs w:val="20"/>
              </w:rPr>
              <w:t>4 weeks</w:t>
            </w:r>
          </w:p>
        </w:tc>
        <w:tc>
          <w:tcPr>
            <w:tcW w:w="9248" w:type="dxa"/>
          </w:tcPr>
          <w:p w14:paraId="0A1F5BB5" w14:textId="77777777" w:rsidR="005436BA" w:rsidRPr="005436BA" w:rsidRDefault="005436BA" w:rsidP="009A3C63">
            <w:pPr>
              <w:rPr>
                <w:sz w:val="20"/>
                <w:szCs w:val="20"/>
              </w:rPr>
            </w:pPr>
            <w:r w:rsidRPr="005436BA">
              <w:rPr>
                <w:sz w:val="20"/>
                <w:szCs w:val="20"/>
              </w:rPr>
              <w:t>Throat irritation and minor coughing reported (incidence not quantified). One incident of a leak from the EVOD system which resulted in mouth irritation; medical treatment was not sought and the incident was resolved by washing the lip with water.</w:t>
            </w:r>
          </w:p>
        </w:tc>
        <w:tc>
          <w:tcPr>
            <w:tcW w:w="2551" w:type="dxa"/>
          </w:tcPr>
          <w:p w14:paraId="700DEC6B" w14:textId="77777777" w:rsidR="005436BA" w:rsidRPr="005436BA" w:rsidRDefault="005436BA" w:rsidP="009A3C63">
            <w:pPr>
              <w:rPr>
                <w:sz w:val="20"/>
                <w:szCs w:val="20"/>
              </w:rPr>
            </w:pPr>
          </w:p>
        </w:tc>
      </w:tr>
      <w:tr w:rsidR="005436BA" w14:paraId="61ECD3C0" w14:textId="77777777" w:rsidTr="00D150C7">
        <w:trPr>
          <w:cantSplit/>
        </w:trPr>
        <w:tc>
          <w:tcPr>
            <w:tcW w:w="1074" w:type="dxa"/>
          </w:tcPr>
          <w:p w14:paraId="172DFD7B" w14:textId="77777777" w:rsidR="005436BA" w:rsidRPr="005436BA" w:rsidRDefault="005436BA" w:rsidP="009A3C63">
            <w:pPr>
              <w:rPr>
                <w:sz w:val="20"/>
                <w:szCs w:val="20"/>
              </w:rPr>
            </w:pPr>
            <w:r w:rsidRPr="005436BA">
              <w:rPr>
                <w:sz w:val="20"/>
                <w:szCs w:val="20"/>
              </w:rPr>
              <w:t>Hickling 2019</w:t>
            </w:r>
          </w:p>
        </w:tc>
        <w:tc>
          <w:tcPr>
            <w:tcW w:w="872" w:type="dxa"/>
          </w:tcPr>
          <w:p w14:paraId="5A621A12" w14:textId="77777777" w:rsidR="005436BA" w:rsidRPr="005436BA" w:rsidRDefault="005436BA" w:rsidP="009A3C63">
            <w:pPr>
              <w:rPr>
                <w:sz w:val="20"/>
                <w:szCs w:val="20"/>
              </w:rPr>
            </w:pPr>
            <w:r w:rsidRPr="005436BA">
              <w:rPr>
                <w:sz w:val="20"/>
                <w:szCs w:val="20"/>
              </w:rPr>
              <w:t>6 weeks</w:t>
            </w:r>
          </w:p>
        </w:tc>
        <w:tc>
          <w:tcPr>
            <w:tcW w:w="9248" w:type="dxa"/>
          </w:tcPr>
          <w:p w14:paraId="008EFBD6" w14:textId="77777777" w:rsidR="005436BA" w:rsidRPr="005436BA" w:rsidRDefault="005436BA" w:rsidP="009A3C63">
            <w:pPr>
              <w:rPr>
                <w:sz w:val="20"/>
                <w:szCs w:val="20"/>
              </w:rPr>
            </w:pPr>
            <w:r w:rsidRPr="005436BA">
              <w:rPr>
                <w:sz w:val="20"/>
                <w:szCs w:val="20"/>
              </w:rPr>
              <w:t>Most commonly reported adverse effects (endorsed in response to named adverse effects): throat irritation (13/46), dry cough (9/46), dry mouth (7/46). “No significant changes in the reporting of adverse effects between baseline and week 6 (all p &gt; 0.05).”</w:t>
            </w:r>
          </w:p>
        </w:tc>
        <w:tc>
          <w:tcPr>
            <w:tcW w:w="2551" w:type="dxa"/>
          </w:tcPr>
          <w:p w14:paraId="085FE550" w14:textId="77777777" w:rsidR="005436BA" w:rsidRPr="005436BA" w:rsidRDefault="005436BA" w:rsidP="009A3C63">
            <w:pPr>
              <w:rPr>
                <w:sz w:val="20"/>
                <w:szCs w:val="20"/>
              </w:rPr>
            </w:pPr>
            <w:r w:rsidRPr="005436BA">
              <w:rPr>
                <w:rFonts w:cstheme="minorHAnsi"/>
                <w:sz w:val="20"/>
                <w:szCs w:val="20"/>
              </w:rPr>
              <w:t>↔</w:t>
            </w:r>
          </w:p>
        </w:tc>
      </w:tr>
      <w:tr w:rsidR="005436BA" w14:paraId="7F60FE2A" w14:textId="77777777" w:rsidTr="00D150C7">
        <w:trPr>
          <w:cantSplit/>
        </w:trPr>
        <w:tc>
          <w:tcPr>
            <w:tcW w:w="1074" w:type="dxa"/>
          </w:tcPr>
          <w:p w14:paraId="5584601A" w14:textId="77777777" w:rsidR="005436BA" w:rsidRPr="005436BA" w:rsidRDefault="005436BA" w:rsidP="009A3C63">
            <w:pPr>
              <w:rPr>
                <w:sz w:val="20"/>
                <w:szCs w:val="20"/>
              </w:rPr>
            </w:pPr>
            <w:r w:rsidRPr="005436BA">
              <w:rPr>
                <w:sz w:val="20"/>
                <w:szCs w:val="20"/>
              </w:rPr>
              <w:t>Humair 2014</w:t>
            </w:r>
          </w:p>
        </w:tc>
        <w:tc>
          <w:tcPr>
            <w:tcW w:w="872" w:type="dxa"/>
          </w:tcPr>
          <w:p w14:paraId="5267A474" w14:textId="77777777" w:rsidR="005436BA" w:rsidRPr="005436BA" w:rsidRDefault="005436BA" w:rsidP="009A3C63">
            <w:pPr>
              <w:rPr>
                <w:sz w:val="20"/>
                <w:szCs w:val="20"/>
              </w:rPr>
            </w:pPr>
            <w:r>
              <w:rPr>
                <w:sz w:val="20"/>
                <w:szCs w:val="20"/>
              </w:rPr>
              <w:t>NS</w:t>
            </w:r>
          </w:p>
        </w:tc>
        <w:tc>
          <w:tcPr>
            <w:tcW w:w="9248" w:type="dxa"/>
          </w:tcPr>
          <w:p w14:paraId="6D1CDC44" w14:textId="78A92A67" w:rsidR="005436BA" w:rsidRPr="005436BA" w:rsidRDefault="00E36931" w:rsidP="009A3C63">
            <w:pPr>
              <w:rPr>
                <w:sz w:val="20"/>
                <w:szCs w:val="20"/>
              </w:rPr>
            </w:pPr>
            <w:r>
              <w:rPr>
                <w:sz w:val="20"/>
                <w:szCs w:val="20"/>
              </w:rPr>
              <w:t>R</w:t>
            </w:r>
            <w:r w:rsidR="005436BA" w:rsidRPr="005436BA">
              <w:rPr>
                <w:sz w:val="20"/>
                <w:szCs w:val="20"/>
              </w:rPr>
              <w:t>eports only that participants did not experience any AEs</w:t>
            </w:r>
          </w:p>
        </w:tc>
        <w:tc>
          <w:tcPr>
            <w:tcW w:w="2551" w:type="dxa"/>
          </w:tcPr>
          <w:p w14:paraId="073B0CA6" w14:textId="77777777" w:rsidR="005436BA" w:rsidRPr="005436BA" w:rsidRDefault="005436BA" w:rsidP="009A3C63">
            <w:pPr>
              <w:rPr>
                <w:sz w:val="20"/>
                <w:szCs w:val="20"/>
              </w:rPr>
            </w:pPr>
          </w:p>
        </w:tc>
      </w:tr>
      <w:tr w:rsidR="00843EEC" w14:paraId="2A86402F" w14:textId="77777777" w:rsidTr="00D150C7">
        <w:trPr>
          <w:cantSplit/>
        </w:trPr>
        <w:tc>
          <w:tcPr>
            <w:tcW w:w="1074" w:type="dxa"/>
          </w:tcPr>
          <w:p w14:paraId="1FDDC7F4" w14:textId="5C51453D" w:rsidR="00843EEC" w:rsidRPr="005436BA" w:rsidRDefault="00843EEC" w:rsidP="009A3C63">
            <w:pPr>
              <w:rPr>
                <w:sz w:val="20"/>
                <w:szCs w:val="20"/>
              </w:rPr>
            </w:pPr>
            <w:r w:rsidRPr="00843EEC">
              <w:rPr>
                <w:sz w:val="20"/>
                <w:szCs w:val="20"/>
              </w:rPr>
              <w:t>NCT02648178</w:t>
            </w:r>
          </w:p>
        </w:tc>
        <w:tc>
          <w:tcPr>
            <w:tcW w:w="872" w:type="dxa"/>
          </w:tcPr>
          <w:p w14:paraId="1A4CAA18" w14:textId="07A17558" w:rsidR="00843EEC" w:rsidRDefault="00843EEC" w:rsidP="009A3C63">
            <w:pPr>
              <w:rPr>
                <w:sz w:val="20"/>
                <w:szCs w:val="20"/>
              </w:rPr>
            </w:pPr>
            <w:r>
              <w:rPr>
                <w:sz w:val="20"/>
                <w:szCs w:val="20"/>
              </w:rPr>
              <w:t>NS</w:t>
            </w:r>
          </w:p>
        </w:tc>
        <w:tc>
          <w:tcPr>
            <w:tcW w:w="9248" w:type="dxa"/>
          </w:tcPr>
          <w:p w14:paraId="0A261504" w14:textId="5C4BDE9F" w:rsidR="00843EEC" w:rsidRPr="005436BA" w:rsidRDefault="00843EEC" w:rsidP="009A3C63">
            <w:pPr>
              <w:rPr>
                <w:sz w:val="20"/>
                <w:szCs w:val="20"/>
              </w:rPr>
            </w:pPr>
            <w:r>
              <w:rPr>
                <w:sz w:val="20"/>
                <w:szCs w:val="20"/>
              </w:rPr>
              <w:t>Reports no events in 19 participants</w:t>
            </w:r>
          </w:p>
        </w:tc>
        <w:tc>
          <w:tcPr>
            <w:tcW w:w="2551" w:type="dxa"/>
          </w:tcPr>
          <w:p w14:paraId="7200FA11" w14:textId="77777777" w:rsidR="00843EEC" w:rsidRPr="005436BA" w:rsidRDefault="00843EEC" w:rsidP="009A3C63">
            <w:pPr>
              <w:rPr>
                <w:sz w:val="20"/>
                <w:szCs w:val="20"/>
              </w:rPr>
            </w:pPr>
          </w:p>
        </w:tc>
      </w:tr>
      <w:tr w:rsidR="005436BA" w14:paraId="0F715F59" w14:textId="77777777" w:rsidTr="00D150C7">
        <w:trPr>
          <w:cantSplit/>
        </w:trPr>
        <w:tc>
          <w:tcPr>
            <w:tcW w:w="1074" w:type="dxa"/>
          </w:tcPr>
          <w:p w14:paraId="4703847F" w14:textId="77777777" w:rsidR="005436BA" w:rsidRPr="005436BA" w:rsidRDefault="005436BA" w:rsidP="009A3C63">
            <w:pPr>
              <w:rPr>
                <w:sz w:val="20"/>
                <w:szCs w:val="20"/>
              </w:rPr>
            </w:pPr>
            <w:r w:rsidRPr="005436BA">
              <w:rPr>
                <w:sz w:val="20"/>
                <w:szCs w:val="20"/>
              </w:rPr>
              <w:t>Nides 2014</w:t>
            </w:r>
          </w:p>
        </w:tc>
        <w:tc>
          <w:tcPr>
            <w:tcW w:w="872" w:type="dxa"/>
          </w:tcPr>
          <w:p w14:paraId="6CFEE40F" w14:textId="75421BCE" w:rsidR="005436BA" w:rsidRPr="005436BA" w:rsidRDefault="00843EEC" w:rsidP="009A3C63">
            <w:pPr>
              <w:rPr>
                <w:sz w:val="20"/>
                <w:szCs w:val="20"/>
              </w:rPr>
            </w:pPr>
            <w:r>
              <w:rPr>
                <w:sz w:val="20"/>
                <w:szCs w:val="20"/>
              </w:rPr>
              <w:t>12 weeks</w:t>
            </w:r>
          </w:p>
        </w:tc>
        <w:tc>
          <w:tcPr>
            <w:tcW w:w="9248" w:type="dxa"/>
          </w:tcPr>
          <w:p w14:paraId="0980112F" w14:textId="77777777" w:rsidR="005436BA" w:rsidRPr="005436BA" w:rsidRDefault="005436BA" w:rsidP="009A3C63">
            <w:pPr>
              <w:rPr>
                <w:sz w:val="20"/>
                <w:szCs w:val="20"/>
              </w:rPr>
            </w:pPr>
            <w:r w:rsidRPr="005436BA">
              <w:rPr>
                <w:sz w:val="20"/>
                <w:szCs w:val="20"/>
              </w:rPr>
              <w:t>12 participants experienced 15 AEs and all but one (throat irritation) were classified as mild</w:t>
            </w:r>
          </w:p>
        </w:tc>
        <w:tc>
          <w:tcPr>
            <w:tcW w:w="2551" w:type="dxa"/>
          </w:tcPr>
          <w:p w14:paraId="111FE3C3" w14:textId="77777777" w:rsidR="005436BA" w:rsidRPr="005436BA" w:rsidRDefault="005436BA" w:rsidP="009A3C63">
            <w:pPr>
              <w:rPr>
                <w:sz w:val="20"/>
                <w:szCs w:val="20"/>
              </w:rPr>
            </w:pPr>
          </w:p>
        </w:tc>
      </w:tr>
      <w:tr w:rsidR="005436BA" w14:paraId="032688F5" w14:textId="77777777" w:rsidTr="00D150C7">
        <w:trPr>
          <w:cantSplit/>
        </w:trPr>
        <w:tc>
          <w:tcPr>
            <w:tcW w:w="1074" w:type="dxa"/>
          </w:tcPr>
          <w:p w14:paraId="0B6392F5" w14:textId="77777777" w:rsidR="005436BA" w:rsidRPr="005436BA" w:rsidRDefault="005436BA" w:rsidP="009A3C63">
            <w:pPr>
              <w:rPr>
                <w:sz w:val="20"/>
                <w:szCs w:val="20"/>
              </w:rPr>
            </w:pPr>
            <w:proofErr w:type="spellStart"/>
            <w:r w:rsidRPr="005436BA">
              <w:rPr>
                <w:sz w:val="20"/>
                <w:szCs w:val="20"/>
              </w:rPr>
              <w:t>Oncken</w:t>
            </w:r>
            <w:proofErr w:type="spellEnd"/>
            <w:r w:rsidRPr="005436BA">
              <w:rPr>
                <w:sz w:val="20"/>
                <w:szCs w:val="20"/>
              </w:rPr>
              <w:t xml:space="preserve"> 2015</w:t>
            </w:r>
            <w:r>
              <w:rPr>
                <w:rStyle w:val="FootnoteReference"/>
                <w:sz w:val="20"/>
                <w:szCs w:val="20"/>
              </w:rPr>
              <w:footnoteReference w:id="6"/>
            </w:r>
          </w:p>
        </w:tc>
        <w:tc>
          <w:tcPr>
            <w:tcW w:w="872" w:type="dxa"/>
          </w:tcPr>
          <w:p w14:paraId="06096845" w14:textId="77777777" w:rsidR="005436BA" w:rsidRPr="005436BA" w:rsidRDefault="005436BA" w:rsidP="009A3C63">
            <w:pPr>
              <w:rPr>
                <w:sz w:val="20"/>
                <w:szCs w:val="20"/>
              </w:rPr>
            </w:pPr>
            <w:r w:rsidRPr="005436BA">
              <w:rPr>
                <w:sz w:val="20"/>
                <w:szCs w:val="20"/>
              </w:rPr>
              <w:t xml:space="preserve">2 weeks </w:t>
            </w:r>
          </w:p>
        </w:tc>
        <w:tc>
          <w:tcPr>
            <w:tcW w:w="9248" w:type="dxa"/>
          </w:tcPr>
          <w:p w14:paraId="31F1D970" w14:textId="77777777" w:rsidR="005436BA" w:rsidRPr="005436BA" w:rsidRDefault="005436BA" w:rsidP="009A3C63">
            <w:pPr>
              <w:rPr>
                <w:sz w:val="20"/>
                <w:szCs w:val="20"/>
              </w:rPr>
            </w:pPr>
            <w:r w:rsidRPr="005436BA">
              <w:rPr>
                <w:sz w:val="20"/>
                <w:szCs w:val="20"/>
              </w:rPr>
              <w:t>Cough in 19% of participants (5/27) , mouth/throat irritation in 15% (4/27), nausea in 4% (1/27), headache in 4% (1/27), and “other” in 4% (1/27) (irritability, stomach cramps). One severe adverse event (itchy throat and cough) in participant with a history of childhood asthma; the participant was discontinued from EC use and symptoms resolved.</w:t>
            </w:r>
          </w:p>
        </w:tc>
        <w:tc>
          <w:tcPr>
            <w:tcW w:w="2551" w:type="dxa"/>
          </w:tcPr>
          <w:p w14:paraId="262F6446" w14:textId="77777777" w:rsidR="005436BA" w:rsidRPr="005436BA" w:rsidRDefault="005436BA" w:rsidP="009A3C63">
            <w:pPr>
              <w:rPr>
                <w:sz w:val="20"/>
                <w:szCs w:val="20"/>
              </w:rPr>
            </w:pPr>
          </w:p>
        </w:tc>
      </w:tr>
      <w:tr w:rsidR="005436BA" w14:paraId="489A0316" w14:textId="77777777" w:rsidTr="00D150C7">
        <w:trPr>
          <w:cantSplit/>
        </w:trPr>
        <w:tc>
          <w:tcPr>
            <w:tcW w:w="1074" w:type="dxa"/>
          </w:tcPr>
          <w:p w14:paraId="7860C2F7" w14:textId="77777777" w:rsidR="005436BA" w:rsidRPr="005436BA" w:rsidRDefault="005436BA" w:rsidP="009A3C63">
            <w:pPr>
              <w:rPr>
                <w:sz w:val="20"/>
                <w:szCs w:val="20"/>
              </w:rPr>
            </w:pPr>
            <w:proofErr w:type="spellStart"/>
            <w:r w:rsidRPr="005436BA">
              <w:rPr>
                <w:sz w:val="20"/>
                <w:szCs w:val="20"/>
              </w:rPr>
              <w:t>Polosa</w:t>
            </w:r>
            <w:proofErr w:type="spellEnd"/>
            <w:r w:rsidRPr="005436BA">
              <w:rPr>
                <w:sz w:val="20"/>
                <w:szCs w:val="20"/>
              </w:rPr>
              <w:t xml:space="preserve"> 2011</w:t>
            </w:r>
          </w:p>
        </w:tc>
        <w:tc>
          <w:tcPr>
            <w:tcW w:w="872" w:type="dxa"/>
          </w:tcPr>
          <w:p w14:paraId="33248521" w14:textId="77777777" w:rsidR="005436BA" w:rsidRPr="005436BA" w:rsidRDefault="005436BA" w:rsidP="009A3C63">
            <w:pPr>
              <w:rPr>
                <w:sz w:val="20"/>
                <w:szCs w:val="20"/>
              </w:rPr>
            </w:pPr>
            <w:r w:rsidRPr="005436BA">
              <w:rPr>
                <w:sz w:val="20"/>
                <w:szCs w:val="20"/>
              </w:rPr>
              <w:t>2 years</w:t>
            </w:r>
          </w:p>
        </w:tc>
        <w:tc>
          <w:tcPr>
            <w:tcW w:w="9248" w:type="dxa"/>
          </w:tcPr>
          <w:p w14:paraId="1B141616" w14:textId="77777777" w:rsidR="005436BA" w:rsidRPr="005436BA" w:rsidRDefault="005436BA" w:rsidP="009A3C63">
            <w:pPr>
              <w:rPr>
                <w:sz w:val="20"/>
                <w:szCs w:val="20"/>
              </w:rPr>
            </w:pPr>
            <w:r w:rsidRPr="005436BA">
              <w:rPr>
                <w:sz w:val="20"/>
                <w:szCs w:val="20"/>
              </w:rPr>
              <w:t>Most commonly reported AEs were throat irritation (8.7%), mouth irritation (8.7%), dry cough (13.1%), dry mouth (4.3%), and headache (4.3%); stable throughout the study. Dizziness and nausea reported at the start of the study but disappeared by 24 months.</w:t>
            </w:r>
          </w:p>
        </w:tc>
        <w:tc>
          <w:tcPr>
            <w:tcW w:w="2551" w:type="dxa"/>
          </w:tcPr>
          <w:p w14:paraId="6CA00E53" w14:textId="77777777" w:rsidR="005436BA" w:rsidRPr="005436BA" w:rsidRDefault="005436BA" w:rsidP="009A3C63">
            <w:pPr>
              <w:rPr>
                <w:rFonts w:cstheme="minorHAnsi"/>
                <w:sz w:val="20"/>
                <w:szCs w:val="20"/>
              </w:rPr>
            </w:pPr>
            <w:r w:rsidRPr="005436BA">
              <w:rPr>
                <w:sz w:val="20"/>
                <w:szCs w:val="20"/>
              </w:rPr>
              <w:t xml:space="preserve">Throat/mouth irritation </w:t>
            </w:r>
            <w:r w:rsidRPr="005436BA">
              <w:rPr>
                <w:rFonts w:cstheme="minorHAnsi"/>
                <w:sz w:val="20"/>
                <w:szCs w:val="20"/>
              </w:rPr>
              <w:t>↔</w:t>
            </w:r>
          </w:p>
          <w:p w14:paraId="5352792B" w14:textId="77777777" w:rsidR="005436BA" w:rsidRPr="005436BA" w:rsidRDefault="005436BA" w:rsidP="009A3C63">
            <w:pPr>
              <w:rPr>
                <w:rFonts w:cstheme="minorHAnsi"/>
                <w:sz w:val="20"/>
                <w:szCs w:val="20"/>
              </w:rPr>
            </w:pPr>
            <w:r w:rsidRPr="005436BA">
              <w:rPr>
                <w:rFonts w:cstheme="minorHAnsi"/>
                <w:sz w:val="20"/>
                <w:szCs w:val="20"/>
              </w:rPr>
              <w:t>Cough ↔</w:t>
            </w:r>
          </w:p>
          <w:p w14:paraId="1DFF3992" w14:textId="77777777" w:rsidR="005436BA" w:rsidRPr="005436BA" w:rsidRDefault="005436BA" w:rsidP="009A3C63">
            <w:pPr>
              <w:rPr>
                <w:rFonts w:cstheme="minorHAnsi"/>
                <w:sz w:val="20"/>
                <w:szCs w:val="20"/>
              </w:rPr>
            </w:pPr>
            <w:r w:rsidRPr="005436BA">
              <w:rPr>
                <w:rFonts w:cstheme="minorHAnsi"/>
                <w:sz w:val="20"/>
                <w:szCs w:val="20"/>
              </w:rPr>
              <w:t>Dry mouth ↔</w:t>
            </w:r>
          </w:p>
          <w:p w14:paraId="63504C6F" w14:textId="77777777" w:rsidR="005436BA" w:rsidRPr="005436BA" w:rsidRDefault="005436BA" w:rsidP="009A3C63">
            <w:pPr>
              <w:rPr>
                <w:rFonts w:cstheme="minorHAnsi"/>
                <w:sz w:val="20"/>
                <w:szCs w:val="20"/>
              </w:rPr>
            </w:pPr>
            <w:r w:rsidRPr="005436BA">
              <w:rPr>
                <w:rFonts w:cstheme="minorHAnsi"/>
                <w:sz w:val="20"/>
                <w:szCs w:val="20"/>
              </w:rPr>
              <w:t>Headache ↔</w:t>
            </w:r>
          </w:p>
          <w:p w14:paraId="1A913995" w14:textId="77777777" w:rsidR="005436BA" w:rsidRPr="005436BA" w:rsidRDefault="005436BA" w:rsidP="009A3C63">
            <w:pPr>
              <w:rPr>
                <w:rFonts w:cstheme="minorHAnsi"/>
                <w:sz w:val="20"/>
                <w:szCs w:val="20"/>
              </w:rPr>
            </w:pPr>
            <w:r w:rsidRPr="005436BA">
              <w:rPr>
                <w:rFonts w:cstheme="minorHAnsi"/>
                <w:sz w:val="20"/>
                <w:szCs w:val="20"/>
              </w:rPr>
              <w:t>Dizziness ↓</w:t>
            </w:r>
          </w:p>
          <w:p w14:paraId="505ADB40" w14:textId="77777777" w:rsidR="005436BA" w:rsidRPr="005436BA" w:rsidRDefault="005436BA" w:rsidP="009A3C63">
            <w:pPr>
              <w:rPr>
                <w:sz w:val="20"/>
                <w:szCs w:val="20"/>
              </w:rPr>
            </w:pPr>
            <w:r w:rsidRPr="005436BA">
              <w:rPr>
                <w:rFonts w:cstheme="minorHAnsi"/>
                <w:sz w:val="20"/>
                <w:szCs w:val="20"/>
              </w:rPr>
              <w:t>Nausea  ↓</w:t>
            </w:r>
          </w:p>
        </w:tc>
      </w:tr>
      <w:tr w:rsidR="005436BA" w14:paraId="629B628E" w14:textId="77777777" w:rsidTr="00D150C7">
        <w:trPr>
          <w:cantSplit/>
        </w:trPr>
        <w:tc>
          <w:tcPr>
            <w:tcW w:w="1074" w:type="dxa"/>
          </w:tcPr>
          <w:p w14:paraId="57753EDA" w14:textId="77777777" w:rsidR="005436BA" w:rsidRPr="005436BA" w:rsidRDefault="005436BA" w:rsidP="009A3C63">
            <w:pPr>
              <w:rPr>
                <w:sz w:val="20"/>
                <w:szCs w:val="20"/>
              </w:rPr>
            </w:pPr>
            <w:proofErr w:type="spellStart"/>
            <w:r w:rsidRPr="005436BA">
              <w:rPr>
                <w:sz w:val="20"/>
                <w:szCs w:val="20"/>
              </w:rPr>
              <w:t>Polosa</w:t>
            </w:r>
            <w:proofErr w:type="spellEnd"/>
            <w:r w:rsidRPr="005436BA">
              <w:rPr>
                <w:sz w:val="20"/>
                <w:szCs w:val="20"/>
              </w:rPr>
              <w:t xml:space="preserve"> 2014b</w:t>
            </w:r>
          </w:p>
        </w:tc>
        <w:tc>
          <w:tcPr>
            <w:tcW w:w="872" w:type="dxa"/>
          </w:tcPr>
          <w:p w14:paraId="47F9258F" w14:textId="77777777" w:rsidR="005436BA" w:rsidRPr="005436BA" w:rsidRDefault="005436BA" w:rsidP="009A3C63">
            <w:pPr>
              <w:rPr>
                <w:sz w:val="20"/>
                <w:szCs w:val="20"/>
              </w:rPr>
            </w:pPr>
            <w:r w:rsidRPr="005436BA">
              <w:rPr>
                <w:sz w:val="20"/>
                <w:szCs w:val="20"/>
              </w:rPr>
              <w:t>6 months</w:t>
            </w:r>
          </w:p>
        </w:tc>
        <w:tc>
          <w:tcPr>
            <w:tcW w:w="9248" w:type="dxa"/>
          </w:tcPr>
          <w:p w14:paraId="3C22BC29" w14:textId="77777777" w:rsidR="005436BA" w:rsidRPr="005436BA" w:rsidRDefault="005436BA" w:rsidP="009A3C63">
            <w:pPr>
              <w:rPr>
                <w:sz w:val="20"/>
                <w:szCs w:val="20"/>
              </w:rPr>
            </w:pPr>
            <w:r w:rsidRPr="005436BA">
              <w:rPr>
                <w:sz w:val="20"/>
                <w:szCs w:val="20"/>
              </w:rPr>
              <w:t>Throat/mouth irritation (35.6%), dry throat/mouth (28.9%), headache (26.7%) and dry cough (22.2%) were frequently reported at study start but all decreased in frequency over time</w:t>
            </w:r>
          </w:p>
        </w:tc>
        <w:tc>
          <w:tcPr>
            <w:tcW w:w="2551" w:type="dxa"/>
          </w:tcPr>
          <w:p w14:paraId="1B99493D" w14:textId="77777777" w:rsidR="005436BA" w:rsidRPr="005436BA" w:rsidRDefault="005436BA" w:rsidP="009A3C63">
            <w:pPr>
              <w:rPr>
                <w:sz w:val="20"/>
                <w:szCs w:val="20"/>
              </w:rPr>
            </w:pPr>
            <w:r w:rsidRPr="005436BA">
              <w:rPr>
                <w:rFonts w:cstheme="minorHAnsi"/>
                <w:sz w:val="20"/>
                <w:szCs w:val="20"/>
              </w:rPr>
              <w:t>↓</w:t>
            </w:r>
          </w:p>
        </w:tc>
      </w:tr>
      <w:tr w:rsidR="004E6A28" w14:paraId="4FB470A8" w14:textId="77777777" w:rsidTr="00D150C7">
        <w:trPr>
          <w:cantSplit/>
        </w:trPr>
        <w:tc>
          <w:tcPr>
            <w:tcW w:w="1074" w:type="dxa"/>
          </w:tcPr>
          <w:p w14:paraId="1DBC609E" w14:textId="5A35201C" w:rsidR="004E6A28" w:rsidRPr="005436BA" w:rsidRDefault="004E6A28" w:rsidP="009A3C63">
            <w:pPr>
              <w:rPr>
                <w:sz w:val="20"/>
                <w:szCs w:val="20"/>
              </w:rPr>
            </w:pPr>
            <w:r>
              <w:rPr>
                <w:sz w:val="20"/>
                <w:szCs w:val="20"/>
              </w:rPr>
              <w:t>Pratt 2016</w:t>
            </w:r>
          </w:p>
        </w:tc>
        <w:tc>
          <w:tcPr>
            <w:tcW w:w="872" w:type="dxa"/>
          </w:tcPr>
          <w:p w14:paraId="5ED358C6" w14:textId="2019D178" w:rsidR="004E6A28" w:rsidRPr="005436BA" w:rsidRDefault="004E6A28" w:rsidP="009A3C63">
            <w:pPr>
              <w:rPr>
                <w:sz w:val="20"/>
                <w:szCs w:val="20"/>
              </w:rPr>
            </w:pPr>
            <w:r>
              <w:rPr>
                <w:sz w:val="20"/>
                <w:szCs w:val="20"/>
              </w:rPr>
              <w:t>4 weeks</w:t>
            </w:r>
          </w:p>
        </w:tc>
        <w:tc>
          <w:tcPr>
            <w:tcW w:w="9248" w:type="dxa"/>
          </w:tcPr>
          <w:p w14:paraId="6D0199CA" w14:textId="6189B0EC" w:rsidR="004E6A28" w:rsidRPr="005436BA" w:rsidRDefault="004E6A28" w:rsidP="001B3056">
            <w:pPr>
              <w:rPr>
                <w:sz w:val="20"/>
                <w:szCs w:val="20"/>
              </w:rPr>
            </w:pPr>
            <w:r>
              <w:rPr>
                <w:sz w:val="20"/>
                <w:szCs w:val="20"/>
              </w:rPr>
              <w:t>58% of participants (11/19) reported at least one AE during study period. “</w:t>
            </w:r>
            <w:r w:rsidRPr="004E6A28">
              <w:rPr>
                <w:sz w:val="20"/>
                <w:szCs w:val="20"/>
              </w:rPr>
              <w:t xml:space="preserve">Self-reported side effects were </w:t>
            </w:r>
            <w:r w:rsidR="001B3056">
              <w:rPr>
                <w:sz w:val="20"/>
                <w:szCs w:val="20"/>
              </w:rPr>
              <w:t>generally mild and short-lived…</w:t>
            </w:r>
            <w:r w:rsidRPr="004E6A28">
              <w:rPr>
                <w:sz w:val="20"/>
                <w:szCs w:val="20"/>
              </w:rPr>
              <w:t>including dry/sore throat,</w:t>
            </w:r>
            <w:r w:rsidR="001B3056">
              <w:rPr>
                <w:sz w:val="20"/>
                <w:szCs w:val="20"/>
              </w:rPr>
              <w:t xml:space="preserve"> </w:t>
            </w:r>
            <w:r w:rsidRPr="004E6A28">
              <w:rPr>
                <w:sz w:val="20"/>
                <w:szCs w:val="20"/>
              </w:rPr>
              <w:t>mild nausea, and cough. Among those</w:t>
            </w:r>
            <w:r w:rsidR="001B3056">
              <w:rPr>
                <w:sz w:val="20"/>
                <w:szCs w:val="20"/>
              </w:rPr>
              <w:t xml:space="preserve"> </w:t>
            </w:r>
            <w:r w:rsidRPr="004E6A28">
              <w:rPr>
                <w:sz w:val="20"/>
                <w:szCs w:val="20"/>
              </w:rPr>
              <w:t>who reported side effects, 55% experienced only one symptom</w:t>
            </w:r>
            <w:r w:rsidR="001B3056">
              <w:rPr>
                <w:sz w:val="20"/>
                <w:szCs w:val="20"/>
              </w:rPr>
              <w:t xml:space="preserve"> </w:t>
            </w:r>
            <w:r w:rsidRPr="004E6A28">
              <w:rPr>
                <w:sz w:val="20"/>
                <w:szCs w:val="20"/>
              </w:rPr>
              <w:t>for only one</w:t>
            </w:r>
            <w:r w:rsidR="001B3056">
              <w:rPr>
                <w:sz w:val="20"/>
                <w:szCs w:val="20"/>
              </w:rPr>
              <w:t xml:space="preserve"> </w:t>
            </w:r>
            <w:r w:rsidRPr="004E6A28">
              <w:rPr>
                <w:sz w:val="20"/>
                <w:szCs w:val="20"/>
              </w:rPr>
              <w:t>week, 37% experienced more than one symptom</w:t>
            </w:r>
            <w:r w:rsidR="001B3056">
              <w:rPr>
                <w:sz w:val="20"/>
                <w:szCs w:val="20"/>
              </w:rPr>
              <w:t xml:space="preserve"> </w:t>
            </w:r>
            <w:r w:rsidRPr="004E6A28">
              <w:rPr>
                <w:sz w:val="20"/>
                <w:szCs w:val="20"/>
              </w:rPr>
              <w:t>for 1–2weeks, and only 1 person had a symptom for &gt;2 weeks (mild cough for 4 weeks)”</w:t>
            </w:r>
          </w:p>
        </w:tc>
        <w:tc>
          <w:tcPr>
            <w:tcW w:w="2551" w:type="dxa"/>
          </w:tcPr>
          <w:p w14:paraId="7175CFDE" w14:textId="34962DA1" w:rsidR="004E6A28" w:rsidRPr="005436BA" w:rsidRDefault="001B3056" w:rsidP="009A3C63">
            <w:pPr>
              <w:rPr>
                <w:rFonts w:cstheme="minorHAnsi"/>
                <w:sz w:val="20"/>
                <w:szCs w:val="20"/>
              </w:rPr>
            </w:pPr>
            <w:r w:rsidRPr="005436BA">
              <w:rPr>
                <w:rFonts w:cstheme="minorHAnsi"/>
                <w:sz w:val="20"/>
                <w:szCs w:val="20"/>
              </w:rPr>
              <w:t>↓</w:t>
            </w:r>
          </w:p>
        </w:tc>
      </w:tr>
      <w:tr w:rsidR="009B5EB5" w14:paraId="5515A8F3" w14:textId="77777777" w:rsidTr="00D150C7">
        <w:trPr>
          <w:cantSplit/>
        </w:trPr>
        <w:tc>
          <w:tcPr>
            <w:tcW w:w="1074" w:type="dxa"/>
          </w:tcPr>
          <w:p w14:paraId="07E1843A" w14:textId="5C5E30AE" w:rsidR="009B5EB5" w:rsidRDefault="009B5EB5" w:rsidP="009A3C63">
            <w:pPr>
              <w:rPr>
                <w:sz w:val="20"/>
                <w:szCs w:val="20"/>
              </w:rPr>
            </w:pPr>
            <w:proofErr w:type="spellStart"/>
            <w:r>
              <w:rPr>
                <w:sz w:val="20"/>
                <w:szCs w:val="20"/>
              </w:rPr>
              <w:t>Scheiben</w:t>
            </w:r>
            <w:proofErr w:type="spellEnd"/>
            <w:r>
              <w:rPr>
                <w:sz w:val="20"/>
                <w:szCs w:val="20"/>
              </w:rPr>
              <w:t xml:space="preserve"> 2019</w:t>
            </w:r>
          </w:p>
        </w:tc>
        <w:tc>
          <w:tcPr>
            <w:tcW w:w="872" w:type="dxa"/>
          </w:tcPr>
          <w:p w14:paraId="719A5399" w14:textId="0BA9F4F2" w:rsidR="009B5EB5" w:rsidRDefault="009B5EB5" w:rsidP="009A3C63">
            <w:pPr>
              <w:rPr>
                <w:sz w:val="20"/>
                <w:szCs w:val="20"/>
              </w:rPr>
            </w:pPr>
            <w:r>
              <w:rPr>
                <w:sz w:val="20"/>
                <w:szCs w:val="20"/>
              </w:rPr>
              <w:t>12 weeks</w:t>
            </w:r>
          </w:p>
        </w:tc>
        <w:tc>
          <w:tcPr>
            <w:tcW w:w="9248" w:type="dxa"/>
          </w:tcPr>
          <w:p w14:paraId="48860D11" w14:textId="25C853F0" w:rsidR="009B5EB5" w:rsidRDefault="009B5EB5" w:rsidP="001B3056">
            <w:pPr>
              <w:rPr>
                <w:sz w:val="20"/>
                <w:szCs w:val="20"/>
              </w:rPr>
            </w:pPr>
            <w:r>
              <w:rPr>
                <w:sz w:val="20"/>
                <w:szCs w:val="20"/>
              </w:rPr>
              <w:t>N</w:t>
            </w:r>
            <w:r w:rsidR="00C60EFE">
              <w:rPr>
                <w:sz w:val="20"/>
                <w:szCs w:val="20"/>
              </w:rPr>
              <w:t xml:space="preserve"> </w:t>
            </w:r>
            <w:r>
              <w:rPr>
                <w:sz w:val="20"/>
                <w:szCs w:val="20"/>
              </w:rPr>
              <w:t>=</w:t>
            </w:r>
            <w:r w:rsidR="00C60EFE">
              <w:rPr>
                <w:sz w:val="20"/>
                <w:szCs w:val="20"/>
              </w:rPr>
              <w:t xml:space="preserve"> </w:t>
            </w:r>
            <w:r>
              <w:rPr>
                <w:sz w:val="20"/>
                <w:szCs w:val="20"/>
              </w:rPr>
              <w:t>9. 1 participant each reported runny nose, bleeding nose, slight sweating and dizziness, increased phlegm, burning sensation. 3 reported coughing. 4/9 reported improvements in physical symptoms (breathing better n</w:t>
            </w:r>
            <w:r w:rsidR="00C60EFE">
              <w:rPr>
                <w:sz w:val="20"/>
                <w:szCs w:val="20"/>
              </w:rPr>
              <w:t xml:space="preserve"> </w:t>
            </w:r>
            <w:r>
              <w:rPr>
                <w:sz w:val="20"/>
                <w:szCs w:val="20"/>
              </w:rPr>
              <w:t>=</w:t>
            </w:r>
            <w:r w:rsidR="00C60EFE">
              <w:rPr>
                <w:sz w:val="20"/>
                <w:szCs w:val="20"/>
              </w:rPr>
              <w:t xml:space="preserve"> </w:t>
            </w:r>
            <w:r>
              <w:rPr>
                <w:sz w:val="20"/>
                <w:szCs w:val="20"/>
              </w:rPr>
              <w:t>3; less coughing n</w:t>
            </w:r>
            <w:r w:rsidR="00E36931">
              <w:rPr>
                <w:sz w:val="20"/>
                <w:szCs w:val="20"/>
              </w:rPr>
              <w:t xml:space="preserve"> </w:t>
            </w:r>
            <w:r>
              <w:rPr>
                <w:sz w:val="20"/>
                <w:szCs w:val="20"/>
              </w:rPr>
              <w:t>=</w:t>
            </w:r>
            <w:r w:rsidR="00E36931">
              <w:rPr>
                <w:sz w:val="20"/>
                <w:szCs w:val="20"/>
              </w:rPr>
              <w:t xml:space="preserve"> </w:t>
            </w:r>
            <w:r>
              <w:rPr>
                <w:sz w:val="20"/>
                <w:szCs w:val="20"/>
              </w:rPr>
              <w:t xml:space="preserve">1; being more </w:t>
            </w:r>
            <w:proofErr w:type="gramStart"/>
            <w:r>
              <w:rPr>
                <w:sz w:val="20"/>
                <w:szCs w:val="20"/>
              </w:rPr>
              <w:t>‘active’ n</w:t>
            </w:r>
            <w:proofErr w:type="gramEnd"/>
            <w:r w:rsidR="00E36931">
              <w:rPr>
                <w:sz w:val="20"/>
                <w:szCs w:val="20"/>
              </w:rPr>
              <w:t xml:space="preserve"> </w:t>
            </w:r>
            <w:r>
              <w:rPr>
                <w:sz w:val="20"/>
                <w:szCs w:val="20"/>
              </w:rPr>
              <w:t>=</w:t>
            </w:r>
            <w:r w:rsidR="00E36931">
              <w:rPr>
                <w:sz w:val="20"/>
                <w:szCs w:val="20"/>
              </w:rPr>
              <w:t xml:space="preserve"> </w:t>
            </w:r>
            <w:r>
              <w:rPr>
                <w:sz w:val="20"/>
                <w:szCs w:val="20"/>
              </w:rPr>
              <w:t>1; having more ‘energy’ n</w:t>
            </w:r>
            <w:r w:rsidR="00C60EFE">
              <w:rPr>
                <w:sz w:val="20"/>
                <w:szCs w:val="20"/>
              </w:rPr>
              <w:t xml:space="preserve"> </w:t>
            </w:r>
            <w:r>
              <w:rPr>
                <w:sz w:val="20"/>
                <w:szCs w:val="20"/>
              </w:rPr>
              <w:t>=</w:t>
            </w:r>
            <w:r w:rsidR="00C60EFE">
              <w:rPr>
                <w:sz w:val="20"/>
                <w:szCs w:val="20"/>
              </w:rPr>
              <w:t xml:space="preserve"> </w:t>
            </w:r>
            <w:r>
              <w:rPr>
                <w:sz w:val="20"/>
                <w:szCs w:val="20"/>
              </w:rPr>
              <w:t>1).</w:t>
            </w:r>
          </w:p>
        </w:tc>
        <w:tc>
          <w:tcPr>
            <w:tcW w:w="2551" w:type="dxa"/>
          </w:tcPr>
          <w:p w14:paraId="59B02203" w14:textId="77777777" w:rsidR="009B5EB5" w:rsidRPr="005436BA" w:rsidRDefault="009B5EB5" w:rsidP="009A3C63">
            <w:pPr>
              <w:rPr>
                <w:rFonts w:cstheme="minorHAnsi"/>
                <w:sz w:val="20"/>
                <w:szCs w:val="20"/>
              </w:rPr>
            </w:pPr>
          </w:p>
        </w:tc>
      </w:tr>
      <w:tr w:rsidR="001B3056" w14:paraId="25AFE3E3" w14:textId="77777777" w:rsidTr="00D150C7">
        <w:trPr>
          <w:cantSplit/>
        </w:trPr>
        <w:tc>
          <w:tcPr>
            <w:tcW w:w="1074" w:type="dxa"/>
          </w:tcPr>
          <w:p w14:paraId="17F23DB0" w14:textId="06E6833B" w:rsidR="001B3056" w:rsidRDefault="001B3056" w:rsidP="009A3C63">
            <w:pPr>
              <w:rPr>
                <w:sz w:val="20"/>
                <w:szCs w:val="20"/>
              </w:rPr>
            </w:pPr>
            <w:r>
              <w:rPr>
                <w:sz w:val="20"/>
                <w:szCs w:val="20"/>
              </w:rPr>
              <w:t>Stein 2016</w:t>
            </w:r>
          </w:p>
        </w:tc>
        <w:tc>
          <w:tcPr>
            <w:tcW w:w="872" w:type="dxa"/>
          </w:tcPr>
          <w:p w14:paraId="43354029" w14:textId="7CC33F4B" w:rsidR="001B3056" w:rsidRDefault="001B3056" w:rsidP="009A3C63">
            <w:pPr>
              <w:rPr>
                <w:sz w:val="20"/>
                <w:szCs w:val="20"/>
              </w:rPr>
            </w:pPr>
            <w:r>
              <w:rPr>
                <w:sz w:val="20"/>
                <w:szCs w:val="20"/>
              </w:rPr>
              <w:t>9 weeks</w:t>
            </w:r>
          </w:p>
        </w:tc>
        <w:tc>
          <w:tcPr>
            <w:tcW w:w="9248" w:type="dxa"/>
          </w:tcPr>
          <w:p w14:paraId="6CEB39B6" w14:textId="5D50B40F" w:rsidR="001B3056" w:rsidRDefault="001B3056" w:rsidP="001B3056">
            <w:pPr>
              <w:rPr>
                <w:sz w:val="20"/>
                <w:szCs w:val="20"/>
              </w:rPr>
            </w:pPr>
            <w:r>
              <w:rPr>
                <w:sz w:val="20"/>
                <w:szCs w:val="20"/>
              </w:rPr>
              <w:t xml:space="preserve">4/12 (33%) participants. 4 </w:t>
            </w:r>
            <w:r w:rsidRPr="001B3056">
              <w:rPr>
                <w:sz w:val="20"/>
                <w:szCs w:val="20"/>
              </w:rPr>
              <w:t>reported “headaches,” three reported “coughing” “increased appetite,” “difficulty concentrating,” and “anxious or nervous,” two reported “change in how things taste,” “sore throat,” and “sleep problems,” and one reported “dry mouth,” “dizziness,” and “desire or craving to smoke.”</w:t>
            </w:r>
            <w:r>
              <w:rPr>
                <w:sz w:val="20"/>
                <w:szCs w:val="20"/>
              </w:rPr>
              <w:t xml:space="preserve"> </w:t>
            </w:r>
          </w:p>
        </w:tc>
        <w:tc>
          <w:tcPr>
            <w:tcW w:w="2551" w:type="dxa"/>
          </w:tcPr>
          <w:p w14:paraId="1711ECA3" w14:textId="77777777" w:rsidR="001B3056" w:rsidRPr="005436BA" w:rsidRDefault="001B3056" w:rsidP="009A3C63">
            <w:pPr>
              <w:rPr>
                <w:rFonts w:cstheme="minorHAnsi"/>
                <w:sz w:val="20"/>
                <w:szCs w:val="20"/>
              </w:rPr>
            </w:pPr>
          </w:p>
        </w:tc>
      </w:tr>
      <w:tr w:rsidR="005436BA" w14:paraId="70911183" w14:textId="77777777" w:rsidTr="00D150C7">
        <w:trPr>
          <w:cantSplit/>
        </w:trPr>
        <w:tc>
          <w:tcPr>
            <w:tcW w:w="1074" w:type="dxa"/>
          </w:tcPr>
          <w:p w14:paraId="7E20C0AB" w14:textId="77777777" w:rsidR="005436BA" w:rsidRPr="005436BA" w:rsidRDefault="005436BA" w:rsidP="009A3C63">
            <w:pPr>
              <w:rPr>
                <w:sz w:val="20"/>
                <w:szCs w:val="20"/>
              </w:rPr>
            </w:pPr>
            <w:r w:rsidRPr="005436BA">
              <w:rPr>
                <w:sz w:val="20"/>
                <w:szCs w:val="20"/>
              </w:rPr>
              <w:t xml:space="preserve">Van </w:t>
            </w:r>
            <w:proofErr w:type="spellStart"/>
            <w:r w:rsidRPr="005436BA">
              <w:rPr>
                <w:sz w:val="20"/>
                <w:szCs w:val="20"/>
              </w:rPr>
              <w:t>Staden</w:t>
            </w:r>
            <w:proofErr w:type="spellEnd"/>
            <w:r w:rsidRPr="005436BA">
              <w:rPr>
                <w:sz w:val="20"/>
                <w:szCs w:val="20"/>
              </w:rPr>
              <w:t xml:space="preserve"> 2013</w:t>
            </w:r>
          </w:p>
        </w:tc>
        <w:tc>
          <w:tcPr>
            <w:tcW w:w="872" w:type="dxa"/>
          </w:tcPr>
          <w:p w14:paraId="498C4D37" w14:textId="77777777" w:rsidR="005436BA" w:rsidRPr="005436BA" w:rsidRDefault="005436BA" w:rsidP="009A3C63">
            <w:pPr>
              <w:rPr>
                <w:sz w:val="20"/>
                <w:szCs w:val="20"/>
              </w:rPr>
            </w:pPr>
            <w:r w:rsidRPr="005436BA">
              <w:rPr>
                <w:sz w:val="20"/>
                <w:szCs w:val="20"/>
              </w:rPr>
              <w:t>2 weeks</w:t>
            </w:r>
          </w:p>
        </w:tc>
        <w:tc>
          <w:tcPr>
            <w:tcW w:w="9248" w:type="dxa"/>
          </w:tcPr>
          <w:p w14:paraId="267B22CE" w14:textId="77777777" w:rsidR="005436BA" w:rsidRPr="005436BA" w:rsidRDefault="005436BA" w:rsidP="009A3C63">
            <w:pPr>
              <w:rPr>
                <w:sz w:val="20"/>
                <w:szCs w:val="20"/>
              </w:rPr>
            </w:pPr>
            <w:r w:rsidRPr="005436BA">
              <w:rPr>
                <w:sz w:val="20"/>
                <w:szCs w:val="20"/>
              </w:rPr>
              <w:t>Little data reported. One dropout due to illness (headache and fever)</w:t>
            </w:r>
          </w:p>
        </w:tc>
        <w:tc>
          <w:tcPr>
            <w:tcW w:w="2551" w:type="dxa"/>
          </w:tcPr>
          <w:p w14:paraId="5CF2FAEC" w14:textId="77777777" w:rsidR="005436BA" w:rsidRPr="005436BA" w:rsidRDefault="005436BA" w:rsidP="009A3C63">
            <w:pPr>
              <w:rPr>
                <w:sz w:val="20"/>
                <w:szCs w:val="20"/>
              </w:rPr>
            </w:pPr>
          </w:p>
        </w:tc>
      </w:tr>
      <w:tr w:rsidR="001B3056" w14:paraId="65E6D390" w14:textId="77777777" w:rsidTr="00D150C7">
        <w:trPr>
          <w:cantSplit/>
        </w:trPr>
        <w:tc>
          <w:tcPr>
            <w:tcW w:w="1074" w:type="dxa"/>
          </w:tcPr>
          <w:p w14:paraId="2519C18E" w14:textId="776FAAAD" w:rsidR="001B3056" w:rsidRPr="005436BA" w:rsidRDefault="001B3056" w:rsidP="009A3C63">
            <w:pPr>
              <w:rPr>
                <w:sz w:val="20"/>
                <w:szCs w:val="20"/>
              </w:rPr>
            </w:pPr>
            <w:r>
              <w:rPr>
                <w:sz w:val="20"/>
                <w:szCs w:val="20"/>
              </w:rPr>
              <w:t>Wadia 2016</w:t>
            </w:r>
          </w:p>
        </w:tc>
        <w:tc>
          <w:tcPr>
            <w:tcW w:w="872" w:type="dxa"/>
          </w:tcPr>
          <w:p w14:paraId="682329AB" w14:textId="1F29D29C" w:rsidR="001B3056" w:rsidRPr="005436BA" w:rsidRDefault="001B3056" w:rsidP="009A3C63">
            <w:pPr>
              <w:rPr>
                <w:sz w:val="20"/>
                <w:szCs w:val="20"/>
              </w:rPr>
            </w:pPr>
            <w:r>
              <w:rPr>
                <w:sz w:val="20"/>
                <w:szCs w:val="20"/>
              </w:rPr>
              <w:t>2 weeks</w:t>
            </w:r>
          </w:p>
        </w:tc>
        <w:tc>
          <w:tcPr>
            <w:tcW w:w="9248" w:type="dxa"/>
          </w:tcPr>
          <w:p w14:paraId="28027118" w14:textId="6BCCB961" w:rsidR="001B3056" w:rsidRPr="005436BA" w:rsidRDefault="001B3056" w:rsidP="009A3C63">
            <w:pPr>
              <w:rPr>
                <w:sz w:val="20"/>
                <w:szCs w:val="20"/>
              </w:rPr>
            </w:pPr>
            <w:r>
              <w:rPr>
                <w:sz w:val="20"/>
                <w:szCs w:val="20"/>
              </w:rPr>
              <w:t>None of the participants reported AEs</w:t>
            </w:r>
          </w:p>
        </w:tc>
        <w:tc>
          <w:tcPr>
            <w:tcW w:w="2551" w:type="dxa"/>
          </w:tcPr>
          <w:p w14:paraId="00B975BF" w14:textId="77777777" w:rsidR="001B3056" w:rsidRPr="005436BA" w:rsidRDefault="001B3056" w:rsidP="009A3C63">
            <w:pPr>
              <w:rPr>
                <w:sz w:val="20"/>
                <w:szCs w:val="20"/>
              </w:rPr>
            </w:pPr>
          </w:p>
        </w:tc>
      </w:tr>
    </w:tbl>
    <w:p w14:paraId="0859D05F" w14:textId="77777777" w:rsidR="005436BA" w:rsidRDefault="005436BA" w:rsidP="005436BA"/>
    <w:p w14:paraId="789B70B3" w14:textId="77777777" w:rsidR="005436BA" w:rsidRDefault="005436BA" w:rsidP="005436BA">
      <w:bookmarkStart w:id="0" w:name="_GoBack"/>
      <w:bookmarkEnd w:id="0"/>
    </w:p>
    <w:sectPr w:rsidR="005436BA" w:rsidSect="007E486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E3C08" w14:textId="77777777" w:rsidR="007E2BD3" w:rsidRDefault="007E2BD3" w:rsidP="00754948">
      <w:pPr>
        <w:spacing w:after="0" w:line="240" w:lineRule="auto"/>
      </w:pPr>
      <w:r>
        <w:separator/>
      </w:r>
    </w:p>
  </w:endnote>
  <w:endnote w:type="continuationSeparator" w:id="0">
    <w:p w14:paraId="40D37A13" w14:textId="77777777" w:rsidR="007E2BD3" w:rsidRDefault="007E2BD3" w:rsidP="00754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B1080" w14:textId="77777777" w:rsidR="007E2BD3" w:rsidRDefault="007E2BD3" w:rsidP="00754948">
      <w:pPr>
        <w:spacing w:after="0" w:line="240" w:lineRule="auto"/>
      </w:pPr>
      <w:r>
        <w:separator/>
      </w:r>
    </w:p>
  </w:footnote>
  <w:footnote w:type="continuationSeparator" w:id="0">
    <w:p w14:paraId="6740E272" w14:textId="77777777" w:rsidR="007E2BD3" w:rsidRDefault="007E2BD3" w:rsidP="00754948">
      <w:pPr>
        <w:spacing w:after="0" w:line="240" w:lineRule="auto"/>
      </w:pPr>
      <w:r>
        <w:continuationSeparator/>
      </w:r>
    </w:p>
  </w:footnote>
  <w:footnote w:id="1">
    <w:p w14:paraId="17C1D9B9" w14:textId="43500147" w:rsidR="00843EEC" w:rsidRDefault="00843EEC">
      <w:pPr>
        <w:pStyle w:val="FootnoteText"/>
      </w:pPr>
      <w:r>
        <w:rPr>
          <w:rStyle w:val="FootnoteReference"/>
        </w:rPr>
        <w:footnoteRef/>
      </w:r>
      <w:r>
        <w:t xml:space="preserve"> NS: not specified</w:t>
      </w:r>
    </w:p>
  </w:footnote>
  <w:footnote w:id="2">
    <w:p w14:paraId="539CFAAE" w14:textId="4D7E55D2" w:rsidR="005436BA" w:rsidRDefault="005436BA">
      <w:pPr>
        <w:pStyle w:val="FootnoteText"/>
      </w:pPr>
      <w:r>
        <w:rPr>
          <w:rStyle w:val="FootnoteReference"/>
        </w:rPr>
        <w:footnoteRef/>
      </w:r>
      <w:r>
        <w:t xml:space="preserve"> Excludes </w:t>
      </w:r>
      <w:r w:rsidRPr="00BD64AF">
        <w:t>NCT02918630 2016</w:t>
      </w:r>
      <w:r>
        <w:t xml:space="preserve"> where sample size very small (4 int; 3 control) and AEs reported in detail but not able to synthesise. See NCT record for full information.</w:t>
      </w:r>
      <w:r w:rsidR="00843EEC">
        <w:t xml:space="preserve"> </w:t>
      </w:r>
    </w:p>
  </w:footnote>
  <w:footnote w:id="3">
    <w:p w14:paraId="45631755" w14:textId="259BB090" w:rsidR="00843EEC" w:rsidRDefault="00843EEC">
      <w:pPr>
        <w:pStyle w:val="FootnoteText"/>
      </w:pPr>
      <w:r>
        <w:rPr>
          <w:rStyle w:val="FootnoteReference"/>
        </w:rPr>
        <w:footnoteRef/>
      </w:r>
      <w:r>
        <w:t xml:space="preserve"> Where specified</w:t>
      </w:r>
    </w:p>
  </w:footnote>
  <w:footnote w:id="4">
    <w:p w14:paraId="4849C365" w14:textId="77777777" w:rsidR="005436BA" w:rsidRDefault="005436BA">
      <w:pPr>
        <w:pStyle w:val="FootnoteText"/>
      </w:pPr>
      <w:r>
        <w:rPr>
          <w:rStyle w:val="FootnoteReference"/>
        </w:rPr>
        <w:footnoteRef/>
      </w:r>
      <w:r>
        <w:t xml:space="preserve"> Third non EC arm did not have AE data collected</w:t>
      </w:r>
    </w:p>
  </w:footnote>
  <w:footnote w:id="5">
    <w:p w14:paraId="50D9DFE5" w14:textId="77777777" w:rsidR="005436BA" w:rsidRDefault="005436BA">
      <w:pPr>
        <w:pStyle w:val="FootnoteText"/>
      </w:pPr>
      <w:r>
        <w:rPr>
          <w:rStyle w:val="FootnoteReference"/>
        </w:rPr>
        <w:footnoteRef/>
      </w:r>
      <w:r>
        <w:t xml:space="preserve"> Where reported</w:t>
      </w:r>
    </w:p>
  </w:footnote>
  <w:footnote w:id="6">
    <w:p w14:paraId="516F24BD" w14:textId="77777777" w:rsidR="005436BA" w:rsidRDefault="005436BA">
      <w:pPr>
        <w:pStyle w:val="FootnoteText"/>
      </w:pPr>
      <w:r>
        <w:rPr>
          <w:rStyle w:val="FootnoteReference"/>
        </w:rPr>
        <w:footnoteRef/>
      </w:r>
      <w:r>
        <w:t xml:space="preserve"> Randomized crossover arm but all groups received nicotine EC so included in ‘cohort’ table for our purposes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864"/>
    <w:rsid w:val="00010DAD"/>
    <w:rsid w:val="000741EF"/>
    <w:rsid w:val="000C2160"/>
    <w:rsid w:val="000E30EF"/>
    <w:rsid w:val="00102CA4"/>
    <w:rsid w:val="00114C72"/>
    <w:rsid w:val="00170B27"/>
    <w:rsid w:val="001A452D"/>
    <w:rsid w:val="001B3056"/>
    <w:rsid w:val="001E5DA8"/>
    <w:rsid w:val="0023284D"/>
    <w:rsid w:val="00246976"/>
    <w:rsid w:val="00284498"/>
    <w:rsid w:val="002C03A5"/>
    <w:rsid w:val="00302237"/>
    <w:rsid w:val="00496750"/>
    <w:rsid w:val="004C0ED0"/>
    <w:rsid w:val="004C2514"/>
    <w:rsid w:val="004C57AF"/>
    <w:rsid w:val="004E6A28"/>
    <w:rsid w:val="005436BA"/>
    <w:rsid w:val="0054464E"/>
    <w:rsid w:val="00551157"/>
    <w:rsid w:val="005B7C7A"/>
    <w:rsid w:val="005D4DDB"/>
    <w:rsid w:val="005F0A66"/>
    <w:rsid w:val="00681728"/>
    <w:rsid w:val="006B6235"/>
    <w:rsid w:val="006F13FA"/>
    <w:rsid w:val="006F62FA"/>
    <w:rsid w:val="007269B2"/>
    <w:rsid w:val="00740DB3"/>
    <w:rsid w:val="0074462B"/>
    <w:rsid w:val="00754948"/>
    <w:rsid w:val="007D3247"/>
    <w:rsid w:val="007E2BD3"/>
    <w:rsid w:val="007E4864"/>
    <w:rsid w:val="00820226"/>
    <w:rsid w:val="00843EEC"/>
    <w:rsid w:val="00973F68"/>
    <w:rsid w:val="009A7329"/>
    <w:rsid w:val="009B5EB5"/>
    <w:rsid w:val="009B6E19"/>
    <w:rsid w:val="009B7881"/>
    <w:rsid w:val="009E02C1"/>
    <w:rsid w:val="009F71D2"/>
    <w:rsid w:val="00A37F4D"/>
    <w:rsid w:val="00A51600"/>
    <w:rsid w:val="00A862A7"/>
    <w:rsid w:val="00AE7938"/>
    <w:rsid w:val="00BD64AF"/>
    <w:rsid w:val="00BF71BA"/>
    <w:rsid w:val="00C40A51"/>
    <w:rsid w:val="00C5642D"/>
    <w:rsid w:val="00C60EFE"/>
    <w:rsid w:val="00D150C7"/>
    <w:rsid w:val="00D23267"/>
    <w:rsid w:val="00E26150"/>
    <w:rsid w:val="00E36931"/>
    <w:rsid w:val="00EA4C8B"/>
    <w:rsid w:val="00EE0D57"/>
    <w:rsid w:val="00F1008B"/>
    <w:rsid w:val="00F26D8E"/>
    <w:rsid w:val="00F3143C"/>
    <w:rsid w:val="00F725F3"/>
    <w:rsid w:val="00F83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0889E"/>
  <w15:chartTrackingRefBased/>
  <w15:docId w15:val="{F564799D-4011-4442-BA30-FFC1F5C67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D64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436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4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D64AF"/>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7549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4948"/>
    <w:rPr>
      <w:sz w:val="20"/>
      <w:szCs w:val="20"/>
    </w:rPr>
  </w:style>
  <w:style w:type="character" w:styleId="FootnoteReference">
    <w:name w:val="footnote reference"/>
    <w:basedOn w:val="DefaultParagraphFont"/>
    <w:uiPriority w:val="99"/>
    <w:semiHidden/>
    <w:unhideWhenUsed/>
    <w:rsid w:val="00754948"/>
    <w:rPr>
      <w:vertAlign w:val="superscript"/>
    </w:rPr>
  </w:style>
  <w:style w:type="character" w:styleId="PlaceholderText">
    <w:name w:val="Placeholder Text"/>
    <w:basedOn w:val="DefaultParagraphFont"/>
    <w:uiPriority w:val="99"/>
    <w:semiHidden/>
    <w:rsid w:val="009A7329"/>
    <w:rPr>
      <w:color w:val="808080"/>
    </w:rPr>
  </w:style>
  <w:style w:type="character" w:customStyle="1" w:styleId="Heading2Char">
    <w:name w:val="Heading 2 Char"/>
    <w:basedOn w:val="DefaultParagraphFont"/>
    <w:link w:val="Heading2"/>
    <w:uiPriority w:val="9"/>
    <w:rsid w:val="005436BA"/>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F8362B"/>
    <w:rPr>
      <w:sz w:val="16"/>
      <w:szCs w:val="16"/>
    </w:rPr>
  </w:style>
  <w:style w:type="paragraph" w:styleId="CommentText">
    <w:name w:val="annotation text"/>
    <w:basedOn w:val="Normal"/>
    <w:link w:val="CommentTextChar"/>
    <w:uiPriority w:val="99"/>
    <w:semiHidden/>
    <w:unhideWhenUsed/>
    <w:rsid w:val="00F8362B"/>
    <w:pPr>
      <w:spacing w:line="240" w:lineRule="auto"/>
    </w:pPr>
    <w:rPr>
      <w:sz w:val="20"/>
      <w:szCs w:val="20"/>
    </w:rPr>
  </w:style>
  <w:style w:type="character" w:customStyle="1" w:styleId="CommentTextChar">
    <w:name w:val="Comment Text Char"/>
    <w:basedOn w:val="DefaultParagraphFont"/>
    <w:link w:val="CommentText"/>
    <w:uiPriority w:val="99"/>
    <w:semiHidden/>
    <w:rsid w:val="00F8362B"/>
    <w:rPr>
      <w:sz w:val="20"/>
      <w:szCs w:val="20"/>
    </w:rPr>
  </w:style>
  <w:style w:type="paragraph" w:styleId="CommentSubject">
    <w:name w:val="annotation subject"/>
    <w:basedOn w:val="CommentText"/>
    <w:next w:val="CommentText"/>
    <w:link w:val="CommentSubjectChar"/>
    <w:uiPriority w:val="99"/>
    <w:semiHidden/>
    <w:unhideWhenUsed/>
    <w:rsid w:val="00F8362B"/>
    <w:rPr>
      <w:b/>
      <w:bCs/>
    </w:rPr>
  </w:style>
  <w:style w:type="character" w:customStyle="1" w:styleId="CommentSubjectChar">
    <w:name w:val="Comment Subject Char"/>
    <w:basedOn w:val="CommentTextChar"/>
    <w:link w:val="CommentSubject"/>
    <w:uiPriority w:val="99"/>
    <w:semiHidden/>
    <w:rsid w:val="00F8362B"/>
    <w:rPr>
      <w:b/>
      <w:bCs/>
      <w:sz w:val="20"/>
      <w:szCs w:val="20"/>
    </w:rPr>
  </w:style>
  <w:style w:type="paragraph" w:styleId="BalloonText">
    <w:name w:val="Balloon Text"/>
    <w:basedOn w:val="Normal"/>
    <w:link w:val="BalloonTextChar"/>
    <w:uiPriority w:val="99"/>
    <w:semiHidden/>
    <w:unhideWhenUsed/>
    <w:rsid w:val="00F836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62B"/>
    <w:rPr>
      <w:rFonts w:ascii="Segoe UI" w:hAnsi="Segoe UI" w:cs="Segoe UI"/>
      <w:sz w:val="18"/>
      <w:szCs w:val="18"/>
    </w:rPr>
  </w:style>
  <w:style w:type="paragraph" w:styleId="Revision">
    <w:name w:val="Revision"/>
    <w:hidden/>
    <w:uiPriority w:val="99"/>
    <w:semiHidden/>
    <w:rsid w:val="009F71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72897">
      <w:bodyDiv w:val="1"/>
      <w:marLeft w:val="0"/>
      <w:marRight w:val="0"/>
      <w:marTop w:val="0"/>
      <w:marBottom w:val="0"/>
      <w:divBdr>
        <w:top w:val="none" w:sz="0" w:space="0" w:color="auto"/>
        <w:left w:val="none" w:sz="0" w:space="0" w:color="auto"/>
        <w:bottom w:val="none" w:sz="0" w:space="0" w:color="auto"/>
        <w:right w:val="none" w:sz="0" w:space="0" w:color="auto"/>
      </w:divBdr>
    </w:div>
    <w:div w:id="834999222">
      <w:bodyDiv w:val="1"/>
      <w:marLeft w:val="0"/>
      <w:marRight w:val="0"/>
      <w:marTop w:val="0"/>
      <w:marBottom w:val="0"/>
      <w:divBdr>
        <w:top w:val="none" w:sz="0" w:space="0" w:color="auto"/>
        <w:left w:val="none" w:sz="0" w:space="0" w:color="auto"/>
        <w:bottom w:val="none" w:sz="0" w:space="0" w:color="auto"/>
        <w:right w:val="none" w:sz="0" w:space="0" w:color="auto"/>
      </w:divBdr>
    </w:div>
    <w:div w:id="962200560">
      <w:bodyDiv w:val="1"/>
      <w:marLeft w:val="0"/>
      <w:marRight w:val="0"/>
      <w:marTop w:val="0"/>
      <w:marBottom w:val="0"/>
      <w:divBdr>
        <w:top w:val="none" w:sz="0" w:space="0" w:color="auto"/>
        <w:left w:val="none" w:sz="0" w:space="0" w:color="auto"/>
        <w:bottom w:val="none" w:sz="0" w:space="0" w:color="auto"/>
        <w:right w:val="none" w:sz="0" w:space="0" w:color="auto"/>
      </w:divBdr>
      <w:divsChild>
        <w:div w:id="1163472961">
          <w:marLeft w:val="0"/>
          <w:marRight w:val="0"/>
          <w:marTop w:val="0"/>
          <w:marBottom w:val="0"/>
          <w:divBdr>
            <w:top w:val="none" w:sz="0" w:space="0" w:color="auto"/>
            <w:left w:val="none" w:sz="0" w:space="0" w:color="auto"/>
            <w:bottom w:val="none" w:sz="0" w:space="0" w:color="auto"/>
            <w:right w:val="none" w:sz="0" w:space="0" w:color="auto"/>
          </w:divBdr>
          <w:divsChild>
            <w:div w:id="275868748">
              <w:marLeft w:val="0"/>
              <w:marRight w:val="0"/>
              <w:marTop w:val="0"/>
              <w:marBottom w:val="0"/>
              <w:divBdr>
                <w:top w:val="none" w:sz="0" w:space="0" w:color="auto"/>
                <w:left w:val="none" w:sz="0" w:space="0" w:color="auto"/>
                <w:bottom w:val="none" w:sz="0" w:space="0" w:color="auto"/>
                <w:right w:val="none" w:sz="0" w:space="0" w:color="auto"/>
              </w:divBdr>
              <w:divsChild>
                <w:div w:id="1837069297">
                  <w:marLeft w:val="0"/>
                  <w:marRight w:val="0"/>
                  <w:marTop w:val="0"/>
                  <w:marBottom w:val="0"/>
                  <w:divBdr>
                    <w:top w:val="none" w:sz="0" w:space="0" w:color="auto"/>
                    <w:left w:val="none" w:sz="0" w:space="0" w:color="auto"/>
                    <w:bottom w:val="none" w:sz="0" w:space="0" w:color="auto"/>
                    <w:right w:val="none" w:sz="0" w:space="0" w:color="auto"/>
                  </w:divBdr>
                  <w:divsChild>
                    <w:div w:id="1379822442">
                      <w:marLeft w:val="0"/>
                      <w:marRight w:val="0"/>
                      <w:marTop w:val="0"/>
                      <w:marBottom w:val="0"/>
                      <w:divBdr>
                        <w:top w:val="none" w:sz="0" w:space="0" w:color="auto"/>
                        <w:left w:val="none" w:sz="0" w:space="0" w:color="auto"/>
                        <w:bottom w:val="none" w:sz="0" w:space="0" w:color="auto"/>
                        <w:right w:val="none" w:sz="0" w:space="0" w:color="auto"/>
                      </w:divBdr>
                      <w:divsChild>
                        <w:div w:id="189407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8126393">
      <w:bodyDiv w:val="1"/>
      <w:marLeft w:val="0"/>
      <w:marRight w:val="0"/>
      <w:marTop w:val="0"/>
      <w:marBottom w:val="0"/>
      <w:divBdr>
        <w:top w:val="none" w:sz="0" w:space="0" w:color="auto"/>
        <w:left w:val="none" w:sz="0" w:space="0" w:color="auto"/>
        <w:bottom w:val="none" w:sz="0" w:space="0" w:color="auto"/>
        <w:right w:val="none" w:sz="0" w:space="0" w:color="auto"/>
      </w:divBdr>
    </w:div>
    <w:div w:id="1481652085">
      <w:bodyDiv w:val="1"/>
      <w:marLeft w:val="0"/>
      <w:marRight w:val="0"/>
      <w:marTop w:val="0"/>
      <w:marBottom w:val="0"/>
      <w:divBdr>
        <w:top w:val="none" w:sz="0" w:space="0" w:color="auto"/>
        <w:left w:val="none" w:sz="0" w:space="0" w:color="auto"/>
        <w:bottom w:val="none" w:sz="0" w:space="0" w:color="auto"/>
        <w:right w:val="none" w:sz="0" w:space="0" w:color="auto"/>
      </w:divBdr>
      <w:divsChild>
        <w:div w:id="1717005328">
          <w:marLeft w:val="0"/>
          <w:marRight w:val="0"/>
          <w:marTop w:val="0"/>
          <w:marBottom w:val="0"/>
          <w:divBdr>
            <w:top w:val="none" w:sz="0" w:space="0" w:color="auto"/>
            <w:left w:val="none" w:sz="0" w:space="0" w:color="auto"/>
            <w:bottom w:val="none" w:sz="0" w:space="0" w:color="auto"/>
            <w:right w:val="none" w:sz="0" w:space="0" w:color="auto"/>
          </w:divBdr>
          <w:divsChild>
            <w:div w:id="507138970">
              <w:marLeft w:val="0"/>
              <w:marRight w:val="0"/>
              <w:marTop w:val="0"/>
              <w:marBottom w:val="0"/>
              <w:divBdr>
                <w:top w:val="none" w:sz="0" w:space="0" w:color="auto"/>
                <w:left w:val="none" w:sz="0" w:space="0" w:color="auto"/>
                <w:bottom w:val="none" w:sz="0" w:space="0" w:color="auto"/>
                <w:right w:val="none" w:sz="0" w:space="0" w:color="auto"/>
              </w:divBdr>
              <w:divsChild>
                <w:div w:id="1720473303">
                  <w:marLeft w:val="0"/>
                  <w:marRight w:val="0"/>
                  <w:marTop w:val="0"/>
                  <w:marBottom w:val="0"/>
                  <w:divBdr>
                    <w:top w:val="none" w:sz="0" w:space="0" w:color="auto"/>
                    <w:left w:val="none" w:sz="0" w:space="0" w:color="auto"/>
                    <w:bottom w:val="none" w:sz="0" w:space="0" w:color="auto"/>
                    <w:right w:val="none" w:sz="0" w:space="0" w:color="auto"/>
                  </w:divBdr>
                  <w:divsChild>
                    <w:div w:id="1057240868">
                      <w:marLeft w:val="0"/>
                      <w:marRight w:val="0"/>
                      <w:marTop w:val="0"/>
                      <w:marBottom w:val="0"/>
                      <w:divBdr>
                        <w:top w:val="none" w:sz="0" w:space="0" w:color="auto"/>
                        <w:left w:val="none" w:sz="0" w:space="0" w:color="auto"/>
                        <w:bottom w:val="none" w:sz="0" w:space="0" w:color="auto"/>
                        <w:right w:val="none" w:sz="0" w:space="0" w:color="auto"/>
                      </w:divBdr>
                      <w:divsChild>
                        <w:div w:id="18575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835475">
      <w:bodyDiv w:val="1"/>
      <w:marLeft w:val="0"/>
      <w:marRight w:val="0"/>
      <w:marTop w:val="0"/>
      <w:marBottom w:val="0"/>
      <w:divBdr>
        <w:top w:val="none" w:sz="0" w:space="0" w:color="auto"/>
        <w:left w:val="none" w:sz="0" w:space="0" w:color="auto"/>
        <w:bottom w:val="none" w:sz="0" w:space="0" w:color="auto"/>
        <w:right w:val="none" w:sz="0" w:space="0" w:color="auto"/>
      </w:divBdr>
    </w:div>
    <w:div w:id="1998223200">
      <w:bodyDiv w:val="1"/>
      <w:marLeft w:val="0"/>
      <w:marRight w:val="0"/>
      <w:marTop w:val="0"/>
      <w:marBottom w:val="0"/>
      <w:divBdr>
        <w:top w:val="none" w:sz="0" w:space="0" w:color="auto"/>
        <w:left w:val="none" w:sz="0" w:space="0" w:color="auto"/>
        <w:bottom w:val="none" w:sz="0" w:space="0" w:color="auto"/>
        <w:right w:val="none" w:sz="0" w:space="0" w:color="auto"/>
      </w:divBdr>
      <w:divsChild>
        <w:div w:id="1870413748">
          <w:marLeft w:val="0"/>
          <w:marRight w:val="0"/>
          <w:marTop w:val="0"/>
          <w:marBottom w:val="0"/>
          <w:divBdr>
            <w:top w:val="none" w:sz="0" w:space="0" w:color="auto"/>
            <w:left w:val="none" w:sz="0" w:space="0" w:color="auto"/>
            <w:bottom w:val="none" w:sz="0" w:space="0" w:color="auto"/>
            <w:right w:val="none" w:sz="0" w:space="0" w:color="auto"/>
          </w:divBdr>
          <w:divsChild>
            <w:div w:id="1025257028">
              <w:marLeft w:val="0"/>
              <w:marRight w:val="0"/>
              <w:marTop w:val="0"/>
              <w:marBottom w:val="0"/>
              <w:divBdr>
                <w:top w:val="none" w:sz="0" w:space="0" w:color="auto"/>
                <w:left w:val="none" w:sz="0" w:space="0" w:color="auto"/>
                <w:bottom w:val="none" w:sz="0" w:space="0" w:color="auto"/>
                <w:right w:val="none" w:sz="0" w:space="0" w:color="auto"/>
              </w:divBdr>
              <w:divsChild>
                <w:div w:id="953944106">
                  <w:marLeft w:val="0"/>
                  <w:marRight w:val="0"/>
                  <w:marTop w:val="0"/>
                  <w:marBottom w:val="0"/>
                  <w:divBdr>
                    <w:top w:val="none" w:sz="0" w:space="0" w:color="auto"/>
                    <w:left w:val="none" w:sz="0" w:space="0" w:color="auto"/>
                    <w:bottom w:val="none" w:sz="0" w:space="0" w:color="auto"/>
                    <w:right w:val="none" w:sz="0" w:space="0" w:color="auto"/>
                  </w:divBdr>
                  <w:divsChild>
                    <w:div w:id="312023777">
                      <w:marLeft w:val="0"/>
                      <w:marRight w:val="0"/>
                      <w:marTop w:val="0"/>
                      <w:marBottom w:val="0"/>
                      <w:divBdr>
                        <w:top w:val="none" w:sz="0" w:space="0" w:color="auto"/>
                        <w:left w:val="none" w:sz="0" w:space="0" w:color="auto"/>
                        <w:bottom w:val="none" w:sz="0" w:space="0" w:color="auto"/>
                        <w:right w:val="none" w:sz="0" w:space="0" w:color="auto"/>
                      </w:divBdr>
                      <w:divsChild>
                        <w:div w:id="2058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269392">
      <w:bodyDiv w:val="1"/>
      <w:marLeft w:val="0"/>
      <w:marRight w:val="0"/>
      <w:marTop w:val="0"/>
      <w:marBottom w:val="0"/>
      <w:divBdr>
        <w:top w:val="none" w:sz="0" w:space="0" w:color="auto"/>
        <w:left w:val="none" w:sz="0" w:space="0" w:color="auto"/>
        <w:bottom w:val="none" w:sz="0" w:space="0" w:color="auto"/>
        <w:right w:val="none" w:sz="0" w:space="0" w:color="auto"/>
      </w:divBdr>
      <w:divsChild>
        <w:div w:id="732045281">
          <w:marLeft w:val="0"/>
          <w:marRight w:val="0"/>
          <w:marTop w:val="0"/>
          <w:marBottom w:val="0"/>
          <w:divBdr>
            <w:top w:val="none" w:sz="0" w:space="0" w:color="auto"/>
            <w:left w:val="none" w:sz="0" w:space="0" w:color="auto"/>
            <w:bottom w:val="none" w:sz="0" w:space="0" w:color="auto"/>
            <w:right w:val="none" w:sz="0" w:space="0" w:color="auto"/>
          </w:divBdr>
          <w:divsChild>
            <w:div w:id="1349521911">
              <w:marLeft w:val="0"/>
              <w:marRight w:val="0"/>
              <w:marTop w:val="0"/>
              <w:marBottom w:val="0"/>
              <w:divBdr>
                <w:top w:val="none" w:sz="0" w:space="0" w:color="auto"/>
                <w:left w:val="none" w:sz="0" w:space="0" w:color="auto"/>
                <w:bottom w:val="none" w:sz="0" w:space="0" w:color="auto"/>
                <w:right w:val="none" w:sz="0" w:space="0" w:color="auto"/>
              </w:divBdr>
              <w:divsChild>
                <w:div w:id="249462208">
                  <w:marLeft w:val="0"/>
                  <w:marRight w:val="0"/>
                  <w:marTop w:val="0"/>
                  <w:marBottom w:val="0"/>
                  <w:divBdr>
                    <w:top w:val="none" w:sz="0" w:space="0" w:color="auto"/>
                    <w:left w:val="none" w:sz="0" w:space="0" w:color="auto"/>
                    <w:bottom w:val="none" w:sz="0" w:space="0" w:color="auto"/>
                    <w:right w:val="none" w:sz="0" w:space="0" w:color="auto"/>
                  </w:divBdr>
                  <w:divsChild>
                    <w:div w:id="815948587">
                      <w:marLeft w:val="0"/>
                      <w:marRight w:val="0"/>
                      <w:marTop w:val="0"/>
                      <w:marBottom w:val="0"/>
                      <w:divBdr>
                        <w:top w:val="none" w:sz="0" w:space="0" w:color="auto"/>
                        <w:left w:val="none" w:sz="0" w:space="0" w:color="auto"/>
                        <w:bottom w:val="none" w:sz="0" w:space="0" w:color="auto"/>
                        <w:right w:val="none" w:sz="0" w:space="0" w:color="auto"/>
                      </w:divBdr>
                      <w:divsChild>
                        <w:div w:id="90193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22E4A-B2CD-46F0-B2EB-59B9A58BE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1758</Words>
  <Characters>10027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Hartmann-Boyce</dc:creator>
  <cp:keywords/>
  <dc:description/>
  <cp:lastModifiedBy>Jonathan Livingstone-Banks</cp:lastModifiedBy>
  <cp:revision>12</cp:revision>
  <dcterms:created xsi:type="dcterms:W3CDTF">2021-09-06T09:28:00Z</dcterms:created>
  <dcterms:modified xsi:type="dcterms:W3CDTF">2022-11-09T10:54:00Z</dcterms:modified>
</cp:coreProperties>
</file>