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079C" w14:textId="6BB346B5" w:rsidR="00551157" w:rsidRDefault="009972D0" w:rsidP="00BD64AF">
      <w:pPr>
        <w:pStyle w:val="Heading1"/>
      </w:pPr>
      <w:r>
        <w:t xml:space="preserve">Supplemental table 3. </w:t>
      </w:r>
      <w:r w:rsidR="00007F85">
        <w:t>Carbon monoxide</w:t>
      </w:r>
      <w:r w:rsidR="007E4864">
        <w:t xml:space="preserve"> data not contributing to meta-analyses</w:t>
      </w:r>
      <w:r w:rsidR="00843EEC">
        <w:rPr>
          <w:rStyle w:val="FootnoteReference"/>
        </w:rPr>
        <w:footnoteReference w:id="1"/>
      </w:r>
    </w:p>
    <w:p w14:paraId="3ACDE1E9" w14:textId="0496B310" w:rsidR="005436BA" w:rsidRPr="005436BA" w:rsidRDefault="0022482D" w:rsidP="005436BA">
      <w:r>
        <w:rPr>
          <w:rStyle w:val="Heading2Char"/>
        </w:rPr>
        <w:t>Randomized</w:t>
      </w:r>
      <w:r w:rsidR="00D550FD">
        <w:rPr>
          <w:rStyle w:val="Heading2Char"/>
        </w:rPr>
        <w:t xml:space="preserve"> and crossover</w:t>
      </w:r>
      <w:r>
        <w:rPr>
          <w:rStyle w:val="Heading2Char"/>
        </w:rPr>
        <w:t xml:space="preserve"> trials, nicotine EC v comparator group</w:t>
      </w:r>
    </w:p>
    <w:tbl>
      <w:tblPr>
        <w:tblStyle w:val="TableGrid"/>
        <w:tblW w:w="14029" w:type="dxa"/>
        <w:tblLook w:val="04A0" w:firstRow="1" w:lastRow="0" w:firstColumn="1" w:lastColumn="0" w:noHBand="0" w:noVBand="1"/>
      </w:tblPr>
      <w:tblGrid>
        <w:gridCol w:w="1567"/>
        <w:gridCol w:w="1689"/>
        <w:gridCol w:w="850"/>
        <w:gridCol w:w="7246"/>
        <w:gridCol w:w="2677"/>
      </w:tblGrid>
      <w:tr w:rsidR="005436BA" w:rsidRPr="005436BA" w14:paraId="532D3CA7" w14:textId="77777777" w:rsidTr="0022482D">
        <w:trPr>
          <w:cantSplit/>
          <w:trHeight w:val="1085"/>
          <w:tblHeader/>
        </w:trPr>
        <w:tc>
          <w:tcPr>
            <w:tcW w:w="1567" w:type="dxa"/>
          </w:tcPr>
          <w:p w14:paraId="07607340" w14:textId="77777777" w:rsidR="005436BA" w:rsidRPr="005436BA" w:rsidRDefault="005436BA">
            <w:pPr>
              <w:rPr>
                <w:b/>
                <w:sz w:val="20"/>
                <w:szCs w:val="20"/>
              </w:rPr>
            </w:pPr>
            <w:r w:rsidRPr="005436BA">
              <w:rPr>
                <w:b/>
                <w:sz w:val="20"/>
                <w:szCs w:val="20"/>
              </w:rPr>
              <w:t>Study ID</w:t>
            </w:r>
          </w:p>
        </w:tc>
        <w:tc>
          <w:tcPr>
            <w:tcW w:w="1689" w:type="dxa"/>
          </w:tcPr>
          <w:p w14:paraId="1A321C4B" w14:textId="77777777" w:rsidR="005436BA" w:rsidRPr="005436BA" w:rsidRDefault="005436BA">
            <w:pPr>
              <w:rPr>
                <w:b/>
                <w:sz w:val="20"/>
                <w:szCs w:val="20"/>
              </w:rPr>
            </w:pPr>
            <w:r w:rsidRPr="005436BA">
              <w:rPr>
                <w:b/>
                <w:sz w:val="20"/>
                <w:szCs w:val="20"/>
              </w:rPr>
              <w:t>Intervention/ comparator</w:t>
            </w:r>
          </w:p>
        </w:tc>
        <w:tc>
          <w:tcPr>
            <w:tcW w:w="850" w:type="dxa"/>
          </w:tcPr>
          <w:p w14:paraId="0F742C03" w14:textId="77777777" w:rsidR="005436BA" w:rsidRPr="005436BA" w:rsidRDefault="005436BA">
            <w:pPr>
              <w:rPr>
                <w:b/>
                <w:sz w:val="20"/>
                <w:szCs w:val="20"/>
              </w:rPr>
            </w:pPr>
            <w:r w:rsidRPr="005436BA">
              <w:rPr>
                <w:b/>
                <w:sz w:val="20"/>
                <w:szCs w:val="20"/>
              </w:rPr>
              <w:t>Time point</w:t>
            </w:r>
          </w:p>
        </w:tc>
        <w:tc>
          <w:tcPr>
            <w:tcW w:w="7246" w:type="dxa"/>
          </w:tcPr>
          <w:p w14:paraId="76C91C7E" w14:textId="77777777" w:rsidR="005436BA" w:rsidRPr="005436BA" w:rsidRDefault="005436BA">
            <w:pPr>
              <w:rPr>
                <w:b/>
                <w:sz w:val="20"/>
                <w:szCs w:val="20"/>
              </w:rPr>
            </w:pPr>
            <w:r>
              <w:rPr>
                <w:b/>
                <w:sz w:val="20"/>
                <w:szCs w:val="20"/>
              </w:rPr>
              <w:t>Data</w:t>
            </w:r>
          </w:p>
        </w:tc>
        <w:tc>
          <w:tcPr>
            <w:tcW w:w="2677" w:type="dxa"/>
          </w:tcPr>
          <w:p w14:paraId="1C5710D3" w14:textId="3741E542" w:rsidR="005436BA" w:rsidRPr="005436BA" w:rsidRDefault="005436BA" w:rsidP="003A55B7">
            <w:pPr>
              <w:rPr>
                <w:b/>
                <w:sz w:val="20"/>
                <w:szCs w:val="20"/>
              </w:rPr>
            </w:pPr>
            <w:r w:rsidRPr="005436BA">
              <w:rPr>
                <w:b/>
                <w:sz w:val="20"/>
                <w:szCs w:val="20"/>
              </w:rPr>
              <w:t>Between</w:t>
            </w:r>
            <w:r w:rsidR="004D2A66">
              <w:rPr>
                <w:b/>
                <w:sz w:val="20"/>
                <w:szCs w:val="20"/>
              </w:rPr>
              <w:t>-</w:t>
            </w:r>
            <w:r w:rsidRPr="005436BA">
              <w:rPr>
                <w:b/>
                <w:sz w:val="20"/>
                <w:szCs w:val="20"/>
              </w:rPr>
              <w:t>group difference</w:t>
            </w:r>
            <w:r w:rsidR="00843EEC">
              <w:rPr>
                <w:rStyle w:val="FootnoteReference"/>
                <w:b/>
                <w:sz w:val="20"/>
                <w:szCs w:val="20"/>
              </w:rPr>
              <w:footnoteReference w:id="2"/>
            </w:r>
            <w:r w:rsidRPr="005436BA">
              <w:rPr>
                <w:b/>
                <w:sz w:val="20"/>
                <w:szCs w:val="20"/>
              </w:rPr>
              <w:t xml:space="preserve"> (</w:t>
            </w:r>
            <w:r w:rsidRPr="005436BA">
              <w:rPr>
                <w:rFonts w:cstheme="minorHAnsi"/>
                <w:b/>
                <w:sz w:val="20"/>
                <w:szCs w:val="20"/>
              </w:rPr>
              <w:t>↑</w:t>
            </w:r>
            <w:r w:rsidRPr="005436BA">
              <w:rPr>
                <w:b/>
                <w:sz w:val="20"/>
                <w:szCs w:val="20"/>
              </w:rPr>
              <w:t xml:space="preserve"> </w:t>
            </w:r>
            <w:r w:rsidR="003A55B7">
              <w:rPr>
                <w:b/>
                <w:sz w:val="20"/>
                <w:szCs w:val="20"/>
              </w:rPr>
              <w:t>higher</w:t>
            </w:r>
            <w:r w:rsidRPr="005436BA">
              <w:rPr>
                <w:b/>
                <w:sz w:val="20"/>
                <w:szCs w:val="20"/>
              </w:rPr>
              <w:t xml:space="preserve"> </w:t>
            </w:r>
            <w:r w:rsidR="00843EEC">
              <w:rPr>
                <w:b/>
                <w:sz w:val="20"/>
                <w:szCs w:val="20"/>
              </w:rPr>
              <w:t>in EC/higher dose EC</w:t>
            </w:r>
            <w:r w:rsidRPr="005436BA">
              <w:rPr>
                <w:b/>
                <w:sz w:val="20"/>
                <w:szCs w:val="20"/>
              </w:rPr>
              <w:t xml:space="preserve"> arm; </w:t>
            </w:r>
            <w:r w:rsidRPr="005436BA">
              <w:rPr>
                <w:rFonts w:cstheme="minorHAnsi"/>
                <w:b/>
                <w:sz w:val="20"/>
                <w:szCs w:val="20"/>
              </w:rPr>
              <w:t>↔</w:t>
            </w:r>
            <w:r w:rsidRPr="005436BA">
              <w:rPr>
                <w:b/>
                <w:sz w:val="20"/>
                <w:szCs w:val="20"/>
              </w:rPr>
              <w:t xml:space="preserve"> equivocal; </w:t>
            </w:r>
            <w:r w:rsidRPr="005436BA">
              <w:rPr>
                <w:rFonts w:cstheme="minorHAnsi"/>
                <w:b/>
                <w:sz w:val="20"/>
                <w:szCs w:val="20"/>
              </w:rPr>
              <w:t xml:space="preserve">↓ </w:t>
            </w:r>
            <w:r w:rsidR="003A55B7">
              <w:rPr>
                <w:rFonts w:cstheme="minorHAnsi"/>
                <w:b/>
                <w:sz w:val="20"/>
                <w:szCs w:val="20"/>
              </w:rPr>
              <w:t>lower</w:t>
            </w:r>
            <w:r w:rsidRPr="005436BA">
              <w:rPr>
                <w:rFonts w:cstheme="minorHAnsi"/>
                <w:b/>
                <w:sz w:val="20"/>
                <w:szCs w:val="20"/>
              </w:rPr>
              <w:t xml:space="preserve"> in</w:t>
            </w:r>
            <w:r w:rsidR="00843EEC">
              <w:rPr>
                <w:rFonts w:cstheme="minorHAnsi"/>
                <w:b/>
                <w:sz w:val="20"/>
                <w:szCs w:val="20"/>
              </w:rPr>
              <w:t xml:space="preserve"> EC/higher dose</w:t>
            </w:r>
            <w:r w:rsidRPr="005436BA">
              <w:rPr>
                <w:rFonts w:cstheme="minorHAnsi"/>
                <w:b/>
                <w:sz w:val="20"/>
                <w:szCs w:val="20"/>
              </w:rPr>
              <w:t xml:space="preserve"> arm)</w:t>
            </w:r>
          </w:p>
        </w:tc>
      </w:tr>
      <w:tr w:rsidR="00D550FD" w:rsidRPr="005436BA" w14:paraId="355C8A3B" w14:textId="77777777" w:rsidTr="00F0207B">
        <w:trPr>
          <w:cantSplit/>
          <w:trHeight w:val="1085"/>
        </w:trPr>
        <w:tc>
          <w:tcPr>
            <w:tcW w:w="1567" w:type="dxa"/>
          </w:tcPr>
          <w:p w14:paraId="400B6C1C" w14:textId="6781BCFF" w:rsidR="00D550FD" w:rsidRPr="00F0207B" w:rsidRDefault="00D550FD">
            <w:pPr>
              <w:rPr>
                <w:sz w:val="20"/>
                <w:szCs w:val="20"/>
              </w:rPr>
            </w:pPr>
            <w:r w:rsidRPr="00F0207B">
              <w:rPr>
                <w:sz w:val="20"/>
                <w:szCs w:val="20"/>
              </w:rPr>
              <w:t>Czoli 2019</w:t>
            </w:r>
          </w:p>
        </w:tc>
        <w:tc>
          <w:tcPr>
            <w:tcW w:w="1689" w:type="dxa"/>
          </w:tcPr>
          <w:p w14:paraId="113F3761" w14:textId="3B4C9858" w:rsidR="00D550FD" w:rsidRPr="00F0207B" w:rsidRDefault="00D550FD">
            <w:pPr>
              <w:rPr>
                <w:sz w:val="20"/>
                <w:szCs w:val="20"/>
              </w:rPr>
            </w:pPr>
            <w:r>
              <w:rPr>
                <w:sz w:val="20"/>
                <w:szCs w:val="20"/>
              </w:rPr>
              <w:t>Nicotine EC v traditional cigarette</w:t>
            </w:r>
          </w:p>
        </w:tc>
        <w:tc>
          <w:tcPr>
            <w:tcW w:w="850" w:type="dxa"/>
          </w:tcPr>
          <w:p w14:paraId="413C4979" w14:textId="12466CC4" w:rsidR="00D550FD" w:rsidRPr="00F0207B" w:rsidRDefault="00D550FD">
            <w:pPr>
              <w:rPr>
                <w:sz w:val="20"/>
                <w:szCs w:val="20"/>
              </w:rPr>
            </w:pPr>
            <w:r>
              <w:rPr>
                <w:sz w:val="20"/>
                <w:szCs w:val="20"/>
              </w:rPr>
              <w:t>1 week</w:t>
            </w:r>
          </w:p>
        </w:tc>
        <w:tc>
          <w:tcPr>
            <w:tcW w:w="7246" w:type="dxa"/>
          </w:tcPr>
          <w:p w14:paraId="29C02546" w14:textId="77777777" w:rsidR="00D550FD" w:rsidRDefault="00D550FD">
            <w:pPr>
              <w:rPr>
                <w:sz w:val="20"/>
                <w:szCs w:val="20"/>
              </w:rPr>
            </w:pPr>
            <w:r>
              <w:rPr>
                <w:sz w:val="20"/>
                <w:szCs w:val="20"/>
              </w:rPr>
              <w:t>Compared to baseline (dual use):</w:t>
            </w:r>
          </w:p>
          <w:p w14:paraId="7200660A" w14:textId="7FE1287C" w:rsidR="00D550FD" w:rsidRDefault="00D550FD">
            <w:pPr>
              <w:rPr>
                <w:sz w:val="20"/>
                <w:szCs w:val="20"/>
              </w:rPr>
            </w:pPr>
            <w:r>
              <w:rPr>
                <w:sz w:val="20"/>
                <w:szCs w:val="20"/>
              </w:rPr>
              <w:t xml:space="preserve">EC -41% </w:t>
            </w:r>
          </w:p>
          <w:p w14:paraId="40DB7A81" w14:textId="7BDB0FE9" w:rsidR="00D550FD" w:rsidRPr="00F0207B" w:rsidRDefault="00D550FD">
            <w:pPr>
              <w:rPr>
                <w:sz w:val="20"/>
                <w:szCs w:val="20"/>
              </w:rPr>
            </w:pPr>
            <w:r>
              <w:rPr>
                <w:sz w:val="20"/>
                <w:szCs w:val="20"/>
              </w:rPr>
              <w:t xml:space="preserve">Traditional cigarette +21% </w:t>
            </w:r>
          </w:p>
        </w:tc>
        <w:tc>
          <w:tcPr>
            <w:tcW w:w="2677" w:type="dxa"/>
          </w:tcPr>
          <w:p w14:paraId="3EF76EA5" w14:textId="38D66247" w:rsidR="00D550FD" w:rsidRPr="00F0207B" w:rsidRDefault="00D550FD" w:rsidP="003A55B7">
            <w:pPr>
              <w:rPr>
                <w:sz w:val="20"/>
                <w:szCs w:val="20"/>
              </w:rPr>
            </w:pPr>
            <w:r w:rsidRPr="00007F85">
              <w:rPr>
                <w:rFonts w:cstheme="minorHAnsi"/>
                <w:sz w:val="20"/>
                <w:szCs w:val="20"/>
              </w:rPr>
              <w:t>↓</w:t>
            </w:r>
          </w:p>
        </w:tc>
      </w:tr>
      <w:tr w:rsidR="005436BA" w:rsidRPr="005436BA" w14:paraId="73D55A9B" w14:textId="77777777" w:rsidTr="00F0207B">
        <w:trPr>
          <w:cantSplit/>
        </w:trPr>
        <w:tc>
          <w:tcPr>
            <w:tcW w:w="1567" w:type="dxa"/>
          </w:tcPr>
          <w:p w14:paraId="55A76431" w14:textId="1B908130" w:rsidR="005436BA" w:rsidRPr="005436BA" w:rsidRDefault="00D37E32" w:rsidP="007E4864">
            <w:pPr>
              <w:rPr>
                <w:sz w:val="20"/>
                <w:szCs w:val="20"/>
              </w:rPr>
            </w:pPr>
            <w:r>
              <w:rPr>
                <w:sz w:val="20"/>
                <w:szCs w:val="20"/>
              </w:rPr>
              <w:t>George 2019</w:t>
            </w:r>
          </w:p>
        </w:tc>
        <w:tc>
          <w:tcPr>
            <w:tcW w:w="1689" w:type="dxa"/>
          </w:tcPr>
          <w:p w14:paraId="11BB9CCC" w14:textId="3DC50CE1" w:rsidR="005436BA" w:rsidRPr="005436BA" w:rsidRDefault="00D37E32" w:rsidP="007E4864">
            <w:pPr>
              <w:rPr>
                <w:sz w:val="20"/>
                <w:szCs w:val="20"/>
              </w:rPr>
            </w:pPr>
            <w:r>
              <w:rPr>
                <w:sz w:val="20"/>
                <w:szCs w:val="20"/>
              </w:rPr>
              <w:t>Nicotine EC v non-nicotine EC</w:t>
            </w:r>
            <w:r w:rsidR="00997224">
              <w:rPr>
                <w:sz w:val="20"/>
                <w:szCs w:val="20"/>
              </w:rPr>
              <w:t xml:space="preserve"> v traditional cigarette</w:t>
            </w:r>
          </w:p>
        </w:tc>
        <w:tc>
          <w:tcPr>
            <w:tcW w:w="850" w:type="dxa"/>
          </w:tcPr>
          <w:p w14:paraId="657AEE49" w14:textId="432CFAD8" w:rsidR="005436BA" w:rsidRPr="005436BA" w:rsidRDefault="00D37E32" w:rsidP="007E4864">
            <w:pPr>
              <w:rPr>
                <w:sz w:val="20"/>
                <w:szCs w:val="20"/>
              </w:rPr>
            </w:pPr>
            <w:r>
              <w:rPr>
                <w:sz w:val="20"/>
                <w:szCs w:val="20"/>
              </w:rPr>
              <w:t>4 weeks</w:t>
            </w:r>
          </w:p>
        </w:tc>
        <w:tc>
          <w:tcPr>
            <w:tcW w:w="7246" w:type="dxa"/>
          </w:tcPr>
          <w:p w14:paraId="38145EDB" w14:textId="33D594BA" w:rsidR="005436BA" w:rsidRPr="005436BA" w:rsidRDefault="00E50FD3" w:rsidP="007E4864">
            <w:pPr>
              <w:rPr>
                <w:sz w:val="20"/>
                <w:szCs w:val="20"/>
              </w:rPr>
            </w:pPr>
            <w:r>
              <w:rPr>
                <w:sz w:val="20"/>
                <w:szCs w:val="20"/>
              </w:rPr>
              <w:t>eCO m</w:t>
            </w:r>
            <w:r w:rsidR="00D37E32">
              <w:rPr>
                <w:sz w:val="20"/>
                <w:szCs w:val="20"/>
              </w:rPr>
              <w:t>easured but not reported in detail. Lowest tertile of CO at end of study was in those with “best compliance with EC and least dual use”</w:t>
            </w:r>
          </w:p>
        </w:tc>
        <w:tc>
          <w:tcPr>
            <w:tcW w:w="2677" w:type="dxa"/>
          </w:tcPr>
          <w:p w14:paraId="0087C676" w14:textId="392BA01E" w:rsidR="005436BA" w:rsidRPr="005436BA" w:rsidRDefault="0022482D" w:rsidP="007E4864">
            <w:pPr>
              <w:rPr>
                <w:sz w:val="20"/>
                <w:szCs w:val="20"/>
              </w:rPr>
            </w:pPr>
            <w:r>
              <w:rPr>
                <w:sz w:val="20"/>
                <w:szCs w:val="20"/>
              </w:rPr>
              <w:t>NE</w:t>
            </w:r>
          </w:p>
        </w:tc>
      </w:tr>
      <w:tr w:rsidR="005436BA" w:rsidRPr="005436BA" w14:paraId="7388F9A9" w14:textId="77777777" w:rsidTr="00F0207B">
        <w:trPr>
          <w:cantSplit/>
        </w:trPr>
        <w:tc>
          <w:tcPr>
            <w:tcW w:w="1567" w:type="dxa"/>
          </w:tcPr>
          <w:p w14:paraId="5B01DFEC" w14:textId="2D9CD06B" w:rsidR="005436BA" w:rsidRPr="005436BA" w:rsidRDefault="003A55B7" w:rsidP="007E4864">
            <w:pPr>
              <w:rPr>
                <w:sz w:val="20"/>
                <w:szCs w:val="20"/>
              </w:rPr>
            </w:pPr>
            <w:r>
              <w:rPr>
                <w:sz w:val="20"/>
                <w:szCs w:val="20"/>
              </w:rPr>
              <w:t>Meier 2017</w:t>
            </w:r>
          </w:p>
        </w:tc>
        <w:tc>
          <w:tcPr>
            <w:tcW w:w="1689" w:type="dxa"/>
          </w:tcPr>
          <w:p w14:paraId="71F85099" w14:textId="58877572" w:rsidR="005436BA" w:rsidRPr="005436BA" w:rsidRDefault="003A55B7" w:rsidP="007E4864">
            <w:pPr>
              <w:rPr>
                <w:sz w:val="20"/>
                <w:szCs w:val="20"/>
              </w:rPr>
            </w:pPr>
            <w:r>
              <w:rPr>
                <w:sz w:val="20"/>
                <w:szCs w:val="20"/>
              </w:rPr>
              <w:t>Nicotine EC v non-nicotine EC</w:t>
            </w:r>
          </w:p>
        </w:tc>
        <w:tc>
          <w:tcPr>
            <w:tcW w:w="850" w:type="dxa"/>
          </w:tcPr>
          <w:p w14:paraId="5E39050D" w14:textId="1A32D43B" w:rsidR="005436BA" w:rsidRPr="005436BA" w:rsidRDefault="003A55B7" w:rsidP="007E4864">
            <w:pPr>
              <w:rPr>
                <w:sz w:val="20"/>
                <w:szCs w:val="20"/>
              </w:rPr>
            </w:pPr>
            <w:r>
              <w:rPr>
                <w:sz w:val="20"/>
                <w:szCs w:val="20"/>
              </w:rPr>
              <w:t>1 week</w:t>
            </w:r>
          </w:p>
        </w:tc>
        <w:tc>
          <w:tcPr>
            <w:tcW w:w="7246" w:type="dxa"/>
          </w:tcPr>
          <w:p w14:paraId="4C83AD25" w14:textId="3239EB18" w:rsidR="005436BA" w:rsidRPr="005436BA" w:rsidRDefault="003A55B7" w:rsidP="00E50FD3">
            <w:pPr>
              <w:rPr>
                <w:sz w:val="20"/>
                <w:szCs w:val="20"/>
              </w:rPr>
            </w:pPr>
            <w:r>
              <w:rPr>
                <w:sz w:val="20"/>
                <w:szCs w:val="20"/>
              </w:rPr>
              <w:t xml:space="preserve">Randomized crossover trial. </w:t>
            </w:r>
            <w:r w:rsidR="00E50FD3">
              <w:rPr>
                <w:sz w:val="20"/>
                <w:szCs w:val="20"/>
              </w:rPr>
              <w:t>e</w:t>
            </w:r>
            <w:r w:rsidRPr="003A55B7">
              <w:rPr>
                <w:sz w:val="20"/>
                <w:szCs w:val="20"/>
              </w:rPr>
              <w:t>CO: Naturalistic</w:t>
            </w:r>
            <w:r>
              <w:rPr>
                <w:sz w:val="20"/>
                <w:szCs w:val="20"/>
              </w:rPr>
              <w:t xml:space="preserve"> (whilst smoking, no EC)</w:t>
            </w:r>
            <w:r w:rsidRPr="003A55B7">
              <w:rPr>
                <w:sz w:val="20"/>
                <w:szCs w:val="20"/>
              </w:rPr>
              <w:t xml:space="preserve"> mean 11.4 (SE 1.3), </w:t>
            </w:r>
            <w:r>
              <w:rPr>
                <w:sz w:val="20"/>
                <w:szCs w:val="20"/>
              </w:rPr>
              <w:t>Nicotine</w:t>
            </w:r>
            <w:r w:rsidRPr="003A55B7">
              <w:rPr>
                <w:sz w:val="20"/>
                <w:szCs w:val="20"/>
              </w:rPr>
              <w:t xml:space="preserve"> EC 11.6 (SE 1.3), </w:t>
            </w:r>
            <w:r>
              <w:rPr>
                <w:sz w:val="20"/>
                <w:szCs w:val="20"/>
              </w:rPr>
              <w:t>Non-nicotine EC</w:t>
            </w:r>
            <w:r w:rsidRPr="003A55B7">
              <w:rPr>
                <w:sz w:val="20"/>
                <w:szCs w:val="20"/>
              </w:rPr>
              <w:t xml:space="preserve"> 10.2 (SE 1.3)</w:t>
            </w:r>
          </w:p>
        </w:tc>
        <w:tc>
          <w:tcPr>
            <w:tcW w:w="2677" w:type="dxa"/>
          </w:tcPr>
          <w:p w14:paraId="0C249C33" w14:textId="2FA48BA2" w:rsidR="005436BA" w:rsidRPr="005436BA" w:rsidRDefault="003A55B7" w:rsidP="007E4864">
            <w:pPr>
              <w:rPr>
                <w:sz w:val="20"/>
                <w:szCs w:val="20"/>
              </w:rPr>
            </w:pPr>
            <w:r w:rsidRPr="003A55B7">
              <w:rPr>
                <w:sz w:val="20"/>
                <w:szCs w:val="20"/>
              </w:rPr>
              <w:t>↑</w:t>
            </w:r>
          </w:p>
        </w:tc>
      </w:tr>
      <w:tr w:rsidR="005436BA" w:rsidRPr="005436BA" w14:paraId="460895E8" w14:textId="77777777" w:rsidTr="00F0207B">
        <w:trPr>
          <w:cantSplit/>
        </w:trPr>
        <w:tc>
          <w:tcPr>
            <w:tcW w:w="1567" w:type="dxa"/>
          </w:tcPr>
          <w:p w14:paraId="3EDD517E" w14:textId="77777777" w:rsidR="005436BA" w:rsidRPr="005436BA" w:rsidRDefault="005436BA" w:rsidP="00EA4C8B">
            <w:pPr>
              <w:rPr>
                <w:sz w:val="20"/>
                <w:szCs w:val="20"/>
              </w:rPr>
            </w:pPr>
            <w:r w:rsidRPr="005436BA">
              <w:rPr>
                <w:sz w:val="20"/>
                <w:szCs w:val="20"/>
              </w:rPr>
              <w:t>Tseng 2016</w:t>
            </w:r>
          </w:p>
        </w:tc>
        <w:tc>
          <w:tcPr>
            <w:tcW w:w="1689" w:type="dxa"/>
          </w:tcPr>
          <w:p w14:paraId="4B8C2CE2" w14:textId="77777777" w:rsidR="005436BA" w:rsidRPr="005436BA" w:rsidRDefault="005436BA" w:rsidP="00EA4C8B">
            <w:pPr>
              <w:rPr>
                <w:sz w:val="20"/>
                <w:szCs w:val="20"/>
              </w:rPr>
            </w:pPr>
            <w:r w:rsidRPr="005436BA">
              <w:rPr>
                <w:sz w:val="20"/>
                <w:szCs w:val="20"/>
              </w:rPr>
              <w:t>Nicotine EC v non-nicotine EC</w:t>
            </w:r>
          </w:p>
        </w:tc>
        <w:tc>
          <w:tcPr>
            <w:tcW w:w="850" w:type="dxa"/>
          </w:tcPr>
          <w:p w14:paraId="5BA2B956" w14:textId="77777777" w:rsidR="005436BA" w:rsidRPr="005436BA" w:rsidRDefault="005436BA" w:rsidP="00EA4C8B">
            <w:pPr>
              <w:rPr>
                <w:sz w:val="20"/>
                <w:szCs w:val="20"/>
              </w:rPr>
            </w:pPr>
            <w:r w:rsidRPr="005436BA">
              <w:rPr>
                <w:sz w:val="20"/>
                <w:szCs w:val="20"/>
              </w:rPr>
              <w:t>1 and 3 weeks</w:t>
            </w:r>
          </w:p>
        </w:tc>
        <w:tc>
          <w:tcPr>
            <w:tcW w:w="7246" w:type="dxa"/>
          </w:tcPr>
          <w:p w14:paraId="0CACECEA" w14:textId="3C7D2182" w:rsidR="005436BA" w:rsidRPr="005436BA" w:rsidRDefault="00DF0111" w:rsidP="00E50FD3">
            <w:pPr>
              <w:rPr>
                <w:sz w:val="20"/>
                <w:szCs w:val="20"/>
              </w:rPr>
            </w:pPr>
            <w:r w:rsidRPr="00DF0111">
              <w:rPr>
                <w:sz w:val="20"/>
                <w:szCs w:val="20"/>
              </w:rPr>
              <w:t>No between-group difference in eCO was observed at any time point</w:t>
            </w:r>
            <w:r>
              <w:rPr>
                <w:sz w:val="20"/>
                <w:szCs w:val="20"/>
              </w:rPr>
              <w:t>, no further data available</w:t>
            </w:r>
          </w:p>
        </w:tc>
        <w:tc>
          <w:tcPr>
            <w:tcW w:w="2677" w:type="dxa"/>
          </w:tcPr>
          <w:p w14:paraId="61098A39" w14:textId="40FB6463" w:rsidR="005436BA" w:rsidRPr="00DF0111" w:rsidRDefault="00DF0111" w:rsidP="00EA4C8B">
            <w:pPr>
              <w:rPr>
                <w:sz w:val="20"/>
                <w:szCs w:val="20"/>
              </w:rPr>
            </w:pPr>
            <w:r w:rsidRPr="00DF0111">
              <w:rPr>
                <w:rFonts w:cstheme="minorHAnsi"/>
                <w:sz w:val="20"/>
                <w:szCs w:val="20"/>
              </w:rPr>
              <w:t>↔</w:t>
            </w:r>
          </w:p>
        </w:tc>
      </w:tr>
      <w:tr w:rsidR="0022482D" w:rsidRPr="005436BA" w14:paraId="414A21B6" w14:textId="77777777" w:rsidTr="00F0207B">
        <w:trPr>
          <w:cantSplit/>
        </w:trPr>
        <w:tc>
          <w:tcPr>
            <w:tcW w:w="1567" w:type="dxa"/>
          </w:tcPr>
          <w:p w14:paraId="34CFAAEF" w14:textId="785EE81D" w:rsidR="0022482D" w:rsidRDefault="0022482D" w:rsidP="00EA4C8B">
            <w:pPr>
              <w:rPr>
                <w:sz w:val="20"/>
                <w:szCs w:val="20"/>
              </w:rPr>
            </w:pPr>
            <w:r>
              <w:rPr>
                <w:sz w:val="20"/>
                <w:szCs w:val="20"/>
              </w:rPr>
              <w:t>Walele 2018</w:t>
            </w:r>
          </w:p>
        </w:tc>
        <w:tc>
          <w:tcPr>
            <w:tcW w:w="1689" w:type="dxa"/>
          </w:tcPr>
          <w:p w14:paraId="1DDD6087" w14:textId="0C9FA59E" w:rsidR="0022482D" w:rsidRDefault="0022482D" w:rsidP="00EA4C8B">
            <w:pPr>
              <w:rPr>
                <w:sz w:val="20"/>
                <w:szCs w:val="20"/>
              </w:rPr>
            </w:pPr>
            <w:r>
              <w:rPr>
                <w:sz w:val="20"/>
                <w:szCs w:val="20"/>
              </w:rPr>
              <w:t>Nicotine EC versus conventional cigarette</w:t>
            </w:r>
          </w:p>
        </w:tc>
        <w:tc>
          <w:tcPr>
            <w:tcW w:w="850" w:type="dxa"/>
          </w:tcPr>
          <w:p w14:paraId="50CCDC61" w14:textId="0CA312DD" w:rsidR="0022482D" w:rsidRDefault="0022482D" w:rsidP="00EA4C8B">
            <w:pPr>
              <w:rPr>
                <w:sz w:val="20"/>
                <w:szCs w:val="20"/>
              </w:rPr>
            </w:pPr>
            <w:r>
              <w:rPr>
                <w:sz w:val="20"/>
                <w:szCs w:val="20"/>
              </w:rPr>
              <w:t>2 weeks</w:t>
            </w:r>
          </w:p>
        </w:tc>
        <w:tc>
          <w:tcPr>
            <w:tcW w:w="7246" w:type="dxa"/>
          </w:tcPr>
          <w:p w14:paraId="5E2F5E10" w14:textId="3DC74D31" w:rsidR="0022482D" w:rsidRDefault="0022482D" w:rsidP="00E50FD3">
            <w:pPr>
              <w:rPr>
                <w:sz w:val="20"/>
                <w:szCs w:val="20"/>
              </w:rPr>
            </w:pPr>
            <w:r w:rsidRPr="0022482D">
              <w:rPr>
                <w:sz w:val="20"/>
                <w:szCs w:val="20"/>
              </w:rPr>
              <w:t>“At baseline, eCO was at 20.3 ppm (±8.4) in EVP subjects and at 21.3 ppm (±9.2) in CC subjects. In the EVP group, eCO levels dropped to 7.4 ppm at Week 1 and were between 7.6 and 9.0 ppm from Week 2 to EoS (eCO levels in non-smokers are typically ≤6 ppm (Bedfront, 2016)). In the CC group, eCO remained at levels close to baseline during the whole study (21.3–23.3 ppm).”</w:t>
            </w:r>
          </w:p>
        </w:tc>
        <w:tc>
          <w:tcPr>
            <w:tcW w:w="2677" w:type="dxa"/>
          </w:tcPr>
          <w:p w14:paraId="5A386A12" w14:textId="0A351A52" w:rsidR="0022482D" w:rsidRPr="00DF0111" w:rsidRDefault="0022482D" w:rsidP="00EA4C8B">
            <w:pPr>
              <w:rPr>
                <w:rFonts w:cstheme="minorHAnsi"/>
                <w:sz w:val="20"/>
                <w:szCs w:val="20"/>
              </w:rPr>
            </w:pPr>
            <w:r w:rsidRPr="00007F85">
              <w:rPr>
                <w:rFonts w:cstheme="minorHAnsi"/>
                <w:sz w:val="20"/>
                <w:szCs w:val="20"/>
              </w:rPr>
              <w:t>↓</w:t>
            </w:r>
          </w:p>
        </w:tc>
      </w:tr>
      <w:tr w:rsidR="0022482D" w:rsidRPr="005436BA" w14:paraId="5BB52918" w14:textId="77777777" w:rsidTr="00F0207B">
        <w:trPr>
          <w:cantSplit/>
        </w:trPr>
        <w:tc>
          <w:tcPr>
            <w:tcW w:w="1567" w:type="dxa"/>
          </w:tcPr>
          <w:p w14:paraId="0D173F91" w14:textId="5CA7CED1" w:rsidR="0022482D" w:rsidRDefault="0022482D" w:rsidP="0022482D">
            <w:pPr>
              <w:rPr>
                <w:sz w:val="20"/>
                <w:szCs w:val="20"/>
              </w:rPr>
            </w:pPr>
            <w:r>
              <w:rPr>
                <w:sz w:val="20"/>
                <w:szCs w:val="20"/>
              </w:rPr>
              <w:lastRenderedPageBreak/>
              <w:t>Walker 2020</w:t>
            </w:r>
          </w:p>
        </w:tc>
        <w:tc>
          <w:tcPr>
            <w:tcW w:w="1689" w:type="dxa"/>
          </w:tcPr>
          <w:p w14:paraId="4FEE6322" w14:textId="2CB60A4F" w:rsidR="0022482D" w:rsidRDefault="0022482D" w:rsidP="0022482D">
            <w:pPr>
              <w:rPr>
                <w:sz w:val="20"/>
                <w:szCs w:val="20"/>
              </w:rPr>
            </w:pPr>
            <w:r>
              <w:rPr>
                <w:sz w:val="20"/>
                <w:szCs w:val="20"/>
              </w:rPr>
              <w:t>Nicotine EC + NRT v non-nicotine EC + NRT v NRT only</w:t>
            </w:r>
          </w:p>
        </w:tc>
        <w:tc>
          <w:tcPr>
            <w:tcW w:w="850" w:type="dxa"/>
          </w:tcPr>
          <w:p w14:paraId="075DF7CE" w14:textId="508195A4" w:rsidR="0022482D" w:rsidRDefault="0022482D" w:rsidP="0022482D">
            <w:pPr>
              <w:rPr>
                <w:sz w:val="20"/>
                <w:szCs w:val="20"/>
              </w:rPr>
            </w:pPr>
            <w:r>
              <w:rPr>
                <w:sz w:val="20"/>
                <w:szCs w:val="20"/>
              </w:rPr>
              <w:t>6 months</w:t>
            </w:r>
          </w:p>
        </w:tc>
        <w:tc>
          <w:tcPr>
            <w:tcW w:w="7246" w:type="dxa"/>
          </w:tcPr>
          <w:p w14:paraId="3AF85541" w14:textId="2D1187AC" w:rsidR="0022482D" w:rsidRPr="0022482D" w:rsidRDefault="0022482D" w:rsidP="0022482D">
            <w:pPr>
              <w:rPr>
                <w:sz w:val="20"/>
                <w:szCs w:val="20"/>
              </w:rPr>
            </w:pPr>
            <w:r>
              <w:rPr>
                <w:sz w:val="20"/>
                <w:szCs w:val="20"/>
              </w:rPr>
              <w:t>20% nicotine EC arm; 10% non-nicotine EC arm; 4% NRT only arm had eCO &lt;</w:t>
            </w:r>
            <w:r w:rsidR="00A5212F">
              <w:rPr>
                <w:sz w:val="20"/>
                <w:szCs w:val="20"/>
              </w:rPr>
              <w:t xml:space="preserve"> </w:t>
            </w:r>
            <w:r>
              <w:rPr>
                <w:sz w:val="20"/>
                <w:szCs w:val="20"/>
              </w:rPr>
              <w:t>8ppm at follow-up</w:t>
            </w:r>
          </w:p>
        </w:tc>
        <w:tc>
          <w:tcPr>
            <w:tcW w:w="2677" w:type="dxa"/>
          </w:tcPr>
          <w:p w14:paraId="63EB7A06" w14:textId="15982C62" w:rsidR="0022482D" w:rsidRPr="00007F85" w:rsidRDefault="0022482D" w:rsidP="0022482D">
            <w:pPr>
              <w:rPr>
                <w:rFonts w:cstheme="minorHAnsi"/>
                <w:sz w:val="20"/>
                <w:szCs w:val="20"/>
              </w:rPr>
            </w:pPr>
            <w:r w:rsidRPr="00007F85">
              <w:rPr>
                <w:rFonts w:cstheme="minorHAnsi"/>
                <w:sz w:val="20"/>
                <w:szCs w:val="20"/>
              </w:rPr>
              <w:t>↓</w:t>
            </w:r>
          </w:p>
        </w:tc>
      </w:tr>
      <w:tr w:rsidR="00465017" w:rsidRPr="005436BA" w14:paraId="25010117" w14:textId="77777777" w:rsidTr="00CA5F94">
        <w:trPr>
          <w:cantSplit/>
        </w:trPr>
        <w:tc>
          <w:tcPr>
            <w:tcW w:w="1567" w:type="dxa"/>
          </w:tcPr>
          <w:p w14:paraId="0D7670D5" w14:textId="1CA8CA0F" w:rsidR="00465017" w:rsidRDefault="00465017" w:rsidP="00465017">
            <w:pPr>
              <w:rPr>
                <w:sz w:val="20"/>
                <w:szCs w:val="20"/>
              </w:rPr>
            </w:pPr>
            <w:r>
              <w:rPr>
                <w:sz w:val="20"/>
                <w:szCs w:val="20"/>
              </w:rPr>
              <w:t>Yingst 2020</w:t>
            </w:r>
          </w:p>
        </w:tc>
        <w:tc>
          <w:tcPr>
            <w:tcW w:w="1689" w:type="dxa"/>
          </w:tcPr>
          <w:p w14:paraId="13D34A83" w14:textId="723DF3D7" w:rsidR="00465017" w:rsidRDefault="00465017" w:rsidP="00465017">
            <w:pPr>
              <w:rPr>
                <w:sz w:val="20"/>
                <w:szCs w:val="20"/>
              </w:rPr>
            </w:pPr>
            <w:r>
              <w:rPr>
                <w:sz w:val="20"/>
                <w:szCs w:val="20"/>
              </w:rPr>
              <w:t>Nicotine EC (36 mg/ml; refillable) versus nicotine EC (24 mg/ml; cig-a-like)</w:t>
            </w:r>
          </w:p>
        </w:tc>
        <w:tc>
          <w:tcPr>
            <w:tcW w:w="850" w:type="dxa"/>
          </w:tcPr>
          <w:p w14:paraId="2BDE40BC" w14:textId="1CEBD306" w:rsidR="00465017" w:rsidRDefault="00465017" w:rsidP="00465017">
            <w:pPr>
              <w:rPr>
                <w:sz w:val="20"/>
                <w:szCs w:val="20"/>
              </w:rPr>
            </w:pPr>
            <w:r>
              <w:rPr>
                <w:sz w:val="20"/>
                <w:szCs w:val="20"/>
              </w:rPr>
              <w:t>1 week</w:t>
            </w:r>
          </w:p>
        </w:tc>
        <w:tc>
          <w:tcPr>
            <w:tcW w:w="7246" w:type="dxa"/>
          </w:tcPr>
          <w:p w14:paraId="356A72C6" w14:textId="02A98189" w:rsidR="00465017" w:rsidRDefault="00465017" w:rsidP="00465017">
            <w:pPr>
              <w:rPr>
                <w:sz w:val="20"/>
                <w:szCs w:val="20"/>
              </w:rPr>
            </w:pPr>
            <w:r>
              <w:rPr>
                <w:sz w:val="20"/>
                <w:szCs w:val="20"/>
              </w:rPr>
              <w:t>N</w:t>
            </w:r>
            <w:r w:rsidR="00A5212F">
              <w:rPr>
                <w:sz w:val="20"/>
                <w:szCs w:val="20"/>
              </w:rPr>
              <w:t xml:space="preserve"> </w:t>
            </w:r>
            <w:r>
              <w:rPr>
                <w:sz w:val="20"/>
                <w:szCs w:val="20"/>
              </w:rPr>
              <w:t>=</w:t>
            </w:r>
            <w:r w:rsidR="00A5212F">
              <w:rPr>
                <w:sz w:val="20"/>
                <w:szCs w:val="20"/>
              </w:rPr>
              <w:t xml:space="preserve"> </w:t>
            </w:r>
            <w:r>
              <w:rPr>
                <w:sz w:val="20"/>
                <w:szCs w:val="20"/>
              </w:rPr>
              <w:t>17</w:t>
            </w:r>
          </w:p>
          <w:p w14:paraId="0866282B" w14:textId="31793065" w:rsidR="00465017" w:rsidRDefault="00465017" w:rsidP="00465017">
            <w:pPr>
              <w:rPr>
                <w:sz w:val="20"/>
                <w:szCs w:val="20"/>
              </w:rPr>
            </w:pPr>
            <w:r>
              <w:rPr>
                <w:sz w:val="20"/>
                <w:szCs w:val="20"/>
              </w:rPr>
              <w:t>“</w:t>
            </w:r>
            <w:r w:rsidRPr="00F0207B">
              <w:rPr>
                <w:sz w:val="20"/>
                <w:szCs w:val="20"/>
              </w:rPr>
              <w:t>CO significantly decreased from baseline during the button-operated ENDS use period from 24.1 ppm (SD = 12.2) to 18.4 ppm (SD = 13.8) (p = .03), but did not significantly decrease during the cigalike use period (22.4 ppm (SD</w:t>
            </w:r>
            <w:r w:rsidR="00635270">
              <w:rPr>
                <w:sz w:val="20"/>
                <w:szCs w:val="20"/>
              </w:rPr>
              <w:t xml:space="preserve"> </w:t>
            </w:r>
            <w:r w:rsidRPr="00F0207B">
              <w:rPr>
                <w:sz w:val="20"/>
                <w:szCs w:val="20"/>
              </w:rPr>
              <w:t>= 12.8) vs. 18.1 ppm (SD = 13.8) (p = .07)). Total CO reduction was not different between ENDS devices (p= .75).</w:t>
            </w:r>
            <w:r w:rsidR="00F0207B" w:rsidRPr="00F0207B">
              <w:rPr>
                <w:sz w:val="20"/>
                <w:szCs w:val="20"/>
              </w:rPr>
              <w:t>”</w:t>
            </w:r>
          </w:p>
        </w:tc>
        <w:tc>
          <w:tcPr>
            <w:tcW w:w="2677" w:type="dxa"/>
          </w:tcPr>
          <w:p w14:paraId="521FB21E" w14:textId="22F0E7DA" w:rsidR="00465017" w:rsidRPr="00007F85" w:rsidRDefault="00465017" w:rsidP="00465017">
            <w:pPr>
              <w:rPr>
                <w:rFonts w:cstheme="minorHAnsi"/>
                <w:sz w:val="20"/>
                <w:szCs w:val="20"/>
              </w:rPr>
            </w:pPr>
            <w:r w:rsidRPr="00DF0111">
              <w:rPr>
                <w:rFonts w:cstheme="minorHAnsi"/>
                <w:sz w:val="20"/>
                <w:szCs w:val="20"/>
              </w:rPr>
              <w:t>↔</w:t>
            </w:r>
          </w:p>
        </w:tc>
      </w:tr>
    </w:tbl>
    <w:p w14:paraId="3ABCF1B2" w14:textId="77777777" w:rsidR="008212FF" w:rsidRDefault="008212FF" w:rsidP="005436BA">
      <w:pPr>
        <w:pStyle w:val="Heading2"/>
      </w:pPr>
    </w:p>
    <w:p w14:paraId="404D1D0E" w14:textId="77777777" w:rsidR="008212FF" w:rsidRDefault="008212FF">
      <w:pPr>
        <w:rPr>
          <w:rFonts w:asciiTheme="majorHAnsi" w:eastAsiaTheme="majorEastAsia" w:hAnsiTheme="majorHAnsi" w:cstheme="majorBidi"/>
          <w:color w:val="2E74B5" w:themeColor="accent1" w:themeShade="BF"/>
          <w:sz w:val="26"/>
          <w:szCs w:val="26"/>
        </w:rPr>
      </w:pPr>
      <w:r>
        <w:br w:type="page"/>
      </w:r>
    </w:p>
    <w:p w14:paraId="76F575E6" w14:textId="7D910A82" w:rsidR="005436BA" w:rsidRPr="005436BA" w:rsidRDefault="00A66986" w:rsidP="005436BA">
      <w:pPr>
        <w:pStyle w:val="Heading2"/>
      </w:pPr>
      <w:r>
        <w:lastRenderedPageBreak/>
        <w:t>Studies in which all groups received nicotine EC with no between-group difference in concentration</w:t>
      </w:r>
    </w:p>
    <w:tbl>
      <w:tblPr>
        <w:tblStyle w:val="TableGrid"/>
        <w:tblW w:w="13745" w:type="dxa"/>
        <w:tblLook w:val="04A0" w:firstRow="1" w:lastRow="0" w:firstColumn="1" w:lastColumn="0" w:noHBand="0" w:noVBand="1"/>
      </w:tblPr>
      <w:tblGrid>
        <w:gridCol w:w="1361"/>
        <w:gridCol w:w="871"/>
        <w:gridCol w:w="9004"/>
        <w:gridCol w:w="2509"/>
      </w:tblGrid>
      <w:tr w:rsidR="005436BA" w14:paraId="680346D7" w14:textId="77777777" w:rsidTr="00007F85">
        <w:trPr>
          <w:cantSplit/>
          <w:tblHeader/>
        </w:trPr>
        <w:tc>
          <w:tcPr>
            <w:tcW w:w="1361" w:type="dxa"/>
          </w:tcPr>
          <w:p w14:paraId="41B8F1A4" w14:textId="77777777" w:rsidR="005436BA" w:rsidRPr="005436BA" w:rsidRDefault="005436BA" w:rsidP="009A3C63">
            <w:pPr>
              <w:rPr>
                <w:b/>
                <w:sz w:val="20"/>
                <w:szCs w:val="20"/>
              </w:rPr>
            </w:pPr>
            <w:r w:rsidRPr="005436BA">
              <w:rPr>
                <w:b/>
                <w:sz w:val="20"/>
                <w:szCs w:val="20"/>
              </w:rPr>
              <w:t>Study ID</w:t>
            </w:r>
          </w:p>
        </w:tc>
        <w:tc>
          <w:tcPr>
            <w:tcW w:w="871" w:type="dxa"/>
          </w:tcPr>
          <w:p w14:paraId="6F1AE86F" w14:textId="77777777" w:rsidR="005436BA" w:rsidRPr="005436BA" w:rsidRDefault="005436BA" w:rsidP="009A3C63">
            <w:pPr>
              <w:rPr>
                <w:b/>
                <w:sz w:val="20"/>
                <w:szCs w:val="20"/>
              </w:rPr>
            </w:pPr>
            <w:r w:rsidRPr="005436BA">
              <w:rPr>
                <w:b/>
                <w:sz w:val="20"/>
                <w:szCs w:val="20"/>
              </w:rPr>
              <w:t>Time point</w:t>
            </w:r>
          </w:p>
        </w:tc>
        <w:tc>
          <w:tcPr>
            <w:tcW w:w="9004" w:type="dxa"/>
          </w:tcPr>
          <w:p w14:paraId="7653CB94" w14:textId="77777777" w:rsidR="005436BA" w:rsidRPr="005436BA" w:rsidRDefault="005436BA" w:rsidP="009A3C63">
            <w:pPr>
              <w:rPr>
                <w:b/>
                <w:sz w:val="20"/>
                <w:szCs w:val="20"/>
              </w:rPr>
            </w:pPr>
            <w:r>
              <w:rPr>
                <w:b/>
                <w:sz w:val="20"/>
                <w:szCs w:val="20"/>
              </w:rPr>
              <w:t xml:space="preserve">Data </w:t>
            </w:r>
          </w:p>
        </w:tc>
        <w:tc>
          <w:tcPr>
            <w:tcW w:w="2509" w:type="dxa"/>
          </w:tcPr>
          <w:p w14:paraId="07B5E448" w14:textId="273D394D" w:rsidR="005436BA" w:rsidRPr="005436BA" w:rsidRDefault="00007F85" w:rsidP="005436BA">
            <w:pPr>
              <w:rPr>
                <w:b/>
                <w:sz w:val="20"/>
                <w:szCs w:val="20"/>
              </w:rPr>
            </w:pPr>
            <w:r>
              <w:rPr>
                <w:b/>
                <w:sz w:val="20"/>
                <w:szCs w:val="20"/>
              </w:rPr>
              <w:t>Direction</w:t>
            </w:r>
            <w:r w:rsidR="005436BA" w:rsidRPr="005436BA">
              <w:rPr>
                <w:b/>
                <w:sz w:val="20"/>
                <w:szCs w:val="20"/>
              </w:rPr>
              <w:t xml:space="preserve"> over time</w:t>
            </w:r>
            <w:r w:rsidR="005436BA">
              <w:rPr>
                <w:rStyle w:val="FootnoteReference"/>
                <w:b/>
                <w:sz w:val="20"/>
                <w:szCs w:val="20"/>
              </w:rPr>
              <w:footnoteReference w:id="3"/>
            </w:r>
            <w:r w:rsidR="005436BA" w:rsidRPr="005436BA">
              <w:rPr>
                <w:b/>
                <w:sz w:val="20"/>
                <w:szCs w:val="20"/>
              </w:rPr>
              <w:t xml:space="preserve"> (</w:t>
            </w:r>
            <w:r w:rsidR="005436BA" w:rsidRPr="005436BA">
              <w:rPr>
                <w:rFonts w:cstheme="minorHAnsi"/>
                <w:b/>
                <w:sz w:val="20"/>
                <w:szCs w:val="20"/>
              </w:rPr>
              <w:t>↓</w:t>
            </w:r>
            <w:r w:rsidR="005436BA" w:rsidRPr="005436BA">
              <w:rPr>
                <w:b/>
                <w:sz w:val="20"/>
                <w:szCs w:val="20"/>
              </w:rPr>
              <w:t xml:space="preserve"> decline</w:t>
            </w:r>
            <w:r w:rsidR="005436BA">
              <w:rPr>
                <w:b/>
                <w:sz w:val="20"/>
                <w:szCs w:val="20"/>
              </w:rPr>
              <w:t xml:space="preserve">; </w:t>
            </w:r>
            <w:r w:rsidR="005436BA" w:rsidRPr="005436BA">
              <w:rPr>
                <w:b/>
                <w:sz w:val="20"/>
                <w:szCs w:val="20"/>
              </w:rPr>
              <w:t>↔</w:t>
            </w:r>
            <w:r w:rsidR="005436BA">
              <w:rPr>
                <w:b/>
                <w:sz w:val="20"/>
                <w:szCs w:val="20"/>
              </w:rPr>
              <w:t xml:space="preserve"> equivocal; </w:t>
            </w:r>
            <w:r w:rsidR="005436BA" w:rsidRPr="005436BA">
              <w:rPr>
                <w:b/>
                <w:sz w:val="20"/>
                <w:szCs w:val="20"/>
              </w:rPr>
              <w:t>↑</w:t>
            </w:r>
            <w:r w:rsidR="005436BA">
              <w:rPr>
                <w:b/>
                <w:sz w:val="20"/>
                <w:szCs w:val="20"/>
              </w:rPr>
              <w:t xml:space="preserve"> increase</w:t>
            </w:r>
            <w:r w:rsidR="005436BA" w:rsidRPr="005436BA">
              <w:rPr>
                <w:b/>
                <w:sz w:val="20"/>
                <w:szCs w:val="20"/>
              </w:rPr>
              <w:t>)</w:t>
            </w:r>
          </w:p>
        </w:tc>
      </w:tr>
      <w:tr w:rsidR="005436BA" w14:paraId="17E9FD4E" w14:textId="77777777" w:rsidTr="00007F85">
        <w:trPr>
          <w:cantSplit/>
        </w:trPr>
        <w:tc>
          <w:tcPr>
            <w:tcW w:w="1361" w:type="dxa"/>
          </w:tcPr>
          <w:p w14:paraId="4BFA6AB2" w14:textId="77777777" w:rsidR="005436BA" w:rsidRPr="005436BA" w:rsidRDefault="005436BA" w:rsidP="009A3C63">
            <w:pPr>
              <w:rPr>
                <w:sz w:val="20"/>
                <w:szCs w:val="20"/>
              </w:rPr>
            </w:pPr>
            <w:r w:rsidRPr="005436BA">
              <w:rPr>
                <w:sz w:val="20"/>
                <w:szCs w:val="20"/>
              </w:rPr>
              <w:t>Caponetto 2013b</w:t>
            </w:r>
          </w:p>
        </w:tc>
        <w:tc>
          <w:tcPr>
            <w:tcW w:w="871" w:type="dxa"/>
          </w:tcPr>
          <w:p w14:paraId="60DC02CF" w14:textId="77777777" w:rsidR="005436BA" w:rsidRPr="005436BA" w:rsidRDefault="005436BA" w:rsidP="009A3C63">
            <w:pPr>
              <w:rPr>
                <w:sz w:val="20"/>
                <w:szCs w:val="20"/>
              </w:rPr>
            </w:pPr>
            <w:r w:rsidRPr="005436BA">
              <w:rPr>
                <w:sz w:val="20"/>
                <w:szCs w:val="20"/>
              </w:rPr>
              <w:t>1 year</w:t>
            </w:r>
          </w:p>
        </w:tc>
        <w:tc>
          <w:tcPr>
            <w:tcW w:w="9004" w:type="dxa"/>
          </w:tcPr>
          <w:p w14:paraId="34C95EC9" w14:textId="0AB9D68E" w:rsidR="005436BA" w:rsidRPr="005436BA" w:rsidRDefault="00E50FD3" w:rsidP="00D37E32">
            <w:pPr>
              <w:rPr>
                <w:sz w:val="20"/>
                <w:szCs w:val="20"/>
              </w:rPr>
            </w:pPr>
            <w:r>
              <w:rPr>
                <w:sz w:val="20"/>
                <w:szCs w:val="20"/>
              </w:rPr>
              <w:t>eCO r</w:t>
            </w:r>
            <w:r w:rsidR="00007F85">
              <w:rPr>
                <w:sz w:val="20"/>
                <w:szCs w:val="20"/>
              </w:rPr>
              <w:t>eported graphically</w:t>
            </w:r>
            <w:r w:rsidR="00D37E32">
              <w:rPr>
                <w:sz w:val="20"/>
                <w:szCs w:val="20"/>
              </w:rPr>
              <w:t>, “</w:t>
            </w:r>
            <w:r w:rsidR="00D37E32" w:rsidRPr="00D37E32">
              <w:rPr>
                <w:sz w:val="20"/>
                <w:szCs w:val="20"/>
              </w:rPr>
              <w:t>smoking reduction with “Categoria” e-Cigarette use was associated to a substantial decrease in the level of eCO</w:t>
            </w:r>
            <w:r w:rsidR="00D37E32">
              <w:rPr>
                <w:sz w:val="20"/>
                <w:szCs w:val="20"/>
              </w:rPr>
              <w:t>”. In figure, reductions from baseline in all groups, but particularly pronounced in people who quit smoking or reduced cigarette consumption by &gt;50%</w:t>
            </w:r>
          </w:p>
        </w:tc>
        <w:tc>
          <w:tcPr>
            <w:tcW w:w="2509" w:type="dxa"/>
          </w:tcPr>
          <w:p w14:paraId="2C4616EB" w14:textId="1481855A" w:rsidR="005436BA" w:rsidRPr="005436BA" w:rsidRDefault="00D37E32" w:rsidP="009A3C63">
            <w:pPr>
              <w:rPr>
                <w:sz w:val="20"/>
                <w:szCs w:val="20"/>
              </w:rPr>
            </w:pPr>
            <w:r w:rsidRPr="00007F85">
              <w:rPr>
                <w:rFonts w:cstheme="minorHAnsi"/>
                <w:sz w:val="20"/>
                <w:szCs w:val="20"/>
              </w:rPr>
              <w:t>↓</w:t>
            </w:r>
          </w:p>
        </w:tc>
      </w:tr>
      <w:tr w:rsidR="00A622EF" w14:paraId="4ECA4A84" w14:textId="77777777" w:rsidTr="00007F85">
        <w:trPr>
          <w:cantSplit/>
        </w:trPr>
        <w:tc>
          <w:tcPr>
            <w:tcW w:w="1361" w:type="dxa"/>
          </w:tcPr>
          <w:p w14:paraId="193B4A19" w14:textId="1D8DBC10" w:rsidR="00A622EF" w:rsidRPr="005436BA" w:rsidRDefault="00A622EF" w:rsidP="009A3C63">
            <w:pPr>
              <w:rPr>
                <w:sz w:val="20"/>
                <w:szCs w:val="20"/>
              </w:rPr>
            </w:pPr>
            <w:r>
              <w:rPr>
                <w:sz w:val="20"/>
                <w:szCs w:val="20"/>
              </w:rPr>
              <w:t>Caponetto 2021</w:t>
            </w:r>
          </w:p>
        </w:tc>
        <w:tc>
          <w:tcPr>
            <w:tcW w:w="871" w:type="dxa"/>
          </w:tcPr>
          <w:p w14:paraId="129664AC" w14:textId="4162F443" w:rsidR="00A622EF" w:rsidRPr="005436BA" w:rsidRDefault="00A622EF" w:rsidP="009A3C63">
            <w:pPr>
              <w:rPr>
                <w:sz w:val="20"/>
                <w:szCs w:val="20"/>
              </w:rPr>
            </w:pPr>
            <w:r>
              <w:rPr>
                <w:sz w:val="20"/>
                <w:szCs w:val="20"/>
              </w:rPr>
              <w:t>24 weeks</w:t>
            </w:r>
          </w:p>
        </w:tc>
        <w:tc>
          <w:tcPr>
            <w:tcW w:w="9004" w:type="dxa"/>
          </w:tcPr>
          <w:p w14:paraId="2EA0C7D1" w14:textId="5D94CB2A" w:rsidR="00A622EF" w:rsidRDefault="00A622EF" w:rsidP="00D37E32">
            <w:pPr>
              <w:rPr>
                <w:sz w:val="20"/>
                <w:szCs w:val="20"/>
              </w:rPr>
            </w:pPr>
            <w:r>
              <w:rPr>
                <w:sz w:val="20"/>
                <w:szCs w:val="20"/>
              </w:rPr>
              <w:t>In the 37 completers, mean change in CO from baseline -24.74 ppm (from 33.23 (SD 10.97) at baseline to 9.29 (SD 8.61) at follow-up)</w:t>
            </w:r>
          </w:p>
        </w:tc>
        <w:tc>
          <w:tcPr>
            <w:tcW w:w="2509" w:type="dxa"/>
          </w:tcPr>
          <w:p w14:paraId="691E72A4" w14:textId="7AF41021" w:rsidR="00A622EF" w:rsidRPr="00007F85" w:rsidRDefault="00A622EF" w:rsidP="009A3C63">
            <w:pPr>
              <w:rPr>
                <w:rFonts w:cstheme="minorHAnsi"/>
                <w:sz w:val="20"/>
                <w:szCs w:val="20"/>
              </w:rPr>
            </w:pPr>
            <w:r w:rsidRPr="00007F85">
              <w:rPr>
                <w:rFonts w:cstheme="minorHAnsi"/>
                <w:sz w:val="20"/>
                <w:szCs w:val="20"/>
              </w:rPr>
              <w:t>↓</w:t>
            </w:r>
          </w:p>
        </w:tc>
      </w:tr>
      <w:tr w:rsidR="005436BA" w14:paraId="59733B5B" w14:textId="77777777" w:rsidTr="00007F85">
        <w:trPr>
          <w:cantSplit/>
        </w:trPr>
        <w:tc>
          <w:tcPr>
            <w:tcW w:w="1361" w:type="dxa"/>
          </w:tcPr>
          <w:p w14:paraId="06A75B34" w14:textId="77777777" w:rsidR="005436BA" w:rsidRPr="005436BA" w:rsidRDefault="005436BA" w:rsidP="009A3C63">
            <w:pPr>
              <w:rPr>
                <w:sz w:val="20"/>
                <w:szCs w:val="20"/>
              </w:rPr>
            </w:pPr>
            <w:r w:rsidRPr="005436BA">
              <w:rPr>
                <w:sz w:val="20"/>
                <w:szCs w:val="20"/>
              </w:rPr>
              <w:t>Goniewicz 2017</w:t>
            </w:r>
          </w:p>
        </w:tc>
        <w:tc>
          <w:tcPr>
            <w:tcW w:w="871" w:type="dxa"/>
          </w:tcPr>
          <w:p w14:paraId="5D628067" w14:textId="77777777" w:rsidR="005436BA" w:rsidRPr="005436BA" w:rsidRDefault="005436BA" w:rsidP="009A3C63">
            <w:pPr>
              <w:rPr>
                <w:sz w:val="20"/>
                <w:szCs w:val="20"/>
              </w:rPr>
            </w:pPr>
            <w:r w:rsidRPr="005436BA">
              <w:rPr>
                <w:sz w:val="20"/>
                <w:szCs w:val="20"/>
              </w:rPr>
              <w:t>2 weeks</w:t>
            </w:r>
          </w:p>
        </w:tc>
        <w:tc>
          <w:tcPr>
            <w:tcW w:w="9004" w:type="dxa"/>
          </w:tcPr>
          <w:p w14:paraId="26E4D732" w14:textId="10D68C0F" w:rsidR="005436BA" w:rsidRPr="005436BA" w:rsidRDefault="00D37E32" w:rsidP="00E50FD3">
            <w:pPr>
              <w:rPr>
                <w:sz w:val="20"/>
                <w:szCs w:val="20"/>
              </w:rPr>
            </w:pPr>
            <w:r>
              <w:rPr>
                <w:sz w:val="20"/>
                <w:szCs w:val="20"/>
              </w:rPr>
              <w:t>Report s</w:t>
            </w:r>
            <w:r w:rsidRPr="00D37E32">
              <w:rPr>
                <w:sz w:val="20"/>
                <w:szCs w:val="20"/>
              </w:rPr>
              <w:t>ignificant</w:t>
            </w:r>
            <w:r w:rsidR="00635270">
              <w:rPr>
                <w:sz w:val="20"/>
                <w:szCs w:val="20"/>
              </w:rPr>
              <w:t xml:space="preserve"> decline in eCO from baseline (P </w:t>
            </w:r>
            <w:r w:rsidRPr="00D37E32">
              <w:rPr>
                <w:sz w:val="20"/>
                <w:szCs w:val="20"/>
              </w:rPr>
              <w:t>&lt;</w:t>
            </w:r>
            <w:r w:rsidR="00635270">
              <w:rPr>
                <w:sz w:val="20"/>
                <w:szCs w:val="20"/>
              </w:rPr>
              <w:t xml:space="preserve"> </w:t>
            </w:r>
            <w:r w:rsidRPr="00D37E32">
              <w:rPr>
                <w:sz w:val="20"/>
                <w:szCs w:val="20"/>
              </w:rPr>
              <w:t>0.05) at 1 and 2 weeks</w:t>
            </w:r>
          </w:p>
        </w:tc>
        <w:tc>
          <w:tcPr>
            <w:tcW w:w="2509" w:type="dxa"/>
          </w:tcPr>
          <w:p w14:paraId="34206298" w14:textId="0213F49D" w:rsidR="005436BA" w:rsidRPr="005436BA" w:rsidRDefault="00D37E32" w:rsidP="009A3C63">
            <w:pPr>
              <w:rPr>
                <w:sz w:val="20"/>
                <w:szCs w:val="20"/>
              </w:rPr>
            </w:pPr>
            <w:r w:rsidRPr="00007F85">
              <w:rPr>
                <w:rFonts w:cstheme="minorHAnsi"/>
                <w:sz w:val="20"/>
                <w:szCs w:val="20"/>
              </w:rPr>
              <w:t>↓</w:t>
            </w:r>
          </w:p>
        </w:tc>
      </w:tr>
      <w:tr w:rsidR="005436BA" w14:paraId="61ECD3C0" w14:textId="77777777" w:rsidTr="00007F85">
        <w:trPr>
          <w:cantSplit/>
        </w:trPr>
        <w:tc>
          <w:tcPr>
            <w:tcW w:w="1361" w:type="dxa"/>
          </w:tcPr>
          <w:p w14:paraId="172DFD7B" w14:textId="77777777" w:rsidR="005436BA" w:rsidRPr="005436BA" w:rsidRDefault="005436BA" w:rsidP="009A3C63">
            <w:pPr>
              <w:rPr>
                <w:sz w:val="20"/>
                <w:szCs w:val="20"/>
              </w:rPr>
            </w:pPr>
            <w:r w:rsidRPr="005436BA">
              <w:rPr>
                <w:sz w:val="20"/>
                <w:szCs w:val="20"/>
              </w:rPr>
              <w:t>Hickling 2019</w:t>
            </w:r>
          </w:p>
        </w:tc>
        <w:tc>
          <w:tcPr>
            <w:tcW w:w="871" w:type="dxa"/>
          </w:tcPr>
          <w:p w14:paraId="5A621A12" w14:textId="2FDD519D" w:rsidR="005436BA" w:rsidRPr="005436BA" w:rsidRDefault="00672454" w:rsidP="009A3C63">
            <w:pPr>
              <w:rPr>
                <w:sz w:val="20"/>
                <w:szCs w:val="20"/>
              </w:rPr>
            </w:pPr>
            <w:r>
              <w:rPr>
                <w:sz w:val="20"/>
                <w:szCs w:val="20"/>
              </w:rPr>
              <w:t>6 weeks</w:t>
            </w:r>
            <w:r>
              <w:rPr>
                <w:rStyle w:val="FootnoteReference"/>
                <w:sz w:val="20"/>
                <w:szCs w:val="20"/>
              </w:rPr>
              <w:footnoteReference w:id="4"/>
            </w:r>
            <w:r>
              <w:rPr>
                <w:sz w:val="20"/>
                <w:szCs w:val="20"/>
              </w:rPr>
              <w:t xml:space="preserve"> </w:t>
            </w:r>
          </w:p>
        </w:tc>
        <w:tc>
          <w:tcPr>
            <w:tcW w:w="9004" w:type="dxa"/>
          </w:tcPr>
          <w:p w14:paraId="008EFBD6" w14:textId="2053C023" w:rsidR="005436BA" w:rsidRPr="005436BA" w:rsidRDefault="00672454" w:rsidP="009A3C63">
            <w:pPr>
              <w:rPr>
                <w:sz w:val="20"/>
                <w:szCs w:val="20"/>
              </w:rPr>
            </w:pPr>
            <w:r>
              <w:rPr>
                <w:sz w:val="20"/>
                <w:szCs w:val="20"/>
              </w:rPr>
              <w:t>Reduction from mean</w:t>
            </w:r>
            <w:r w:rsidR="00E50FD3">
              <w:rPr>
                <w:sz w:val="20"/>
                <w:szCs w:val="20"/>
              </w:rPr>
              <w:t xml:space="preserve"> eCO (ppm)</w:t>
            </w:r>
            <w:r>
              <w:rPr>
                <w:sz w:val="20"/>
                <w:szCs w:val="20"/>
              </w:rPr>
              <w:t xml:space="preserve"> 25.67 (SD 17.16, n</w:t>
            </w:r>
            <w:r w:rsidR="00A5212F">
              <w:rPr>
                <w:sz w:val="20"/>
                <w:szCs w:val="20"/>
              </w:rPr>
              <w:t xml:space="preserve"> </w:t>
            </w:r>
            <w:r>
              <w:rPr>
                <w:sz w:val="20"/>
                <w:szCs w:val="20"/>
              </w:rPr>
              <w:t>=</w:t>
            </w:r>
            <w:r w:rsidR="00A5212F">
              <w:rPr>
                <w:sz w:val="20"/>
                <w:szCs w:val="20"/>
              </w:rPr>
              <w:t xml:space="preserve"> </w:t>
            </w:r>
            <w:r>
              <w:rPr>
                <w:sz w:val="20"/>
                <w:szCs w:val="20"/>
              </w:rPr>
              <w:t>45) at baseline to 22.09 (SD 15.93, n</w:t>
            </w:r>
            <w:r w:rsidR="00A5212F">
              <w:rPr>
                <w:sz w:val="20"/>
                <w:szCs w:val="20"/>
              </w:rPr>
              <w:t xml:space="preserve"> </w:t>
            </w:r>
            <w:r>
              <w:rPr>
                <w:sz w:val="20"/>
                <w:szCs w:val="20"/>
              </w:rPr>
              <w:t>=</w:t>
            </w:r>
            <w:r w:rsidR="00A5212F">
              <w:rPr>
                <w:sz w:val="20"/>
                <w:szCs w:val="20"/>
              </w:rPr>
              <w:t xml:space="preserve"> </w:t>
            </w:r>
            <w:r>
              <w:rPr>
                <w:sz w:val="20"/>
                <w:szCs w:val="20"/>
              </w:rPr>
              <w:t>45) at 6 weeks. At 24 weeks, no change (mean 26, SD 16.78, n = 31)</w:t>
            </w:r>
          </w:p>
        </w:tc>
        <w:tc>
          <w:tcPr>
            <w:tcW w:w="2509" w:type="dxa"/>
          </w:tcPr>
          <w:p w14:paraId="31B14CE5" w14:textId="19EB60DC" w:rsidR="005436BA" w:rsidRDefault="00672454" w:rsidP="009A3C63">
            <w:pPr>
              <w:rPr>
                <w:rFonts w:cstheme="minorHAnsi"/>
                <w:sz w:val="20"/>
                <w:szCs w:val="20"/>
              </w:rPr>
            </w:pPr>
            <w:r w:rsidRPr="00007F85">
              <w:rPr>
                <w:rFonts w:cstheme="minorHAnsi"/>
                <w:sz w:val="20"/>
                <w:szCs w:val="20"/>
              </w:rPr>
              <w:t>↓</w:t>
            </w:r>
            <w:r>
              <w:rPr>
                <w:rFonts w:cstheme="minorHAnsi"/>
                <w:sz w:val="20"/>
                <w:szCs w:val="20"/>
              </w:rPr>
              <w:t xml:space="preserve"> 6 weeks</w:t>
            </w:r>
          </w:p>
          <w:p w14:paraId="085FE550" w14:textId="3217241B" w:rsidR="00672454" w:rsidRPr="005436BA" w:rsidRDefault="00672454" w:rsidP="009A3C63">
            <w:pPr>
              <w:rPr>
                <w:sz w:val="20"/>
                <w:szCs w:val="20"/>
              </w:rPr>
            </w:pPr>
            <w:r w:rsidRPr="00007F85">
              <w:rPr>
                <w:sz w:val="20"/>
                <w:szCs w:val="20"/>
              </w:rPr>
              <w:t>↔</w:t>
            </w:r>
            <w:r>
              <w:rPr>
                <w:sz w:val="20"/>
                <w:szCs w:val="20"/>
              </w:rPr>
              <w:t xml:space="preserve"> 24 weeks</w:t>
            </w:r>
          </w:p>
        </w:tc>
      </w:tr>
      <w:tr w:rsidR="005436BA" w14:paraId="7F60FE2A" w14:textId="77777777" w:rsidTr="00007F85">
        <w:trPr>
          <w:cantSplit/>
        </w:trPr>
        <w:tc>
          <w:tcPr>
            <w:tcW w:w="1361" w:type="dxa"/>
          </w:tcPr>
          <w:p w14:paraId="5584601A" w14:textId="3FA93AC5" w:rsidR="005436BA" w:rsidRPr="005436BA" w:rsidRDefault="00672454" w:rsidP="009A3C63">
            <w:pPr>
              <w:rPr>
                <w:sz w:val="20"/>
                <w:szCs w:val="20"/>
              </w:rPr>
            </w:pPr>
            <w:r>
              <w:rPr>
                <w:sz w:val="20"/>
                <w:szCs w:val="20"/>
              </w:rPr>
              <w:t>Ikonomidis 2018</w:t>
            </w:r>
            <w:r>
              <w:rPr>
                <w:rStyle w:val="FootnoteReference"/>
                <w:sz w:val="20"/>
                <w:szCs w:val="20"/>
              </w:rPr>
              <w:footnoteReference w:id="5"/>
            </w:r>
          </w:p>
        </w:tc>
        <w:tc>
          <w:tcPr>
            <w:tcW w:w="871" w:type="dxa"/>
          </w:tcPr>
          <w:p w14:paraId="5267A474" w14:textId="0089C077" w:rsidR="005436BA" w:rsidRPr="005436BA" w:rsidRDefault="00672454" w:rsidP="009A3C63">
            <w:pPr>
              <w:rPr>
                <w:sz w:val="20"/>
                <w:szCs w:val="20"/>
              </w:rPr>
            </w:pPr>
            <w:r>
              <w:rPr>
                <w:sz w:val="20"/>
                <w:szCs w:val="20"/>
              </w:rPr>
              <w:t>1 month</w:t>
            </w:r>
          </w:p>
        </w:tc>
        <w:tc>
          <w:tcPr>
            <w:tcW w:w="9004" w:type="dxa"/>
          </w:tcPr>
          <w:p w14:paraId="6D1CDC44" w14:textId="07D2C028" w:rsidR="005436BA" w:rsidRPr="005436BA" w:rsidRDefault="00672454" w:rsidP="00672454">
            <w:pPr>
              <w:rPr>
                <w:sz w:val="20"/>
                <w:szCs w:val="20"/>
              </w:rPr>
            </w:pPr>
            <w:r>
              <w:rPr>
                <w:sz w:val="20"/>
                <w:szCs w:val="20"/>
              </w:rPr>
              <w:t xml:space="preserve">Reductions in </w:t>
            </w:r>
            <w:r w:rsidR="00E50FD3">
              <w:rPr>
                <w:sz w:val="20"/>
                <w:szCs w:val="20"/>
              </w:rPr>
              <w:t xml:space="preserve">eCO in </w:t>
            </w:r>
            <w:r>
              <w:rPr>
                <w:sz w:val="20"/>
                <w:szCs w:val="20"/>
              </w:rPr>
              <w:t>people using EC + conventional cigarettes (baseline mean 15</w:t>
            </w:r>
            <w:r w:rsidR="00E50FD3">
              <w:rPr>
                <w:sz w:val="20"/>
                <w:szCs w:val="20"/>
              </w:rPr>
              <w:t xml:space="preserve"> ppm</w:t>
            </w:r>
            <w:r>
              <w:rPr>
                <w:sz w:val="20"/>
                <w:szCs w:val="20"/>
              </w:rPr>
              <w:t>, SD 0.6, n</w:t>
            </w:r>
            <w:r w:rsidR="00A5212F">
              <w:rPr>
                <w:sz w:val="20"/>
                <w:szCs w:val="20"/>
              </w:rPr>
              <w:t xml:space="preserve"> </w:t>
            </w:r>
            <w:r>
              <w:rPr>
                <w:sz w:val="20"/>
                <w:szCs w:val="20"/>
              </w:rPr>
              <w:t>=</w:t>
            </w:r>
            <w:r w:rsidR="00A5212F">
              <w:rPr>
                <w:sz w:val="20"/>
                <w:szCs w:val="20"/>
              </w:rPr>
              <w:t xml:space="preserve"> </w:t>
            </w:r>
            <w:r>
              <w:rPr>
                <w:sz w:val="20"/>
                <w:szCs w:val="20"/>
              </w:rPr>
              <w:t>24; 1 month mean 12.5, SD 0.6, n = 24); people using EC only (baseline mean 13.9, SD 0.7, n</w:t>
            </w:r>
            <w:r w:rsidR="00A5212F">
              <w:rPr>
                <w:sz w:val="20"/>
                <w:szCs w:val="20"/>
              </w:rPr>
              <w:t xml:space="preserve"> </w:t>
            </w:r>
            <w:r>
              <w:rPr>
                <w:sz w:val="20"/>
                <w:szCs w:val="20"/>
              </w:rPr>
              <w:t>=</w:t>
            </w:r>
            <w:r w:rsidR="00A5212F">
              <w:rPr>
                <w:sz w:val="20"/>
                <w:szCs w:val="20"/>
              </w:rPr>
              <w:t xml:space="preserve"> </w:t>
            </w:r>
            <w:r>
              <w:rPr>
                <w:sz w:val="20"/>
                <w:szCs w:val="20"/>
              </w:rPr>
              <w:t>42; 1 month mean 4.2, SD 0.6, n</w:t>
            </w:r>
            <w:r w:rsidR="00A5212F">
              <w:rPr>
                <w:sz w:val="20"/>
                <w:szCs w:val="20"/>
              </w:rPr>
              <w:t xml:space="preserve"> </w:t>
            </w:r>
            <w:r>
              <w:rPr>
                <w:sz w:val="20"/>
                <w:szCs w:val="20"/>
              </w:rPr>
              <w:t>=</w:t>
            </w:r>
            <w:r w:rsidR="00A5212F">
              <w:rPr>
                <w:sz w:val="20"/>
                <w:szCs w:val="20"/>
              </w:rPr>
              <w:t xml:space="preserve"> </w:t>
            </w:r>
            <w:r>
              <w:rPr>
                <w:sz w:val="20"/>
                <w:szCs w:val="20"/>
              </w:rPr>
              <w:t>42); “noncompliant” group (baseline mean 18.5, SD 0.7, n = 4, 1 month mean 15.1, SD 0.6, n</w:t>
            </w:r>
            <w:r w:rsidR="00A5212F">
              <w:rPr>
                <w:sz w:val="20"/>
                <w:szCs w:val="20"/>
              </w:rPr>
              <w:t xml:space="preserve"> </w:t>
            </w:r>
            <w:r>
              <w:rPr>
                <w:sz w:val="20"/>
                <w:szCs w:val="20"/>
              </w:rPr>
              <w:t>=</w:t>
            </w:r>
            <w:r w:rsidR="00A5212F">
              <w:rPr>
                <w:sz w:val="20"/>
                <w:szCs w:val="20"/>
              </w:rPr>
              <w:t xml:space="preserve"> </w:t>
            </w:r>
            <w:r>
              <w:rPr>
                <w:sz w:val="20"/>
                <w:szCs w:val="20"/>
              </w:rPr>
              <w:t xml:space="preserve">4). </w:t>
            </w:r>
            <w:r w:rsidR="00D54CC1">
              <w:rPr>
                <w:sz w:val="20"/>
                <w:szCs w:val="20"/>
              </w:rPr>
              <w:t>(</w:t>
            </w:r>
            <w:r>
              <w:rPr>
                <w:sz w:val="20"/>
                <w:szCs w:val="20"/>
              </w:rPr>
              <w:t>Slight increase in controls (given no intervention): baseline mean 15.3, SD 1, n</w:t>
            </w:r>
            <w:r w:rsidR="00A5212F">
              <w:rPr>
                <w:sz w:val="20"/>
                <w:szCs w:val="20"/>
              </w:rPr>
              <w:t xml:space="preserve"> </w:t>
            </w:r>
            <w:r>
              <w:rPr>
                <w:sz w:val="20"/>
                <w:szCs w:val="20"/>
              </w:rPr>
              <w:t>=</w:t>
            </w:r>
            <w:r w:rsidR="00A5212F">
              <w:rPr>
                <w:sz w:val="20"/>
                <w:szCs w:val="20"/>
              </w:rPr>
              <w:t xml:space="preserve"> </w:t>
            </w:r>
            <w:r>
              <w:rPr>
                <w:sz w:val="20"/>
                <w:szCs w:val="20"/>
              </w:rPr>
              <w:t>20; 1 month mean 16.4, SD 0.7, n = 20.</w:t>
            </w:r>
            <w:r w:rsidR="00D54CC1">
              <w:rPr>
                <w:sz w:val="20"/>
                <w:szCs w:val="20"/>
              </w:rPr>
              <w:t>)</w:t>
            </w:r>
          </w:p>
        </w:tc>
        <w:tc>
          <w:tcPr>
            <w:tcW w:w="2509" w:type="dxa"/>
          </w:tcPr>
          <w:p w14:paraId="073B0CA6" w14:textId="6C4809AB" w:rsidR="005436BA" w:rsidRPr="005436BA" w:rsidRDefault="00672454" w:rsidP="009A3C63">
            <w:pPr>
              <w:rPr>
                <w:sz w:val="20"/>
                <w:szCs w:val="20"/>
              </w:rPr>
            </w:pPr>
            <w:r w:rsidRPr="00007F85">
              <w:rPr>
                <w:rFonts w:cstheme="minorHAnsi"/>
                <w:sz w:val="20"/>
                <w:szCs w:val="20"/>
              </w:rPr>
              <w:t>↓</w:t>
            </w:r>
          </w:p>
        </w:tc>
      </w:tr>
      <w:tr w:rsidR="00843EEC" w14:paraId="2A86402F" w14:textId="77777777" w:rsidTr="00007F85">
        <w:trPr>
          <w:cantSplit/>
        </w:trPr>
        <w:tc>
          <w:tcPr>
            <w:tcW w:w="1361" w:type="dxa"/>
          </w:tcPr>
          <w:p w14:paraId="1FDDC7F4" w14:textId="716CA806" w:rsidR="00843EEC" w:rsidRPr="005436BA" w:rsidRDefault="0049453B" w:rsidP="009A3C63">
            <w:pPr>
              <w:rPr>
                <w:sz w:val="20"/>
                <w:szCs w:val="20"/>
              </w:rPr>
            </w:pPr>
            <w:r>
              <w:rPr>
                <w:sz w:val="20"/>
                <w:szCs w:val="20"/>
              </w:rPr>
              <w:t>Martner 2019</w:t>
            </w:r>
          </w:p>
        </w:tc>
        <w:tc>
          <w:tcPr>
            <w:tcW w:w="871" w:type="dxa"/>
          </w:tcPr>
          <w:p w14:paraId="1A4CAA18" w14:textId="18F7AECE" w:rsidR="00843EEC" w:rsidRDefault="0049453B" w:rsidP="009A3C63">
            <w:pPr>
              <w:rPr>
                <w:sz w:val="20"/>
                <w:szCs w:val="20"/>
              </w:rPr>
            </w:pPr>
            <w:r>
              <w:rPr>
                <w:sz w:val="20"/>
                <w:szCs w:val="20"/>
              </w:rPr>
              <w:t>4 weeks</w:t>
            </w:r>
          </w:p>
        </w:tc>
        <w:tc>
          <w:tcPr>
            <w:tcW w:w="9004" w:type="dxa"/>
          </w:tcPr>
          <w:p w14:paraId="0A261504" w14:textId="4010B176" w:rsidR="00843EEC" w:rsidRPr="005436BA" w:rsidRDefault="0049453B" w:rsidP="0049453B">
            <w:pPr>
              <w:rPr>
                <w:sz w:val="20"/>
                <w:szCs w:val="20"/>
              </w:rPr>
            </w:pPr>
            <w:r>
              <w:rPr>
                <w:sz w:val="20"/>
                <w:szCs w:val="20"/>
              </w:rPr>
              <w:t>Reported for individual participants (n</w:t>
            </w:r>
            <w:r w:rsidR="00A5212F">
              <w:rPr>
                <w:sz w:val="20"/>
                <w:szCs w:val="20"/>
              </w:rPr>
              <w:t xml:space="preserve"> </w:t>
            </w:r>
            <w:r>
              <w:rPr>
                <w:sz w:val="20"/>
                <w:szCs w:val="20"/>
              </w:rPr>
              <w:t>=</w:t>
            </w:r>
            <w:r w:rsidR="00A5212F">
              <w:rPr>
                <w:sz w:val="20"/>
                <w:szCs w:val="20"/>
              </w:rPr>
              <w:t xml:space="preserve"> </w:t>
            </w:r>
            <w:r>
              <w:rPr>
                <w:sz w:val="20"/>
                <w:szCs w:val="20"/>
              </w:rPr>
              <w:t>12), no averages given. “</w:t>
            </w:r>
            <w:r w:rsidRPr="0049453B">
              <w:rPr>
                <w:sz w:val="20"/>
                <w:szCs w:val="20"/>
              </w:rPr>
              <w:t>Followi</w:t>
            </w:r>
            <w:r>
              <w:rPr>
                <w:sz w:val="20"/>
                <w:szCs w:val="20"/>
              </w:rPr>
              <w:t xml:space="preserve">ng baseline, five participants </w:t>
            </w:r>
            <w:r w:rsidRPr="0049453B">
              <w:rPr>
                <w:sz w:val="20"/>
                <w:szCs w:val="20"/>
              </w:rPr>
              <w:t>showed immediate reductions in CO and high levels of E</w:t>
            </w:r>
            <w:r>
              <w:rPr>
                <w:sz w:val="20"/>
                <w:szCs w:val="20"/>
              </w:rPr>
              <w:t xml:space="preserve">C use. Three </w:t>
            </w:r>
            <w:r w:rsidRPr="0049453B">
              <w:rPr>
                <w:sz w:val="20"/>
                <w:szCs w:val="20"/>
              </w:rPr>
              <w:t>showed more gradual reductions in CO and gradual increases in EC use. Two participants showed initial, but brief, reductions in CO and high levels of EC use, and two failed to appreciably reduce CO levels and showed relatively low EC use.”</w:t>
            </w:r>
            <w:r>
              <w:rPr>
                <w:sz w:val="20"/>
                <w:szCs w:val="20"/>
              </w:rPr>
              <w:t xml:space="preserve"> (data for other participants lost or withdrawn)</w:t>
            </w:r>
          </w:p>
        </w:tc>
        <w:tc>
          <w:tcPr>
            <w:tcW w:w="2509" w:type="dxa"/>
          </w:tcPr>
          <w:p w14:paraId="7200FA11" w14:textId="73DB66AA" w:rsidR="00843EEC" w:rsidRPr="005436BA" w:rsidRDefault="0022482D" w:rsidP="009A3C63">
            <w:pPr>
              <w:rPr>
                <w:sz w:val="20"/>
                <w:szCs w:val="20"/>
              </w:rPr>
            </w:pPr>
            <w:r>
              <w:rPr>
                <w:sz w:val="20"/>
                <w:szCs w:val="20"/>
              </w:rPr>
              <w:t>NE</w:t>
            </w:r>
          </w:p>
        </w:tc>
      </w:tr>
      <w:tr w:rsidR="00A94052" w14:paraId="0F614B0F" w14:textId="77777777" w:rsidTr="00007F85">
        <w:trPr>
          <w:cantSplit/>
        </w:trPr>
        <w:tc>
          <w:tcPr>
            <w:tcW w:w="1361" w:type="dxa"/>
          </w:tcPr>
          <w:p w14:paraId="606B703E" w14:textId="51090774" w:rsidR="00A94052" w:rsidRDefault="00A94052" w:rsidP="009A3C63">
            <w:pPr>
              <w:rPr>
                <w:sz w:val="20"/>
                <w:szCs w:val="20"/>
              </w:rPr>
            </w:pPr>
            <w:r>
              <w:rPr>
                <w:sz w:val="20"/>
                <w:szCs w:val="20"/>
              </w:rPr>
              <w:t>McRobbie 2015</w:t>
            </w:r>
          </w:p>
        </w:tc>
        <w:tc>
          <w:tcPr>
            <w:tcW w:w="871" w:type="dxa"/>
          </w:tcPr>
          <w:p w14:paraId="14BDDAE2" w14:textId="50F105F5" w:rsidR="00A94052" w:rsidRDefault="00A94052" w:rsidP="009A3C63">
            <w:pPr>
              <w:rPr>
                <w:sz w:val="20"/>
                <w:szCs w:val="20"/>
              </w:rPr>
            </w:pPr>
            <w:r>
              <w:rPr>
                <w:sz w:val="20"/>
                <w:szCs w:val="20"/>
              </w:rPr>
              <w:t>4 weeks</w:t>
            </w:r>
          </w:p>
        </w:tc>
        <w:tc>
          <w:tcPr>
            <w:tcW w:w="9004" w:type="dxa"/>
          </w:tcPr>
          <w:p w14:paraId="5282DA34" w14:textId="47FEBDE1" w:rsidR="00A94052" w:rsidRDefault="00A94052" w:rsidP="0049453B">
            <w:pPr>
              <w:rPr>
                <w:sz w:val="20"/>
                <w:szCs w:val="20"/>
              </w:rPr>
            </w:pPr>
            <w:r>
              <w:rPr>
                <w:sz w:val="20"/>
                <w:szCs w:val="20"/>
              </w:rPr>
              <w:t>Mean change from baseline in eCO (ppm): -12 (95% CI -16 to -8), n</w:t>
            </w:r>
            <w:r w:rsidR="00A5212F">
              <w:rPr>
                <w:sz w:val="20"/>
                <w:szCs w:val="20"/>
              </w:rPr>
              <w:t xml:space="preserve"> </w:t>
            </w:r>
            <w:r>
              <w:rPr>
                <w:sz w:val="20"/>
                <w:szCs w:val="20"/>
              </w:rPr>
              <w:t>=</w:t>
            </w:r>
            <w:r w:rsidR="00A5212F">
              <w:rPr>
                <w:sz w:val="20"/>
                <w:szCs w:val="20"/>
              </w:rPr>
              <w:t xml:space="preserve"> </w:t>
            </w:r>
            <w:r>
              <w:rPr>
                <w:sz w:val="20"/>
                <w:szCs w:val="20"/>
              </w:rPr>
              <w:t>33. Point estimate for reduction same in abstinent and smoking participants at 4 weeks</w:t>
            </w:r>
          </w:p>
        </w:tc>
        <w:tc>
          <w:tcPr>
            <w:tcW w:w="2509" w:type="dxa"/>
          </w:tcPr>
          <w:p w14:paraId="00F9EF63" w14:textId="5329C49F" w:rsidR="00A94052" w:rsidRPr="005436BA" w:rsidRDefault="00A94052" w:rsidP="009A3C63">
            <w:pPr>
              <w:rPr>
                <w:sz w:val="20"/>
                <w:szCs w:val="20"/>
              </w:rPr>
            </w:pPr>
            <w:r w:rsidRPr="00007F85">
              <w:rPr>
                <w:rFonts w:cstheme="minorHAnsi"/>
                <w:sz w:val="20"/>
                <w:szCs w:val="20"/>
              </w:rPr>
              <w:t>↓</w:t>
            </w:r>
          </w:p>
        </w:tc>
      </w:tr>
      <w:tr w:rsidR="00007F85" w14:paraId="21202B29" w14:textId="77777777" w:rsidTr="00007F85">
        <w:trPr>
          <w:cantSplit/>
        </w:trPr>
        <w:tc>
          <w:tcPr>
            <w:tcW w:w="1361" w:type="dxa"/>
          </w:tcPr>
          <w:p w14:paraId="7D9B5291" w14:textId="0D1ABD55" w:rsidR="00007F85" w:rsidRPr="005436BA" w:rsidRDefault="00007F85" w:rsidP="009A3C63">
            <w:pPr>
              <w:rPr>
                <w:sz w:val="20"/>
                <w:szCs w:val="20"/>
              </w:rPr>
            </w:pPr>
            <w:r>
              <w:rPr>
                <w:sz w:val="20"/>
                <w:szCs w:val="20"/>
              </w:rPr>
              <w:t>Pacifici 2015</w:t>
            </w:r>
          </w:p>
        </w:tc>
        <w:tc>
          <w:tcPr>
            <w:tcW w:w="871" w:type="dxa"/>
          </w:tcPr>
          <w:p w14:paraId="4ABB86D3" w14:textId="581B6B7E" w:rsidR="00007F85" w:rsidRPr="005436BA" w:rsidRDefault="00007F85" w:rsidP="009A3C63">
            <w:pPr>
              <w:rPr>
                <w:sz w:val="20"/>
                <w:szCs w:val="20"/>
              </w:rPr>
            </w:pPr>
            <w:r>
              <w:rPr>
                <w:sz w:val="20"/>
                <w:szCs w:val="20"/>
              </w:rPr>
              <w:t>1, 4, 8 months</w:t>
            </w:r>
          </w:p>
        </w:tc>
        <w:tc>
          <w:tcPr>
            <w:tcW w:w="9004" w:type="dxa"/>
          </w:tcPr>
          <w:p w14:paraId="17303A20" w14:textId="0A43144C" w:rsidR="00007F85" w:rsidRPr="005436BA" w:rsidRDefault="00007F85" w:rsidP="00E50FD3">
            <w:pPr>
              <w:rPr>
                <w:sz w:val="20"/>
                <w:szCs w:val="20"/>
              </w:rPr>
            </w:pPr>
            <w:r w:rsidRPr="00007F85">
              <w:rPr>
                <w:sz w:val="20"/>
                <w:szCs w:val="20"/>
              </w:rPr>
              <w:t>At one month, EC users showed a significant decline in eCO; there was no significant change in non-EC users (people who had opted not to use the EC provided). At four and eight months, exhaled CO had declined in EC and non-EC users.</w:t>
            </w:r>
          </w:p>
        </w:tc>
        <w:tc>
          <w:tcPr>
            <w:tcW w:w="2509" w:type="dxa"/>
          </w:tcPr>
          <w:p w14:paraId="30329F90" w14:textId="7C2B6625" w:rsidR="00007F85" w:rsidRPr="00007F85" w:rsidRDefault="00007F85" w:rsidP="009A3C63">
            <w:pPr>
              <w:rPr>
                <w:sz w:val="20"/>
                <w:szCs w:val="20"/>
              </w:rPr>
            </w:pPr>
            <w:r w:rsidRPr="00007F85">
              <w:rPr>
                <w:rFonts w:cstheme="minorHAnsi"/>
                <w:sz w:val="20"/>
                <w:szCs w:val="20"/>
              </w:rPr>
              <w:t>↓</w:t>
            </w:r>
          </w:p>
        </w:tc>
      </w:tr>
      <w:tr w:rsidR="005436BA" w14:paraId="489A0316" w14:textId="77777777" w:rsidTr="00007F85">
        <w:trPr>
          <w:cantSplit/>
        </w:trPr>
        <w:tc>
          <w:tcPr>
            <w:tcW w:w="1361" w:type="dxa"/>
          </w:tcPr>
          <w:p w14:paraId="7860C2F7" w14:textId="77777777" w:rsidR="005436BA" w:rsidRPr="005436BA" w:rsidRDefault="005436BA" w:rsidP="009A3C63">
            <w:pPr>
              <w:rPr>
                <w:sz w:val="20"/>
                <w:szCs w:val="20"/>
              </w:rPr>
            </w:pPr>
            <w:r w:rsidRPr="005436BA">
              <w:rPr>
                <w:sz w:val="20"/>
                <w:szCs w:val="20"/>
              </w:rPr>
              <w:t>Polosa 2011</w:t>
            </w:r>
          </w:p>
        </w:tc>
        <w:tc>
          <w:tcPr>
            <w:tcW w:w="871" w:type="dxa"/>
          </w:tcPr>
          <w:p w14:paraId="33248521" w14:textId="77777777" w:rsidR="005436BA" w:rsidRPr="005436BA" w:rsidRDefault="005436BA" w:rsidP="009A3C63">
            <w:pPr>
              <w:rPr>
                <w:sz w:val="20"/>
                <w:szCs w:val="20"/>
              </w:rPr>
            </w:pPr>
            <w:r w:rsidRPr="005436BA">
              <w:rPr>
                <w:sz w:val="20"/>
                <w:szCs w:val="20"/>
              </w:rPr>
              <w:t>2 years</w:t>
            </w:r>
          </w:p>
        </w:tc>
        <w:tc>
          <w:tcPr>
            <w:tcW w:w="9004" w:type="dxa"/>
          </w:tcPr>
          <w:p w14:paraId="1B141616" w14:textId="53489036" w:rsidR="005436BA" w:rsidRPr="005436BA" w:rsidRDefault="00007F85" w:rsidP="009A3C63">
            <w:pPr>
              <w:rPr>
                <w:sz w:val="20"/>
                <w:szCs w:val="20"/>
              </w:rPr>
            </w:pPr>
            <w:r>
              <w:rPr>
                <w:sz w:val="20"/>
                <w:szCs w:val="20"/>
              </w:rPr>
              <w:t>S</w:t>
            </w:r>
            <w:r w:rsidRPr="00007F85">
              <w:rPr>
                <w:sz w:val="20"/>
                <w:szCs w:val="20"/>
              </w:rPr>
              <w:t>ignificant reduction in the average</w:t>
            </w:r>
            <w:r w:rsidR="00E50FD3">
              <w:rPr>
                <w:sz w:val="20"/>
                <w:szCs w:val="20"/>
              </w:rPr>
              <w:t xml:space="preserve"> e</w:t>
            </w:r>
            <w:r>
              <w:rPr>
                <w:sz w:val="20"/>
                <w:szCs w:val="20"/>
              </w:rPr>
              <w:t>CO</w:t>
            </w:r>
            <w:r w:rsidRPr="00007F85">
              <w:rPr>
                <w:sz w:val="20"/>
                <w:szCs w:val="20"/>
              </w:rPr>
              <w:t xml:space="preserve"> across the whole cohort of 23.5 to 8 ppm at 24 months (P = 0.011)</w:t>
            </w:r>
          </w:p>
        </w:tc>
        <w:tc>
          <w:tcPr>
            <w:tcW w:w="2509" w:type="dxa"/>
          </w:tcPr>
          <w:p w14:paraId="505ADB40" w14:textId="331B0F42" w:rsidR="005436BA" w:rsidRPr="005436BA" w:rsidRDefault="00007F85" w:rsidP="009A3C63">
            <w:pPr>
              <w:rPr>
                <w:sz w:val="20"/>
                <w:szCs w:val="20"/>
              </w:rPr>
            </w:pPr>
            <w:r w:rsidRPr="00007F85">
              <w:rPr>
                <w:rFonts w:cstheme="minorHAnsi"/>
                <w:sz w:val="20"/>
                <w:szCs w:val="20"/>
              </w:rPr>
              <w:t>↓</w:t>
            </w:r>
          </w:p>
        </w:tc>
      </w:tr>
      <w:tr w:rsidR="005436BA" w14:paraId="629B628E" w14:textId="77777777" w:rsidTr="00007F85">
        <w:trPr>
          <w:cantSplit/>
        </w:trPr>
        <w:tc>
          <w:tcPr>
            <w:tcW w:w="1361" w:type="dxa"/>
          </w:tcPr>
          <w:p w14:paraId="57753EDA" w14:textId="77777777" w:rsidR="005436BA" w:rsidRPr="005436BA" w:rsidRDefault="005436BA" w:rsidP="009A3C63">
            <w:pPr>
              <w:rPr>
                <w:sz w:val="20"/>
                <w:szCs w:val="20"/>
              </w:rPr>
            </w:pPr>
            <w:r w:rsidRPr="005436BA">
              <w:rPr>
                <w:sz w:val="20"/>
                <w:szCs w:val="20"/>
              </w:rPr>
              <w:t>Polosa 2014b</w:t>
            </w:r>
          </w:p>
        </w:tc>
        <w:tc>
          <w:tcPr>
            <w:tcW w:w="871" w:type="dxa"/>
          </w:tcPr>
          <w:p w14:paraId="47F9258F" w14:textId="77777777" w:rsidR="005436BA" w:rsidRPr="005436BA" w:rsidRDefault="005436BA" w:rsidP="009A3C63">
            <w:pPr>
              <w:rPr>
                <w:sz w:val="20"/>
                <w:szCs w:val="20"/>
              </w:rPr>
            </w:pPr>
            <w:r w:rsidRPr="005436BA">
              <w:rPr>
                <w:sz w:val="20"/>
                <w:szCs w:val="20"/>
              </w:rPr>
              <w:t>6 months</w:t>
            </w:r>
          </w:p>
        </w:tc>
        <w:tc>
          <w:tcPr>
            <w:tcW w:w="9004" w:type="dxa"/>
          </w:tcPr>
          <w:p w14:paraId="3C22BC29" w14:textId="12C73F4D" w:rsidR="005436BA" w:rsidRPr="005436BA" w:rsidRDefault="00007F85" w:rsidP="00E50FD3">
            <w:pPr>
              <w:rPr>
                <w:sz w:val="20"/>
                <w:szCs w:val="20"/>
              </w:rPr>
            </w:pPr>
            <w:r>
              <w:rPr>
                <w:sz w:val="20"/>
                <w:szCs w:val="20"/>
              </w:rPr>
              <w:t xml:space="preserve">Measured eCO, </w:t>
            </w:r>
            <w:r w:rsidRPr="00007F85">
              <w:rPr>
                <w:sz w:val="20"/>
                <w:szCs w:val="20"/>
              </w:rPr>
              <w:t>report results graphically by group; at 24 weeks, CO appears to have significantly reduced amongst quitters and people reducing cigarette consumption by at least 50%, and appears to have remained stable in people who continued smoking at least half as many cigarettes as they had at baseline</w:t>
            </w:r>
          </w:p>
        </w:tc>
        <w:tc>
          <w:tcPr>
            <w:tcW w:w="2509" w:type="dxa"/>
          </w:tcPr>
          <w:p w14:paraId="362C89C4" w14:textId="2AD62E58" w:rsidR="005436BA" w:rsidRDefault="00007F85" w:rsidP="009A3C63">
            <w:pPr>
              <w:rPr>
                <w:rFonts w:cstheme="minorHAnsi"/>
                <w:sz w:val="20"/>
                <w:szCs w:val="20"/>
              </w:rPr>
            </w:pPr>
            <w:r w:rsidRPr="00007F85">
              <w:rPr>
                <w:rFonts w:cstheme="minorHAnsi"/>
                <w:sz w:val="20"/>
                <w:szCs w:val="20"/>
              </w:rPr>
              <w:t>↓</w:t>
            </w:r>
            <w:r>
              <w:rPr>
                <w:rFonts w:cstheme="minorHAnsi"/>
                <w:sz w:val="20"/>
                <w:szCs w:val="20"/>
              </w:rPr>
              <w:t xml:space="preserve"> quitters and people reducing cigarette consumption</w:t>
            </w:r>
          </w:p>
          <w:p w14:paraId="1B99493D" w14:textId="3681681C" w:rsidR="00007F85" w:rsidRPr="00007F85" w:rsidRDefault="00007F85" w:rsidP="009A3C63">
            <w:pPr>
              <w:rPr>
                <w:sz w:val="20"/>
                <w:szCs w:val="20"/>
              </w:rPr>
            </w:pPr>
            <w:r w:rsidRPr="00007F85">
              <w:rPr>
                <w:sz w:val="20"/>
                <w:szCs w:val="20"/>
              </w:rPr>
              <w:t>↔</w:t>
            </w:r>
            <w:r>
              <w:rPr>
                <w:sz w:val="20"/>
                <w:szCs w:val="20"/>
              </w:rPr>
              <w:t xml:space="preserve"> people who continued smoking at least half as many cigarettes as they had at baseline</w:t>
            </w:r>
          </w:p>
        </w:tc>
      </w:tr>
      <w:tr w:rsidR="004E6A28" w14:paraId="4FB470A8" w14:textId="77777777" w:rsidTr="00007F85">
        <w:trPr>
          <w:cantSplit/>
        </w:trPr>
        <w:tc>
          <w:tcPr>
            <w:tcW w:w="1361" w:type="dxa"/>
          </w:tcPr>
          <w:p w14:paraId="1DBC609E" w14:textId="5A35201C" w:rsidR="004E6A28" w:rsidRPr="005436BA" w:rsidRDefault="004E6A28" w:rsidP="009A3C63">
            <w:pPr>
              <w:rPr>
                <w:sz w:val="20"/>
                <w:szCs w:val="20"/>
              </w:rPr>
            </w:pPr>
            <w:r>
              <w:rPr>
                <w:sz w:val="20"/>
                <w:szCs w:val="20"/>
              </w:rPr>
              <w:t>Pratt 2016</w:t>
            </w:r>
          </w:p>
        </w:tc>
        <w:tc>
          <w:tcPr>
            <w:tcW w:w="871" w:type="dxa"/>
          </w:tcPr>
          <w:p w14:paraId="5ED358C6" w14:textId="2019D178" w:rsidR="004E6A28" w:rsidRPr="005436BA" w:rsidRDefault="004E6A28" w:rsidP="009A3C63">
            <w:pPr>
              <w:rPr>
                <w:sz w:val="20"/>
                <w:szCs w:val="20"/>
              </w:rPr>
            </w:pPr>
            <w:r>
              <w:rPr>
                <w:sz w:val="20"/>
                <w:szCs w:val="20"/>
              </w:rPr>
              <w:t>4 weeks</w:t>
            </w:r>
          </w:p>
        </w:tc>
        <w:tc>
          <w:tcPr>
            <w:tcW w:w="9004" w:type="dxa"/>
          </w:tcPr>
          <w:p w14:paraId="6D0199CA" w14:textId="6CD2B5C6" w:rsidR="004E6A28" w:rsidRPr="005436BA" w:rsidRDefault="00FD5BF9" w:rsidP="00E50FD3">
            <w:pPr>
              <w:rPr>
                <w:sz w:val="20"/>
                <w:szCs w:val="20"/>
              </w:rPr>
            </w:pPr>
            <w:r>
              <w:rPr>
                <w:sz w:val="20"/>
                <w:szCs w:val="20"/>
              </w:rPr>
              <w:t>Baseline mean eCO 27.27 ppm (n</w:t>
            </w:r>
            <w:r w:rsidR="00A5212F">
              <w:rPr>
                <w:sz w:val="20"/>
                <w:szCs w:val="20"/>
              </w:rPr>
              <w:t xml:space="preserve"> </w:t>
            </w:r>
            <w:r>
              <w:rPr>
                <w:sz w:val="20"/>
                <w:szCs w:val="20"/>
              </w:rPr>
              <w:t>=</w:t>
            </w:r>
            <w:r w:rsidR="00A5212F">
              <w:rPr>
                <w:sz w:val="20"/>
                <w:szCs w:val="20"/>
              </w:rPr>
              <w:t xml:space="preserve"> </w:t>
            </w:r>
            <w:r>
              <w:rPr>
                <w:sz w:val="20"/>
                <w:szCs w:val="20"/>
              </w:rPr>
              <w:t>19, no SD provided). At week 4, mean 15.21 (n</w:t>
            </w:r>
            <w:r w:rsidR="00A5212F">
              <w:rPr>
                <w:sz w:val="20"/>
                <w:szCs w:val="20"/>
              </w:rPr>
              <w:t xml:space="preserve"> </w:t>
            </w:r>
            <w:r>
              <w:rPr>
                <w:sz w:val="20"/>
                <w:szCs w:val="20"/>
              </w:rPr>
              <w:t>=</w:t>
            </w:r>
            <w:r w:rsidR="00A5212F">
              <w:rPr>
                <w:sz w:val="20"/>
                <w:szCs w:val="20"/>
              </w:rPr>
              <w:t xml:space="preserve"> </w:t>
            </w:r>
            <w:r>
              <w:rPr>
                <w:sz w:val="20"/>
                <w:szCs w:val="20"/>
              </w:rPr>
              <w:t>19)</w:t>
            </w:r>
          </w:p>
        </w:tc>
        <w:tc>
          <w:tcPr>
            <w:tcW w:w="2509" w:type="dxa"/>
          </w:tcPr>
          <w:p w14:paraId="7175CFDE" w14:textId="185D6B2D" w:rsidR="004E6A28" w:rsidRPr="005436BA" w:rsidRDefault="00FD5BF9" w:rsidP="009A3C63">
            <w:pPr>
              <w:rPr>
                <w:rFonts w:cstheme="minorHAnsi"/>
                <w:sz w:val="20"/>
                <w:szCs w:val="20"/>
              </w:rPr>
            </w:pPr>
            <w:r w:rsidRPr="00007F85">
              <w:rPr>
                <w:rFonts w:cstheme="minorHAnsi"/>
                <w:sz w:val="20"/>
                <w:szCs w:val="20"/>
              </w:rPr>
              <w:t>↓</w:t>
            </w:r>
          </w:p>
        </w:tc>
      </w:tr>
      <w:tr w:rsidR="00A66986" w14:paraId="1DEC4FA5" w14:textId="77777777" w:rsidTr="00007F85">
        <w:trPr>
          <w:cantSplit/>
        </w:trPr>
        <w:tc>
          <w:tcPr>
            <w:tcW w:w="1361" w:type="dxa"/>
          </w:tcPr>
          <w:p w14:paraId="535B322A" w14:textId="076743A6" w:rsidR="00A66986" w:rsidRDefault="00A66986" w:rsidP="009A3C63">
            <w:pPr>
              <w:rPr>
                <w:sz w:val="20"/>
                <w:szCs w:val="20"/>
              </w:rPr>
            </w:pPr>
            <w:r>
              <w:rPr>
                <w:sz w:val="20"/>
                <w:szCs w:val="20"/>
              </w:rPr>
              <w:t>Pulvers 2018</w:t>
            </w:r>
          </w:p>
        </w:tc>
        <w:tc>
          <w:tcPr>
            <w:tcW w:w="871" w:type="dxa"/>
          </w:tcPr>
          <w:p w14:paraId="6CA04F65" w14:textId="39E0E3A9" w:rsidR="00A66986" w:rsidRDefault="00A66986" w:rsidP="009A3C63">
            <w:pPr>
              <w:rPr>
                <w:sz w:val="20"/>
                <w:szCs w:val="20"/>
              </w:rPr>
            </w:pPr>
            <w:r>
              <w:rPr>
                <w:sz w:val="20"/>
                <w:szCs w:val="20"/>
              </w:rPr>
              <w:t>4 weeks</w:t>
            </w:r>
          </w:p>
        </w:tc>
        <w:tc>
          <w:tcPr>
            <w:tcW w:w="9004" w:type="dxa"/>
          </w:tcPr>
          <w:p w14:paraId="5D12C33C" w14:textId="1D69801D" w:rsidR="00A66986" w:rsidRDefault="00A66986" w:rsidP="00635270">
            <w:pPr>
              <w:rPr>
                <w:sz w:val="20"/>
                <w:szCs w:val="20"/>
              </w:rPr>
            </w:pPr>
            <w:r w:rsidRPr="00A66986">
              <w:rPr>
                <w:sz w:val="20"/>
                <w:szCs w:val="20"/>
              </w:rPr>
              <w:t xml:space="preserve">Significant change in </w:t>
            </w:r>
            <w:r w:rsidR="00E50FD3">
              <w:rPr>
                <w:sz w:val="20"/>
                <w:szCs w:val="20"/>
              </w:rPr>
              <w:t>e</w:t>
            </w:r>
            <w:r w:rsidRPr="00A66986">
              <w:rPr>
                <w:sz w:val="20"/>
                <w:szCs w:val="20"/>
              </w:rPr>
              <w:t>CO (</w:t>
            </w:r>
            <w:r w:rsidR="00635270">
              <w:rPr>
                <w:sz w:val="20"/>
                <w:szCs w:val="20"/>
              </w:rPr>
              <w:t>P</w:t>
            </w:r>
            <w:r w:rsidRPr="00A66986">
              <w:rPr>
                <w:sz w:val="20"/>
                <w:szCs w:val="20"/>
              </w:rPr>
              <w:t xml:space="preserve"> &lt;</w:t>
            </w:r>
            <w:r w:rsidR="00635270">
              <w:rPr>
                <w:sz w:val="20"/>
                <w:szCs w:val="20"/>
              </w:rPr>
              <w:t xml:space="preserve"> 0</w:t>
            </w:r>
            <w:r w:rsidRPr="00A66986">
              <w:rPr>
                <w:sz w:val="20"/>
                <w:szCs w:val="20"/>
              </w:rPr>
              <w:t>.001)</w:t>
            </w:r>
            <w:r>
              <w:rPr>
                <w:sz w:val="20"/>
                <w:szCs w:val="20"/>
              </w:rPr>
              <w:t>. Baseline mean 14.3 ppm, SD 12.7, n= 40. 4 weeks: mean 8.9, SD 8.35, n</w:t>
            </w:r>
            <w:r w:rsidR="00A5212F">
              <w:rPr>
                <w:sz w:val="20"/>
                <w:szCs w:val="20"/>
              </w:rPr>
              <w:t xml:space="preserve"> </w:t>
            </w:r>
            <w:r>
              <w:rPr>
                <w:sz w:val="20"/>
                <w:szCs w:val="20"/>
              </w:rPr>
              <w:t>=</w:t>
            </w:r>
            <w:r w:rsidR="00A5212F">
              <w:rPr>
                <w:sz w:val="20"/>
                <w:szCs w:val="20"/>
              </w:rPr>
              <w:t xml:space="preserve"> </w:t>
            </w:r>
            <w:r>
              <w:rPr>
                <w:sz w:val="20"/>
                <w:szCs w:val="20"/>
              </w:rPr>
              <w:t>40.</w:t>
            </w:r>
          </w:p>
        </w:tc>
        <w:tc>
          <w:tcPr>
            <w:tcW w:w="2509" w:type="dxa"/>
          </w:tcPr>
          <w:p w14:paraId="33D8C437" w14:textId="0BFED9A8" w:rsidR="00A66986" w:rsidRPr="00007F85" w:rsidRDefault="00A66986" w:rsidP="009A3C63">
            <w:pPr>
              <w:rPr>
                <w:rFonts w:cstheme="minorHAnsi"/>
                <w:sz w:val="20"/>
                <w:szCs w:val="20"/>
              </w:rPr>
            </w:pPr>
            <w:r w:rsidRPr="00007F85">
              <w:rPr>
                <w:rFonts w:cstheme="minorHAnsi"/>
                <w:sz w:val="20"/>
                <w:szCs w:val="20"/>
              </w:rPr>
              <w:t>↓</w:t>
            </w:r>
          </w:p>
        </w:tc>
      </w:tr>
      <w:tr w:rsidR="00301F58" w14:paraId="36C1B5CC" w14:textId="77777777" w:rsidTr="00007F85">
        <w:trPr>
          <w:cantSplit/>
        </w:trPr>
        <w:tc>
          <w:tcPr>
            <w:tcW w:w="1361" w:type="dxa"/>
          </w:tcPr>
          <w:p w14:paraId="2CC04E8A" w14:textId="5C6F63A2" w:rsidR="00301F58" w:rsidRDefault="00301F58" w:rsidP="00301F58">
            <w:pPr>
              <w:rPr>
                <w:sz w:val="20"/>
                <w:szCs w:val="20"/>
              </w:rPr>
            </w:pPr>
            <w:r>
              <w:rPr>
                <w:sz w:val="20"/>
                <w:szCs w:val="20"/>
              </w:rPr>
              <w:t>Scheiben 2020</w:t>
            </w:r>
          </w:p>
        </w:tc>
        <w:tc>
          <w:tcPr>
            <w:tcW w:w="871" w:type="dxa"/>
          </w:tcPr>
          <w:p w14:paraId="6891D6B4" w14:textId="384E2C26" w:rsidR="00301F58" w:rsidRDefault="00301F58" w:rsidP="00301F58">
            <w:pPr>
              <w:rPr>
                <w:sz w:val="20"/>
                <w:szCs w:val="20"/>
              </w:rPr>
            </w:pPr>
            <w:r>
              <w:rPr>
                <w:sz w:val="20"/>
                <w:szCs w:val="20"/>
              </w:rPr>
              <w:t>4, 8, 12 weeks</w:t>
            </w:r>
          </w:p>
        </w:tc>
        <w:tc>
          <w:tcPr>
            <w:tcW w:w="9004" w:type="dxa"/>
          </w:tcPr>
          <w:p w14:paraId="2A006FAB" w14:textId="6686CD63" w:rsidR="00301F58" w:rsidRDefault="00301F58" w:rsidP="00301F58">
            <w:pPr>
              <w:rPr>
                <w:sz w:val="20"/>
                <w:szCs w:val="20"/>
              </w:rPr>
            </w:pPr>
            <w:r>
              <w:rPr>
                <w:sz w:val="20"/>
                <w:szCs w:val="20"/>
              </w:rPr>
              <w:t>Week 1 (baseline): 21.89 (14.41) ppm, n</w:t>
            </w:r>
            <w:r w:rsidR="00A5212F">
              <w:rPr>
                <w:sz w:val="20"/>
                <w:szCs w:val="20"/>
              </w:rPr>
              <w:t xml:space="preserve"> </w:t>
            </w:r>
            <w:r>
              <w:rPr>
                <w:sz w:val="20"/>
                <w:szCs w:val="20"/>
              </w:rPr>
              <w:t>=</w:t>
            </w:r>
            <w:r w:rsidR="00A5212F">
              <w:rPr>
                <w:sz w:val="20"/>
                <w:szCs w:val="20"/>
              </w:rPr>
              <w:t xml:space="preserve"> </w:t>
            </w:r>
            <w:r>
              <w:rPr>
                <w:sz w:val="20"/>
                <w:szCs w:val="20"/>
              </w:rPr>
              <w:t>23</w:t>
            </w:r>
          </w:p>
          <w:p w14:paraId="6DC8BFFF" w14:textId="0AB73DBE" w:rsidR="00301F58" w:rsidRDefault="00301F58" w:rsidP="00301F58">
            <w:pPr>
              <w:rPr>
                <w:sz w:val="20"/>
                <w:szCs w:val="20"/>
              </w:rPr>
            </w:pPr>
            <w:r>
              <w:rPr>
                <w:sz w:val="20"/>
                <w:szCs w:val="20"/>
              </w:rPr>
              <w:t>Week 4: 13.78 (8.76) ppm, n</w:t>
            </w:r>
            <w:r w:rsidR="00A5212F">
              <w:rPr>
                <w:sz w:val="20"/>
                <w:szCs w:val="20"/>
              </w:rPr>
              <w:t xml:space="preserve"> </w:t>
            </w:r>
            <w:r>
              <w:rPr>
                <w:sz w:val="20"/>
                <w:szCs w:val="20"/>
              </w:rPr>
              <w:t>=</w:t>
            </w:r>
            <w:r w:rsidR="00A5212F">
              <w:rPr>
                <w:sz w:val="20"/>
                <w:szCs w:val="20"/>
              </w:rPr>
              <w:t xml:space="preserve"> </w:t>
            </w:r>
            <w:r>
              <w:rPr>
                <w:sz w:val="20"/>
                <w:szCs w:val="20"/>
              </w:rPr>
              <w:t>17</w:t>
            </w:r>
          </w:p>
          <w:p w14:paraId="497A816A" w14:textId="4917D199" w:rsidR="00301F58" w:rsidRDefault="00301F58" w:rsidP="00301F58">
            <w:pPr>
              <w:rPr>
                <w:sz w:val="20"/>
                <w:szCs w:val="20"/>
              </w:rPr>
            </w:pPr>
            <w:r>
              <w:rPr>
                <w:sz w:val="20"/>
                <w:szCs w:val="20"/>
              </w:rPr>
              <w:t>Week 8: 15.78 (7.41) ppm, n</w:t>
            </w:r>
            <w:r w:rsidR="00A5212F">
              <w:rPr>
                <w:sz w:val="20"/>
                <w:szCs w:val="20"/>
              </w:rPr>
              <w:t xml:space="preserve"> </w:t>
            </w:r>
            <w:r>
              <w:rPr>
                <w:sz w:val="20"/>
                <w:szCs w:val="20"/>
              </w:rPr>
              <w:t>=</w:t>
            </w:r>
            <w:r w:rsidR="00A5212F">
              <w:rPr>
                <w:sz w:val="20"/>
                <w:szCs w:val="20"/>
              </w:rPr>
              <w:t xml:space="preserve"> </w:t>
            </w:r>
            <w:r>
              <w:rPr>
                <w:sz w:val="20"/>
                <w:szCs w:val="20"/>
              </w:rPr>
              <w:t>12</w:t>
            </w:r>
          </w:p>
          <w:p w14:paraId="3DE697AD" w14:textId="2C871D5A" w:rsidR="00301F58" w:rsidRPr="00A66986" w:rsidRDefault="00301F58" w:rsidP="00301F58">
            <w:pPr>
              <w:rPr>
                <w:sz w:val="20"/>
                <w:szCs w:val="20"/>
              </w:rPr>
            </w:pPr>
            <w:r>
              <w:rPr>
                <w:sz w:val="20"/>
                <w:szCs w:val="20"/>
              </w:rPr>
              <w:t>Week 12: 15.56 (10.29) ppm, n</w:t>
            </w:r>
            <w:r w:rsidR="00A5212F">
              <w:rPr>
                <w:sz w:val="20"/>
                <w:szCs w:val="20"/>
              </w:rPr>
              <w:t xml:space="preserve"> </w:t>
            </w:r>
            <w:r>
              <w:rPr>
                <w:sz w:val="20"/>
                <w:szCs w:val="20"/>
              </w:rPr>
              <w:t>=</w:t>
            </w:r>
            <w:r w:rsidR="00A5212F">
              <w:rPr>
                <w:sz w:val="20"/>
                <w:szCs w:val="20"/>
              </w:rPr>
              <w:t xml:space="preserve"> </w:t>
            </w:r>
            <w:r>
              <w:rPr>
                <w:sz w:val="20"/>
                <w:szCs w:val="20"/>
              </w:rPr>
              <w:t>9</w:t>
            </w:r>
          </w:p>
        </w:tc>
        <w:tc>
          <w:tcPr>
            <w:tcW w:w="2509" w:type="dxa"/>
          </w:tcPr>
          <w:p w14:paraId="52558AFC" w14:textId="176C1933" w:rsidR="00301F58" w:rsidRPr="00007F85" w:rsidRDefault="00301F58" w:rsidP="00301F58">
            <w:pPr>
              <w:rPr>
                <w:rFonts w:cstheme="minorHAnsi"/>
                <w:sz w:val="20"/>
                <w:szCs w:val="20"/>
              </w:rPr>
            </w:pPr>
            <w:r w:rsidRPr="00007F85">
              <w:rPr>
                <w:rFonts w:cstheme="minorHAnsi"/>
                <w:sz w:val="20"/>
                <w:szCs w:val="20"/>
              </w:rPr>
              <w:t>↓</w:t>
            </w:r>
          </w:p>
        </w:tc>
      </w:tr>
      <w:tr w:rsidR="00A66986" w14:paraId="757DC579" w14:textId="77777777" w:rsidTr="00007F85">
        <w:trPr>
          <w:cantSplit/>
        </w:trPr>
        <w:tc>
          <w:tcPr>
            <w:tcW w:w="1361" w:type="dxa"/>
          </w:tcPr>
          <w:p w14:paraId="0BFFC525" w14:textId="560E5680" w:rsidR="00A66986" w:rsidRDefault="00A66986" w:rsidP="009A3C63">
            <w:pPr>
              <w:rPr>
                <w:sz w:val="20"/>
                <w:szCs w:val="20"/>
              </w:rPr>
            </w:pPr>
            <w:r>
              <w:rPr>
                <w:sz w:val="20"/>
                <w:szCs w:val="20"/>
              </w:rPr>
              <w:t>Smith 2019</w:t>
            </w:r>
          </w:p>
        </w:tc>
        <w:tc>
          <w:tcPr>
            <w:tcW w:w="871" w:type="dxa"/>
          </w:tcPr>
          <w:p w14:paraId="6E3ACAE5" w14:textId="0C4443F9" w:rsidR="00A66986" w:rsidRDefault="00A66986" w:rsidP="009A3C63">
            <w:pPr>
              <w:rPr>
                <w:sz w:val="20"/>
                <w:szCs w:val="20"/>
              </w:rPr>
            </w:pPr>
            <w:r>
              <w:rPr>
                <w:sz w:val="20"/>
                <w:szCs w:val="20"/>
              </w:rPr>
              <w:t>1 week</w:t>
            </w:r>
          </w:p>
        </w:tc>
        <w:tc>
          <w:tcPr>
            <w:tcW w:w="9004" w:type="dxa"/>
          </w:tcPr>
          <w:p w14:paraId="6086A4B5" w14:textId="73648DF5" w:rsidR="00A66986" w:rsidRPr="00A66986" w:rsidRDefault="00A66986" w:rsidP="001B3056">
            <w:pPr>
              <w:rPr>
                <w:sz w:val="20"/>
                <w:szCs w:val="20"/>
              </w:rPr>
            </w:pPr>
            <w:r>
              <w:rPr>
                <w:sz w:val="20"/>
                <w:szCs w:val="20"/>
              </w:rPr>
              <w:t xml:space="preserve">Study arms varied by PG/VG ratio. Reduced </w:t>
            </w:r>
            <w:r w:rsidR="00E50FD3">
              <w:rPr>
                <w:sz w:val="20"/>
                <w:szCs w:val="20"/>
              </w:rPr>
              <w:t>e</w:t>
            </w:r>
            <w:r>
              <w:rPr>
                <w:sz w:val="20"/>
                <w:szCs w:val="20"/>
              </w:rPr>
              <w:t>CO in all groups. Combined mean: baseline 33.1 (SD 18.3), n =</w:t>
            </w:r>
            <w:r w:rsidR="00635270">
              <w:rPr>
                <w:sz w:val="20"/>
                <w:szCs w:val="20"/>
              </w:rPr>
              <w:t xml:space="preserve"> </w:t>
            </w:r>
            <w:r>
              <w:rPr>
                <w:sz w:val="20"/>
                <w:szCs w:val="20"/>
              </w:rPr>
              <w:t>30; 1 week 26.5 (SD 16.1), n = 28)</w:t>
            </w:r>
          </w:p>
        </w:tc>
        <w:tc>
          <w:tcPr>
            <w:tcW w:w="2509" w:type="dxa"/>
          </w:tcPr>
          <w:p w14:paraId="286994CA" w14:textId="1A515DDE" w:rsidR="00A66986" w:rsidRPr="00007F85" w:rsidRDefault="00A66986" w:rsidP="009A3C63">
            <w:pPr>
              <w:rPr>
                <w:rFonts w:cstheme="minorHAnsi"/>
                <w:sz w:val="20"/>
                <w:szCs w:val="20"/>
              </w:rPr>
            </w:pPr>
            <w:r w:rsidRPr="00007F85">
              <w:rPr>
                <w:rFonts w:cstheme="minorHAnsi"/>
                <w:sz w:val="20"/>
                <w:szCs w:val="20"/>
              </w:rPr>
              <w:t>↓</w:t>
            </w:r>
          </w:p>
        </w:tc>
      </w:tr>
      <w:tr w:rsidR="00674B02" w14:paraId="06EE7A60" w14:textId="77777777" w:rsidTr="00007F85">
        <w:trPr>
          <w:cantSplit/>
        </w:trPr>
        <w:tc>
          <w:tcPr>
            <w:tcW w:w="1361" w:type="dxa"/>
          </w:tcPr>
          <w:p w14:paraId="06D84995" w14:textId="6FBD4AAE" w:rsidR="00674B02" w:rsidRDefault="00674B02" w:rsidP="009A3C63">
            <w:pPr>
              <w:rPr>
                <w:sz w:val="20"/>
                <w:szCs w:val="20"/>
              </w:rPr>
            </w:pPr>
            <w:r>
              <w:rPr>
                <w:sz w:val="20"/>
                <w:szCs w:val="20"/>
              </w:rPr>
              <w:t>Strasser 2016</w:t>
            </w:r>
          </w:p>
        </w:tc>
        <w:tc>
          <w:tcPr>
            <w:tcW w:w="871" w:type="dxa"/>
          </w:tcPr>
          <w:p w14:paraId="328B9B4B" w14:textId="4D7CC326" w:rsidR="00674B02" w:rsidRDefault="00674B02" w:rsidP="009A3C63">
            <w:pPr>
              <w:rPr>
                <w:sz w:val="20"/>
                <w:szCs w:val="20"/>
              </w:rPr>
            </w:pPr>
            <w:r>
              <w:rPr>
                <w:sz w:val="20"/>
                <w:szCs w:val="20"/>
              </w:rPr>
              <w:t>10 days</w:t>
            </w:r>
          </w:p>
        </w:tc>
        <w:tc>
          <w:tcPr>
            <w:tcW w:w="9004" w:type="dxa"/>
          </w:tcPr>
          <w:p w14:paraId="30D14EA2" w14:textId="101A61B4" w:rsidR="00674B02" w:rsidRDefault="00674B02" w:rsidP="001B3056">
            <w:pPr>
              <w:rPr>
                <w:sz w:val="20"/>
                <w:szCs w:val="20"/>
              </w:rPr>
            </w:pPr>
            <w:r>
              <w:rPr>
                <w:sz w:val="20"/>
                <w:szCs w:val="20"/>
              </w:rPr>
              <w:t xml:space="preserve">Randomized to 4 different brands of EC (similar nicotine content). </w:t>
            </w:r>
            <w:r w:rsidR="00E50FD3">
              <w:rPr>
                <w:sz w:val="20"/>
                <w:szCs w:val="20"/>
              </w:rPr>
              <w:t>e</w:t>
            </w:r>
            <w:r>
              <w:rPr>
                <w:sz w:val="20"/>
                <w:szCs w:val="20"/>
              </w:rPr>
              <w:t>CO reductions in all arms. Blu: Baseline mean 19.2 (SD 9.8, n</w:t>
            </w:r>
            <w:r w:rsidR="00A5212F">
              <w:rPr>
                <w:sz w:val="20"/>
                <w:szCs w:val="20"/>
              </w:rPr>
              <w:t xml:space="preserve"> </w:t>
            </w:r>
            <w:r>
              <w:rPr>
                <w:sz w:val="20"/>
                <w:szCs w:val="20"/>
              </w:rPr>
              <w:t>=</w:t>
            </w:r>
            <w:r w:rsidR="00A5212F">
              <w:rPr>
                <w:sz w:val="20"/>
                <w:szCs w:val="20"/>
              </w:rPr>
              <w:t xml:space="preserve"> </w:t>
            </w:r>
            <w:r>
              <w:rPr>
                <w:sz w:val="20"/>
                <w:szCs w:val="20"/>
              </w:rPr>
              <w:t>6), day 10 mean 3.2 (2.2, n = 5)). Green smoke: Baseline 21.6 (8.8, n</w:t>
            </w:r>
            <w:r w:rsidR="00A5212F">
              <w:rPr>
                <w:sz w:val="20"/>
                <w:szCs w:val="20"/>
              </w:rPr>
              <w:t xml:space="preserve"> </w:t>
            </w:r>
            <w:r>
              <w:rPr>
                <w:sz w:val="20"/>
                <w:szCs w:val="20"/>
              </w:rPr>
              <w:t>=</w:t>
            </w:r>
            <w:r w:rsidR="00A5212F">
              <w:rPr>
                <w:sz w:val="20"/>
                <w:szCs w:val="20"/>
              </w:rPr>
              <w:t xml:space="preserve"> </w:t>
            </w:r>
            <w:r>
              <w:rPr>
                <w:sz w:val="20"/>
                <w:szCs w:val="20"/>
              </w:rPr>
              <w:t>6), day 10 mean 4.0 (3.4, n</w:t>
            </w:r>
            <w:r w:rsidR="00A5212F">
              <w:rPr>
                <w:sz w:val="20"/>
                <w:szCs w:val="20"/>
              </w:rPr>
              <w:t xml:space="preserve"> </w:t>
            </w:r>
            <w:r>
              <w:rPr>
                <w:sz w:val="20"/>
                <w:szCs w:val="20"/>
              </w:rPr>
              <w:t>=</w:t>
            </w:r>
            <w:r w:rsidR="00A5212F">
              <w:rPr>
                <w:sz w:val="20"/>
                <w:szCs w:val="20"/>
              </w:rPr>
              <w:t xml:space="preserve"> </w:t>
            </w:r>
            <w:r>
              <w:rPr>
                <w:sz w:val="20"/>
                <w:szCs w:val="20"/>
              </w:rPr>
              <w:t>5). V2: baseline mean 22.0 (8.1, n</w:t>
            </w:r>
            <w:r w:rsidR="00A5212F">
              <w:rPr>
                <w:sz w:val="20"/>
                <w:szCs w:val="20"/>
              </w:rPr>
              <w:t xml:space="preserve"> </w:t>
            </w:r>
            <w:r>
              <w:rPr>
                <w:sz w:val="20"/>
                <w:szCs w:val="20"/>
              </w:rPr>
              <w:t>=</w:t>
            </w:r>
            <w:r w:rsidR="00A5212F">
              <w:rPr>
                <w:sz w:val="20"/>
                <w:szCs w:val="20"/>
              </w:rPr>
              <w:t xml:space="preserve"> </w:t>
            </w:r>
            <w:r>
              <w:rPr>
                <w:sz w:val="20"/>
                <w:szCs w:val="20"/>
              </w:rPr>
              <w:t>6), day 10 mean 4.8 (3.5, n</w:t>
            </w:r>
            <w:r w:rsidR="00A5212F">
              <w:rPr>
                <w:sz w:val="20"/>
                <w:szCs w:val="20"/>
              </w:rPr>
              <w:t xml:space="preserve"> </w:t>
            </w:r>
            <w:r>
              <w:rPr>
                <w:sz w:val="20"/>
                <w:szCs w:val="20"/>
              </w:rPr>
              <w:t>=</w:t>
            </w:r>
            <w:r w:rsidR="00A5212F">
              <w:rPr>
                <w:sz w:val="20"/>
                <w:szCs w:val="20"/>
              </w:rPr>
              <w:t xml:space="preserve"> </w:t>
            </w:r>
            <w:r>
              <w:rPr>
                <w:sz w:val="20"/>
                <w:szCs w:val="20"/>
              </w:rPr>
              <w:t>5). White cloud: baseline mean 15.5 (3.5, n</w:t>
            </w:r>
            <w:r w:rsidR="00A5212F">
              <w:rPr>
                <w:sz w:val="20"/>
                <w:szCs w:val="20"/>
              </w:rPr>
              <w:t xml:space="preserve"> </w:t>
            </w:r>
            <w:r>
              <w:rPr>
                <w:sz w:val="20"/>
                <w:szCs w:val="20"/>
              </w:rPr>
              <w:t>=</w:t>
            </w:r>
            <w:r w:rsidR="00A5212F">
              <w:rPr>
                <w:sz w:val="20"/>
                <w:szCs w:val="20"/>
              </w:rPr>
              <w:t xml:space="preserve"> </w:t>
            </w:r>
            <w:r>
              <w:rPr>
                <w:sz w:val="20"/>
                <w:szCs w:val="20"/>
              </w:rPr>
              <w:t>6); day 10 mean 1.5 (0.7, n</w:t>
            </w:r>
            <w:r w:rsidR="00A5212F">
              <w:rPr>
                <w:sz w:val="20"/>
                <w:szCs w:val="20"/>
              </w:rPr>
              <w:t xml:space="preserve"> </w:t>
            </w:r>
            <w:r>
              <w:rPr>
                <w:sz w:val="20"/>
                <w:szCs w:val="20"/>
              </w:rPr>
              <w:t>=</w:t>
            </w:r>
            <w:r w:rsidR="00A5212F">
              <w:rPr>
                <w:sz w:val="20"/>
                <w:szCs w:val="20"/>
              </w:rPr>
              <w:t xml:space="preserve"> </w:t>
            </w:r>
            <w:r>
              <w:rPr>
                <w:sz w:val="20"/>
                <w:szCs w:val="20"/>
              </w:rPr>
              <w:t>2)</w:t>
            </w:r>
          </w:p>
        </w:tc>
        <w:tc>
          <w:tcPr>
            <w:tcW w:w="2509" w:type="dxa"/>
          </w:tcPr>
          <w:p w14:paraId="68C27424" w14:textId="2EADD3C3" w:rsidR="00674B02" w:rsidRPr="00007F85" w:rsidRDefault="00674B02" w:rsidP="009A3C63">
            <w:pPr>
              <w:rPr>
                <w:rFonts w:cstheme="minorHAnsi"/>
                <w:sz w:val="20"/>
                <w:szCs w:val="20"/>
              </w:rPr>
            </w:pPr>
            <w:r w:rsidRPr="00007F85">
              <w:rPr>
                <w:rFonts w:cstheme="minorHAnsi"/>
                <w:sz w:val="20"/>
                <w:szCs w:val="20"/>
              </w:rPr>
              <w:t>↓</w:t>
            </w:r>
          </w:p>
        </w:tc>
      </w:tr>
      <w:tr w:rsidR="001B3056" w14:paraId="25AFE3E3" w14:textId="77777777" w:rsidTr="00007F85">
        <w:trPr>
          <w:cantSplit/>
        </w:trPr>
        <w:tc>
          <w:tcPr>
            <w:tcW w:w="1361" w:type="dxa"/>
          </w:tcPr>
          <w:p w14:paraId="17F23DB0" w14:textId="68AC09BF" w:rsidR="001B3056" w:rsidRDefault="00DF0111" w:rsidP="009A3C63">
            <w:pPr>
              <w:rPr>
                <w:sz w:val="20"/>
                <w:szCs w:val="20"/>
              </w:rPr>
            </w:pPr>
            <w:r>
              <w:rPr>
                <w:sz w:val="20"/>
                <w:szCs w:val="20"/>
              </w:rPr>
              <w:t>Valentine 2018</w:t>
            </w:r>
          </w:p>
        </w:tc>
        <w:tc>
          <w:tcPr>
            <w:tcW w:w="871" w:type="dxa"/>
          </w:tcPr>
          <w:p w14:paraId="43354029" w14:textId="05F6E1A5" w:rsidR="001B3056" w:rsidRDefault="00DF0111" w:rsidP="009A3C63">
            <w:pPr>
              <w:rPr>
                <w:sz w:val="20"/>
                <w:szCs w:val="20"/>
              </w:rPr>
            </w:pPr>
            <w:r>
              <w:rPr>
                <w:sz w:val="20"/>
                <w:szCs w:val="20"/>
              </w:rPr>
              <w:t>8 weeks</w:t>
            </w:r>
          </w:p>
        </w:tc>
        <w:tc>
          <w:tcPr>
            <w:tcW w:w="9004" w:type="dxa"/>
          </w:tcPr>
          <w:p w14:paraId="6CEB39B6" w14:textId="63887362" w:rsidR="001B3056" w:rsidRDefault="00DF0111" w:rsidP="001B3056">
            <w:pPr>
              <w:rPr>
                <w:sz w:val="20"/>
                <w:szCs w:val="20"/>
              </w:rPr>
            </w:pPr>
            <w:r>
              <w:rPr>
                <w:sz w:val="20"/>
                <w:szCs w:val="20"/>
              </w:rPr>
              <w:t>Data provided in figures only, estimated baseline mean eCO (ppm) 9.3, SD 7.1, n</w:t>
            </w:r>
            <w:r w:rsidR="00635270">
              <w:rPr>
                <w:sz w:val="20"/>
                <w:szCs w:val="20"/>
              </w:rPr>
              <w:t xml:space="preserve"> </w:t>
            </w:r>
            <w:r>
              <w:rPr>
                <w:sz w:val="20"/>
                <w:szCs w:val="20"/>
              </w:rPr>
              <w:t>=</w:t>
            </w:r>
            <w:r w:rsidR="00635270">
              <w:rPr>
                <w:sz w:val="20"/>
                <w:szCs w:val="20"/>
              </w:rPr>
              <w:t xml:space="preserve"> </w:t>
            </w:r>
            <w:r>
              <w:rPr>
                <w:sz w:val="20"/>
                <w:szCs w:val="20"/>
              </w:rPr>
              <w:t>50. 8 weeks: 8.5, 95% CI 7.1 to 9.9, n = 31</w:t>
            </w:r>
          </w:p>
        </w:tc>
        <w:tc>
          <w:tcPr>
            <w:tcW w:w="2509" w:type="dxa"/>
          </w:tcPr>
          <w:p w14:paraId="1711ECA3" w14:textId="543D9DC7" w:rsidR="001B3056" w:rsidRPr="005436BA" w:rsidRDefault="00DF0111" w:rsidP="009A3C63">
            <w:pPr>
              <w:rPr>
                <w:rFonts w:cstheme="minorHAnsi"/>
                <w:sz w:val="20"/>
                <w:szCs w:val="20"/>
              </w:rPr>
            </w:pPr>
            <w:r w:rsidRPr="00007F85">
              <w:rPr>
                <w:rFonts w:cstheme="minorHAnsi"/>
                <w:sz w:val="20"/>
                <w:szCs w:val="20"/>
              </w:rPr>
              <w:t>↓</w:t>
            </w:r>
          </w:p>
        </w:tc>
      </w:tr>
      <w:tr w:rsidR="005436BA" w14:paraId="70911183" w14:textId="77777777" w:rsidTr="00007F85">
        <w:trPr>
          <w:cantSplit/>
        </w:trPr>
        <w:tc>
          <w:tcPr>
            <w:tcW w:w="1361" w:type="dxa"/>
          </w:tcPr>
          <w:p w14:paraId="7E20C0AB" w14:textId="77777777" w:rsidR="005436BA" w:rsidRPr="005436BA" w:rsidRDefault="005436BA" w:rsidP="009A3C63">
            <w:pPr>
              <w:rPr>
                <w:sz w:val="20"/>
                <w:szCs w:val="20"/>
              </w:rPr>
            </w:pPr>
            <w:r w:rsidRPr="005436BA">
              <w:rPr>
                <w:sz w:val="20"/>
                <w:szCs w:val="20"/>
              </w:rPr>
              <w:t>Van Staden 2013</w:t>
            </w:r>
          </w:p>
        </w:tc>
        <w:tc>
          <w:tcPr>
            <w:tcW w:w="871" w:type="dxa"/>
          </w:tcPr>
          <w:p w14:paraId="498C4D37" w14:textId="77777777" w:rsidR="005436BA" w:rsidRPr="005436BA" w:rsidRDefault="005436BA" w:rsidP="009A3C63">
            <w:pPr>
              <w:rPr>
                <w:sz w:val="20"/>
                <w:szCs w:val="20"/>
              </w:rPr>
            </w:pPr>
            <w:r w:rsidRPr="005436BA">
              <w:rPr>
                <w:sz w:val="20"/>
                <w:szCs w:val="20"/>
              </w:rPr>
              <w:t>2 weeks</w:t>
            </w:r>
          </w:p>
        </w:tc>
        <w:tc>
          <w:tcPr>
            <w:tcW w:w="9004" w:type="dxa"/>
          </w:tcPr>
          <w:p w14:paraId="267B22CE" w14:textId="31110C27" w:rsidR="005436BA" w:rsidRPr="005436BA" w:rsidRDefault="00E50FD3" w:rsidP="009A3C63">
            <w:pPr>
              <w:rPr>
                <w:sz w:val="20"/>
                <w:szCs w:val="20"/>
              </w:rPr>
            </w:pPr>
            <w:r>
              <w:rPr>
                <w:sz w:val="20"/>
                <w:szCs w:val="20"/>
              </w:rPr>
              <w:t xml:space="preserve">Smokers who switched to EC had significant </w:t>
            </w:r>
            <w:r w:rsidRPr="00E50FD3">
              <w:rPr>
                <w:sz w:val="20"/>
                <w:szCs w:val="20"/>
              </w:rPr>
              <w:t>reduction in arterial (1.95%, 95% CI 0.47 to 3.44; P = 0.01) and venous (1.87%, 95% CI 0.38 to 3.36; P = 0.02) carboxyhaemoglobin levels.</w:t>
            </w:r>
          </w:p>
        </w:tc>
        <w:tc>
          <w:tcPr>
            <w:tcW w:w="2509" w:type="dxa"/>
          </w:tcPr>
          <w:p w14:paraId="5CF2FAEC" w14:textId="4884E8C2" w:rsidR="005436BA" w:rsidRPr="005436BA" w:rsidRDefault="00E50FD3" w:rsidP="009A3C63">
            <w:pPr>
              <w:rPr>
                <w:sz w:val="20"/>
                <w:szCs w:val="20"/>
              </w:rPr>
            </w:pPr>
            <w:r w:rsidRPr="00007F85">
              <w:rPr>
                <w:rFonts w:cstheme="minorHAnsi"/>
                <w:sz w:val="20"/>
                <w:szCs w:val="20"/>
              </w:rPr>
              <w:t>↓</w:t>
            </w:r>
          </w:p>
        </w:tc>
      </w:tr>
      <w:tr w:rsidR="001B3056" w14:paraId="65E6D390" w14:textId="77777777" w:rsidTr="00007F85">
        <w:trPr>
          <w:cantSplit/>
        </w:trPr>
        <w:tc>
          <w:tcPr>
            <w:tcW w:w="1361" w:type="dxa"/>
          </w:tcPr>
          <w:p w14:paraId="2519C18E" w14:textId="759BF195" w:rsidR="001B3056" w:rsidRPr="005436BA" w:rsidRDefault="0022482D" w:rsidP="009A3C63">
            <w:pPr>
              <w:rPr>
                <w:sz w:val="20"/>
                <w:szCs w:val="20"/>
              </w:rPr>
            </w:pPr>
            <w:r>
              <w:rPr>
                <w:sz w:val="20"/>
                <w:szCs w:val="20"/>
              </w:rPr>
              <w:t>Walele 2018</w:t>
            </w:r>
            <w:r>
              <w:rPr>
                <w:rStyle w:val="FootnoteReference"/>
                <w:sz w:val="20"/>
                <w:szCs w:val="20"/>
              </w:rPr>
              <w:footnoteReference w:id="6"/>
            </w:r>
          </w:p>
        </w:tc>
        <w:tc>
          <w:tcPr>
            <w:tcW w:w="871" w:type="dxa"/>
          </w:tcPr>
          <w:p w14:paraId="682329AB" w14:textId="3C53CAE8" w:rsidR="001B3056" w:rsidRPr="005436BA" w:rsidRDefault="001B3056" w:rsidP="0022482D">
            <w:pPr>
              <w:rPr>
                <w:sz w:val="20"/>
                <w:szCs w:val="20"/>
              </w:rPr>
            </w:pPr>
            <w:r>
              <w:rPr>
                <w:sz w:val="20"/>
                <w:szCs w:val="20"/>
              </w:rPr>
              <w:t xml:space="preserve">2 </w:t>
            </w:r>
            <w:r w:rsidR="0022482D">
              <w:rPr>
                <w:sz w:val="20"/>
                <w:szCs w:val="20"/>
              </w:rPr>
              <w:t>years</w:t>
            </w:r>
          </w:p>
        </w:tc>
        <w:tc>
          <w:tcPr>
            <w:tcW w:w="9004" w:type="dxa"/>
          </w:tcPr>
          <w:p w14:paraId="28027118" w14:textId="3FF8919D" w:rsidR="001B3056" w:rsidRPr="005436BA" w:rsidRDefault="0022482D" w:rsidP="009A3C63">
            <w:pPr>
              <w:rPr>
                <w:sz w:val="20"/>
                <w:szCs w:val="20"/>
              </w:rPr>
            </w:pPr>
            <w:r>
              <w:rPr>
                <w:sz w:val="20"/>
                <w:szCs w:val="20"/>
              </w:rPr>
              <w:t>“</w:t>
            </w:r>
            <w:r w:rsidRPr="0022482D">
              <w:rPr>
                <w:sz w:val="20"/>
                <w:szCs w:val="20"/>
              </w:rPr>
              <w:t>The mean (±SD) eCO level in all subjects at Month 1 was 8.7 ppm (±</w:t>
            </w:r>
            <w:bookmarkStart w:id="0" w:name="_GoBack"/>
            <w:bookmarkEnd w:id="0"/>
            <w:r w:rsidRPr="0022482D">
              <w:rPr>
                <w:sz w:val="20"/>
                <w:szCs w:val="20"/>
              </w:rPr>
              <w:t>6.5), and steadily decreased to reach 4.1 ppm (±3.1) at Month 24.</w:t>
            </w:r>
            <w:r>
              <w:rPr>
                <w:sz w:val="20"/>
                <w:szCs w:val="20"/>
              </w:rPr>
              <w:t>”</w:t>
            </w:r>
          </w:p>
        </w:tc>
        <w:tc>
          <w:tcPr>
            <w:tcW w:w="2509" w:type="dxa"/>
          </w:tcPr>
          <w:p w14:paraId="00B975BF" w14:textId="1902B868" w:rsidR="001B3056" w:rsidRPr="005436BA" w:rsidRDefault="0022482D" w:rsidP="009A3C63">
            <w:pPr>
              <w:rPr>
                <w:sz w:val="20"/>
                <w:szCs w:val="20"/>
              </w:rPr>
            </w:pPr>
            <w:r w:rsidRPr="00007F85">
              <w:rPr>
                <w:rFonts w:cstheme="minorHAnsi"/>
                <w:sz w:val="20"/>
                <w:szCs w:val="20"/>
              </w:rPr>
              <w:t>↓</w:t>
            </w:r>
          </w:p>
        </w:tc>
      </w:tr>
    </w:tbl>
    <w:p w14:paraId="789B70B3" w14:textId="77777777" w:rsidR="005436BA" w:rsidRDefault="005436BA" w:rsidP="005436BA"/>
    <w:p w14:paraId="7E3F78F6" w14:textId="77777777" w:rsidR="00681728" w:rsidRDefault="00681728"/>
    <w:sectPr w:rsidR="00681728" w:rsidSect="007E4864">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C5015E" w16cid:durableId="26C2F8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782FA" w14:textId="77777777" w:rsidR="00BA640C" w:rsidRDefault="00BA640C" w:rsidP="00754948">
      <w:pPr>
        <w:spacing w:after="0" w:line="240" w:lineRule="auto"/>
      </w:pPr>
      <w:r>
        <w:separator/>
      </w:r>
    </w:p>
  </w:endnote>
  <w:endnote w:type="continuationSeparator" w:id="0">
    <w:p w14:paraId="22E2B526" w14:textId="77777777" w:rsidR="00BA640C" w:rsidRDefault="00BA640C" w:rsidP="0075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3BFF" w14:textId="77777777" w:rsidR="00BA640C" w:rsidRDefault="00BA640C" w:rsidP="00754948">
      <w:pPr>
        <w:spacing w:after="0" w:line="240" w:lineRule="auto"/>
      </w:pPr>
      <w:r>
        <w:separator/>
      </w:r>
    </w:p>
  </w:footnote>
  <w:footnote w:type="continuationSeparator" w:id="0">
    <w:p w14:paraId="54A611BE" w14:textId="77777777" w:rsidR="00BA640C" w:rsidRDefault="00BA640C" w:rsidP="00754948">
      <w:pPr>
        <w:spacing w:after="0" w:line="240" w:lineRule="auto"/>
      </w:pPr>
      <w:r>
        <w:continuationSeparator/>
      </w:r>
    </w:p>
  </w:footnote>
  <w:footnote w:id="1">
    <w:p w14:paraId="17C1D9B9" w14:textId="1C6352E8" w:rsidR="00843EEC" w:rsidRDefault="00843EEC">
      <w:pPr>
        <w:pStyle w:val="FootnoteText"/>
      </w:pPr>
      <w:r>
        <w:rPr>
          <w:rStyle w:val="FootnoteReference"/>
        </w:rPr>
        <w:footnoteRef/>
      </w:r>
      <w:r>
        <w:t xml:space="preserve"> </w:t>
      </w:r>
      <w:r w:rsidR="00E50FD3">
        <w:t xml:space="preserve">eCO: exhaled carbon monoxide; </w:t>
      </w:r>
      <w:r>
        <w:t>NS: not specified</w:t>
      </w:r>
    </w:p>
  </w:footnote>
  <w:footnote w:id="2">
    <w:p w14:paraId="45631755" w14:textId="504B7AE4" w:rsidR="00843EEC" w:rsidRDefault="00843EEC">
      <w:pPr>
        <w:pStyle w:val="FootnoteText"/>
      </w:pPr>
      <w:r>
        <w:rPr>
          <w:rStyle w:val="FootnoteReference"/>
        </w:rPr>
        <w:footnoteRef/>
      </w:r>
      <w:r>
        <w:t xml:space="preserve"> </w:t>
      </w:r>
      <w:r w:rsidR="0022482D">
        <w:t>NE: not estimable</w:t>
      </w:r>
    </w:p>
  </w:footnote>
  <w:footnote w:id="3">
    <w:p w14:paraId="50D9DFE5" w14:textId="721458A9" w:rsidR="005436BA" w:rsidRDefault="005436BA">
      <w:pPr>
        <w:pStyle w:val="FootnoteText"/>
      </w:pPr>
      <w:r>
        <w:rPr>
          <w:rStyle w:val="FootnoteReference"/>
        </w:rPr>
        <w:footnoteRef/>
      </w:r>
      <w:r>
        <w:t xml:space="preserve"> </w:t>
      </w:r>
      <w:r w:rsidR="0022482D">
        <w:t>NE: not estimable</w:t>
      </w:r>
    </w:p>
  </w:footnote>
  <w:footnote w:id="4">
    <w:p w14:paraId="1CE40636" w14:textId="30E76625" w:rsidR="00672454" w:rsidRDefault="00672454">
      <w:pPr>
        <w:pStyle w:val="FootnoteText"/>
      </w:pPr>
      <w:r>
        <w:rPr>
          <w:rStyle w:val="FootnoteReference"/>
        </w:rPr>
        <w:footnoteRef/>
      </w:r>
      <w:r>
        <w:t xml:space="preserve"> EC provided for 6 weeks; eCO measured at weeks 1</w:t>
      </w:r>
      <w:r w:rsidR="00A5212F">
        <w:t xml:space="preserve"> </w:t>
      </w:r>
      <w:r>
        <w:t>-</w:t>
      </w:r>
      <w:r w:rsidR="00A5212F">
        <w:t xml:space="preserve"> </w:t>
      </w:r>
      <w:r>
        <w:t>10 and 24</w:t>
      </w:r>
    </w:p>
  </w:footnote>
  <w:footnote w:id="5">
    <w:p w14:paraId="5A40717B" w14:textId="38466798" w:rsidR="00672454" w:rsidRDefault="00672454">
      <w:pPr>
        <w:pStyle w:val="FootnoteText"/>
      </w:pPr>
      <w:r>
        <w:rPr>
          <w:rStyle w:val="FootnoteReference"/>
        </w:rPr>
        <w:footnoteRef/>
      </w:r>
      <w:r>
        <w:t xml:space="preserve"> Acute cross</w:t>
      </w:r>
      <w:r w:rsidR="00A5212F">
        <w:t>-</w:t>
      </w:r>
      <w:r>
        <w:t>over trial followed by ‘chronic phase’ so treated as cohort for purposes of this review</w:t>
      </w:r>
    </w:p>
  </w:footnote>
  <w:footnote w:id="6">
    <w:p w14:paraId="7A8FD005" w14:textId="01603671" w:rsidR="0022482D" w:rsidRDefault="0022482D">
      <w:pPr>
        <w:pStyle w:val="FootnoteText"/>
      </w:pPr>
      <w:r>
        <w:rPr>
          <w:rStyle w:val="FootnoteReference"/>
        </w:rPr>
        <w:footnoteRef/>
      </w:r>
      <w:r>
        <w:t xml:space="preserve"> Short term RCT (see first table); all participants then given nicotine EC hence inclusion in this table, as well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64"/>
    <w:rsid w:val="000002A7"/>
    <w:rsid w:val="00007F85"/>
    <w:rsid w:val="00010DAD"/>
    <w:rsid w:val="0001564F"/>
    <w:rsid w:val="000373DD"/>
    <w:rsid w:val="000C2160"/>
    <w:rsid w:val="000F4F14"/>
    <w:rsid w:val="000F76B6"/>
    <w:rsid w:val="001A452D"/>
    <w:rsid w:val="001B3056"/>
    <w:rsid w:val="001C1BBC"/>
    <w:rsid w:val="0022482D"/>
    <w:rsid w:val="00246976"/>
    <w:rsid w:val="00301F58"/>
    <w:rsid w:val="003A55B7"/>
    <w:rsid w:val="003B2838"/>
    <w:rsid w:val="00465017"/>
    <w:rsid w:val="004765A0"/>
    <w:rsid w:val="0049453B"/>
    <w:rsid w:val="004D2A66"/>
    <w:rsid w:val="004E6A28"/>
    <w:rsid w:val="005436BA"/>
    <w:rsid w:val="00551157"/>
    <w:rsid w:val="005F0A66"/>
    <w:rsid w:val="00610CD8"/>
    <w:rsid w:val="006336CE"/>
    <w:rsid w:val="00635270"/>
    <w:rsid w:val="00672454"/>
    <w:rsid w:val="00674B02"/>
    <w:rsid w:val="00681728"/>
    <w:rsid w:val="006F62FA"/>
    <w:rsid w:val="007269B2"/>
    <w:rsid w:val="00740DB3"/>
    <w:rsid w:val="00754948"/>
    <w:rsid w:val="007E4864"/>
    <w:rsid w:val="008212FF"/>
    <w:rsid w:val="00843EEC"/>
    <w:rsid w:val="008A4383"/>
    <w:rsid w:val="00911F16"/>
    <w:rsid w:val="00997224"/>
    <w:rsid w:val="009972D0"/>
    <w:rsid w:val="009A7329"/>
    <w:rsid w:val="009C0DE0"/>
    <w:rsid w:val="009D1624"/>
    <w:rsid w:val="009E02C1"/>
    <w:rsid w:val="00A5212F"/>
    <w:rsid w:val="00A622EF"/>
    <w:rsid w:val="00A66986"/>
    <w:rsid w:val="00A94052"/>
    <w:rsid w:val="00A960B7"/>
    <w:rsid w:val="00AE6D05"/>
    <w:rsid w:val="00B077BF"/>
    <w:rsid w:val="00BA640C"/>
    <w:rsid w:val="00BD64AF"/>
    <w:rsid w:val="00C06417"/>
    <w:rsid w:val="00C40A51"/>
    <w:rsid w:val="00C711B4"/>
    <w:rsid w:val="00CA5F94"/>
    <w:rsid w:val="00D150C7"/>
    <w:rsid w:val="00D23267"/>
    <w:rsid w:val="00D37E32"/>
    <w:rsid w:val="00D44D65"/>
    <w:rsid w:val="00D54CC1"/>
    <w:rsid w:val="00D550FD"/>
    <w:rsid w:val="00DD75C2"/>
    <w:rsid w:val="00DF0111"/>
    <w:rsid w:val="00E50FD3"/>
    <w:rsid w:val="00E75F50"/>
    <w:rsid w:val="00E85EC0"/>
    <w:rsid w:val="00EA4C8B"/>
    <w:rsid w:val="00ED7B88"/>
    <w:rsid w:val="00F0207B"/>
    <w:rsid w:val="00F8362B"/>
    <w:rsid w:val="00FD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889E"/>
  <w15:chartTrackingRefBased/>
  <w15:docId w15:val="{F564799D-4011-4442-BA30-FFC1F5C6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6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36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64AF"/>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7549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948"/>
    <w:rPr>
      <w:sz w:val="20"/>
      <w:szCs w:val="20"/>
    </w:rPr>
  </w:style>
  <w:style w:type="character" w:styleId="FootnoteReference">
    <w:name w:val="footnote reference"/>
    <w:basedOn w:val="DefaultParagraphFont"/>
    <w:uiPriority w:val="99"/>
    <w:semiHidden/>
    <w:unhideWhenUsed/>
    <w:rsid w:val="00754948"/>
    <w:rPr>
      <w:vertAlign w:val="superscript"/>
    </w:rPr>
  </w:style>
  <w:style w:type="character" w:styleId="PlaceholderText">
    <w:name w:val="Placeholder Text"/>
    <w:basedOn w:val="DefaultParagraphFont"/>
    <w:uiPriority w:val="99"/>
    <w:semiHidden/>
    <w:rsid w:val="009A7329"/>
    <w:rPr>
      <w:color w:val="808080"/>
    </w:rPr>
  </w:style>
  <w:style w:type="character" w:customStyle="1" w:styleId="Heading2Char">
    <w:name w:val="Heading 2 Char"/>
    <w:basedOn w:val="DefaultParagraphFont"/>
    <w:link w:val="Heading2"/>
    <w:uiPriority w:val="9"/>
    <w:rsid w:val="005436B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F8362B"/>
    <w:rPr>
      <w:sz w:val="16"/>
      <w:szCs w:val="16"/>
    </w:rPr>
  </w:style>
  <w:style w:type="paragraph" w:styleId="CommentText">
    <w:name w:val="annotation text"/>
    <w:basedOn w:val="Normal"/>
    <w:link w:val="CommentTextChar"/>
    <w:uiPriority w:val="99"/>
    <w:semiHidden/>
    <w:unhideWhenUsed/>
    <w:rsid w:val="00F8362B"/>
    <w:pPr>
      <w:spacing w:line="240" w:lineRule="auto"/>
    </w:pPr>
    <w:rPr>
      <w:sz w:val="20"/>
      <w:szCs w:val="20"/>
    </w:rPr>
  </w:style>
  <w:style w:type="character" w:customStyle="1" w:styleId="CommentTextChar">
    <w:name w:val="Comment Text Char"/>
    <w:basedOn w:val="DefaultParagraphFont"/>
    <w:link w:val="CommentText"/>
    <w:uiPriority w:val="99"/>
    <w:semiHidden/>
    <w:rsid w:val="00F8362B"/>
    <w:rPr>
      <w:sz w:val="20"/>
      <w:szCs w:val="20"/>
    </w:rPr>
  </w:style>
  <w:style w:type="paragraph" w:styleId="CommentSubject">
    <w:name w:val="annotation subject"/>
    <w:basedOn w:val="CommentText"/>
    <w:next w:val="CommentText"/>
    <w:link w:val="CommentSubjectChar"/>
    <w:uiPriority w:val="99"/>
    <w:semiHidden/>
    <w:unhideWhenUsed/>
    <w:rsid w:val="00F8362B"/>
    <w:rPr>
      <w:b/>
      <w:bCs/>
    </w:rPr>
  </w:style>
  <w:style w:type="character" w:customStyle="1" w:styleId="CommentSubjectChar">
    <w:name w:val="Comment Subject Char"/>
    <w:basedOn w:val="CommentTextChar"/>
    <w:link w:val="CommentSubject"/>
    <w:uiPriority w:val="99"/>
    <w:semiHidden/>
    <w:rsid w:val="00F8362B"/>
    <w:rPr>
      <w:b/>
      <w:bCs/>
      <w:sz w:val="20"/>
      <w:szCs w:val="20"/>
    </w:rPr>
  </w:style>
  <w:style w:type="paragraph" w:styleId="BalloonText">
    <w:name w:val="Balloon Text"/>
    <w:basedOn w:val="Normal"/>
    <w:link w:val="BalloonTextChar"/>
    <w:uiPriority w:val="99"/>
    <w:semiHidden/>
    <w:unhideWhenUsed/>
    <w:rsid w:val="00F83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2B"/>
    <w:rPr>
      <w:rFonts w:ascii="Segoe UI" w:hAnsi="Segoe UI" w:cs="Segoe UI"/>
      <w:sz w:val="18"/>
      <w:szCs w:val="18"/>
    </w:rPr>
  </w:style>
  <w:style w:type="paragraph" w:styleId="Revision">
    <w:name w:val="Revision"/>
    <w:hidden/>
    <w:uiPriority w:val="99"/>
    <w:semiHidden/>
    <w:rsid w:val="00A62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00560">
      <w:bodyDiv w:val="1"/>
      <w:marLeft w:val="0"/>
      <w:marRight w:val="0"/>
      <w:marTop w:val="0"/>
      <w:marBottom w:val="0"/>
      <w:divBdr>
        <w:top w:val="none" w:sz="0" w:space="0" w:color="auto"/>
        <w:left w:val="none" w:sz="0" w:space="0" w:color="auto"/>
        <w:bottom w:val="none" w:sz="0" w:space="0" w:color="auto"/>
        <w:right w:val="none" w:sz="0" w:space="0" w:color="auto"/>
      </w:divBdr>
      <w:divsChild>
        <w:div w:id="1163472961">
          <w:marLeft w:val="0"/>
          <w:marRight w:val="0"/>
          <w:marTop w:val="0"/>
          <w:marBottom w:val="0"/>
          <w:divBdr>
            <w:top w:val="none" w:sz="0" w:space="0" w:color="auto"/>
            <w:left w:val="none" w:sz="0" w:space="0" w:color="auto"/>
            <w:bottom w:val="none" w:sz="0" w:space="0" w:color="auto"/>
            <w:right w:val="none" w:sz="0" w:space="0" w:color="auto"/>
          </w:divBdr>
          <w:divsChild>
            <w:div w:id="275868748">
              <w:marLeft w:val="0"/>
              <w:marRight w:val="0"/>
              <w:marTop w:val="0"/>
              <w:marBottom w:val="0"/>
              <w:divBdr>
                <w:top w:val="none" w:sz="0" w:space="0" w:color="auto"/>
                <w:left w:val="none" w:sz="0" w:space="0" w:color="auto"/>
                <w:bottom w:val="none" w:sz="0" w:space="0" w:color="auto"/>
                <w:right w:val="none" w:sz="0" w:space="0" w:color="auto"/>
              </w:divBdr>
              <w:divsChild>
                <w:div w:id="1837069297">
                  <w:marLeft w:val="0"/>
                  <w:marRight w:val="0"/>
                  <w:marTop w:val="0"/>
                  <w:marBottom w:val="0"/>
                  <w:divBdr>
                    <w:top w:val="none" w:sz="0" w:space="0" w:color="auto"/>
                    <w:left w:val="none" w:sz="0" w:space="0" w:color="auto"/>
                    <w:bottom w:val="none" w:sz="0" w:space="0" w:color="auto"/>
                    <w:right w:val="none" w:sz="0" w:space="0" w:color="auto"/>
                  </w:divBdr>
                  <w:divsChild>
                    <w:div w:id="1379822442">
                      <w:marLeft w:val="0"/>
                      <w:marRight w:val="0"/>
                      <w:marTop w:val="0"/>
                      <w:marBottom w:val="0"/>
                      <w:divBdr>
                        <w:top w:val="none" w:sz="0" w:space="0" w:color="auto"/>
                        <w:left w:val="none" w:sz="0" w:space="0" w:color="auto"/>
                        <w:bottom w:val="none" w:sz="0" w:space="0" w:color="auto"/>
                        <w:right w:val="none" w:sz="0" w:space="0" w:color="auto"/>
                      </w:divBdr>
                      <w:divsChild>
                        <w:div w:id="18940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2085">
      <w:bodyDiv w:val="1"/>
      <w:marLeft w:val="0"/>
      <w:marRight w:val="0"/>
      <w:marTop w:val="0"/>
      <w:marBottom w:val="0"/>
      <w:divBdr>
        <w:top w:val="none" w:sz="0" w:space="0" w:color="auto"/>
        <w:left w:val="none" w:sz="0" w:space="0" w:color="auto"/>
        <w:bottom w:val="none" w:sz="0" w:space="0" w:color="auto"/>
        <w:right w:val="none" w:sz="0" w:space="0" w:color="auto"/>
      </w:divBdr>
      <w:divsChild>
        <w:div w:id="1717005328">
          <w:marLeft w:val="0"/>
          <w:marRight w:val="0"/>
          <w:marTop w:val="0"/>
          <w:marBottom w:val="0"/>
          <w:divBdr>
            <w:top w:val="none" w:sz="0" w:space="0" w:color="auto"/>
            <w:left w:val="none" w:sz="0" w:space="0" w:color="auto"/>
            <w:bottom w:val="none" w:sz="0" w:space="0" w:color="auto"/>
            <w:right w:val="none" w:sz="0" w:space="0" w:color="auto"/>
          </w:divBdr>
          <w:divsChild>
            <w:div w:id="507138970">
              <w:marLeft w:val="0"/>
              <w:marRight w:val="0"/>
              <w:marTop w:val="0"/>
              <w:marBottom w:val="0"/>
              <w:divBdr>
                <w:top w:val="none" w:sz="0" w:space="0" w:color="auto"/>
                <w:left w:val="none" w:sz="0" w:space="0" w:color="auto"/>
                <w:bottom w:val="none" w:sz="0" w:space="0" w:color="auto"/>
                <w:right w:val="none" w:sz="0" w:space="0" w:color="auto"/>
              </w:divBdr>
              <w:divsChild>
                <w:div w:id="1720473303">
                  <w:marLeft w:val="0"/>
                  <w:marRight w:val="0"/>
                  <w:marTop w:val="0"/>
                  <w:marBottom w:val="0"/>
                  <w:divBdr>
                    <w:top w:val="none" w:sz="0" w:space="0" w:color="auto"/>
                    <w:left w:val="none" w:sz="0" w:space="0" w:color="auto"/>
                    <w:bottom w:val="none" w:sz="0" w:space="0" w:color="auto"/>
                    <w:right w:val="none" w:sz="0" w:space="0" w:color="auto"/>
                  </w:divBdr>
                  <w:divsChild>
                    <w:div w:id="1057240868">
                      <w:marLeft w:val="0"/>
                      <w:marRight w:val="0"/>
                      <w:marTop w:val="0"/>
                      <w:marBottom w:val="0"/>
                      <w:divBdr>
                        <w:top w:val="none" w:sz="0" w:space="0" w:color="auto"/>
                        <w:left w:val="none" w:sz="0" w:space="0" w:color="auto"/>
                        <w:bottom w:val="none" w:sz="0" w:space="0" w:color="auto"/>
                        <w:right w:val="none" w:sz="0" w:space="0" w:color="auto"/>
                      </w:divBdr>
                      <w:divsChild>
                        <w:div w:id="18575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35475">
      <w:bodyDiv w:val="1"/>
      <w:marLeft w:val="0"/>
      <w:marRight w:val="0"/>
      <w:marTop w:val="0"/>
      <w:marBottom w:val="0"/>
      <w:divBdr>
        <w:top w:val="none" w:sz="0" w:space="0" w:color="auto"/>
        <w:left w:val="none" w:sz="0" w:space="0" w:color="auto"/>
        <w:bottom w:val="none" w:sz="0" w:space="0" w:color="auto"/>
        <w:right w:val="none" w:sz="0" w:space="0" w:color="auto"/>
      </w:divBdr>
    </w:div>
    <w:div w:id="1998223200">
      <w:bodyDiv w:val="1"/>
      <w:marLeft w:val="0"/>
      <w:marRight w:val="0"/>
      <w:marTop w:val="0"/>
      <w:marBottom w:val="0"/>
      <w:divBdr>
        <w:top w:val="none" w:sz="0" w:space="0" w:color="auto"/>
        <w:left w:val="none" w:sz="0" w:space="0" w:color="auto"/>
        <w:bottom w:val="none" w:sz="0" w:space="0" w:color="auto"/>
        <w:right w:val="none" w:sz="0" w:space="0" w:color="auto"/>
      </w:divBdr>
      <w:divsChild>
        <w:div w:id="1870413748">
          <w:marLeft w:val="0"/>
          <w:marRight w:val="0"/>
          <w:marTop w:val="0"/>
          <w:marBottom w:val="0"/>
          <w:divBdr>
            <w:top w:val="none" w:sz="0" w:space="0" w:color="auto"/>
            <w:left w:val="none" w:sz="0" w:space="0" w:color="auto"/>
            <w:bottom w:val="none" w:sz="0" w:space="0" w:color="auto"/>
            <w:right w:val="none" w:sz="0" w:space="0" w:color="auto"/>
          </w:divBdr>
          <w:divsChild>
            <w:div w:id="1025257028">
              <w:marLeft w:val="0"/>
              <w:marRight w:val="0"/>
              <w:marTop w:val="0"/>
              <w:marBottom w:val="0"/>
              <w:divBdr>
                <w:top w:val="none" w:sz="0" w:space="0" w:color="auto"/>
                <w:left w:val="none" w:sz="0" w:space="0" w:color="auto"/>
                <w:bottom w:val="none" w:sz="0" w:space="0" w:color="auto"/>
                <w:right w:val="none" w:sz="0" w:space="0" w:color="auto"/>
              </w:divBdr>
              <w:divsChild>
                <w:div w:id="953944106">
                  <w:marLeft w:val="0"/>
                  <w:marRight w:val="0"/>
                  <w:marTop w:val="0"/>
                  <w:marBottom w:val="0"/>
                  <w:divBdr>
                    <w:top w:val="none" w:sz="0" w:space="0" w:color="auto"/>
                    <w:left w:val="none" w:sz="0" w:space="0" w:color="auto"/>
                    <w:bottom w:val="none" w:sz="0" w:space="0" w:color="auto"/>
                    <w:right w:val="none" w:sz="0" w:space="0" w:color="auto"/>
                  </w:divBdr>
                  <w:divsChild>
                    <w:div w:id="312023777">
                      <w:marLeft w:val="0"/>
                      <w:marRight w:val="0"/>
                      <w:marTop w:val="0"/>
                      <w:marBottom w:val="0"/>
                      <w:divBdr>
                        <w:top w:val="none" w:sz="0" w:space="0" w:color="auto"/>
                        <w:left w:val="none" w:sz="0" w:space="0" w:color="auto"/>
                        <w:bottom w:val="none" w:sz="0" w:space="0" w:color="auto"/>
                        <w:right w:val="none" w:sz="0" w:space="0" w:color="auto"/>
                      </w:divBdr>
                      <w:divsChild>
                        <w:div w:id="205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9392">
      <w:bodyDiv w:val="1"/>
      <w:marLeft w:val="0"/>
      <w:marRight w:val="0"/>
      <w:marTop w:val="0"/>
      <w:marBottom w:val="0"/>
      <w:divBdr>
        <w:top w:val="none" w:sz="0" w:space="0" w:color="auto"/>
        <w:left w:val="none" w:sz="0" w:space="0" w:color="auto"/>
        <w:bottom w:val="none" w:sz="0" w:space="0" w:color="auto"/>
        <w:right w:val="none" w:sz="0" w:space="0" w:color="auto"/>
      </w:divBdr>
      <w:divsChild>
        <w:div w:id="732045281">
          <w:marLeft w:val="0"/>
          <w:marRight w:val="0"/>
          <w:marTop w:val="0"/>
          <w:marBottom w:val="0"/>
          <w:divBdr>
            <w:top w:val="none" w:sz="0" w:space="0" w:color="auto"/>
            <w:left w:val="none" w:sz="0" w:space="0" w:color="auto"/>
            <w:bottom w:val="none" w:sz="0" w:space="0" w:color="auto"/>
            <w:right w:val="none" w:sz="0" w:space="0" w:color="auto"/>
          </w:divBdr>
          <w:divsChild>
            <w:div w:id="1349521911">
              <w:marLeft w:val="0"/>
              <w:marRight w:val="0"/>
              <w:marTop w:val="0"/>
              <w:marBottom w:val="0"/>
              <w:divBdr>
                <w:top w:val="none" w:sz="0" w:space="0" w:color="auto"/>
                <w:left w:val="none" w:sz="0" w:space="0" w:color="auto"/>
                <w:bottom w:val="none" w:sz="0" w:space="0" w:color="auto"/>
                <w:right w:val="none" w:sz="0" w:space="0" w:color="auto"/>
              </w:divBdr>
              <w:divsChild>
                <w:div w:id="249462208">
                  <w:marLeft w:val="0"/>
                  <w:marRight w:val="0"/>
                  <w:marTop w:val="0"/>
                  <w:marBottom w:val="0"/>
                  <w:divBdr>
                    <w:top w:val="none" w:sz="0" w:space="0" w:color="auto"/>
                    <w:left w:val="none" w:sz="0" w:space="0" w:color="auto"/>
                    <w:bottom w:val="none" w:sz="0" w:space="0" w:color="auto"/>
                    <w:right w:val="none" w:sz="0" w:space="0" w:color="auto"/>
                  </w:divBdr>
                  <w:divsChild>
                    <w:div w:id="815948587">
                      <w:marLeft w:val="0"/>
                      <w:marRight w:val="0"/>
                      <w:marTop w:val="0"/>
                      <w:marBottom w:val="0"/>
                      <w:divBdr>
                        <w:top w:val="none" w:sz="0" w:space="0" w:color="auto"/>
                        <w:left w:val="none" w:sz="0" w:space="0" w:color="auto"/>
                        <w:bottom w:val="none" w:sz="0" w:space="0" w:color="auto"/>
                        <w:right w:val="none" w:sz="0" w:space="0" w:color="auto"/>
                      </w:divBdr>
                      <w:divsChild>
                        <w:div w:id="9019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4DC07-D2DC-4DA6-A4D9-90C8B28D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Hartmann-Boyce</dc:creator>
  <cp:keywords/>
  <dc:description/>
  <cp:lastModifiedBy>Jonathan Livingstone-Banks</cp:lastModifiedBy>
  <cp:revision>5</cp:revision>
  <dcterms:created xsi:type="dcterms:W3CDTF">2021-09-06T09:32:00Z</dcterms:created>
  <dcterms:modified xsi:type="dcterms:W3CDTF">2022-11-09T10:47:00Z</dcterms:modified>
</cp:coreProperties>
</file>