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079C" w14:textId="097C1B90" w:rsidR="00551157" w:rsidRDefault="00F725F3" w:rsidP="00BD64AF">
      <w:pPr>
        <w:pStyle w:val="Heading1"/>
      </w:pPr>
      <w:r>
        <w:t xml:space="preserve">Supplemental table </w:t>
      </w:r>
      <w:r w:rsidR="0067383B">
        <w:t>7</w:t>
      </w:r>
      <w:r>
        <w:t xml:space="preserve">. </w:t>
      </w:r>
      <w:r w:rsidR="0095042B">
        <w:t xml:space="preserve">Data on </w:t>
      </w:r>
      <w:r w:rsidR="0067383B">
        <w:t>lung function</w:t>
      </w:r>
      <w:r w:rsidR="0095042B">
        <w:t xml:space="preserve"> </w:t>
      </w:r>
      <w:r w:rsidR="003613A7">
        <w:t xml:space="preserve">from studies </w:t>
      </w:r>
      <w:r w:rsidR="0095042B">
        <w:t>not contributing to meta-analyses</w:t>
      </w:r>
    </w:p>
    <w:p w14:paraId="76F575E6" w14:textId="31D6BF04" w:rsidR="005436BA" w:rsidRPr="005436BA" w:rsidRDefault="005436BA" w:rsidP="005436BA">
      <w:pPr>
        <w:pStyle w:val="Heading2"/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8646"/>
        <w:gridCol w:w="2552"/>
      </w:tblGrid>
      <w:tr w:rsidR="0067383B" w14:paraId="680346D7" w14:textId="77777777" w:rsidTr="00424FA6">
        <w:trPr>
          <w:cantSplit/>
          <w:tblHeader/>
        </w:trPr>
        <w:tc>
          <w:tcPr>
            <w:tcW w:w="1129" w:type="dxa"/>
          </w:tcPr>
          <w:p w14:paraId="41B8F1A4" w14:textId="77777777" w:rsidR="0067383B" w:rsidRPr="005436BA" w:rsidRDefault="0067383B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1276" w:type="dxa"/>
          </w:tcPr>
          <w:p w14:paraId="17B059B9" w14:textId="20FFDC19" w:rsidR="0067383B" w:rsidRPr="005436BA" w:rsidRDefault="0067383B" w:rsidP="009A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</w:t>
            </w:r>
          </w:p>
        </w:tc>
        <w:tc>
          <w:tcPr>
            <w:tcW w:w="851" w:type="dxa"/>
          </w:tcPr>
          <w:p w14:paraId="6F1AE86F" w14:textId="5344F679" w:rsidR="0067383B" w:rsidRPr="005436BA" w:rsidRDefault="0067383B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Time point</w:t>
            </w:r>
          </w:p>
        </w:tc>
        <w:tc>
          <w:tcPr>
            <w:tcW w:w="8646" w:type="dxa"/>
          </w:tcPr>
          <w:p w14:paraId="7653CB94" w14:textId="77777777" w:rsidR="0067383B" w:rsidRPr="005436BA" w:rsidRDefault="0067383B" w:rsidP="009A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552" w:type="dxa"/>
          </w:tcPr>
          <w:p w14:paraId="07B5E448" w14:textId="06A8817C" w:rsidR="0067383B" w:rsidRPr="005436BA" w:rsidRDefault="0067383B" w:rsidP="00424F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Direction</w:t>
            </w:r>
            <w:r w:rsidRPr="005436BA">
              <w:rPr>
                <w:b/>
                <w:sz w:val="20"/>
                <w:szCs w:val="20"/>
              </w:rPr>
              <w:t xml:space="preserve"> over time (</w:t>
            </w:r>
            <w:r w:rsidRPr="005436BA">
              <w:rPr>
                <w:rFonts w:cstheme="minorHAnsi"/>
                <w:b/>
                <w:sz w:val="20"/>
                <w:szCs w:val="20"/>
              </w:rPr>
              <w:t>↓</w:t>
            </w:r>
            <w:r w:rsidRPr="005436BA">
              <w:rPr>
                <w:b/>
                <w:sz w:val="20"/>
                <w:szCs w:val="20"/>
              </w:rPr>
              <w:t xml:space="preserve"> decline</w:t>
            </w:r>
            <w:r>
              <w:rPr>
                <w:b/>
                <w:sz w:val="20"/>
                <w:szCs w:val="20"/>
              </w:rPr>
              <w:t xml:space="preserve">; </w:t>
            </w:r>
            <w:r w:rsidRPr="005436BA">
              <w:rPr>
                <w:b/>
                <w:sz w:val="20"/>
                <w:szCs w:val="20"/>
              </w:rPr>
              <w:t>↔</w:t>
            </w:r>
            <w:r>
              <w:rPr>
                <w:b/>
                <w:sz w:val="20"/>
                <w:szCs w:val="20"/>
              </w:rPr>
              <w:t xml:space="preserve"> equivocal; </w:t>
            </w:r>
            <w:r w:rsidRPr="005436BA">
              <w:rPr>
                <w:b/>
                <w:sz w:val="20"/>
                <w:szCs w:val="20"/>
              </w:rPr>
              <w:t>↑</w:t>
            </w:r>
            <w:r>
              <w:rPr>
                <w:b/>
                <w:sz w:val="20"/>
                <w:szCs w:val="20"/>
              </w:rPr>
              <w:t xml:space="preserve"> increase</w:t>
            </w:r>
            <w:r w:rsidRPr="005436BA">
              <w:rPr>
                <w:b/>
                <w:sz w:val="20"/>
                <w:szCs w:val="20"/>
              </w:rPr>
              <w:t>)</w:t>
            </w:r>
          </w:p>
        </w:tc>
      </w:tr>
      <w:tr w:rsidR="0067383B" w14:paraId="19BDA7D1" w14:textId="77777777" w:rsidTr="00424FA6">
        <w:trPr>
          <w:cantSplit/>
          <w:trHeight w:val="1635"/>
          <w:tblHeader/>
        </w:trPr>
        <w:tc>
          <w:tcPr>
            <w:tcW w:w="1129" w:type="dxa"/>
          </w:tcPr>
          <w:p w14:paraId="724415E6" w14:textId="6F447AA9" w:rsidR="0067383B" w:rsidRPr="005436BA" w:rsidRDefault="0067383B" w:rsidP="0067383B">
            <w:pPr>
              <w:rPr>
                <w:b/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Hickling 2019</w:t>
            </w:r>
          </w:p>
        </w:tc>
        <w:tc>
          <w:tcPr>
            <w:tcW w:w="1276" w:type="dxa"/>
          </w:tcPr>
          <w:p w14:paraId="2E844028" w14:textId="489BE822" w:rsidR="0067383B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all participants provided nicotine EC</w:t>
            </w:r>
            <w:r w:rsidR="00424FA6">
              <w:rPr>
                <w:sz w:val="20"/>
                <w:szCs w:val="20"/>
              </w:rPr>
              <w:t xml:space="preserve"> (for 6 weeks)</w:t>
            </w:r>
          </w:p>
        </w:tc>
        <w:tc>
          <w:tcPr>
            <w:tcW w:w="851" w:type="dxa"/>
          </w:tcPr>
          <w:p w14:paraId="39091ED4" w14:textId="20254E46" w:rsidR="0067383B" w:rsidRPr="005436BA" w:rsidRDefault="0067383B" w:rsidP="00424FA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6, 10, 24 </w:t>
            </w:r>
            <w:r>
              <w:rPr>
                <w:sz w:val="20"/>
                <w:szCs w:val="20"/>
              </w:rPr>
              <w:t xml:space="preserve">weeks </w:t>
            </w:r>
          </w:p>
        </w:tc>
        <w:tc>
          <w:tcPr>
            <w:tcW w:w="8646" w:type="dxa"/>
          </w:tcPr>
          <w:tbl>
            <w:tblPr>
              <w:tblStyle w:val="TableGrid"/>
              <w:tblW w:w="7983" w:type="dxa"/>
              <w:tblLayout w:type="fixed"/>
              <w:tblLook w:val="04A0" w:firstRow="1" w:lastRow="0" w:firstColumn="1" w:lastColumn="0" w:noHBand="0" w:noVBand="1"/>
            </w:tblPr>
            <w:tblGrid>
              <w:gridCol w:w="2210"/>
              <w:gridCol w:w="1383"/>
              <w:gridCol w:w="1374"/>
              <w:gridCol w:w="1508"/>
              <w:gridCol w:w="1508"/>
            </w:tblGrid>
            <w:tr w:rsidR="0067383B" w:rsidRPr="0067383B" w14:paraId="097E56EF" w14:textId="77777777" w:rsidTr="0067383B">
              <w:trPr>
                <w:trHeight w:val="171"/>
              </w:trPr>
              <w:tc>
                <w:tcPr>
                  <w:tcW w:w="2210" w:type="dxa"/>
                  <w:noWrap/>
                  <w:hideMark/>
                </w:tcPr>
                <w:p w14:paraId="1A0ECC76" w14:textId="77777777" w:rsidR="0067383B" w:rsidRPr="0067383B" w:rsidRDefault="0067383B" w:rsidP="0067383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83" w:type="dxa"/>
                  <w:noWrap/>
                  <w:hideMark/>
                </w:tcPr>
                <w:p w14:paraId="44C6878F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1374" w:type="dxa"/>
                  <w:noWrap/>
                  <w:hideMark/>
                </w:tcPr>
                <w:p w14:paraId="0F4B57BD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N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58719885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Mean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18F4FC43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SD</w:t>
                  </w:r>
                </w:p>
              </w:tc>
            </w:tr>
            <w:tr w:rsidR="0067383B" w:rsidRPr="0067383B" w14:paraId="3DE668C3" w14:textId="77777777" w:rsidTr="0067383B">
              <w:trPr>
                <w:trHeight w:val="275"/>
              </w:trPr>
              <w:tc>
                <w:tcPr>
                  <w:tcW w:w="2210" w:type="dxa"/>
                  <w:noWrap/>
                  <w:hideMark/>
                </w:tcPr>
                <w:p w14:paraId="4ED9B1F7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u w:val="single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u w:val="single"/>
                      <w:lang w:eastAsia="en-GB"/>
                    </w:rPr>
                    <w:t>Peak Flow</w:t>
                  </w:r>
                </w:p>
              </w:tc>
              <w:tc>
                <w:tcPr>
                  <w:tcW w:w="1383" w:type="dxa"/>
                  <w:noWrap/>
                  <w:hideMark/>
                </w:tcPr>
                <w:p w14:paraId="108D31D7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Baseline</w:t>
                  </w:r>
                </w:p>
              </w:tc>
              <w:tc>
                <w:tcPr>
                  <w:tcW w:w="1374" w:type="dxa"/>
                  <w:noWrap/>
                  <w:hideMark/>
                </w:tcPr>
                <w:p w14:paraId="13BDC82B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45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72B4E2E6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450.646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2071841F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116.5115</w:t>
                  </w:r>
                </w:p>
              </w:tc>
            </w:tr>
            <w:tr w:rsidR="0067383B" w:rsidRPr="0067383B" w14:paraId="239E48C5" w14:textId="77777777" w:rsidTr="0067383B">
              <w:trPr>
                <w:trHeight w:val="235"/>
              </w:trPr>
              <w:tc>
                <w:tcPr>
                  <w:tcW w:w="2210" w:type="dxa"/>
                  <w:noWrap/>
                  <w:hideMark/>
                </w:tcPr>
                <w:p w14:paraId="4B4DCFF7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83" w:type="dxa"/>
                  <w:noWrap/>
                  <w:hideMark/>
                </w:tcPr>
                <w:p w14:paraId="03300961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Week 6</w:t>
                  </w:r>
                </w:p>
              </w:tc>
              <w:tc>
                <w:tcPr>
                  <w:tcW w:w="1374" w:type="dxa"/>
                  <w:noWrap/>
                  <w:hideMark/>
                </w:tcPr>
                <w:p w14:paraId="64E48F20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45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2F53A402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450.2039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36C7A1FD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140.6299</w:t>
                  </w:r>
                </w:p>
              </w:tc>
            </w:tr>
            <w:tr w:rsidR="0067383B" w:rsidRPr="0067383B" w14:paraId="504FAB86" w14:textId="77777777" w:rsidTr="0067383B">
              <w:trPr>
                <w:trHeight w:val="267"/>
              </w:trPr>
              <w:tc>
                <w:tcPr>
                  <w:tcW w:w="2210" w:type="dxa"/>
                  <w:noWrap/>
                  <w:hideMark/>
                </w:tcPr>
                <w:p w14:paraId="0A5A6996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83" w:type="dxa"/>
                  <w:noWrap/>
                  <w:hideMark/>
                </w:tcPr>
                <w:p w14:paraId="499165ED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Week 10</w:t>
                  </w:r>
                </w:p>
              </w:tc>
              <w:tc>
                <w:tcPr>
                  <w:tcW w:w="1374" w:type="dxa"/>
                  <w:noWrap/>
                  <w:hideMark/>
                </w:tcPr>
                <w:p w14:paraId="6A00050B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36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1DCE6FEF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452.4058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13A8DDBF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134.8171</w:t>
                  </w:r>
                </w:p>
              </w:tc>
            </w:tr>
            <w:tr w:rsidR="0067383B" w:rsidRPr="0067383B" w14:paraId="43FEB11C" w14:textId="77777777" w:rsidTr="0067383B">
              <w:trPr>
                <w:trHeight w:val="322"/>
              </w:trPr>
              <w:tc>
                <w:tcPr>
                  <w:tcW w:w="2210" w:type="dxa"/>
                  <w:noWrap/>
                  <w:hideMark/>
                </w:tcPr>
                <w:p w14:paraId="1B7403EE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83" w:type="dxa"/>
                  <w:noWrap/>
                  <w:hideMark/>
                </w:tcPr>
                <w:p w14:paraId="4CC7898B" w14:textId="77777777" w:rsidR="0067383B" w:rsidRPr="0067383B" w:rsidRDefault="0067383B" w:rsidP="0067383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Week 24</w:t>
                  </w:r>
                </w:p>
              </w:tc>
              <w:tc>
                <w:tcPr>
                  <w:tcW w:w="1374" w:type="dxa"/>
                  <w:noWrap/>
                  <w:hideMark/>
                </w:tcPr>
                <w:p w14:paraId="1DF4694C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31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44784D3E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463.3345</w:t>
                  </w:r>
                </w:p>
              </w:tc>
              <w:tc>
                <w:tcPr>
                  <w:tcW w:w="1508" w:type="dxa"/>
                  <w:noWrap/>
                  <w:hideMark/>
                </w:tcPr>
                <w:p w14:paraId="56382C0C" w14:textId="77777777" w:rsidR="0067383B" w:rsidRPr="0067383B" w:rsidRDefault="0067383B" w:rsidP="0067383B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136.6132</w:t>
                  </w:r>
                </w:p>
              </w:tc>
            </w:tr>
          </w:tbl>
          <w:p w14:paraId="2DF071AD" w14:textId="0A082071" w:rsidR="0067383B" w:rsidRPr="0067383B" w:rsidRDefault="0067383B" w:rsidP="0067383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C45B856" w14:textId="376117DB" w:rsidR="0067383B" w:rsidRPr="0067383B" w:rsidRDefault="0067383B" w:rsidP="0067383B">
            <w:pPr>
              <w:rPr>
                <w:sz w:val="20"/>
                <w:szCs w:val="20"/>
              </w:rPr>
            </w:pPr>
            <w:r w:rsidRPr="0067383B">
              <w:rPr>
                <w:sz w:val="20"/>
                <w:szCs w:val="20"/>
              </w:rPr>
              <w:t>↑</w:t>
            </w:r>
          </w:p>
        </w:tc>
      </w:tr>
      <w:tr w:rsidR="0067383B" w14:paraId="64ED0C0B" w14:textId="77777777" w:rsidTr="00424FA6">
        <w:trPr>
          <w:cantSplit/>
          <w:tblHeader/>
        </w:trPr>
        <w:tc>
          <w:tcPr>
            <w:tcW w:w="1129" w:type="dxa"/>
          </w:tcPr>
          <w:p w14:paraId="5E47FD75" w14:textId="41E026B0" w:rsidR="0067383B" w:rsidRPr="005436BA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Oncken 2015</w:t>
            </w:r>
          </w:p>
        </w:tc>
        <w:tc>
          <w:tcPr>
            <w:tcW w:w="1276" w:type="dxa"/>
          </w:tcPr>
          <w:p w14:paraId="244DDAE1" w14:textId="62108DF5" w:rsidR="0067383B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all participants provided nicotine EC</w:t>
            </w:r>
          </w:p>
        </w:tc>
        <w:tc>
          <w:tcPr>
            <w:tcW w:w="851" w:type="dxa"/>
          </w:tcPr>
          <w:p w14:paraId="0AD365CC" w14:textId="229E0C62" w:rsidR="0067383B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8646" w:type="dxa"/>
          </w:tcPr>
          <w:p w14:paraId="6AF4F2FC" w14:textId="27263AC4" w:rsidR="0067383B" w:rsidRPr="0067383B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7383B">
              <w:rPr>
                <w:sz w:val="20"/>
                <w:szCs w:val="20"/>
              </w:rPr>
              <w:t>no significant differences</w:t>
            </w:r>
            <w:r>
              <w:rPr>
                <w:sz w:val="20"/>
                <w:szCs w:val="20"/>
              </w:rPr>
              <w:t>”</w:t>
            </w:r>
            <w:r w:rsidRPr="0067383B">
              <w:rPr>
                <w:sz w:val="20"/>
                <w:szCs w:val="20"/>
              </w:rPr>
              <w:t xml:space="preserve"> in airway function (Raw or sGaw) over the course of the two weeks compared to baseline (P &gt; 0.09), or five minutes after inhalation of either type of EC (P &gt; 0.1).</w:t>
            </w:r>
          </w:p>
        </w:tc>
        <w:tc>
          <w:tcPr>
            <w:tcW w:w="2552" w:type="dxa"/>
          </w:tcPr>
          <w:p w14:paraId="521AB05F" w14:textId="77C80CA6" w:rsidR="0067383B" w:rsidRPr="0067383B" w:rsidRDefault="0067383B" w:rsidP="0067383B">
            <w:pPr>
              <w:rPr>
                <w:sz w:val="20"/>
                <w:szCs w:val="20"/>
              </w:rPr>
            </w:pPr>
            <w:r w:rsidRPr="0067383B">
              <w:rPr>
                <w:sz w:val="20"/>
                <w:szCs w:val="20"/>
              </w:rPr>
              <w:t>↔</w:t>
            </w:r>
          </w:p>
        </w:tc>
      </w:tr>
      <w:tr w:rsidR="0067383B" w14:paraId="5F1FDB51" w14:textId="77777777" w:rsidTr="00424FA6">
        <w:trPr>
          <w:cantSplit/>
          <w:trHeight w:val="3497"/>
          <w:tblHeader/>
        </w:trPr>
        <w:tc>
          <w:tcPr>
            <w:tcW w:w="1129" w:type="dxa"/>
          </w:tcPr>
          <w:p w14:paraId="4F1E9393" w14:textId="08C253DC" w:rsidR="0067383B" w:rsidRPr="005436BA" w:rsidRDefault="0067383B" w:rsidP="006738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Veldheer 2019</w:t>
            </w:r>
          </w:p>
        </w:tc>
        <w:tc>
          <w:tcPr>
            <w:tcW w:w="1276" w:type="dxa"/>
          </w:tcPr>
          <w:p w14:paraId="00E8CD04" w14:textId="669D94BB" w:rsidR="0067383B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(nicotine, non-nicotine groups combined) v  QuitSmart cigarette substitute</w:t>
            </w:r>
            <w:r>
              <w:rPr>
                <w:sz w:val="20"/>
                <w:szCs w:val="20"/>
              </w:rPr>
              <w:t xml:space="preserve"> (sub)</w:t>
            </w:r>
          </w:p>
        </w:tc>
        <w:tc>
          <w:tcPr>
            <w:tcW w:w="851" w:type="dxa"/>
          </w:tcPr>
          <w:p w14:paraId="6310508E" w14:textId="16171E10" w:rsidR="0067383B" w:rsidRPr="005436BA" w:rsidRDefault="0067383B" w:rsidP="006738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 weeks</w:t>
            </w:r>
          </w:p>
        </w:tc>
        <w:tc>
          <w:tcPr>
            <w:tcW w:w="8646" w:type="dxa"/>
          </w:tcPr>
          <w:p w14:paraId="5F29A0FC" w14:textId="77777777" w:rsidR="0067383B" w:rsidRDefault="0067383B" w:rsidP="00673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Substitute (sub) n = 72; EC n=191</w:t>
            </w:r>
          </w:p>
          <w:tbl>
            <w:tblPr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134"/>
              <w:gridCol w:w="709"/>
              <w:gridCol w:w="708"/>
              <w:gridCol w:w="1418"/>
              <w:gridCol w:w="567"/>
              <w:gridCol w:w="1276"/>
              <w:gridCol w:w="567"/>
            </w:tblGrid>
            <w:tr w:rsidR="00424FA6" w:rsidRPr="0067383B" w14:paraId="556C3933" w14:textId="77777777" w:rsidTr="00DF7C2F">
              <w:trPr>
                <w:trHeight w:val="70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2568B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Outcome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EFACC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Group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837F4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Baseline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76F4B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4 weeks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58069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12 weeks</w:t>
                  </w:r>
                </w:p>
              </w:tc>
            </w:tr>
            <w:tr w:rsidR="00424FA6" w:rsidRPr="0067383B" w14:paraId="521340DE" w14:textId="77777777" w:rsidTr="00DF7C2F">
              <w:trPr>
                <w:trHeight w:val="48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B3983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A2436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C32B6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Mean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25D23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SD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BEC92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Mean change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F633F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SD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F494B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Mean change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BA12F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SD</w:t>
                  </w:r>
                </w:p>
              </w:tc>
            </w:tr>
            <w:tr w:rsidR="00424FA6" w:rsidRPr="0067383B" w14:paraId="3CA2D647" w14:textId="77777777" w:rsidTr="00DF7C2F">
              <w:trPr>
                <w:trHeight w:val="132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C78B6" w14:textId="77777777" w:rsidR="00424FA6" w:rsidRPr="0067383B" w:rsidRDefault="00424FA6" w:rsidP="00424F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FEV1 in litres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FC5D1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Sub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4CBC1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2.48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96303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830E5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8B3FB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D8884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AEBBF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0.22</w:t>
                  </w:r>
                </w:p>
              </w:tc>
            </w:tr>
            <w:tr w:rsidR="00424FA6" w:rsidRPr="0067383B" w14:paraId="34C28457" w14:textId="77777777" w:rsidTr="00DF7C2F">
              <w:trPr>
                <w:trHeight w:val="192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33E1B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26341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69F76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2.7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04C9C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7AEDF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C95A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6E0A4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4E8C4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0.35</w:t>
                  </w:r>
                </w:p>
              </w:tc>
            </w:tr>
            <w:tr w:rsidR="00424FA6" w:rsidRPr="0067383B" w14:paraId="4C7C6DDB" w14:textId="77777777" w:rsidTr="00DF7C2F">
              <w:trPr>
                <w:trHeight w:val="111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BCEFB" w14:textId="77777777" w:rsidR="00424FA6" w:rsidRPr="0067383B" w:rsidRDefault="00424FA6" w:rsidP="00424F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FEV1% predicted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030B3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Sub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921B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76.2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019EA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17.25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F0011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0.43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2991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5.77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8E0FF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1.1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C9352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5.02</w:t>
                  </w:r>
                </w:p>
              </w:tc>
            </w:tr>
            <w:tr w:rsidR="00424FA6" w:rsidRPr="0067383B" w14:paraId="00230E62" w14:textId="77777777" w:rsidTr="00DF7C2F">
              <w:trPr>
                <w:trHeight w:val="170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F45D2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66C44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46AE1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79.9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53571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19.05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02C0F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-0.05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7069B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8.33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522E6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-0.28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8D368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7.65</w:t>
                  </w:r>
                </w:p>
              </w:tc>
            </w:tr>
            <w:tr w:rsidR="00424FA6" w:rsidRPr="0067383B" w14:paraId="6A4F66DA" w14:textId="77777777" w:rsidTr="00DF7C2F">
              <w:trPr>
                <w:trHeight w:val="217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B71A8" w14:textId="77777777" w:rsidR="00424FA6" w:rsidRPr="0067383B" w:rsidRDefault="00424FA6" w:rsidP="00424F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FVC litres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432BD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Sub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B7CC9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3.23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F1C3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B1552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DB75E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05D0E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-0.04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95A4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0.3</w:t>
                  </w:r>
                </w:p>
              </w:tc>
            </w:tr>
            <w:tr w:rsidR="00424FA6" w:rsidRPr="0067383B" w14:paraId="3B122B17" w14:textId="77777777" w:rsidTr="00DF7C2F">
              <w:trPr>
                <w:trHeight w:val="120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9B4D5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AF79D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A30A2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3.42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8854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EBBA1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0F577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5B83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9C61E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0.39</w:t>
                  </w:r>
                </w:p>
              </w:tc>
            </w:tr>
            <w:tr w:rsidR="00424FA6" w:rsidRPr="0067383B" w14:paraId="5D185B88" w14:textId="77777777" w:rsidTr="00DF7C2F">
              <w:trPr>
                <w:trHeight w:val="180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BE20E" w14:textId="77777777" w:rsidR="00424FA6" w:rsidRPr="0067383B" w:rsidRDefault="00424FA6" w:rsidP="00424F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Forced expiratory flow at 25–75% of FVC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BFE9D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Sub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3AA79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2.3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FAAD8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9CD81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D87B5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C0D49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67DE3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0.49</w:t>
                  </w:r>
                </w:p>
              </w:tc>
            </w:tr>
            <w:tr w:rsidR="00424FA6" w:rsidRPr="0067383B" w14:paraId="4B6D5CF3" w14:textId="77777777" w:rsidTr="00DF7C2F">
              <w:trPr>
                <w:trHeight w:val="225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C6A18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ECD98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226E0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2.56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A0D02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1.22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1D0F5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A0892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77A0B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-0.04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1E0E3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0.62</w:t>
                  </w:r>
                </w:p>
              </w:tc>
            </w:tr>
            <w:tr w:rsidR="00424FA6" w:rsidRPr="0067383B" w14:paraId="244A0A16" w14:textId="77777777" w:rsidTr="00DF7C2F">
              <w:trPr>
                <w:trHeight w:val="143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3B31D" w14:textId="77777777" w:rsidR="00424FA6" w:rsidRPr="0067383B" w:rsidRDefault="00424FA6" w:rsidP="00424F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Forced expiratory time in seconds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B3B65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Sub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2860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5.09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DA44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1.85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4CFF3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-0.04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A7D09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2.09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BAFBD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-0.26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1CE0A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1.69</w:t>
                  </w:r>
                </w:p>
              </w:tc>
            </w:tr>
            <w:tr w:rsidR="00424FA6" w:rsidRPr="0067383B" w14:paraId="6B710C6F" w14:textId="77777777" w:rsidTr="00DF7C2F">
              <w:trPr>
                <w:trHeight w:val="70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1A72A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6C06F" w14:textId="77777777" w:rsidR="00424FA6" w:rsidRPr="0067383B" w:rsidRDefault="00424FA6" w:rsidP="00424F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15BC8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4.59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AF26E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1.68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33995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4D7E2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1.6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AA8E9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333333"/>
                      <w:sz w:val="18"/>
                      <w:szCs w:val="18"/>
                      <w:lang w:eastAsia="en-GB"/>
                    </w:rPr>
                    <w:t>0.27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EA1C7" w14:textId="77777777" w:rsidR="00424FA6" w:rsidRPr="0067383B" w:rsidRDefault="00424FA6" w:rsidP="00424F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7383B">
                    <w:rPr>
                      <w:rFonts w:ascii="Calibri" w:eastAsia="Times New Roman" w:hAnsi="Calibri" w:cstheme="minorHAnsi"/>
                      <w:color w:val="000000"/>
                      <w:sz w:val="18"/>
                      <w:szCs w:val="18"/>
                      <w:lang w:eastAsia="en-GB"/>
                    </w:rPr>
                    <w:t>1.69</w:t>
                  </w:r>
                </w:p>
              </w:tc>
            </w:tr>
          </w:tbl>
          <w:p w14:paraId="03EF55D8" w14:textId="3C2B2B51" w:rsidR="0067383B" w:rsidRPr="0067383B" w:rsidRDefault="0067383B" w:rsidP="0067383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4DE0B1" w14:textId="42E171E2" w:rsidR="00424FA6" w:rsidRPr="00424FA6" w:rsidRDefault="00424FA6" w:rsidP="0042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↔ </w:t>
            </w:r>
            <w:r w:rsidRPr="00424FA6">
              <w:rPr>
                <w:sz w:val="20"/>
                <w:szCs w:val="20"/>
              </w:rPr>
              <w:t>FEV1 in litres</w:t>
            </w:r>
          </w:p>
          <w:p w14:paraId="30B1D13A" w14:textId="67A98871" w:rsidR="00424FA6" w:rsidRPr="00424FA6" w:rsidRDefault="00424FA6" w:rsidP="0042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424FA6">
              <w:rPr>
                <w:sz w:val="20"/>
                <w:szCs w:val="20"/>
              </w:rPr>
              <w:t>FEV1% predicted</w:t>
            </w:r>
          </w:p>
          <w:p w14:paraId="30B45957" w14:textId="5BDA49A8" w:rsidR="00424FA6" w:rsidRPr="00424FA6" w:rsidRDefault="00424FA6" w:rsidP="0042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↑ </w:t>
            </w:r>
            <w:r w:rsidRPr="00424FA6">
              <w:rPr>
                <w:sz w:val="20"/>
                <w:szCs w:val="20"/>
              </w:rPr>
              <w:t>FVC litres</w:t>
            </w:r>
          </w:p>
          <w:p w14:paraId="11D42C16" w14:textId="63C7FAFE" w:rsidR="00424FA6" w:rsidRPr="00424FA6" w:rsidRDefault="00424FA6" w:rsidP="0042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424FA6">
              <w:rPr>
                <w:sz w:val="20"/>
                <w:szCs w:val="20"/>
              </w:rPr>
              <w:t>Forced expiratory flow at 25–75% of FVC</w:t>
            </w:r>
          </w:p>
          <w:p w14:paraId="0FBCF56C" w14:textId="756F30C1" w:rsidR="0067383B" w:rsidRDefault="00424FA6" w:rsidP="00424FA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↑ </w:t>
            </w:r>
            <w:r w:rsidRPr="00424FA6">
              <w:rPr>
                <w:sz w:val="20"/>
                <w:szCs w:val="20"/>
              </w:rPr>
              <w:t>Forced expiratory time in seconds</w:t>
            </w:r>
          </w:p>
        </w:tc>
      </w:tr>
    </w:tbl>
    <w:p w14:paraId="789B70B3" w14:textId="77777777" w:rsidR="005436BA" w:rsidRDefault="005436BA" w:rsidP="005436BA"/>
    <w:p w14:paraId="7E3F78F6" w14:textId="77777777" w:rsidR="00681728" w:rsidRDefault="00681728">
      <w:bookmarkStart w:id="0" w:name="_GoBack"/>
      <w:bookmarkEnd w:id="0"/>
    </w:p>
    <w:sectPr w:rsidR="00681728" w:rsidSect="007E48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C6E35" w14:textId="77777777" w:rsidR="00D67EB1" w:rsidRDefault="00D67EB1" w:rsidP="00754948">
      <w:pPr>
        <w:spacing w:after="0" w:line="240" w:lineRule="auto"/>
      </w:pPr>
      <w:r>
        <w:separator/>
      </w:r>
    </w:p>
  </w:endnote>
  <w:endnote w:type="continuationSeparator" w:id="0">
    <w:p w14:paraId="60D8E2A9" w14:textId="77777777" w:rsidR="00D67EB1" w:rsidRDefault="00D67EB1" w:rsidP="0075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B3C2" w14:textId="77777777" w:rsidR="00D67EB1" w:rsidRDefault="00D67EB1" w:rsidP="00754948">
      <w:pPr>
        <w:spacing w:after="0" w:line="240" w:lineRule="auto"/>
      </w:pPr>
      <w:r>
        <w:separator/>
      </w:r>
    </w:p>
  </w:footnote>
  <w:footnote w:type="continuationSeparator" w:id="0">
    <w:p w14:paraId="2A6D72EF" w14:textId="77777777" w:rsidR="00D67EB1" w:rsidRDefault="00D67EB1" w:rsidP="00754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4"/>
    <w:rsid w:val="00010DAD"/>
    <w:rsid w:val="000C2160"/>
    <w:rsid w:val="001A452D"/>
    <w:rsid w:val="001B3056"/>
    <w:rsid w:val="00246976"/>
    <w:rsid w:val="003613A7"/>
    <w:rsid w:val="00424FA6"/>
    <w:rsid w:val="004E6A28"/>
    <w:rsid w:val="005436BA"/>
    <w:rsid w:val="00551157"/>
    <w:rsid w:val="005F0A66"/>
    <w:rsid w:val="0067383B"/>
    <w:rsid w:val="00681728"/>
    <w:rsid w:val="006D3453"/>
    <w:rsid w:val="006F13FA"/>
    <w:rsid w:val="006F62FA"/>
    <w:rsid w:val="007269B2"/>
    <w:rsid w:val="00740DB3"/>
    <w:rsid w:val="00754948"/>
    <w:rsid w:val="007E4864"/>
    <w:rsid w:val="00820226"/>
    <w:rsid w:val="0084100F"/>
    <w:rsid w:val="00843EEC"/>
    <w:rsid w:val="0095042B"/>
    <w:rsid w:val="009A7329"/>
    <w:rsid w:val="009E02C1"/>
    <w:rsid w:val="00A539D0"/>
    <w:rsid w:val="00BD64AF"/>
    <w:rsid w:val="00C40A51"/>
    <w:rsid w:val="00D150C7"/>
    <w:rsid w:val="00D23267"/>
    <w:rsid w:val="00D67EB1"/>
    <w:rsid w:val="00EA4C8B"/>
    <w:rsid w:val="00EF23AC"/>
    <w:rsid w:val="00F1008B"/>
    <w:rsid w:val="00F725F3"/>
    <w:rsid w:val="00F8362B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889E"/>
  <w15:chartTrackingRefBased/>
  <w15:docId w15:val="{F564799D-4011-4442-BA30-FFC1F5C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6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94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732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436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8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2B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EF23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3548-5648-4E17-8B3D-F16E00A2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Jamie Hartmann-Boyce</cp:lastModifiedBy>
  <cp:revision>3</cp:revision>
  <dcterms:created xsi:type="dcterms:W3CDTF">2020-07-17T11:13:00Z</dcterms:created>
  <dcterms:modified xsi:type="dcterms:W3CDTF">2020-07-17T11:30:00Z</dcterms:modified>
</cp:coreProperties>
</file>