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1F" w:rsidRDefault="0093351F" w:rsidP="0093351F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95732F">
        <w:rPr>
          <w:rFonts w:ascii="Arial" w:hAnsi="Arial" w:cs="Arial"/>
          <w:b/>
          <w:bCs/>
          <w:sz w:val="22"/>
          <w:szCs w:val="22"/>
        </w:rPr>
        <w:t>Supplemental References- cohort profiles</w:t>
      </w:r>
    </w:p>
    <w:p w:rsidR="0093351F" w:rsidRPr="0095732F" w:rsidRDefault="0093351F" w:rsidP="0093351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 xml:space="preserve">1. Boyd A, Golding J, Macleod J, Lawlor DA, Fraser A, Henderson J, Molloy L, Ness A, Ring S, Davey Smith G. Cohort Profile: The ‘Children of the 90s’—the index offspring of the Avon Longitudinal Study of Parents and Children. </w:t>
      </w:r>
      <w:proofErr w:type="gramStart"/>
      <w:r w:rsidRPr="00AC6C41">
        <w:rPr>
          <w:rFonts w:ascii="Arial" w:hAnsi="Arial" w:cs="Arial"/>
          <w:i/>
          <w:sz w:val="22"/>
          <w:szCs w:val="22"/>
        </w:rPr>
        <w:t>International Journal of Epidemiology</w:t>
      </w:r>
      <w:r w:rsidRPr="00AC6C41">
        <w:rPr>
          <w:rFonts w:ascii="Arial" w:hAnsi="Arial" w:cs="Arial"/>
          <w:sz w:val="22"/>
          <w:szCs w:val="22"/>
        </w:rPr>
        <w:t>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2013; 42(1):111-127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>2.</w:t>
      </w:r>
      <w:r w:rsidRPr="00AC6C41">
        <w:rPr>
          <w:rFonts w:ascii="Arial" w:hAnsi="Arial" w:cs="Arial"/>
          <w:sz w:val="22"/>
          <w:szCs w:val="22"/>
          <w:rtl/>
        </w:rPr>
        <w:t xml:space="preserve"> </w:t>
      </w:r>
      <w:r w:rsidRPr="00AC6C4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C6C41">
        <w:rPr>
          <w:rFonts w:ascii="Arial" w:hAnsi="Arial" w:cs="Arial"/>
          <w:sz w:val="22"/>
          <w:szCs w:val="22"/>
        </w:rPr>
        <w:t>Klebanoff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MA. The Collaborative Perinatal Project: a 50-year retrospective. </w:t>
      </w:r>
      <w:proofErr w:type="spellStart"/>
      <w:proofErr w:type="gramStart"/>
      <w:r w:rsidRPr="00AC6C41">
        <w:rPr>
          <w:rFonts w:ascii="Arial" w:hAnsi="Arial" w:cs="Arial"/>
          <w:sz w:val="22"/>
          <w:szCs w:val="22"/>
        </w:rPr>
        <w:t>Paediatric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and Perinatal Epidemiology 2009; 23:2-8.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[CPP]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  <w:rtl/>
        </w:rPr>
        <w:t>3</w:t>
      </w:r>
      <w:r w:rsidRPr="00AC6C41">
        <w:rPr>
          <w:rFonts w:ascii="Arial" w:hAnsi="Arial" w:cs="Arial"/>
          <w:sz w:val="22"/>
          <w:szCs w:val="22"/>
        </w:rPr>
        <w:t xml:space="preserve"> Olsen J, </w:t>
      </w:r>
      <w:proofErr w:type="spellStart"/>
      <w:r w:rsidRPr="00AC6C41">
        <w:rPr>
          <w:rFonts w:ascii="Arial" w:hAnsi="Arial" w:cs="Arial"/>
          <w:sz w:val="22"/>
          <w:szCs w:val="22"/>
        </w:rPr>
        <w:t>Melbye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M, Olsen SF, Sorensen TI, </w:t>
      </w:r>
      <w:proofErr w:type="spellStart"/>
      <w:r w:rsidRPr="00AC6C41">
        <w:rPr>
          <w:rFonts w:ascii="Arial" w:hAnsi="Arial" w:cs="Arial"/>
          <w:sz w:val="22"/>
          <w:szCs w:val="22"/>
        </w:rPr>
        <w:t>Aaby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P, Andersen AM, et al. </w:t>
      </w:r>
      <w:proofErr w:type="gramStart"/>
      <w:r w:rsidRPr="00AC6C41">
        <w:rPr>
          <w:rFonts w:ascii="Arial" w:hAnsi="Arial" w:cs="Arial"/>
          <w:sz w:val="22"/>
          <w:szCs w:val="22"/>
        </w:rPr>
        <w:t>The Danish National Birth Cohort-its background, structure and aim.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Scandinavian Journal of Public Health 2001; 29:300-307. [DNBC</w:t>
      </w:r>
      <w:r w:rsidRPr="00AC6C41">
        <w:rPr>
          <w:rFonts w:ascii="Arial" w:hAnsi="Arial" w:cs="Arial"/>
          <w:sz w:val="22"/>
          <w:szCs w:val="22"/>
          <w:rtl/>
        </w:rPr>
        <w:t>]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  <w:rtl/>
        </w:rPr>
        <w:t>4</w:t>
      </w:r>
      <w:r w:rsidRPr="00AC6C41">
        <w:rPr>
          <w:rFonts w:ascii="Arial" w:hAnsi="Arial" w:cs="Arial"/>
          <w:sz w:val="22"/>
          <w:szCs w:val="22"/>
        </w:rPr>
        <w:t>.</w:t>
      </w:r>
      <w:r w:rsidRPr="00AC6C41">
        <w:rPr>
          <w:rFonts w:ascii="Arial" w:hAnsi="Arial" w:cs="Arial"/>
          <w:sz w:val="22"/>
          <w:szCs w:val="22"/>
          <w:rtl/>
        </w:rPr>
        <w:t xml:space="preserve"> </w:t>
      </w:r>
      <w:r w:rsidRPr="00AC6C4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C6C41">
        <w:rPr>
          <w:rFonts w:ascii="Arial" w:hAnsi="Arial" w:cs="Arial"/>
          <w:sz w:val="22"/>
          <w:szCs w:val="22"/>
        </w:rPr>
        <w:t>Harlap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S, Davies </w:t>
      </w:r>
      <w:proofErr w:type="gramStart"/>
      <w:r w:rsidRPr="00AC6C41">
        <w:rPr>
          <w:rFonts w:ascii="Arial" w:hAnsi="Arial" w:cs="Arial"/>
          <w:sz w:val="22"/>
          <w:szCs w:val="22"/>
        </w:rPr>
        <w:t>AM</w:t>
      </w:r>
      <w:proofErr w:type="gramEnd"/>
      <w:r w:rsidRPr="00AC6C41">
        <w:rPr>
          <w:rFonts w:ascii="Arial" w:hAnsi="Arial" w:cs="Arial"/>
          <w:sz w:val="22"/>
          <w:szCs w:val="22"/>
        </w:rPr>
        <w:t>, Deutsch L, Calderon-</w:t>
      </w:r>
      <w:proofErr w:type="spellStart"/>
      <w:r w:rsidRPr="00AC6C41">
        <w:rPr>
          <w:rFonts w:ascii="Arial" w:hAnsi="Arial" w:cs="Arial"/>
          <w:sz w:val="22"/>
          <w:szCs w:val="22"/>
        </w:rPr>
        <w:t>Margalit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R, Manor O, </w:t>
      </w:r>
      <w:proofErr w:type="spellStart"/>
      <w:r w:rsidRPr="00AC6C41">
        <w:rPr>
          <w:rFonts w:ascii="Arial" w:hAnsi="Arial" w:cs="Arial"/>
          <w:sz w:val="22"/>
          <w:szCs w:val="22"/>
        </w:rPr>
        <w:t>Paltiel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O,</w:t>
      </w:r>
      <w:r>
        <w:rPr>
          <w:rFonts w:ascii="Arial" w:hAnsi="Arial" w:cs="Arial"/>
          <w:sz w:val="22"/>
          <w:szCs w:val="22"/>
        </w:rPr>
        <w:t xml:space="preserve"> </w:t>
      </w:r>
      <w:r w:rsidRPr="00AC6C41">
        <w:rPr>
          <w:rFonts w:ascii="Arial" w:hAnsi="Arial" w:cs="Arial"/>
          <w:sz w:val="22"/>
          <w:szCs w:val="22"/>
        </w:rPr>
        <w:t xml:space="preserve">et al. The Jerusalem Perinatal Study cohort, 1964-2005: methods and a review of the main results. </w:t>
      </w:r>
      <w:proofErr w:type="spellStart"/>
      <w:proofErr w:type="gramStart"/>
      <w:r w:rsidRPr="00AC6C41">
        <w:rPr>
          <w:rFonts w:ascii="Arial" w:hAnsi="Arial" w:cs="Arial"/>
          <w:sz w:val="22"/>
          <w:szCs w:val="22"/>
        </w:rPr>
        <w:t>Paediatric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and Perinatal Epidemiology 2007; 21:256-273.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[JPS</w:t>
      </w:r>
      <w:r w:rsidRPr="00AC6C41">
        <w:rPr>
          <w:rFonts w:ascii="Arial" w:hAnsi="Arial" w:cs="Arial"/>
          <w:sz w:val="22"/>
          <w:szCs w:val="22"/>
          <w:rtl/>
        </w:rPr>
        <w:t>]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  <w:rtl/>
        </w:rPr>
        <w:t>5</w:t>
      </w:r>
      <w:r w:rsidRPr="00AC6C41">
        <w:rPr>
          <w:rFonts w:ascii="Arial" w:hAnsi="Arial" w:cs="Arial"/>
          <w:sz w:val="22"/>
          <w:szCs w:val="22"/>
        </w:rPr>
        <w:t xml:space="preserve">. Magnus P, </w:t>
      </w:r>
      <w:proofErr w:type="spellStart"/>
      <w:r w:rsidRPr="00AC6C41">
        <w:rPr>
          <w:rFonts w:ascii="Arial" w:hAnsi="Arial" w:cs="Arial"/>
          <w:sz w:val="22"/>
          <w:szCs w:val="22"/>
        </w:rPr>
        <w:t>Irgens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LM, </w:t>
      </w:r>
      <w:proofErr w:type="spellStart"/>
      <w:r w:rsidRPr="00AC6C41">
        <w:rPr>
          <w:rFonts w:ascii="Arial" w:hAnsi="Arial" w:cs="Arial"/>
          <w:sz w:val="22"/>
          <w:szCs w:val="22"/>
        </w:rPr>
        <w:t>Haug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K, </w:t>
      </w:r>
      <w:proofErr w:type="spellStart"/>
      <w:r w:rsidRPr="00AC6C41">
        <w:rPr>
          <w:rFonts w:ascii="Arial" w:hAnsi="Arial" w:cs="Arial"/>
          <w:sz w:val="22"/>
          <w:szCs w:val="22"/>
        </w:rPr>
        <w:t>Nystad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W, </w:t>
      </w:r>
      <w:proofErr w:type="spellStart"/>
      <w:r w:rsidRPr="00AC6C41">
        <w:rPr>
          <w:rFonts w:ascii="Arial" w:hAnsi="Arial" w:cs="Arial"/>
          <w:sz w:val="22"/>
          <w:szCs w:val="22"/>
        </w:rPr>
        <w:t>Skjaerven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R, Stoltenberg C. Cohort profile: the Norwegian Mother and Child Cohort Study (</w:t>
      </w:r>
      <w:proofErr w:type="spellStart"/>
      <w:r w:rsidRPr="00AC6C41">
        <w:rPr>
          <w:rFonts w:ascii="Arial" w:hAnsi="Arial" w:cs="Arial"/>
          <w:sz w:val="22"/>
          <w:szCs w:val="22"/>
        </w:rPr>
        <w:t>MoBa</w:t>
      </w:r>
      <w:proofErr w:type="spellEnd"/>
      <w:r w:rsidRPr="00AC6C41">
        <w:rPr>
          <w:rFonts w:ascii="Arial" w:hAnsi="Arial" w:cs="Arial"/>
          <w:sz w:val="22"/>
          <w:szCs w:val="22"/>
        </w:rPr>
        <w:t>). International Journal of Epidemiology 2006; 35:1146-1150. [</w:t>
      </w:r>
      <w:proofErr w:type="spellStart"/>
      <w:r w:rsidRPr="00AC6C41">
        <w:rPr>
          <w:rFonts w:ascii="Arial" w:hAnsi="Arial" w:cs="Arial"/>
          <w:sz w:val="22"/>
          <w:szCs w:val="22"/>
        </w:rPr>
        <w:t>MoBA</w:t>
      </w:r>
      <w:proofErr w:type="spellEnd"/>
      <w:r w:rsidRPr="00AC6C41">
        <w:rPr>
          <w:rFonts w:ascii="Arial" w:hAnsi="Arial" w:cs="Arial"/>
          <w:sz w:val="22"/>
          <w:szCs w:val="22"/>
        </w:rPr>
        <w:t>]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 xml:space="preserve">6. Dwyer T, </w:t>
      </w:r>
      <w:proofErr w:type="spellStart"/>
      <w:r w:rsidRPr="00AC6C41">
        <w:rPr>
          <w:rFonts w:ascii="Arial" w:hAnsi="Arial" w:cs="Arial"/>
          <w:sz w:val="22"/>
          <w:szCs w:val="22"/>
        </w:rPr>
        <w:t>Ponsonby</w:t>
      </w:r>
      <w:proofErr w:type="spellEnd"/>
      <w:r w:rsidRPr="00AC6C41">
        <w:rPr>
          <w:rFonts w:ascii="Arial" w:hAnsi="Arial" w:cs="Arial"/>
          <w:sz w:val="22"/>
          <w:szCs w:val="22"/>
        </w:rPr>
        <w:t xml:space="preserve"> AL, Blizzard L, </w:t>
      </w:r>
      <w:smartTag w:uri="urn:schemas-microsoft-com:office:smarttags" w:element="place">
        <w:smartTag w:uri="urn:schemas-microsoft-com:office:smarttags" w:element="City">
          <w:r w:rsidRPr="00AC6C41">
            <w:rPr>
              <w:rFonts w:ascii="Arial" w:hAnsi="Arial" w:cs="Arial"/>
              <w:sz w:val="22"/>
              <w:szCs w:val="22"/>
            </w:rPr>
            <w:t>Newman</w:t>
          </w:r>
        </w:smartTag>
        <w:r w:rsidRPr="00AC6C41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State">
          <w:r w:rsidRPr="00AC6C41">
            <w:rPr>
              <w:rFonts w:ascii="Arial" w:hAnsi="Arial" w:cs="Arial"/>
              <w:sz w:val="22"/>
              <w:szCs w:val="22"/>
            </w:rPr>
            <w:t>NM</w:t>
          </w:r>
        </w:smartTag>
      </w:smartTag>
      <w:r w:rsidRPr="00AC6C41">
        <w:rPr>
          <w:rFonts w:ascii="Arial" w:hAnsi="Arial" w:cs="Arial"/>
          <w:sz w:val="22"/>
          <w:szCs w:val="22"/>
        </w:rPr>
        <w:t xml:space="preserve">, Cochrane JA. </w:t>
      </w:r>
      <w:proofErr w:type="gramStart"/>
      <w:r w:rsidRPr="00AC6C41">
        <w:rPr>
          <w:rFonts w:ascii="Arial" w:hAnsi="Arial" w:cs="Arial"/>
          <w:sz w:val="22"/>
          <w:szCs w:val="22"/>
        </w:rPr>
        <w:t>The contribution of changes in the prevalence of prone sleeping position to the decline in sudden infant death syndrome in Tasmania.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AC6C41">
        <w:rPr>
          <w:rFonts w:ascii="Arial" w:hAnsi="Arial" w:cs="Arial"/>
          <w:sz w:val="22"/>
          <w:szCs w:val="22"/>
        </w:rPr>
        <w:t>Journal of American Medical Association 1995; 273:783-789.</w:t>
      </w:r>
      <w:proofErr w:type="gramEnd"/>
      <w:r w:rsidRPr="00AC6C41">
        <w:rPr>
          <w:rFonts w:ascii="Arial" w:hAnsi="Arial" w:cs="Arial"/>
          <w:sz w:val="22"/>
          <w:szCs w:val="22"/>
        </w:rPr>
        <w:t xml:space="preserve"> [TIHS]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AC6C41">
        <w:rPr>
          <w:rFonts w:ascii="Arial" w:hAnsi="Arial" w:cs="Arial"/>
          <w:b/>
          <w:sz w:val="22"/>
          <w:szCs w:val="22"/>
        </w:rPr>
        <w:t>ALSPAC - Description of study numbers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 xml:space="preserve">ALSPAC recruited 14,541 pregnant women resident in </w:t>
      </w:r>
      <w:smartTag w:uri="urn:schemas-microsoft-com:office:smarttags" w:element="place">
        <w:smartTag w:uri="urn:schemas-microsoft-com:office:smarttags" w:element="City">
          <w:r w:rsidRPr="00AC6C41">
            <w:rPr>
              <w:rFonts w:ascii="Arial" w:hAnsi="Arial" w:cs="Arial"/>
              <w:sz w:val="22"/>
              <w:szCs w:val="22"/>
            </w:rPr>
            <w:t>Avon</w:t>
          </w:r>
        </w:smartTag>
        <w:r w:rsidRPr="00AC6C41">
          <w:rPr>
            <w:rFonts w:ascii="Arial" w:hAnsi="Arial" w:cs="Arial"/>
            <w:sz w:val="22"/>
            <w:szCs w:val="22"/>
          </w:rPr>
          <w:t xml:space="preserve">, </w:t>
        </w:r>
        <w:smartTag w:uri="urn:schemas-microsoft-com:office:smarttags" w:element="country-region">
          <w:r w:rsidRPr="00AC6C41">
            <w:rPr>
              <w:rFonts w:ascii="Arial" w:hAnsi="Arial" w:cs="Arial"/>
              <w:sz w:val="22"/>
              <w:szCs w:val="22"/>
            </w:rPr>
            <w:t>UK</w:t>
          </w:r>
        </w:smartTag>
      </w:smartTag>
      <w:r w:rsidRPr="00AC6C41">
        <w:rPr>
          <w:rFonts w:ascii="Arial" w:hAnsi="Arial" w:cs="Arial"/>
          <w:sz w:val="22"/>
          <w:szCs w:val="22"/>
        </w:rPr>
        <w:t xml:space="preserve"> with expected dates of delivery 1</w:t>
      </w:r>
      <w:r w:rsidRPr="00AC6C41">
        <w:rPr>
          <w:rFonts w:ascii="Arial" w:hAnsi="Arial" w:cs="Arial"/>
          <w:sz w:val="22"/>
          <w:szCs w:val="22"/>
          <w:vertAlign w:val="superscript"/>
        </w:rPr>
        <w:t>st</w:t>
      </w:r>
      <w:r w:rsidRPr="00AC6C41">
        <w:rPr>
          <w:rFonts w:ascii="Arial" w:hAnsi="Arial" w:cs="Arial"/>
          <w:sz w:val="22"/>
          <w:szCs w:val="22"/>
        </w:rPr>
        <w:t xml:space="preserve"> April 1991 to 31</w:t>
      </w:r>
      <w:r w:rsidRPr="00AC6C41">
        <w:rPr>
          <w:rFonts w:ascii="Arial" w:hAnsi="Arial" w:cs="Arial"/>
          <w:sz w:val="22"/>
          <w:szCs w:val="22"/>
          <w:vertAlign w:val="superscript"/>
        </w:rPr>
        <w:t>st</w:t>
      </w:r>
      <w:r w:rsidRPr="00AC6C41">
        <w:rPr>
          <w:rFonts w:ascii="Arial" w:hAnsi="Arial" w:cs="Arial"/>
          <w:sz w:val="22"/>
          <w:szCs w:val="22"/>
        </w:rPr>
        <w:t xml:space="preserve"> December 1992. 14,541 is the initial number of pregnancies for which the mother enrolled in the ALSPAC study and had either returned at least one questionnaire or attended a “Children in Focus” clinic by 19/07/99. Of these initial pregnancies, there were a total of 14,676 fetuses, resulting in 14,062 live births and 13,988 children who were alive at 1 year of age. </w:t>
      </w: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>Please note that the study website contains details of all the data that is available through a fully searchable data dictionary" and reference the following webpage:</w:t>
      </w:r>
    </w:p>
    <w:p w:rsidR="0093351F" w:rsidRPr="00AC6C41" w:rsidRDefault="002371D3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hyperlink r:id="rId5" w:history="1">
        <w:r w:rsidR="0093351F" w:rsidRPr="00AC6C41">
          <w:rPr>
            <w:rStyle w:val="Hyperlink"/>
            <w:rFonts w:ascii="Arial" w:hAnsi="Arial" w:cs="Arial"/>
            <w:sz w:val="22"/>
            <w:szCs w:val="22"/>
          </w:rPr>
          <w:t>http://www.bris.ac.uk/alspac/researchers/data-access/data-dictionary/</w:t>
        </w:r>
      </w:hyperlink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</w:p>
    <w:p w:rsidR="0093351F" w:rsidRPr="00AC6C41" w:rsidRDefault="0093351F" w:rsidP="0093351F">
      <w:pPr>
        <w:bidi w:val="0"/>
        <w:spacing w:line="360" w:lineRule="auto"/>
        <w:rPr>
          <w:rFonts w:ascii="Arial" w:hAnsi="Arial" w:cs="Arial"/>
          <w:sz w:val="22"/>
          <w:szCs w:val="22"/>
        </w:rPr>
      </w:pPr>
      <w:r w:rsidRPr="00AC6C41">
        <w:rPr>
          <w:rFonts w:ascii="Arial" w:hAnsi="Arial" w:cs="Arial"/>
          <w:sz w:val="22"/>
          <w:szCs w:val="22"/>
        </w:rPr>
        <w:t>Ethical approval for the study was obtained from the ALSPAC Ethics and Law Committee and the Local Research Ethics Committees.</w:t>
      </w:r>
      <w:r w:rsidRPr="00AC6C41">
        <w:rPr>
          <w:rFonts w:ascii="Arial" w:hAnsi="Arial" w:cs="Arial"/>
          <w:b/>
          <w:sz w:val="22"/>
          <w:szCs w:val="22"/>
        </w:rPr>
        <w:t xml:space="preserve"> </w:t>
      </w:r>
    </w:p>
    <w:p w:rsidR="0093351F" w:rsidRPr="002371D3" w:rsidRDefault="0093351F" w:rsidP="0093351F">
      <w:pPr>
        <w:bidi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2371D3">
        <w:rPr>
          <w:rFonts w:ascii="Arial" w:hAnsi="Arial" w:cs="Arial"/>
          <w:b/>
          <w:bCs/>
          <w:sz w:val="22"/>
          <w:szCs w:val="22"/>
        </w:rPr>
        <w:lastRenderedPageBreak/>
        <w:t>Supplementary Table 1:</w:t>
      </w:r>
      <w:r w:rsidRPr="002371D3">
        <w:rPr>
          <w:rFonts w:ascii="Arial" w:hAnsi="Arial" w:cs="Arial"/>
          <w:b/>
        </w:rPr>
        <w:t xml:space="preserve"> Degree of </w:t>
      </w:r>
      <w:proofErr w:type="spellStart"/>
      <w:r w:rsidRPr="002371D3">
        <w:rPr>
          <w:rFonts w:ascii="Arial" w:hAnsi="Arial" w:cs="Arial"/>
          <w:b/>
        </w:rPr>
        <w:t>missingness</w:t>
      </w:r>
      <w:proofErr w:type="spellEnd"/>
      <w:r w:rsidRPr="002371D3">
        <w:rPr>
          <w:rFonts w:ascii="Arial" w:hAnsi="Arial" w:cs="Arial"/>
          <w:b/>
        </w:rPr>
        <w:t xml:space="preserve"> in baseline variables of study population (N = 180,549)</w:t>
      </w:r>
    </w:p>
    <w:p w:rsidR="0093351F" w:rsidRPr="00420C07" w:rsidRDefault="0093351F" w:rsidP="0093351F">
      <w:pPr>
        <w:bidi w:val="0"/>
        <w:rPr>
          <w:rFonts w:ascii="Arial" w:hAnsi="Arial" w:cs="Arial"/>
          <w:b/>
          <w:bCs/>
          <w:sz w:val="22"/>
          <w:szCs w:val="22"/>
          <w:highlight w:val="yellow"/>
        </w:rPr>
      </w:pPr>
    </w:p>
    <w:tbl>
      <w:tblPr>
        <w:tblW w:w="5472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168"/>
        <w:gridCol w:w="1152"/>
        <w:gridCol w:w="1152"/>
      </w:tblGrid>
      <w:tr w:rsidR="0093351F" w:rsidRPr="00420C07" w:rsidTr="00191223">
        <w:trPr>
          <w:trHeight w:val="300"/>
        </w:trPr>
        <w:tc>
          <w:tcPr>
            <w:tcW w:w="3168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b/>
              </w:rPr>
            </w:pPr>
            <w:r w:rsidRPr="002371D3">
              <w:rPr>
                <w:b/>
              </w:rPr>
              <w:t>Variable</w:t>
            </w:r>
          </w:p>
        </w:tc>
        <w:tc>
          <w:tcPr>
            <w:tcW w:w="2304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2371D3">
              <w:rPr>
                <w:b/>
                <w:sz w:val="20"/>
                <w:szCs w:val="20"/>
              </w:rPr>
              <w:t>Number and % missing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vMerge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b/>
              </w:rPr>
            </w:pP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2371D3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2371D3">
              <w:rPr>
                <w:b/>
                <w:sz w:val="20"/>
                <w:szCs w:val="20"/>
              </w:rPr>
              <w:t>%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tcBorders>
              <w:top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Paternal age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18,948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10.5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Maternal age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662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0.4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Maternal education ≥ 12 years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6,999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3.9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Any maternal smoking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64,685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35.8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Birth-order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11,711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6.5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Later born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2,066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1.1</w:t>
            </w:r>
          </w:p>
        </w:tc>
      </w:tr>
      <w:tr w:rsidR="0093351F" w:rsidRPr="00420C07" w:rsidTr="00191223">
        <w:trPr>
          <w:trHeight w:val="300"/>
        </w:trPr>
        <w:tc>
          <w:tcPr>
            <w:tcW w:w="3168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Birth weight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732</w:t>
            </w:r>
          </w:p>
        </w:tc>
        <w:tc>
          <w:tcPr>
            <w:tcW w:w="1152" w:type="dxa"/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0.4</w:t>
            </w:r>
          </w:p>
        </w:tc>
      </w:tr>
      <w:tr w:rsidR="0093351F" w:rsidRPr="00841276" w:rsidTr="00191223">
        <w:trPr>
          <w:trHeight w:val="300"/>
        </w:trPr>
        <w:tc>
          <w:tcPr>
            <w:tcW w:w="3168" w:type="dxa"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Sex of child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0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noWrap/>
            <w:vAlign w:val="center"/>
          </w:tcPr>
          <w:p w:rsidR="0093351F" w:rsidRPr="002371D3" w:rsidRDefault="0093351F" w:rsidP="00191223">
            <w:pPr>
              <w:pStyle w:val="NoSpacing"/>
              <w:jc w:val="center"/>
              <w:rPr>
                <w:rFonts w:cs="Calibri"/>
                <w:color w:val="000000"/>
              </w:rPr>
            </w:pPr>
            <w:r w:rsidRPr="002371D3">
              <w:rPr>
                <w:rFonts w:cs="Calibri"/>
                <w:color w:val="000000"/>
              </w:rPr>
              <w:t>0.0</w:t>
            </w:r>
          </w:p>
        </w:tc>
      </w:tr>
    </w:tbl>
    <w:p w:rsidR="0093351F" w:rsidRDefault="0093351F" w:rsidP="0093351F">
      <w:pPr>
        <w:bidi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 w:rsidRPr="00F03299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03299">
        <w:rPr>
          <w:rFonts w:ascii="Arial" w:hAnsi="Arial" w:cs="Arial"/>
          <w:b/>
          <w:bCs/>
          <w:sz w:val="22"/>
          <w:szCs w:val="22"/>
        </w:rPr>
        <w:t>- Interaction models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03299">
        <w:rPr>
          <w:rFonts w:ascii="Arial" w:hAnsi="Arial" w:cs="Arial"/>
          <w:b/>
          <w:bCs/>
          <w:sz w:val="22"/>
          <w:szCs w:val="22"/>
        </w:rPr>
        <w:t>with birth weight</w:t>
      </w:r>
      <w:r>
        <w:rPr>
          <w:rFonts w:ascii="Arial" w:hAnsi="Arial" w:cs="Arial"/>
          <w:b/>
          <w:bCs/>
          <w:sz w:val="22"/>
          <w:szCs w:val="22"/>
        </w:rPr>
        <w:t xml:space="preserve"> (continuous, in kg)</w:t>
      </w:r>
      <w:r w:rsidRPr="00F03299">
        <w:rPr>
          <w:rFonts w:ascii="Arial" w:hAnsi="Arial" w:cs="Arial"/>
          <w:b/>
          <w:bCs/>
          <w:sz w:val="22"/>
          <w:szCs w:val="22"/>
        </w:rPr>
        <w:t xml:space="preserve"> and paternal age (continuous</w:t>
      </w:r>
      <w:r>
        <w:rPr>
          <w:rFonts w:ascii="Arial" w:hAnsi="Arial" w:cs="Arial"/>
          <w:b/>
          <w:bCs/>
          <w:sz w:val="22"/>
          <w:szCs w:val="22"/>
        </w:rPr>
        <w:t>, in years</w:t>
      </w:r>
      <w:r w:rsidRPr="00F03299">
        <w:rPr>
          <w:rFonts w:ascii="Arial" w:hAnsi="Arial" w:cs="Arial"/>
          <w:b/>
          <w:bCs/>
          <w:sz w:val="22"/>
          <w:szCs w:val="22"/>
        </w:rPr>
        <w:t>)</w:t>
      </w:r>
      <w:r w:rsidRPr="00B2661F">
        <w:t xml:space="preserve"> </w:t>
      </w:r>
      <w:r w:rsidRPr="00B2661F">
        <w:rPr>
          <w:rFonts w:ascii="Arial" w:hAnsi="Arial" w:cs="Arial"/>
          <w:b/>
          <w:bCs/>
          <w:sz w:val="22"/>
          <w:szCs w:val="22"/>
        </w:rPr>
        <w:t xml:space="preserve">for </w:t>
      </w:r>
      <w:r>
        <w:rPr>
          <w:rFonts w:ascii="Arial" w:hAnsi="Arial" w:cs="Arial"/>
          <w:b/>
          <w:bCs/>
          <w:sz w:val="22"/>
          <w:szCs w:val="22"/>
        </w:rPr>
        <w:t xml:space="preserve">association between </w:t>
      </w:r>
      <w:r w:rsidRPr="00B2661F">
        <w:rPr>
          <w:rFonts w:ascii="Arial" w:hAnsi="Arial" w:cs="Arial"/>
          <w:b/>
          <w:bCs/>
          <w:sz w:val="22"/>
          <w:szCs w:val="22"/>
        </w:rPr>
        <w:t>childhood cancer risk and birth order (later-born vs. first- born)</w:t>
      </w:r>
    </w:p>
    <w:p w:rsidR="0093351F" w:rsidRPr="00F03299" w:rsidRDefault="0093351F" w:rsidP="0093351F">
      <w:pPr>
        <w:bidi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911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4"/>
        <w:gridCol w:w="1353"/>
        <w:gridCol w:w="1170"/>
        <w:gridCol w:w="960"/>
        <w:gridCol w:w="960"/>
        <w:gridCol w:w="960"/>
        <w:gridCol w:w="960"/>
      </w:tblGrid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Cox proportional hazard models</w:t>
            </w:r>
          </w:p>
        </w:tc>
        <w:tc>
          <w:tcPr>
            <w:tcW w:w="12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Coefficient</w:t>
            </w:r>
          </w:p>
        </w:tc>
        <w:tc>
          <w:tcPr>
            <w:tcW w:w="10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Standard</w:t>
            </w:r>
          </w:p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error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t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P&gt;|t|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Coefficient</w:t>
            </w:r>
          </w:p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95% CI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Model 1: Later born </w:t>
            </w:r>
            <w:r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 continuous birth weight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main effects and interaction</w:t>
            </w:r>
          </w:p>
        </w:tc>
        <w:tc>
          <w:tcPr>
            <w:tcW w:w="120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Later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7582B">
              <w:rPr>
                <w:rFonts w:ascii="Arial" w:hAnsi="Arial" w:cs="Arial"/>
                <w:sz w:val="22"/>
                <w:szCs w:val="22"/>
              </w:rPr>
              <w:t>born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-2.390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0.937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-2.550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0.011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-4.227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-0.552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 weight</w:t>
            </w:r>
          </w:p>
        </w:tc>
        <w:tc>
          <w:tcPr>
            <w:tcW w:w="120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-0.027</w:t>
            </w:r>
          </w:p>
        </w:tc>
        <w:tc>
          <w:tcPr>
            <w:tcW w:w="104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0.202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-0.140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0.893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-0.423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0.368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Later-born by birth weight interaction</w:t>
            </w:r>
          </w:p>
        </w:tc>
        <w:tc>
          <w:tcPr>
            <w:tcW w:w="120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0.592</w:t>
            </w:r>
          </w:p>
        </w:tc>
        <w:tc>
          <w:tcPr>
            <w:tcW w:w="104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0.263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2.250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0.024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0.077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1.107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Model 2: Later</w:t>
            </w:r>
            <w:r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born </w:t>
            </w:r>
            <w:r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>aternal age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main effects and interaction</w:t>
            </w:r>
          </w:p>
        </w:tc>
        <w:tc>
          <w:tcPr>
            <w:tcW w:w="120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Later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7582B">
              <w:rPr>
                <w:rFonts w:ascii="Arial" w:hAnsi="Arial" w:cs="Arial"/>
                <w:sz w:val="22"/>
                <w:szCs w:val="22"/>
              </w:rPr>
              <w:t>born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1.266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0.833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1.520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0.128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-0.366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2.898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7582B">
              <w:rPr>
                <w:rFonts w:ascii="Arial" w:hAnsi="Arial" w:cs="Arial"/>
                <w:sz w:val="22"/>
                <w:szCs w:val="22"/>
              </w:rPr>
              <w:t>aternal age</w:t>
            </w:r>
          </w:p>
        </w:tc>
        <w:tc>
          <w:tcPr>
            <w:tcW w:w="120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0.021</w:t>
            </w:r>
          </w:p>
        </w:tc>
        <w:tc>
          <w:tcPr>
            <w:tcW w:w="1046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0.020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1.020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0.305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-0.019</w:t>
            </w:r>
          </w:p>
        </w:tc>
        <w:tc>
          <w:tcPr>
            <w:tcW w:w="96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0.061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Later-born by paternal age  interaction</w:t>
            </w:r>
          </w:p>
        </w:tc>
        <w:tc>
          <w:tcPr>
            <w:tcW w:w="120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-0.048</w:t>
            </w:r>
          </w:p>
        </w:tc>
        <w:tc>
          <w:tcPr>
            <w:tcW w:w="104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0.026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-1.830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0.067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-0.100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0.003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b/>
                <w:sz w:val="22"/>
                <w:szCs w:val="22"/>
              </w:rPr>
            </w:pPr>
            <w:r w:rsidRPr="00C7582B">
              <w:rPr>
                <w:rFonts w:ascii="Arial" w:hAnsi="Arial" w:cs="Arial"/>
                <w:b/>
                <w:sz w:val="22"/>
                <w:szCs w:val="22"/>
              </w:rPr>
              <w:t>Model 3: Later</w:t>
            </w:r>
            <w:r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born 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C7582B">
              <w:rPr>
                <w:rFonts w:ascii="Arial" w:hAnsi="Arial" w:cs="Arial"/>
                <w:b/>
                <w:sz w:val="22"/>
                <w:szCs w:val="22"/>
              </w:rPr>
              <w:t xml:space="preserve"> birth weight and paternal age </w:t>
            </w:r>
            <w:r>
              <w:rPr>
                <w:rFonts w:ascii="Arial" w:hAnsi="Arial" w:cs="Arial"/>
                <w:b/>
                <w:sz w:val="22"/>
                <w:szCs w:val="22"/>
              </w:rPr>
              <w:t>main effects and interactions</w:t>
            </w:r>
          </w:p>
        </w:tc>
        <w:tc>
          <w:tcPr>
            <w:tcW w:w="120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Later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7582B">
              <w:rPr>
                <w:rFonts w:ascii="Arial" w:hAnsi="Arial" w:cs="Arial"/>
                <w:sz w:val="22"/>
                <w:szCs w:val="22"/>
              </w:rPr>
              <w:t>born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-0.799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1.193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-0.670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0.503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-3.137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1.538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C7582B">
              <w:rPr>
                <w:rFonts w:ascii="Arial" w:hAnsi="Arial" w:cs="Arial"/>
                <w:sz w:val="22"/>
                <w:szCs w:val="22"/>
              </w:rPr>
              <w:t xml:space="preserve">irth weight 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-0.042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0.201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-0.210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0.835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-0.435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0.352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7582B">
              <w:rPr>
                <w:rFonts w:ascii="Arial" w:hAnsi="Arial" w:cs="Arial"/>
                <w:sz w:val="22"/>
                <w:szCs w:val="22"/>
              </w:rPr>
              <w:t>aternal age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0.025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1.250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0.210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-0.014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0.065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Later-born by  birth weight interaction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0.642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0.263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2.440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0.015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0.126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1.158</w:t>
            </w:r>
          </w:p>
        </w:tc>
      </w:tr>
      <w:tr w:rsidR="0093351F" w:rsidRPr="00C7582B" w:rsidTr="00191223">
        <w:trPr>
          <w:trHeight w:val="300"/>
        </w:trPr>
        <w:tc>
          <w:tcPr>
            <w:tcW w:w="3024" w:type="dxa"/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Later-born by paternal age  interaction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-0.056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0.026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-2.130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D581D" w:rsidRDefault="0093351F" w:rsidP="00191223">
            <w:pPr>
              <w:bidi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81D">
              <w:rPr>
                <w:rFonts w:ascii="Arial" w:hAnsi="Arial" w:cs="Arial"/>
                <w:b/>
                <w:bCs/>
                <w:sz w:val="22"/>
                <w:szCs w:val="22"/>
              </w:rPr>
              <w:t>0.033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-0.108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93351F" w:rsidRPr="00C7582B" w:rsidRDefault="0093351F" w:rsidP="001912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C7582B">
              <w:rPr>
                <w:rFonts w:ascii="Arial" w:hAnsi="Arial" w:cs="Arial"/>
                <w:sz w:val="22"/>
                <w:szCs w:val="22"/>
              </w:rPr>
              <w:t>-0.005</w:t>
            </w:r>
          </w:p>
        </w:tc>
      </w:tr>
    </w:tbl>
    <w:p w:rsidR="0093351F" w:rsidRPr="00285BB4" w:rsidRDefault="0093351F" w:rsidP="0093351F">
      <w:pPr>
        <w:bidi w:val="0"/>
        <w:rPr>
          <w:rFonts w:ascii="Arial" w:hAnsi="Arial" w:cs="Arial"/>
          <w:sz w:val="22"/>
          <w:szCs w:val="22"/>
        </w:rPr>
      </w:pPr>
    </w:p>
    <w:p w:rsidR="0093351F" w:rsidRPr="00285BB4" w:rsidRDefault="0093351F" w:rsidP="0093351F">
      <w:pPr>
        <w:bidi w:val="0"/>
        <w:rPr>
          <w:rFonts w:ascii="Arial" w:hAnsi="Arial" w:cs="Arial"/>
          <w:sz w:val="22"/>
          <w:szCs w:val="22"/>
          <w:rtl/>
        </w:rPr>
      </w:pP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>
        <w:rPr>
          <w:rFonts w:ascii="Arial" w:hAnsi="Arial"/>
        </w:rPr>
        <w:br w:type="page"/>
      </w:r>
    </w:p>
    <w:p w:rsidR="0093351F" w:rsidRPr="00B87284" w:rsidRDefault="0093351F" w:rsidP="0093351F">
      <w:pPr>
        <w:pStyle w:val="MediumShading1-Accent11"/>
        <w:rPr>
          <w:rFonts w:ascii="Arial" w:hAnsi="Arial"/>
          <w:b/>
          <w:bCs/>
        </w:rPr>
      </w:pPr>
      <w:proofErr w:type="gramStart"/>
      <w:r w:rsidRPr="00B87284">
        <w:rPr>
          <w:rFonts w:ascii="Arial" w:hAnsi="Arial"/>
          <w:b/>
          <w:bCs/>
        </w:rPr>
        <w:lastRenderedPageBreak/>
        <w:t>Supplementary Figure 1.</w:t>
      </w:r>
      <w:proofErr w:type="gramEnd"/>
      <w:r w:rsidRPr="00B87284">
        <w:rPr>
          <w:rFonts w:ascii="Arial" w:hAnsi="Arial"/>
          <w:b/>
          <w:bCs/>
        </w:rPr>
        <w:t xml:space="preserve"> Hazard ratios (●) and 95% </w:t>
      </w:r>
      <w:r w:rsidRPr="002371D3">
        <w:rPr>
          <w:rFonts w:ascii="Arial" w:hAnsi="Arial"/>
          <w:b/>
          <w:bCs/>
        </w:rPr>
        <w:t>confidence interval</w:t>
      </w:r>
      <w:r w:rsidRPr="00B87284">
        <w:rPr>
          <w:rFonts w:ascii="Arial" w:hAnsi="Arial"/>
          <w:b/>
          <w:bCs/>
        </w:rPr>
        <w:t xml:space="preserve"> for successive birth order (N = 180,549).  Panel </w:t>
      </w:r>
      <w:proofErr w:type="gramStart"/>
      <w:r w:rsidRPr="00B87284">
        <w:rPr>
          <w:rFonts w:ascii="Arial" w:hAnsi="Arial"/>
          <w:b/>
          <w:bCs/>
        </w:rPr>
        <w:t>A</w:t>
      </w:r>
      <w:proofErr w:type="gramEnd"/>
      <w:r w:rsidRPr="00B87284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shows</w:t>
      </w:r>
      <w:r w:rsidRPr="00B87284">
        <w:rPr>
          <w:rFonts w:ascii="Arial" w:hAnsi="Arial"/>
          <w:b/>
          <w:bCs/>
        </w:rPr>
        <w:t xml:space="preserve"> unadjusted leukemia, panel B </w:t>
      </w:r>
      <w:r>
        <w:rPr>
          <w:rFonts w:ascii="Arial" w:hAnsi="Arial"/>
          <w:b/>
          <w:bCs/>
        </w:rPr>
        <w:t>shows</w:t>
      </w:r>
      <w:r w:rsidRPr="00B87284">
        <w:rPr>
          <w:rFonts w:ascii="Arial" w:hAnsi="Arial"/>
          <w:b/>
          <w:bCs/>
        </w:rPr>
        <w:t xml:space="preserve"> unadjusted acute lymphoblastic leukemia (ALL), panel C </w:t>
      </w:r>
      <w:r>
        <w:rPr>
          <w:rFonts w:ascii="Arial" w:hAnsi="Arial"/>
          <w:b/>
          <w:bCs/>
        </w:rPr>
        <w:t>shows</w:t>
      </w:r>
      <w:r w:rsidRPr="00B87284">
        <w:rPr>
          <w:rFonts w:ascii="Arial" w:hAnsi="Arial"/>
          <w:b/>
          <w:bCs/>
        </w:rPr>
        <w:t xml:space="preserve"> adjusted leukemia, and panel D </w:t>
      </w:r>
      <w:r>
        <w:rPr>
          <w:rFonts w:ascii="Arial" w:hAnsi="Arial"/>
          <w:b/>
          <w:bCs/>
        </w:rPr>
        <w:t>shows</w:t>
      </w:r>
      <w:r w:rsidRPr="00B87284">
        <w:rPr>
          <w:rFonts w:ascii="Arial" w:hAnsi="Arial"/>
          <w:b/>
          <w:bCs/>
        </w:rPr>
        <w:t xml:space="preserve"> adjusted ALL.  Hazard ratios in panels C and D are adjusted for sex of child, continuous birth weight, continuous maternal age, and maternal secondary education (yes vs. no).</w:t>
      </w:r>
    </w:p>
    <w:p w:rsidR="0093351F" w:rsidRPr="00B87284" w:rsidRDefault="0093351F" w:rsidP="0093351F">
      <w:pPr>
        <w:pStyle w:val="MediumShading1-Accent11"/>
        <w:rPr>
          <w:rFonts w:ascii="Arial" w:hAnsi="Arial"/>
          <w:b/>
          <w:bCs/>
        </w:rPr>
      </w:pP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>
        <w:rPr>
          <w:rFonts w:ascii="Arial" w:hAnsi="Arial"/>
          <w:noProof/>
          <w:lang w:bidi="he-I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6279515" cy="4572635"/>
            <wp:effectExtent l="0" t="0" r="698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515" cy="457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lang w:bidi="he-IL"/>
        </w:rPr>
        <mc:AlternateContent>
          <mc:Choice Requires="wps">
            <w:drawing>
              <wp:inline distT="0" distB="0" distL="0" distR="0">
                <wp:extent cx="3638550" cy="264795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38550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style="width:286.5pt;height:2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>P-values for linear trend in birth order hazard ratios</w:t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 xml:space="preserve">  </w:t>
      </w:r>
      <w:r w:rsidRPr="0042730D">
        <w:rPr>
          <w:rFonts w:ascii="Arial" w:hAnsi="Arial"/>
        </w:rPr>
        <w:tab/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 xml:space="preserve">Panel A = 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  <w:t>0.047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 xml:space="preserve">Panel B = 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  <w:t>0.055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 xml:space="preserve">Panel C = 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  <w:t>0.105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 w:rsidRPr="0042730D">
        <w:rPr>
          <w:rFonts w:ascii="Arial" w:hAnsi="Arial"/>
        </w:rPr>
        <w:t xml:space="preserve">Panel D = 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  <w:t>0.093</w:t>
      </w:r>
      <w:r w:rsidRPr="0042730D">
        <w:rPr>
          <w:rFonts w:ascii="Arial" w:hAnsi="Arial"/>
        </w:rPr>
        <w:tab/>
      </w:r>
      <w:r w:rsidRPr="0042730D">
        <w:rPr>
          <w:rFonts w:ascii="Arial" w:hAnsi="Arial"/>
        </w:rPr>
        <w:tab/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Default="0093351F" w:rsidP="0093351F">
      <w:pPr>
        <w:pStyle w:val="MediumShading1-Accent11"/>
        <w:rPr>
          <w:rFonts w:ascii="Arial" w:hAnsi="Arial"/>
        </w:rPr>
      </w:pP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>
        <w:rPr>
          <w:rFonts w:ascii="Arial" w:hAnsi="Arial"/>
        </w:rPr>
        <w:t>\</w:t>
      </w:r>
    </w:p>
    <w:p w:rsidR="0093351F" w:rsidRPr="00B87284" w:rsidRDefault="0093351F" w:rsidP="0093351F">
      <w:pPr>
        <w:pStyle w:val="MediumShading1-Accent11"/>
        <w:rPr>
          <w:rFonts w:ascii="Arial" w:hAnsi="Arial"/>
          <w:b/>
          <w:bCs/>
        </w:rPr>
      </w:pPr>
      <w:proofErr w:type="gramStart"/>
      <w:r w:rsidRPr="00B87284">
        <w:rPr>
          <w:rFonts w:ascii="Arial" w:hAnsi="Arial"/>
          <w:b/>
          <w:bCs/>
        </w:rPr>
        <w:lastRenderedPageBreak/>
        <w:t>Supplementary Figure 2.</w:t>
      </w:r>
      <w:proofErr w:type="gramEnd"/>
      <w:r w:rsidRPr="00B87284">
        <w:rPr>
          <w:rFonts w:ascii="Arial" w:hAnsi="Arial"/>
          <w:b/>
          <w:bCs/>
        </w:rPr>
        <w:t xml:space="preserve"> Hazard ratios (●) and 95% </w:t>
      </w:r>
      <w:r w:rsidRPr="002371D3">
        <w:rPr>
          <w:rFonts w:ascii="Arial" w:hAnsi="Arial"/>
          <w:b/>
          <w:bCs/>
        </w:rPr>
        <w:t>confidence interval</w:t>
      </w:r>
      <w:bookmarkStart w:id="0" w:name="_GoBack"/>
      <w:bookmarkEnd w:id="0"/>
      <w:r w:rsidRPr="00B87284">
        <w:rPr>
          <w:rFonts w:ascii="Arial" w:hAnsi="Arial"/>
          <w:b/>
          <w:bCs/>
        </w:rPr>
        <w:t xml:space="preserve"> for successive birth order (N = 112,943</w:t>
      </w:r>
      <w:proofErr w:type="gramStart"/>
      <w:r w:rsidRPr="00B87284">
        <w:rPr>
          <w:rFonts w:ascii="Arial" w:hAnsi="Arial"/>
          <w:b/>
          <w:bCs/>
        </w:rPr>
        <w:t>)  adjusted</w:t>
      </w:r>
      <w:proofErr w:type="gramEnd"/>
      <w:r w:rsidRPr="00B87284">
        <w:rPr>
          <w:rFonts w:ascii="Arial" w:hAnsi="Arial"/>
          <w:b/>
          <w:bCs/>
        </w:rPr>
        <w:t xml:space="preserve"> for sex of child, continuous gestational age and continuous birth weight.</w:t>
      </w:r>
      <w:r w:rsidRPr="00B87284">
        <w:rPr>
          <w:b/>
          <w:bCs/>
        </w:rPr>
        <w:t xml:space="preserve"> </w:t>
      </w:r>
      <w:r w:rsidRPr="00B87284">
        <w:rPr>
          <w:rFonts w:ascii="Arial" w:hAnsi="Arial"/>
          <w:b/>
          <w:bCs/>
        </w:rPr>
        <w:t>Panel A shows leukemia (P for linear trend=0.131) and panel B shows acute lymphoblastic leukemia (ALL) (P for linear trend</w:t>
      </w:r>
      <w:r w:rsidRPr="00B87284">
        <w:rPr>
          <w:b/>
          <w:bCs/>
        </w:rPr>
        <w:t>=</w:t>
      </w:r>
      <w:r w:rsidRPr="00B87284">
        <w:rPr>
          <w:rFonts w:ascii="Arial" w:hAnsi="Arial"/>
          <w:b/>
          <w:bCs/>
        </w:rPr>
        <w:t>0.079)</w:t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  <w:r>
        <w:rPr>
          <w:rFonts w:ascii="Arial" w:hAnsi="Arial"/>
          <w:noProof/>
          <w:lang w:bidi="he-I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6279515" cy="4572635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515" cy="457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lang w:bidi="he-IL"/>
        </w:rPr>
        <mc:AlternateContent>
          <mc:Choice Requires="wps">
            <w:drawing>
              <wp:inline distT="0" distB="0" distL="0" distR="0">
                <wp:extent cx="3638550" cy="264795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38550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286.5pt;height:2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93351F" w:rsidRPr="0042730D" w:rsidRDefault="0093351F" w:rsidP="0093351F">
      <w:pPr>
        <w:pStyle w:val="MediumShading1-Accent11"/>
        <w:rPr>
          <w:rFonts w:ascii="Arial" w:hAnsi="Arial"/>
        </w:rPr>
      </w:pPr>
    </w:p>
    <w:p w:rsidR="0093351F" w:rsidRPr="00654485" w:rsidRDefault="0093351F" w:rsidP="0093351F">
      <w:pPr>
        <w:bidi w:val="0"/>
        <w:rPr>
          <w:rFonts w:ascii="Arial" w:hAnsi="Arial" w:cs="Arial"/>
          <w:color w:val="A6A6A6"/>
          <w:sz w:val="22"/>
          <w:szCs w:val="22"/>
        </w:rPr>
      </w:pPr>
    </w:p>
    <w:p w:rsidR="00AE3DBF" w:rsidRDefault="00AE3DBF"/>
    <w:sectPr w:rsidR="00AE3DBF" w:rsidSect="00EB0861">
      <w:pgSz w:w="12240" w:h="15840" w:code="1"/>
      <w:pgMar w:top="1152" w:right="1800" w:bottom="1152" w:left="180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51F"/>
    <w:rsid w:val="002371D3"/>
    <w:rsid w:val="005C4C3E"/>
    <w:rsid w:val="0093351F"/>
    <w:rsid w:val="00AE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51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351F"/>
    <w:rPr>
      <w:color w:val="0000FF"/>
      <w:u w:val="single"/>
    </w:rPr>
  </w:style>
  <w:style w:type="paragraph" w:customStyle="1" w:styleId="MediumShading1-Accent11">
    <w:name w:val="Medium Shading 1 - Accent 11"/>
    <w:uiPriority w:val="1"/>
    <w:qFormat/>
    <w:rsid w:val="0093351F"/>
    <w:pPr>
      <w:spacing w:after="0" w:line="240" w:lineRule="auto"/>
    </w:pPr>
    <w:rPr>
      <w:rFonts w:ascii="Calibri" w:eastAsia="Calibri" w:hAnsi="Calibri" w:cs="Times New Roman"/>
      <w:lang w:bidi="ar-SA"/>
    </w:rPr>
  </w:style>
  <w:style w:type="paragraph" w:styleId="NoSpacing">
    <w:name w:val="No Spacing"/>
    <w:qFormat/>
    <w:rsid w:val="0093351F"/>
    <w:pPr>
      <w:spacing w:after="0" w:line="240" w:lineRule="auto"/>
    </w:pPr>
    <w:rPr>
      <w:rFonts w:ascii="Calibri" w:eastAsia="Times New Roman" w:hAnsi="Calibri" w:cs="Arial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51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351F"/>
    <w:rPr>
      <w:color w:val="0000FF"/>
      <w:u w:val="single"/>
    </w:rPr>
  </w:style>
  <w:style w:type="paragraph" w:customStyle="1" w:styleId="MediumShading1-Accent11">
    <w:name w:val="Medium Shading 1 - Accent 11"/>
    <w:uiPriority w:val="1"/>
    <w:qFormat/>
    <w:rsid w:val="0093351F"/>
    <w:pPr>
      <w:spacing w:after="0" w:line="240" w:lineRule="auto"/>
    </w:pPr>
    <w:rPr>
      <w:rFonts w:ascii="Calibri" w:eastAsia="Calibri" w:hAnsi="Calibri" w:cs="Times New Roman"/>
      <w:lang w:bidi="ar-SA"/>
    </w:rPr>
  </w:style>
  <w:style w:type="paragraph" w:styleId="NoSpacing">
    <w:name w:val="No Spacing"/>
    <w:qFormat/>
    <w:rsid w:val="0093351F"/>
    <w:pPr>
      <w:spacing w:after="0" w:line="240" w:lineRule="auto"/>
    </w:pPr>
    <w:rPr>
      <w:rFonts w:ascii="Calibri" w:eastAsia="Times New Roman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bris.ac.uk/alspac/researchers/data-access/data-dictionar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פלטיאל אורה - Paltiel Ora</dc:creator>
  <cp:keywords/>
  <dc:description/>
  <cp:lastModifiedBy>פלטיאל אורה - Paltiel Ora</cp:lastModifiedBy>
  <cp:revision>2</cp:revision>
  <dcterms:created xsi:type="dcterms:W3CDTF">2018-03-19T10:23:00Z</dcterms:created>
  <dcterms:modified xsi:type="dcterms:W3CDTF">2018-04-29T09:30:00Z</dcterms:modified>
</cp:coreProperties>
</file>