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55" w:rsidRPr="00D92612" w:rsidRDefault="00E84D55" w:rsidP="00E84D55">
      <w:pPr>
        <w:pStyle w:val="Caption"/>
        <w:rPr>
          <w:lang w:val="en-GB"/>
        </w:rPr>
      </w:pPr>
      <w:bookmarkStart w:id="0" w:name="_GoBack"/>
      <w:bookmarkEnd w:id="0"/>
      <w:r>
        <w:rPr>
          <w:lang w:val="en-GB"/>
        </w:rPr>
        <w:t>Supplementary t</w:t>
      </w:r>
      <w:r w:rsidRPr="00D92612">
        <w:rPr>
          <w:lang w:val="en-GB"/>
        </w:rPr>
        <w:t xml:space="preserve">able </w:t>
      </w:r>
      <w:r>
        <w:rPr>
          <w:lang w:val="en-GB"/>
        </w:rPr>
        <w:t>3. Hazard ratios</w:t>
      </w:r>
      <w:r w:rsidRPr="00D92612">
        <w:rPr>
          <w:lang w:val="en-GB"/>
        </w:rPr>
        <w:t xml:space="preserve"> and 95% co</w:t>
      </w:r>
      <w:r>
        <w:rPr>
          <w:lang w:val="en-GB"/>
        </w:rPr>
        <w:t>nfidence intervals</w:t>
      </w:r>
      <w:r w:rsidRPr="00D92612">
        <w:rPr>
          <w:lang w:val="en-GB"/>
        </w:rPr>
        <w:t xml:space="preserve"> for overall, papillary and follicular thyroid cancer risk according to quartiles of intake of juices in separate analyses by physical activity status and categories of BMI in the EPIC study</w:t>
      </w:r>
    </w:p>
    <w:tbl>
      <w:tblPr>
        <w:tblW w:w="15112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0"/>
        <w:gridCol w:w="891"/>
        <w:gridCol w:w="1141"/>
        <w:gridCol w:w="740"/>
        <w:gridCol w:w="1400"/>
        <w:gridCol w:w="1400"/>
        <w:gridCol w:w="700"/>
        <w:gridCol w:w="780"/>
        <w:gridCol w:w="1400"/>
        <w:gridCol w:w="1400"/>
        <w:gridCol w:w="700"/>
        <w:gridCol w:w="660"/>
        <w:gridCol w:w="1400"/>
        <w:gridCol w:w="1400"/>
        <w:gridCol w:w="700"/>
      </w:tblGrid>
      <w:tr w:rsidR="00E84D55" w:rsidRPr="00045F10" w:rsidTr="009C5593">
        <w:trPr>
          <w:trHeight w:hRule="exact" w:val="315"/>
        </w:trPr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9C0D24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eastAsia="es-ES"/>
              </w:rPr>
            </w:pPr>
            <w:r w:rsidRPr="009C0D24">
              <w:rPr>
                <w:rFonts w:ascii="Cambria" w:hAnsi="Cambria"/>
                <w:color w:val="000000"/>
                <w:szCs w:val="24"/>
                <w:lang w:eastAsia="es-E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9C0D24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eastAsia="es-ES"/>
              </w:rPr>
            </w:pPr>
            <w:r w:rsidRPr="009C0D24">
              <w:rPr>
                <w:rFonts w:ascii="Cambria" w:hAnsi="Cambria"/>
                <w:color w:val="000000"/>
                <w:szCs w:val="24"/>
                <w:lang w:eastAsia="es-ES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9C0D24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eastAsia="es-ES"/>
              </w:rPr>
            </w:pPr>
            <w:r w:rsidRPr="009C0D24">
              <w:rPr>
                <w:rFonts w:ascii="Cambria" w:hAnsi="Cambria"/>
                <w:color w:val="000000"/>
                <w:szCs w:val="24"/>
                <w:lang w:eastAsia="es-ES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E84D55" w:rsidRPr="009C0D24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eastAsia="es-ES"/>
              </w:rPr>
            </w:pPr>
            <w:r w:rsidRPr="009C0D24">
              <w:rPr>
                <w:rFonts w:ascii="Cambria" w:hAnsi="Cambria"/>
                <w:color w:val="000000"/>
                <w:szCs w:val="24"/>
                <w:lang w:eastAsia="es-ES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Overall differentiated TC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Papillary TC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FollicularTC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No of cases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 xml:space="preserve">Model </w:t>
            </w:r>
            <w:r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A</w:t>
            </w: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vertAlign w:val="superscript"/>
                <w:lang w:val="en-GB" w:eastAsia="es-ES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 xml:space="preserve">Model </w:t>
            </w:r>
            <w:r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B2</w:t>
            </w:r>
            <w:r>
              <w:rPr>
                <w:b/>
                <w:bCs/>
                <w:color w:val="000000"/>
                <w:sz w:val="18"/>
                <w:szCs w:val="18"/>
                <w:vertAlign w:val="superscript"/>
                <w:lang w:val="en-GB" w:eastAsia="es-ES"/>
              </w:rPr>
              <w:t>b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P-value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No of cases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 xml:space="preserve">Model </w:t>
            </w:r>
            <w:r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A</w:t>
            </w: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vertAlign w:val="superscript"/>
                <w:lang w:val="en-GB" w:eastAsia="es-ES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 xml:space="preserve">Model </w:t>
            </w:r>
            <w:r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B2</w:t>
            </w:r>
            <w:r>
              <w:rPr>
                <w:b/>
                <w:bCs/>
                <w:color w:val="000000"/>
                <w:sz w:val="18"/>
                <w:szCs w:val="18"/>
                <w:vertAlign w:val="superscript"/>
                <w:lang w:val="en-GB" w:eastAsia="es-ES"/>
              </w:rPr>
              <w:t>b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P-value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No of cases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 xml:space="preserve">Model </w:t>
            </w:r>
            <w:r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A</w:t>
            </w: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vertAlign w:val="superscript"/>
                <w:lang w:val="en-GB" w:eastAsia="es-ES"/>
              </w:rPr>
              <w:t>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 xml:space="preserve">Model </w:t>
            </w:r>
            <w:r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B2</w:t>
            </w:r>
            <w:r>
              <w:rPr>
                <w:b/>
                <w:bCs/>
                <w:color w:val="000000"/>
                <w:sz w:val="18"/>
                <w:szCs w:val="18"/>
                <w:vertAlign w:val="superscript"/>
                <w:lang w:val="en-GB" w:eastAsia="es-ES"/>
              </w:rPr>
              <w:t>b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P-value</w:t>
            </w:r>
          </w:p>
        </w:tc>
      </w:tr>
      <w:tr w:rsidR="00E84D55" w:rsidRPr="00045F10" w:rsidTr="009C5593">
        <w:trPr>
          <w:trHeight w:hRule="exact" w:val="31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Intake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HR (95% CI)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HR (95% CI)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HR (95% CI)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HR (95% CI)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HR (95% CI)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HR (95% CI)</w:t>
            </w:r>
          </w:p>
        </w:tc>
        <w:tc>
          <w:tcPr>
            <w:tcW w:w="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E84D55" w:rsidRPr="00045F10" w:rsidTr="009C5593">
        <w:trPr>
          <w:trHeight w:hRule="exact" w:val="300"/>
        </w:trPr>
        <w:tc>
          <w:tcPr>
            <w:tcW w:w="3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Physically inactive</w:t>
            </w:r>
            <w:r w:rsidRPr="00045F10">
              <w:rPr>
                <w:b/>
                <w:bCs/>
                <w:color w:val="000000"/>
                <w:sz w:val="18"/>
                <w:szCs w:val="18"/>
                <w:vertAlign w:val="superscript"/>
                <w:lang w:val="en-GB" w:eastAsia="es-ES"/>
              </w:rPr>
              <w:t xml:space="preserve"> </w:t>
            </w:r>
            <w:r w:rsidRPr="00045F10">
              <w:rPr>
                <w:color w:val="000000"/>
                <w:sz w:val="18"/>
                <w:szCs w:val="18"/>
                <w:lang w:val="en-GB" w:eastAsia="es-ES"/>
              </w:rPr>
              <w:t>(n=256,627)</w:t>
            </w:r>
          </w:p>
          <w:p w:rsidR="00E84D55" w:rsidRPr="00045F10" w:rsidRDefault="00E84D55" w:rsidP="009C5593">
            <w:pPr>
              <w:suppressAutoHyphens w:val="0"/>
              <w:jc w:val="left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hRule="exact"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Quartile 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&lt;0.3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 (ref)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 (ref)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 (ref)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 (ref)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 (ref)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 (ref)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hRule="exact"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Quartile 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0.3-16.4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1.05 (0.79-1.41)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1.05 (0.79-1.41)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71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1.01 (0.73-1.41)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1.01 (0.73-1.40)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1.23 (0.59-2.55)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1.27 (0.61-2.63)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hRule="exact"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Quartile 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16.5-78.6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1.17 (0.89-1.53)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1.17 (0.90-1.54)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1.16 (0.86-1.57)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1.16 (0.86-1.56)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1.30 (0.63-2.67)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1.39 (0.67-2.87)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hRule="exact"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Quartile 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&gt;78.6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1.30 (0.99-1.71)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1.31 (0.99-1.72)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1.24 (0.91-1.68)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1.23 (0.90-1.67)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1.02 (0.48-2.18)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1.12 (0.51-2.42)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P-trend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84D55" w:rsidRPr="00045F10" w:rsidRDefault="004A4181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val="en-GB" w:eastAsia="es-ES"/>
              </w:rPr>
              <w:t>Observed continuous (per</w:t>
            </w:r>
            <w:r w:rsidR="00E84D55" w:rsidRPr="00045F10">
              <w:rPr>
                <w:color w:val="000000"/>
                <w:sz w:val="18"/>
                <w:szCs w:val="18"/>
                <w:lang w:val="en-GB" w:eastAsia="es-ES"/>
              </w:rPr>
              <w:t xml:space="preserve"> 50g/d)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1.04 (1.00-1.08)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1.04 (1.00-1.08)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0.19</w:t>
            </w:r>
            <w:r>
              <w:rPr>
                <w:color w:val="000000"/>
                <w:sz w:val="18"/>
                <w:szCs w:val="18"/>
                <w:vertAlign w:val="superscript"/>
                <w:lang w:val="en-GB" w:eastAsia="es-ES"/>
              </w:rPr>
              <w:t>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1.05 (1.00-1.09)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1.04 (1.00-1.09)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0.20</w:t>
            </w:r>
            <w:r>
              <w:rPr>
                <w:color w:val="000000"/>
                <w:sz w:val="18"/>
                <w:szCs w:val="18"/>
                <w:vertAlign w:val="superscript"/>
                <w:lang w:val="en-GB" w:eastAsia="es-ES"/>
              </w:rPr>
              <w:t>c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0.98 (0.87-1.10)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0.98 (0.87-1.10)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0.15</w:t>
            </w:r>
            <w:r>
              <w:rPr>
                <w:color w:val="000000"/>
                <w:sz w:val="18"/>
                <w:szCs w:val="18"/>
                <w:vertAlign w:val="superscript"/>
                <w:lang w:val="en-GB" w:eastAsia="es-ES"/>
              </w:rPr>
              <w:t>c</w:t>
            </w:r>
          </w:p>
        </w:tc>
      </w:tr>
      <w:tr w:rsidR="00E84D55" w:rsidRPr="00045F10" w:rsidTr="009C559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Calibrated contin</w:t>
            </w:r>
            <w:r>
              <w:rPr>
                <w:color w:val="000000"/>
                <w:sz w:val="18"/>
                <w:szCs w:val="18"/>
                <w:lang w:val="en-GB" w:eastAsia="es-ES"/>
              </w:rPr>
              <w:t>u</w:t>
            </w:r>
            <w:r w:rsidR="004A4181">
              <w:rPr>
                <w:color w:val="000000"/>
                <w:sz w:val="18"/>
                <w:szCs w:val="18"/>
                <w:lang w:val="en-GB" w:eastAsia="es-ES"/>
              </w:rPr>
              <w:t>ous (per</w:t>
            </w:r>
            <w:r w:rsidRPr="00045F10">
              <w:rPr>
                <w:color w:val="000000"/>
                <w:sz w:val="18"/>
                <w:szCs w:val="18"/>
                <w:lang w:val="en-GB" w:eastAsia="es-ES"/>
              </w:rPr>
              <w:t xml:space="preserve"> 50g/d)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1.03 (0.94-1.14)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1.03 (0.94-1.13)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0.20</w:t>
            </w:r>
            <w:r>
              <w:rPr>
                <w:color w:val="000000"/>
                <w:sz w:val="18"/>
                <w:szCs w:val="18"/>
                <w:vertAlign w:val="superscript"/>
                <w:lang w:val="en-GB" w:eastAsia="es-ES"/>
              </w:rPr>
              <w:t>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1.06 (0.95-1.18)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1.06 (0.95-1.18)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0.14</w:t>
            </w:r>
            <w:r>
              <w:rPr>
                <w:color w:val="000000"/>
                <w:sz w:val="18"/>
                <w:szCs w:val="18"/>
                <w:vertAlign w:val="superscript"/>
                <w:lang w:val="en-GB" w:eastAsia="es-ES"/>
              </w:rPr>
              <w:t>c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0.95 (0.76-1.20)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0.95 (0.76-1.19)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0.58</w:t>
            </w:r>
            <w:r>
              <w:rPr>
                <w:color w:val="000000"/>
                <w:sz w:val="18"/>
                <w:szCs w:val="18"/>
                <w:vertAlign w:val="superscript"/>
                <w:lang w:val="en-GB" w:eastAsia="es-ES"/>
              </w:rPr>
              <w:t>c</w:t>
            </w:r>
          </w:p>
        </w:tc>
      </w:tr>
      <w:tr w:rsidR="00E84D55" w:rsidRPr="00045F10" w:rsidTr="009C5593">
        <w:trPr>
          <w:trHeight w:hRule="exact" w:val="300"/>
        </w:trPr>
        <w:tc>
          <w:tcPr>
            <w:tcW w:w="2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Physically active</w:t>
            </w:r>
            <w:r w:rsidRPr="00045F10">
              <w:rPr>
                <w:b/>
                <w:bCs/>
                <w:color w:val="000000"/>
                <w:sz w:val="18"/>
                <w:szCs w:val="18"/>
                <w:vertAlign w:val="superscript"/>
                <w:lang w:val="en-GB" w:eastAsia="es-ES"/>
              </w:rPr>
              <w:t xml:space="preserve"> </w:t>
            </w:r>
            <w:r w:rsidRPr="00045F10">
              <w:rPr>
                <w:color w:val="000000"/>
                <w:sz w:val="18"/>
                <w:szCs w:val="18"/>
                <w:lang w:val="en-GB" w:eastAsia="es-ES"/>
              </w:rPr>
              <w:t>(n=210,657)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hRule="exact"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Quartile 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&lt;1.7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 (ref)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 (ref)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 (ref)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 (ref)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 (ref)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 (ref)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hRule="exact"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Quartile 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1.7-28.6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0.98 (0.69-1.40)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0.98 (0.69-1.40)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1.00 (0.68-1.47)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0.99 (0.67-1.48)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1.45 (0.51-4.08)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1.52 (0.54-4.32)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hRule="exact"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Quartile 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28.7-100.1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76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1.07 (0.77-1.50)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1.08 (0.77-1.51)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1.04 (0.72-1.50)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0.78 (0.50-1.20)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1.58 (0.58-4.28)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1.64 (0.60-4.48)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hRule="exact"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Quartile 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&gt;100.1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0.97 (0.69-1.39)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1.00 (0.70-1.42)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0.90 (0.61-1.32)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0.69 (0.45-1.08)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2.39 (0.91-6.28)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2.63 (0.98-7.02)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P-trend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0.54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84D55" w:rsidRPr="00045F10" w:rsidRDefault="004A4181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val="en-GB" w:eastAsia="es-ES"/>
              </w:rPr>
              <w:t>Observed continuous (per</w:t>
            </w:r>
            <w:r w:rsidR="00E84D55" w:rsidRPr="00045F10">
              <w:rPr>
                <w:color w:val="000000"/>
                <w:sz w:val="18"/>
                <w:szCs w:val="18"/>
                <w:lang w:val="en-GB" w:eastAsia="es-ES"/>
              </w:rPr>
              <w:t xml:space="preserve"> 50g/d)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0.99 (0.94-1.05)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1.00 (0.94-1.06)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0.98 (0.91-1.05)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0.98 (0.91-1.05)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1.05 (0.96-1.15)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1.07 (0.97-1.19)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</w:tr>
      <w:tr w:rsidR="00E84D55" w:rsidRPr="00045F10" w:rsidTr="009C559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Calibrated contin</w:t>
            </w:r>
            <w:r>
              <w:rPr>
                <w:color w:val="000000"/>
                <w:sz w:val="18"/>
                <w:szCs w:val="18"/>
                <w:lang w:val="en-GB" w:eastAsia="es-ES"/>
              </w:rPr>
              <w:t>u</w:t>
            </w:r>
            <w:r w:rsidR="004A4181">
              <w:rPr>
                <w:color w:val="000000"/>
                <w:sz w:val="18"/>
                <w:szCs w:val="18"/>
                <w:lang w:val="en-GB" w:eastAsia="es-ES"/>
              </w:rPr>
              <w:t>ous (per</w:t>
            </w:r>
            <w:r w:rsidRPr="00045F10">
              <w:rPr>
                <w:color w:val="000000"/>
                <w:sz w:val="18"/>
                <w:szCs w:val="18"/>
                <w:lang w:val="en-GB" w:eastAsia="es-ES"/>
              </w:rPr>
              <w:t xml:space="preserve"> 50g/d)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0.93 (0.80-1.08)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0.93 (0.80-1.08)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0.92 (0.77-1.10)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0.92 (0.77-1.09)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1.01 (0.80-1.27)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1.03 (0.81-1.31)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</w:tr>
      <w:tr w:rsidR="00E84D55" w:rsidRPr="00045F10" w:rsidTr="009C5593">
        <w:trPr>
          <w:trHeight w:hRule="exact" w:val="300"/>
        </w:trPr>
        <w:tc>
          <w:tcPr>
            <w:tcW w:w="2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BMI&lt;25</w:t>
            </w:r>
            <w:r w:rsidRPr="00045F10">
              <w:rPr>
                <w:b/>
                <w:bCs/>
                <w:color w:val="000000"/>
                <w:sz w:val="18"/>
                <w:szCs w:val="18"/>
                <w:vertAlign w:val="superscript"/>
                <w:lang w:val="en-GB" w:eastAsia="es-ES"/>
              </w:rPr>
              <w:t xml:space="preserve"> </w:t>
            </w:r>
            <w:r w:rsidRPr="00045F10">
              <w:rPr>
                <w:color w:val="000000"/>
                <w:sz w:val="18"/>
                <w:szCs w:val="18"/>
                <w:lang w:val="en-GB" w:eastAsia="es-ES"/>
              </w:rPr>
              <w:t>(n=246,028)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hRule="exact"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Quartile 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&lt;1.2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1(ref)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1(ref)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93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1(ref)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1(ref)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1(ref)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1(ref)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hRule="exact"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Quartile 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1.2-27.6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78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0.92 (0.68-1.25)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0.93 (0.68-1.26)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0.86 (0.61-1.20)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0.87 (0.62-1.21)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1.98 (0.80-4.87)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1.95 (0.79-4.80)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hRule="exact"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Quartile 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27.7-100.1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1.11 (0.84-1.48)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1.13 (0.85-1.51)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81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1.11 (0.82-1.52)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1.14 (0.83-1.55)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1.48 (0.58-3.77)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1.46 (0.57-3.73)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hRule="exact"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Quartile 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&gt;100.1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1.39 (1.05-1.84)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1.43 (1.08-1.89)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89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1.29 (0.95-1.76)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1.33 (0.98-1.82)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2.61 (1.09-6.23)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2.64 (1.09-6.38)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lastRenderedPageBreak/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P-trend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0.004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0.06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center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84D55" w:rsidRPr="00045F10" w:rsidRDefault="004A4181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val="en-GB" w:eastAsia="es-ES"/>
              </w:rPr>
              <w:t>Observed continuous (per</w:t>
            </w:r>
            <w:r w:rsidR="00E84D55" w:rsidRPr="00045F10">
              <w:rPr>
                <w:color w:val="000000"/>
                <w:sz w:val="18"/>
                <w:szCs w:val="18"/>
                <w:lang w:val="en-GB" w:eastAsia="es-ES"/>
              </w:rPr>
              <w:t xml:space="preserve"> 50g/d)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1.04 (1.00-1.09)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1.05 (1.00-1.09)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0.05</w:t>
            </w:r>
            <w:r>
              <w:rPr>
                <w:color w:val="000000"/>
                <w:sz w:val="18"/>
                <w:szCs w:val="18"/>
                <w:vertAlign w:val="superscript"/>
                <w:lang w:val="en-GB" w:eastAsia="es-ES"/>
              </w:rPr>
              <w:t>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1.04 (1.00-1.08)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1.05 (1.00-1.10)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0.05</w:t>
            </w:r>
            <w:r>
              <w:rPr>
                <w:color w:val="000000"/>
                <w:sz w:val="18"/>
                <w:szCs w:val="18"/>
                <w:vertAlign w:val="superscript"/>
                <w:lang w:val="en-GB" w:eastAsia="es-ES"/>
              </w:rPr>
              <w:t>d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1.05 (0.95-1.15)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1.04 (0.95-1.15)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0.20</w:t>
            </w:r>
            <w:r>
              <w:rPr>
                <w:color w:val="000000"/>
                <w:sz w:val="18"/>
                <w:szCs w:val="18"/>
                <w:vertAlign w:val="superscript"/>
                <w:lang w:val="en-GB" w:eastAsia="es-ES"/>
              </w:rPr>
              <w:t>d</w:t>
            </w:r>
          </w:p>
        </w:tc>
      </w:tr>
      <w:tr w:rsidR="00E84D55" w:rsidRPr="00045F10" w:rsidTr="009C559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Calibrated contin</w:t>
            </w:r>
            <w:r>
              <w:rPr>
                <w:color w:val="000000"/>
                <w:sz w:val="18"/>
                <w:szCs w:val="18"/>
                <w:lang w:val="en-GB" w:eastAsia="es-ES"/>
              </w:rPr>
              <w:t>u</w:t>
            </w:r>
            <w:r w:rsidR="004A4181">
              <w:rPr>
                <w:color w:val="000000"/>
                <w:sz w:val="18"/>
                <w:szCs w:val="18"/>
                <w:lang w:val="en-GB" w:eastAsia="es-ES"/>
              </w:rPr>
              <w:t>ous (per</w:t>
            </w:r>
            <w:r w:rsidRPr="00045F10">
              <w:rPr>
                <w:color w:val="000000"/>
                <w:sz w:val="18"/>
                <w:szCs w:val="18"/>
                <w:lang w:val="en-GB" w:eastAsia="es-ES"/>
              </w:rPr>
              <w:t xml:space="preserve"> 50g/d)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1.00 (0.88-1.13)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1.00 (0.88-1.13)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0.87</w:t>
            </w:r>
            <w:r>
              <w:rPr>
                <w:color w:val="000000"/>
                <w:sz w:val="18"/>
                <w:szCs w:val="18"/>
                <w:vertAlign w:val="superscript"/>
                <w:lang w:val="en-GB" w:eastAsia="es-ES"/>
              </w:rPr>
              <w:t>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0.99 (0.85-1.15)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0.99 (0.85-1.16)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0.78</w:t>
            </w:r>
            <w:r>
              <w:rPr>
                <w:color w:val="000000"/>
                <w:sz w:val="18"/>
                <w:szCs w:val="18"/>
                <w:vertAlign w:val="superscript"/>
                <w:lang w:val="en-GB" w:eastAsia="es-ES"/>
              </w:rPr>
              <w:t>d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1.05 (0.85-1.30)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1.04 (0.84-1.29)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0.46</w:t>
            </w:r>
            <w:r>
              <w:rPr>
                <w:color w:val="000000"/>
                <w:sz w:val="18"/>
                <w:szCs w:val="18"/>
                <w:vertAlign w:val="superscript"/>
                <w:lang w:val="en-GB" w:eastAsia="es-ES"/>
              </w:rPr>
              <w:t>d</w:t>
            </w:r>
          </w:p>
        </w:tc>
      </w:tr>
      <w:tr w:rsidR="00E84D55" w:rsidRPr="00045F10" w:rsidTr="009C5593">
        <w:trPr>
          <w:trHeight w:hRule="exact" w:val="300"/>
        </w:trPr>
        <w:tc>
          <w:tcPr>
            <w:tcW w:w="2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n-GB" w:eastAsia="es-ES"/>
              </w:rPr>
              <w:t>BMI≥25</w:t>
            </w:r>
            <w:r w:rsidRPr="00045F10">
              <w:rPr>
                <w:b/>
                <w:bCs/>
                <w:color w:val="000000"/>
                <w:sz w:val="18"/>
                <w:szCs w:val="18"/>
                <w:vertAlign w:val="superscript"/>
                <w:lang w:val="en-GB" w:eastAsia="es-ES"/>
              </w:rPr>
              <w:t xml:space="preserve"> </w:t>
            </w:r>
            <w:r w:rsidRPr="00045F10">
              <w:rPr>
                <w:color w:val="000000"/>
                <w:sz w:val="18"/>
                <w:szCs w:val="18"/>
                <w:lang w:val="en-GB" w:eastAsia="es-ES"/>
              </w:rPr>
              <w:t>(n=230,079)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b/>
                <w:bCs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hRule="exact"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Quartile 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&lt;0.57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1(ref)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1(ref)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1(ref)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1(ref)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1(ref)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1(ref)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hRule="exact"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Quartile 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0.57-15.8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76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1.09 (0.78-1.52)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1.09 (0.78-1.52)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58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1.05 (0.72-1.54)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1.05 (0.72-1.54)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1.20 (0.55-2.61)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1.23 (0.56-2.68)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hRule="exact"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Quartile 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15.9-75.91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97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1.25 (0.91-1.71)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1.26 (0.91-1.73)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77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1.22 (0.86-1.74)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1.21 (0.85-1.73)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1.16 (0.52-2.61)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1.26 (0.56-2.86)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hRule="exact"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Quartile 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&gt;75.91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81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1.04 (0.75-1.46)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1.06 (0.75-1.48)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0.98 (0.67-1.43)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0.96 (0.66-1.41)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0.98 (0.42-2.25)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1.10 (0.48-2.56)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P-trend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0.71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0.76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84D55" w:rsidRPr="00045F10" w:rsidRDefault="00E84D55" w:rsidP="009C5593">
            <w:pPr>
              <w:suppressAutoHyphens w:val="0"/>
              <w:jc w:val="left"/>
              <w:rPr>
                <w:rFonts w:ascii="Cambria" w:hAnsi="Cambria"/>
                <w:color w:val="000000"/>
                <w:szCs w:val="24"/>
                <w:lang w:val="es-ES" w:eastAsia="es-ES"/>
              </w:rPr>
            </w:pPr>
            <w:r w:rsidRPr="00045F10">
              <w:rPr>
                <w:rFonts w:ascii="Cambria" w:hAnsi="Cambria"/>
                <w:color w:val="000000"/>
                <w:szCs w:val="24"/>
                <w:lang w:val="es-ES" w:eastAsia="es-ES"/>
              </w:rPr>
              <w:t> </w:t>
            </w:r>
          </w:p>
        </w:tc>
      </w:tr>
      <w:tr w:rsidR="00E84D55" w:rsidRPr="00045F10" w:rsidTr="009C559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84D55" w:rsidRPr="00045F10" w:rsidRDefault="004A4181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val="en-GB" w:eastAsia="es-ES"/>
              </w:rPr>
              <w:t>Observed continuous (per</w:t>
            </w:r>
            <w:r w:rsidR="00E84D55" w:rsidRPr="00045F10">
              <w:rPr>
                <w:color w:val="000000"/>
                <w:sz w:val="18"/>
                <w:szCs w:val="18"/>
                <w:lang w:val="en-GB" w:eastAsia="es-ES"/>
              </w:rPr>
              <w:t xml:space="preserve"> 50g/d)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0.99 (0.94-1.05)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0.99 (0.94-1.05)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0.99 (0.94-1.06)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0.99 (0.93-1.05)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0.98 (0.85-1.12)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0.99 (0.87-1.14)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</w:tr>
      <w:tr w:rsidR="00E84D55" w:rsidRPr="00045F10" w:rsidTr="009C559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2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4D55" w:rsidRPr="00045F10" w:rsidRDefault="00E84D55" w:rsidP="009C5593">
            <w:pPr>
              <w:suppressAutoHyphens w:val="0"/>
              <w:jc w:val="left"/>
              <w:rPr>
                <w:color w:val="000000"/>
                <w:sz w:val="18"/>
                <w:szCs w:val="18"/>
                <w:lang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Calibrated contin</w:t>
            </w:r>
            <w:r>
              <w:rPr>
                <w:color w:val="000000"/>
                <w:sz w:val="18"/>
                <w:szCs w:val="18"/>
                <w:lang w:val="en-GB" w:eastAsia="es-ES"/>
              </w:rPr>
              <w:t>u</w:t>
            </w:r>
            <w:r w:rsidRPr="00045F10">
              <w:rPr>
                <w:color w:val="000000"/>
                <w:sz w:val="18"/>
                <w:szCs w:val="18"/>
                <w:lang w:val="en-GB" w:eastAsia="es-ES"/>
              </w:rPr>
              <w:t>ous</w:t>
            </w:r>
            <w:r w:rsidR="004A4181">
              <w:rPr>
                <w:color w:val="000000"/>
                <w:sz w:val="18"/>
                <w:szCs w:val="18"/>
                <w:lang w:val="en-GB" w:eastAsia="es-ES"/>
              </w:rPr>
              <w:t xml:space="preserve"> (per</w:t>
            </w:r>
            <w:r w:rsidRPr="00045F10">
              <w:rPr>
                <w:color w:val="000000"/>
                <w:sz w:val="18"/>
                <w:szCs w:val="18"/>
                <w:lang w:val="en-GB" w:eastAsia="es-ES"/>
              </w:rPr>
              <w:t xml:space="preserve"> 50g/d)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0.99 (0.90-1.10)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0.99 (0.89-1.10)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1.02 (0.91-1.14)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1.01 (0.90-1.13)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0.91 (0.69-1.20)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0.93 (0.71-1.22)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4D55" w:rsidRPr="00045F10" w:rsidRDefault="00E84D55" w:rsidP="009C5593">
            <w:pPr>
              <w:suppressAutoHyphens w:val="0"/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045F10">
              <w:rPr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</w:tr>
    </w:tbl>
    <w:p w:rsidR="00E84D55" w:rsidRDefault="00E84D55" w:rsidP="00E84D55">
      <w:pPr>
        <w:rPr>
          <w:vertAlign w:val="superscript"/>
          <w:lang w:val="en-GB"/>
        </w:rPr>
      </w:pPr>
      <w:r>
        <w:rPr>
          <w:lang w:val="en-GB"/>
        </w:rPr>
        <w:t xml:space="preserve">Abbreviations: BMI Body mass Index; </w:t>
      </w:r>
      <w:r>
        <w:rPr>
          <w:szCs w:val="16"/>
          <w:lang w:val="en-GB"/>
        </w:rPr>
        <w:t>HR Hazard Ratio; CI confidence interval; TC thyroid carcinoma</w:t>
      </w:r>
    </w:p>
    <w:p w:rsidR="00E84D55" w:rsidRPr="00D92612" w:rsidRDefault="00E84D55" w:rsidP="00E84D55">
      <w:pPr>
        <w:rPr>
          <w:lang w:val="en-GB"/>
        </w:rPr>
      </w:pPr>
      <w:r>
        <w:rPr>
          <w:vertAlign w:val="superscript"/>
          <w:lang w:val="en-GB"/>
        </w:rPr>
        <w:t>a</w:t>
      </w:r>
      <w:r w:rsidRPr="00D92612">
        <w:rPr>
          <w:lang w:val="en-GB"/>
        </w:rPr>
        <w:t xml:space="preserve">Model </w:t>
      </w:r>
      <w:r>
        <w:rPr>
          <w:lang w:val="en-GB"/>
        </w:rPr>
        <w:t>A</w:t>
      </w:r>
      <w:r w:rsidRPr="00D92612">
        <w:rPr>
          <w:lang w:val="en-GB"/>
        </w:rPr>
        <w:t>1: Cox model stratified by centr</w:t>
      </w:r>
      <w:r>
        <w:rPr>
          <w:lang w:val="en-GB"/>
        </w:rPr>
        <w:t>e</w:t>
      </w:r>
      <w:r w:rsidRPr="00D92612">
        <w:rPr>
          <w:lang w:val="en-GB"/>
        </w:rPr>
        <w:t>, age at baseline and sex</w:t>
      </w:r>
    </w:p>
    <w:p w:rsidR="00E84D55" w:rsidRPr="00D92612" w:rsidRDefault="00E84D55" w:rsidP="00E84D55">
      <w:pPr>
        <w:rPr>
          <w:lang w:val="en-GB"/>
        </w:rPr>
      </w:pPr>
      <w:r>
        <w:rPr>
          <w:vertAlign w:val="superscript"/>
          <w:lang w:val="en-GB"/>
        </w:rPr>
        <w:t>b</w:t>
      </w:r>
      <w:r w:rsidRPr="00D92612">
        <w:rPr>
          <w:lang w:val="en-GB"/>
        </w:rPr>
        <w:t xml:space="preserve">Model </w:t>
      </w:r>
      <w:r>
        <w:rPr>
          <w:lang w:val="en-GB"/>
        </w:rPr>
        <w:t>B2</w:t>
      </w:r>
      <w:r w:rsidRPr="00D92612">
        <w:rPr>
          <w:lang w:val="en-GB"/>
        </w:rPr>
        <w:t>: Cox model stratified by centr</w:t>
      </w:r>
      <w:r>
        <w:rPr>
          <w:lang w:val="en-GB"/>
        </w:rPr>
        <w:t>e</w:t>
      </w:r>
      <w:r w:rsidRPr="00D92612">
        <w:rPr>
          <w:lang w:val="en-GB"/>
        </w:rPr>
        <w:t>, age at baseline and sex</w:t>
      </w:r>
      <w:r>
        <w:rPr>
          <w:lang w:val="en-GB"/>
        </w:rPr>
        <w:t>, and adjusted for</w:t>
      </w:r>
      <w:r w:rsidRPr="008B40D0">
        <w:rPr>
          <w:lang w:val="en-GB"/>
        </w:rPr>
        <w:t xml:space="preserve"> </w:t>
      </w:r>
      <w:r>
        <w:rPr>
          <w:lang w:val="en-GB"/>
        </w:rPr>
        <w:t>BMI</w:t>
      </w:r>
      <w:r w:rsidRPr="008B40D0">
        <w:rPr>
          <w:lang w:val="en-GB"/>
        </w:rPr>
        <w:t>, smoking status, education level, physical activity, total energy and alcohol intake. In women, also adjusted for menopaus</w:t>
      </w:r>
      <w:r w:rsidR="00F3655B">
        <w:rPr>
          <w:lang w:val="en-GB"/>
        </w:rPr>
        <w:t>al</w:t>
      </w:r>
      <w:r w:rsidRPr="008B40D0">
        <w:rPr>
          <w:lang w:val="en-GB"/>
        </w:rPr>
        <w:t xml:space="preserve"> status and type, oral contraceptive use, and infertility problems.</w:t>
      </w:r>
    </w:p>
    <w:p w:rsidR="00E84D55" w:rsidRPr="00D92612" w:rsidRDefault="00E84D55" w:rsidP="00E84D55">
      <w:pPr>
        <w:rPr>
          <w:lang w:val="en-GB"/>
        </w:rPr>
      </w:pPr>
      <w:r>
        <w:rPr>
          <w:vertAlign w:val="superscript"/>
          <w:lang w:val="en-GB"/>
        </w:rPr>
        <w:t>c</w:t>
      </w:r>
      <w:r w:rsidRPr="00D92612">
        <w:rPr>
          <w:lang w:val="en-GB"/>
        </w:rPr>
        <w:t>p-heterogeneity for physically inactive vs. physically active</w:t>
      </w:r>
      <w:r>
        <w:rPr>
          <w:lang w:val="en-GB"/>
        </w:rPr>
        <w:t xml:space="preserve"> using the Wald test</w:t>
      </w:r>
    </w:p>
    <w:p w:rsidR="00E84D55" w:rsidRDefault="00E84D55" w:rsidP="00E84D55">
      <w:pPr>
        <w:rPr>
          <w:lang w:val="en-GB"/>
        </w:rPr>
      </w:pPr>
      <w:r>
        <w:rPr>
          <w:vertAlign w:val="superscript"/>
          <w:lang w:val="en-GB"/>
        </w:rPr>
        <w:t>d</w:t>
      </w:r>
      <w:r w:rsidRPr="00D92612">
        <w:rPr>
          <w:lang w:val="en-GB"/>
        </w:rPr>
        <w:t>p-heterogeneity for participants with a BMI&lt;25 vs. participants with a BMI≥25</w:t>
      </w:r>
      <w:r>
        <w:rPr>
          <w:lang w:val="en-GB"/>
        </w:rPr>
        <w:t xml:space="preserve"> using the Wald test</w:t>
      </w:r>
    </w:p>
    <w:p w:rsidR="00E84D55" w:rsidRDefault="00E84D55" w:rsidP="00E84D55">
      <w:pPr>
        <w:pStyle w:val="Caption"/>
        <w:rPr>
          <w:lang w:val="en-GB"/>
        </w:rPr>
      </w:pPr>
    </w:p>
    <w:p w:rsidR="009B76BB" w:rsidRPr="00E84D55" w:rsidRDefault="009B76BB">
      <w:pPr>
        <w:rPr>
          <w:lang w:val="en-GB"/>
        </w:rPr>
      </w:pPr>
    </w:p>
    <w:sectPr w:rsidR="009B76BB" w:rsidRPr="00E84D55" w:rsidSect="00E84D5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55"/>
    <w:rsid w:val="004A4181"/>
    <w:rsid w:val="009B76BB"/>
    <w:rsid w:val="00A12DD8"/>
    <w:rsid w:val="00E84D55"/>
    <w:rsid w:val="00F3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5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E84D55"/>
    <w:pPr>
      <w:spacing w:after="200"/>
    </w:pPr>
    <w:rPr>
      <w:b/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5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E84D55"/>
    <w:pPr>
      <w:spacing w:after="200"/>
    </w:pPr>
    <w:rPr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Theresa McHugh</cp:lastModifiedBy>
  <cp:revision>2</cp:revision>
  <dcterms:created xsi:type="dcterms:W3CDTF">2017-06-22T12:22:00Z</dcterms:created>
  <dcterms:modified xsi:type="dcterms:W3CDTF">2017-06-22T12:22:00Z</dcterms:modified>
</cp:coreProperties>
</file>